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rPr>
          <w:rFonts w:asciiTheme="minorEastAsia" w:hAnsiTheme="minorEastAsia"/>
          <w:b/>
          <w:bCs/>
        </w:rPr>
      </w:pPr>
    </w:p>
    <w:p>
      <w:pPr>
        <w:adjustRightInd w:val="0"/>
        <w:snapToGrid w:val="0"/>
        <w:jc w:val="right"/>
        <w:rPr>
          <w:rFonts w:hint="eastAsia" w:asciiTheme="minorEastAsia" w:hAnsiTheme="minorEastAsia" w:eastAsiaTheme="minorEastAsia"/>
          <w:lang w:eastAsia="zh-CN"/>
        </w:rPr>
      </w:pPr>
      <w:r>
        <w:rPr>
          <w:rFonts w:hint="eastAsia" w:asciiTheme="minorEastAsia" w:hAnsiTheme="minorEastAsia"/>
        </w:rPr>
        <w:drawing>
          <wp:anchor distT="0" distB="0" distL="114300" distR="114300" simplePos="0" relativeHeight="251659264" behindDoc="0" locked="0" layoutInCell="1" allowOverlap="1">
            <wp:simplePos x="0" y="0"/>
            <wp:positionH relativeFrom="column">
              <wp:posOffset>255905</wp:posOffset>
            </wp:positionH>
            <wp:positionV relativeFrom="paragraph">
              <wp:posOffset>77470</wp:posOffset>
            </wp:positionV>
            <wp:extent cx="746760" cy="786765"/>
            <wp:effectExtent l="0" t="0" r="15240" b="1333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a:stretch>
                      <a:fillRect/>
                    </a:stretch>
                  </pic:blipFill>
                  <pic:spPr>
                    <a:xfrm>
                      <a:off x="0" y="0"/>
                      <a:ext cx="746494" cy="786810"/>
                    </a:xfrm>
                    <a:prstGeom prst="rect">
                      <a:avLst/>
                    </a:prstGeom>
                    <a:noFill/>
                    <a:ln>
                      <a:noFill/>
                    </a:ln>
                  </pic:spPr>
                </pic:pic>
              </a:graphicData>
            </a:graphic>
          </wp:anchor>
        </w:drawing>
      </w:r>
      <w:r>
        <w:rPr>
          <w:rFonts w:hint="eastAsia" w:asciiTheme="minorEastAsia" w:hAnsiTheme="minorEastAsia"/>
        </w:rPr>
        <w:t>标段编号：</w:t>
      </w:r>
      <w:r>
        <w:rPr>
          <w:rFonts w:hint="eastAsia" w:asciiTheme="minorEastAsia" w:hAnsiTheme="minorEastAsia"/>
          <w:lang w:eastAsia="zh-CN"/>
        </w:rPr>
        <w:t>2023-1213-153736009</w:t>
      </w:r>
    </w:p>
    <w:p>
      <w:pPr>
        <w:adjustRightInd w:val="0"/>
        <w:snapToGrid w:val="0"/>
        <w:jc w:val="right"/>
        <w:rPr>
          <w:rFonts w:asciiTheme="minorEastAsia" w:hAnsiTheme="minorEastAsia"/>
        </w:rPr>
      </w:pPr>
    </w:p>
    <w:p>
      <w:pPr>
        <w:adjustRightInd w:val="0"/>
        <w:snapToGrid w:val="0"/>
        <w:jc w:val="right"/>
        <w:rPr>
          <w:rFonts w:asciiTheme="minorEastAsia" w:hAnsiTheme="minorEastAsia"/>
        </w:rPr>
      </w:pPr>
    </w:p>
    <w:p>
      <w:pPr>
        <w:adjustRightInd w:val="0"/>
        <w:snapToGrid w:val="0"/>
        <w:spacing w:line="480" w:lineRule="exact"/>
        <w:ind w:firstLine="964"/>
        <w:jc w:val="center"/>
        <w:rPr>
          <w:rFonts w:asciiTheme="minorEastAsia" w:hAnsiTheme="minorEastAsia"/>
          <w:b/>
          <w:sz w:val="48"/>
          <w:szCs w:val="48"/>
        </w:rPr>
      </w:pPr>
      <w:r>
        <w:rPr>
          <w:rFonts w:hint="eastAsia" w:asciiTheme="minorEastAsia" w:hAnsiTheme="minorEastAsia"/>
          <w:b/>
          <w:sz w:val="48"/>
          <w:szCs w:val="48"/>
        </w:rPr>
        <w:t>招 标 文 件</w:t>
      </w:r>
    </w:p>
    <w:p>
      <w:pPr>
        <w:ind w:firstLine="640"/>
        <w:jc w:val="center"/>
        <w:rPr>
          <w:rFonts w:asciiTheme="minorEastAsia" w:hAnsiTheme="minorEastAsia"/>
          <w:bCs/>
          <w:color w:val="auto"/>
          <w:sz w:val="36"/>
          <w:szCs w:val="36"/>
        </w:rPr>
      </w:pPr>
      <w:r>
        <w:rPr>
          <w:rFonts w:hint="eastAsia" w:asciiTheme="minorEastAsia" w:hAnsiTheme="minorEastAsia"/>
          <w:bCs/>
          <w:color w:val="auto"/>
          <w:sz w:val="32"/>
        </w:rPr>
        <w:t>（政府采购服务）</w:t>
      </w:r>
    </w:p>
    <w:p>
      <w:pPr>
        <w:adjustRightInd w:val="0"/>
        <w:snapToGrid w:val="0"/>
        <w:spacing w:line="480" w:lineRule="exact"/>
        <w:rPr>
          <w:rFonts w:asciiTheme="minorEastAsia" w:hAnsiTheme="minorEastAsia"/>
          <w:bCs/>
          <w:sz w:val="32"/>
        </w:rPr>
      </w:pPr>
      <w:r>
        <w:rPr>
          <w:rFonts w:hint="eastAsia" w:asciiTheme="minorEastAsia" w:hAnsiTheme="minorEastAsia"/>
          <w:bCs/>
          <w:sz w:val="32"/>
        </w:rPr>
        <w:t>项目名称：2024年-2026年米东区公共绿地绿化养护项目</w:t>
      </w:r>
    </w:p>
    <w:p>
      <w:pPr>
        <w:adjustRightInd w:val="0"/>
        <w:snapToGrid w:val="0"/>
        <w:spacing w:line="480" w:lineRule="exact"/>
        <w:ind w:firstLine="640"/>
        <w:rPr>
          <w:rFonts w:asciiTheme="minorEastAsia" w:hAnsiTheme="minorEastAsia"/>
          <w:bCs/>
          <w:sz w:val="32"/>
        </w:rPr>
      </w:pPr>
    </w:p>
    <w:p>
      <w:pPr>
        <w:ind w:left="1574" w:right="-191" w:rightChars="-91" w:hanging="1574" w:hangingChars="492"/>
        <w:rPr>
          <w:rFonts w:hint="eastAsia" w:asciiTheme="minorEastAsia" w:hAnsiTheme="minorEastAsia" w:eastAsiaTheme="minorEastAsia"/>
          <w:bCs/>
          <w:sz w:val="32"/>
          <w:lang w:eastAsia="zh-CN"/>
        </w:rPr>
      </w:pPr>
      <w:r>
        <w:rPr>
          <w:rFonts w:hint="eastAsia" w:asciiTheme="minorEastAsia" w:hAnsiTheme="minorEastAsia"/>
          <w:bCs/>
          <w:sz w:val="32"/>
        </w:rPr>
        <w:t>标段名称</w:t>
      </w:r>
      <w:r>
        <w:rPr>
          <w:rFonts w:hint="eastAsia" w:asciiTheme="minorEastAsia" w:hAnsiTheme="minorEastAsia"/>
          <w:bCs/>
          <w:kern w:val="0"/>
          <w:sz w:val="32"/>
          <w:szCs w:val="32"/>
        </w:rPr>
        <w:t>：</w:t>
      </w:r>
      <w:r>
        <w:rPr>
          <w:rFonts w:hint="eastAsia" w:asciiTheme="minorEastAsia" w:hAnsiTheme="minorEastAsia"/>
          <w:bCs/>
          <w:sz w:val="32"/>
          <w:lang w:eastAsia="zh-CN"/>
        </w:rPr>
        <w:t>2024年-2026年米东区公共绿地绿化养护项目第9包</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kern w:val="0"/>
          <w:sz w:val="32"/>
          <w:szCs w:val="32"/>
        </w:rPr>
      </w:pPr>
      <w:r>
        <w:rPr>
          <w:rFonts w:hint="eastAsia" w:asciiTheme="minorEastAsia" w:hAnsiTheme="minorEastAsia"/>
          <w:bCs/>
          <w:kern w:val="0"/>
          <w:sz w:val="32"/>
          <w:szCs w:val="32"/>
        </w:rPr>
        <w:t>采购人</w:t>
      </w:r>
      <w:r>
        <w:rPr>
          <w:rFonts w:asciiTheme="minorEastAsia" w:hAnsiTheme="minorEastAsia"/>
          <w:bCs/>
          <w:kern w:val="0"/>
          <w:sz w:val="32"/>
          <w:szCs w:val="32"/>
        </w:rPr>
        <w:t>(</w:t>
      </w:r>
      <w:r>
        <w:rPr>
          <w:rFonts w:hint="eastAsia" w:asciiTheme="minorEastAsia" w:hAnsiTheme="minorEastAsia"/>
          <w:bCs/>
          <w:kern w:val="0"/>
          <w:sz w:val="32"/>
          <w:szCs w:val="32"/>
        </w:rPr>
        <w:t>盖章</w:t>
      </w:r>
      <w:r>
        <w:rPr>
          <w:rFonts w:asciiTheme="minorEastAsia" w:hAnsiTheme="minorEastAsia"/>
          <w:bCs/>
          <w:kern w:val="0"/>
          <w:sz w:val="32"/>
          <w:szCs w:val="32"/>
        </w:rPr>
        <w:t>)</w:t>
      </w:r>
      <w:r>
        <w:rPr>
          <w:rFonts w:hint="eastAsia" w:asciiTheme="minorEastAsia" w:hAnsiTheme="minorEastAsia"/>
          <w:bCs/>
          <w:kern w:val="0"/>
          <w:sz w:val="32"/>
          <w:szCs w:val="32"/>
        </w:rPr>
        <w:t>：</w:t>
      </w:r>
      <w:r>
        <w:rPr>
          <w:rFonts w:hint="eastAsia" w:asciiTheme="minorEastAsia" w:hAnsiTheme="minorEastAsia"/>
          <w:bCs/>
          <w:sz w:val="32"/>
        </w:rPr>
        <w:t>乌鲁木齐市米东区园林管理局</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法定代表人</w:t>
      </w:r>
      <w:r>
        <w:rPr>
          <w:rFonts w:asciiTheme="minorEastAsia" w:hAnsiTheme="minorEastAsia"/>
          <w:bCs/>
          <w:sz w:val="32"/>
          <w:szCs w:val="32"/>
        </w:rPr>
        <w:t>(</w:t>
      </w:r>
      <w:r>
        <w:rPr>
          <w:rFonts w:hint="eastAsia" w:asciiTheme="minorEastAsia" w:hAnsiTheme="minorEastAsia"/>
          <w:bCs/>
          <w:sz w:val="32"/>
          <w:szCs w:val="32"/>
        </w:rPr>
        <w:t>盖章</w:t>
      </w:r>
      <w:r>
        <w:rPr>
          <w:rFonts w:asciiTheme="minorEastAsia" w:hAnsiTheme="minorEastAsia"/>
          <w:bCs/>
          <w:sz w:val="32"/>
          <w:szCs w:val="32"/>
        </w:rPr>
        <w:t>)</w:t>
      </w:r>
      <w:r>
        <w:rPr>
          <w:rFonts w:hint="eastAsia" w:asciiTheme="minorEastAsia" w:hAnsiTheme="minorEastAsia"/>
          <w:bCs/>
          <w:sz w:val="32"/>
          <w:szCs w:val="32"/>
        </w:rPr>
        <w:t>：</w:t>
      </w:r>
    </w:p>
    <w:p>
      <w:pPr>
        <w:adjustRightInd w:val="0"/>
        <w:snapToGrid w:val="0"/>
        <w:spacing w:line="480" w:lineRule="exact"/>
        <w:ind w:firstLine="640"/>
        <w:jc w:val="center"/>
        <w:rPr>
          <w:rFonts w:asciiTheme="minorEastAsia" w:hAnsiTheme="minorEastAsia"/>
          <w:bCs/>
          <w:sz w:val="32"/>
          <w:szCs w:val="32"/>
        </w:rPr>
      </w:pPr>
    </w:p>
    <w:p>
      <w:pPr>
        <w:tabs>
          <w:tab w:val="left" w:pos="8372"/>
        </w:tabs>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联系人：马国云</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kern w:val="0"/>
          <w:sz w:val="32"/>
          <w:szCs w:val="32"/>
        </w:rPr>
        <w:t>电话</w:t>
      </w:r>
      <w:r>
        <w:rPr>
          <w:rFonts w:hint="eastAsia" w:asciiTheme="minorEastAsia" w:hAnsiTheme="minorEastAsia"/>
          <w:bCs/>
          <w:sz w:val="32"/>
          <w:szCs w:val="32"/>
        </w:rPr>
        <w:t>：13619913728</w:t>
      </w:r>
    </w:p>
    <w:p>
      <w:pPr>
        <w:adjustRightInd w:val="0"/>
        <w:snapToGrid w:val="0"/>
        <w:spacing w:line="480" w:lineRule="exact"/>
        <w:rPr>
          <w:rFonts w:asciiTheme="minorEastAsia" w:hAnsiTheme="minorEastAsia"/>
          <w:bCs/>
          <w:sz w:val="32"/>
          <w:szCs w:val="32"/>
        </w:rPr>
      </w:pPr>
      <w:r>
        <w:rPr>
          <w:rFonts w:asciiTheme="minorEastAsia" w:hAnsiTheme="minorEastAsia"/>
          <w:bCs/>
          <w:kern w:val="0"/>
          <w:sz w:val="32"/>
          <w:szCs w:val="32"/>
        </w:rPr>
        <w:t>—————————————————————————————</w:t>
      </w: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采购代理机构</w:t>
      </w:r>
      <w:r>
        <w:rPr>
          <w:rFonts w:asciiTheme="minorEastAsia" w:hAnsiTheme="minorEastAsia"/>
          <w:sz w:val="32"/>
          <w:szCs w:val="32"/>
        </w:rPr>
        <w:t>(</w:t>
      </w:r>
      <w:r>
        <w:rPr>
          <w:rFonts w:hint="eastAsia" w:asciiTheme="minorEastAsia" w:hAnsiTheme="minorEastAsia"/>
          <w:sz w:val="32"/>
          <w:szCs w:val="32"/>
        </w:rPr>
        <w:t>盖章</w:t>
      </w:r>
      <w:r>
        <w:rPr>
          <w:rFonts w:asciiTheme="minorEastAsia" w:hAnsiTheme="minorEastAsia"/>
          <w:sz w:val="32"/>
          <w:szCs w:val="32"/>
        </w:rPr>
        <w:t>)</w:t>
      </w:r>
      <w:r>
        <w:rPr>
          <w:rFonts w:hint="eastAsia" w:asciiTheme="minorEastAsia" w:hAnsiTheme="minorEastAsia"/>
          <w:bCs/>
          <w:sz w:val="32"/>
          <w:szCs w:val="32"/>
        </w:rPr>
        <w:t>：新疆锐智时代建设工程项目管理有限公司</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法定代表人</w:t>
      </w:r>
      <w:r>
        <w:rPr>
          <w:rFonts w:asciiTheme="minorEastAsia" w:hAnsiTheme="minorEastAsia"/>
          <w:bCs/>
          <w:sz w:val="32"/>
          <w:szCs w:val="32"/>
        </w:rPr>
        <w:t>(</w:t>
      </w:r>
      <w:r>
        <w:rPr>
          <w:rFonts w:hint="eastAsia" w:asciiTheme="minorEastAsia" w:hAnsiTheme="minorEastAsia"/>
          <w:bCs/>
          <w:sz w:val="32"/>
          <w:szCs w:val="32"/>
        </w:rPr>
        <w:t>盖章</w:t>
      </w:r>
      <w:r>
        <w:rPr>
          <w:rFonts w:asciiTheme="minorEastAsia" w:hAnsiTheme="minorEastAsia"/>
          <w:bCs/>
          <w:sz w:val="32"/>
          <w:szCs w:val="32"/>
        </w:rPr>
        <w:t>)</w:t>
      </w:r>
      <w:r>
        <w:rPr>
          <w:rFonts w:hint="eastAsia" w:asciiTheme="minorEastAsia" w:hAnsiTheme="minorEastAsia"/>
          <w:bCs/>
          <w:sz w:val="32"/>
          <w:szCs w:val="32"/>
        </w:rPr>
        <w:t>：吴巧珠</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联系人：王芳</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kern w:val="0"/>
          <w:sz w:val="32"/>
          <w:szCs w:val="32"/>
        </w:rPr>
        <w:t>电话</w:t>
      </w:r>
      <w:r>
        <w:rPr>
          <w:rFonts w:hint="eastAsia" w:asciiTheme="minorEastAsia" w:hAnsiTheme="minorEastAsia"/>
          <w:bCs/>
          <w:sz w:val="32"/>
          <w:szCs w:val="32"/>
        </w:rPr>
        <w:t xml:space="preserve">：17690920122          </w:t>
      </w:r>
    </w:p>
    <w:p>
      <w:pPr>
        <w:adjustRightInd w:val="0"/>
        <w:snapToGrid w:val="0"/>
        <w:spacing w:line="480" w:lineRule="exact"/>
        <w:ind w:firstLine="640"/>
        <w:jc w:val="center"/>
        <w:rPr>
          <w:rFonts w:asciiTheme="minorEastAsia" w:hAnsiTheme="minorEastAsia"/>
          <w:bCs/>
          <w:sz w:val="32"/>
          <w:szCs w:val="32"/>
        </w:rPr>
      </w:pPr>
    </w:p>
    <w:p>
      <w:pPr>
        <w:adjustRightInd w:val="0"/>
        <w:snapToGrid w:val="0"/>
        <w:spacing w:line="480" w:lineRule="exact"/>
        <w:rPr>
          <w:rFonts w:asciiTheme="minorEastAsia" w:hAnsiTheme="minorEastAsia"/>
          <w:bCs/>
          <w:sz w:val="32"/>
          <w:szCs w:val="32"/>
        </w:rPr>
      </w:pPr>
      <w:r>
        <w:rPr>
          <w:rFonts w:hint="eastAsia" w:asciiTheme="minorEastAsia" w:hAnsiTheme="minorEastAsia"/>
          <w:bCs/>
          <w:sz w:val="32"/>
          <w:szCs w:val="32"/>
        </w:rPr>
        <w:t>详细地址：乌鲁木齐市水磨沟区立井街198号丽景名都商住10号楼21楼</w:t>
      </w:r>
    </w:p>
    <w:p>
      <w:pPr>
        <w:widowControl/>
        <w:ind w:firstLine="482"/>
        <w:jc w:val="center"/>
        <w:rPr>
          <w:rFonts w:cs="宋体" w:asciiTheme="minorEastAsia" w:hAnsiTheme="minorEastAsia"/>
          <w:b/>
          <w:bCs/>
          <w:sz w:val="24"/>
          <w:szCs w:val="24"/>
        </w:rPr>
      </w:pPr>
      <w:r>
        <w:rPr>
          <w:rFonts w:cs="宋体" w:asciiTheme="minorEastAsia" w:hAnsiTheme="minorEastAsia"/>
          <w:b/>
          <w:bCs/>
        </w:rPr>
        <w:br w:type="page"/>
      </w:r>
      <w:r>
        <w:rPr>
          <w:rFonts w:hint="eastAsia" w:cs="宋体" w:asciiTheme="minorEastAsia" w:hAnsiTheme="minorEastAsia"/>
          <w:b/>
          <w:bCs/>
          <w:sz w:val="24"/>
          <w:szCs w:val="24"/>
        </w:rPr>
        <w:t>目录</w:t>
      </w:r>
    </w:p>
    <w:p>
      <w:pPr>
        <w:pStyle w:val="21"/>
        <w:tabs>
          <w:tab w:val="right" w:leader="dot" w:pos="9354"/>
        </w:tabs>
      </w:pPr>
      <w:r>
        <w:rPr>
          <w:rFonts w:cs="宋体" w:asciiTheme="minorEastAsia" w:hAnsiTheme="minorEastAsia" w:eastAsiaTheme="minorEastAsia"/>
          <w:b/>
          <w:bCs/>
          <w:sz w:val="24"/>
        </w:rPr>
        <w:fldChar w:fldCharType="begin"/>
      </w:r>
      <w:r>
        <w:rPr>
          <w:rFonts w:cs="宋体" w:asciiTheme="minorEastAsia" w:hAnsiTheme="minorEastAsia" w:eastAsiaTheme="minorEastAsia"/>
          <w:b/>
          <w:bCs/>
          <w:sz w:val="24"/>
        </w:rPr>
        <w:instrText xml:space="preserve">TOC \o "1-3" \h \u </w:instrText>
      </w:r>
      <w:r>
        <w:rPr>
          <w:rFonts w:cs="宋体" w:asciiTheme="minorEastAsia" w:hAnsiTheme="minorEastAsia" w:eastAsiaTheme="minorEastAsia"/>
          <w:b/>
          <w:bCs/>
          <w:sz w:val="24"/>
        </w:rPr>
        <w:fldChar w:fldCharType="separate"/>
      </w:r>
      <w:r>
        <w:rPr>
          <w:rFonts w:cs="宋体" w:asciiTheme="minorEastAsia" w:hAnsiTheme="minorEastAsia" w:eastAsiaTheme="minorEastAsia"/>
          <w:bCs/>
        </w:rPr>
        <w:fldChar w:fldCharType="begin"/>
      </w:r>
      <w:r>
        <w:rPr>
          <w:rFonts w:cs="宋体" w:asciiTheme="minorEastAsia" w:hAnsiTheme="minorEastAsia" w:eastAsiaTheme="minorEastAsia"/>
          <w:bCs/>
        </w:rPr>
        <w:instrText xml:space="preserve"> HYPERLINK \l _Toc26426 </w:instrText>
      </w:r>
      <w:r>
        <w:rPr>
          <w:rFonts w:cs="宋体" w:asciiTheme="minorEastAsia" w:hAnsiTheme="minorEastAsia" w:eastAsiaTheme="minorEastAsia"/>
          <w:bCs/>
        </w:rPr>
        <w:fldChar w:fldCharType="separate"/>
      </w:r>
      <w:r>
        <w:rPr>
          <w:rFonts w:hint="eastAsia" w:asciiTheme="minorEastAsia" w:hAnsiTheme="minorEastAsia"/>
        </w:rPr>
        <w:t>2024年-2026年米东区公共绿地绿化养护项目公开招标公告</w:t>
      </w:r>
      <w:r>
        <w:tab/>
      </w:r>
      <w:r>
        <w:fldChar w:fldCharType="begin"/>
      </w:r>
      <w:r>
        <w:instrText xml:space="preserve"> PAGEREF _Toc26426 \h </w:instrText>
      </w:r>
      <w:r>
        <w:fldChar w:fldCharType="separate"/>
      </w:r>
      <w:r>
        <w:t>1</w:t>
      </w:r>
      <w:r>
        <w:fldChar w:fldCharType="end"/>
      </w:r>
      <w:r>
        <w:rPr>
          <w:rFonts w:cs="宋体" w:asciiTheme="minorEastAsia" w:hAnsiTheme="minorEastAsia" w:eastAsia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_Toc14276 </w:instrText>
      </w:r>
      <w:r>
        <w:rPr>
          <w:rFonts w:cs="宋体" w:asciiTheme="minorEastAsia" w:hAnsiTheme="minorEastAsia"/>
          <w:bCs/>
        </w:rPr>
        <w:fldChar w:fldCharType="separate"/>
      </w:r>
      <w:r>
        <w:rPr>
          <w:rFonts w:hint="eastAsia" w:cs="宋体" w:asciiTheme="minorEastAsia" w:hAnsiTheme="minorEastAsia"/>
          <w:szCs w:val="24"/>
        </w:rPr>
        <w:t>投标人须知前附表</w:t>
      </w:r>
      <w:r>
        <w:tab/>
      </w:r>
      <w:r>
        <w:fldChar w:fldCharType="begin"/>
      </w:r>
      <w:r>
        <w:instrText xml:space="preserve"> PAGEREF _Toc14276 \h </w:instrText>
      </w:r>
      <w:r>
        <w:fldChar w:fldCharType="separate"/>
      </w:r>
      <w:r>
        <w:t>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_Toc22437 </w:instrText>
      </w:r>
      <w:r>
        <w:rPr>
          <w:rFonts w:cs="宋体" w:asciiTheme="minorEastAsia" w:hAnsiTheme="minorEastAsia"/>
          <w:bCs/>
        </w:rPr>
        <w:fldChar w:fldCharType="separate"/>
      </w:r>
      <w:r>
        <w:rPr>
          <w:rFonts w:cs="宋体" w:asciiTheme="minorEastAsia" w:hAnsiTheme="minorEastAsia"/>
          <w:szCs w:val="24"/>
        </w:rPr>
        <w:t>1</w:t>
      </w:r>
      <w:r>
        <w:rPr>
          <w:rFonts w:hint="eastAsia" w:cs="宋体" w:asciiTheme="minorEastAsia" w:hAnsiTheme="minorEastAsia"/>
          <w:szCs w:val="24"/>
        </w:rPr>
        <w:t>．总则</w:t>
      </w:r>
      <w:r>
        <w:tab/>
      </w:r>
      <w:r>
        <w:fldChar w:fldCharType="begin"/>
      </w:r>
      <w:r>
        <w:instrText xml:space="preserve"> PAGEREF _Toc22437 \h </w:instrText>
      </w:r>
      <w:r>
        <w:fldChar w:fldCharType="separate"/>
      </w:r>
      <w:r>
        <w:t>10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_Toc3248 </w:instrText>
      </w:r>
      <w:r>
        <w:rPr>
          <w:rFonts w:cs="宋体" w:asciiTheme="minorEastAsia" w:hAnsiTheme="minorEastAsia"/>
          <w:bCs/>
        </w:rPr>
        <w:fldChar w:fldCharType="separate"/>
      </w:r>
      <w:r>
        <w:rPr>
          <w:rFonts w:cs="宋体" w:asciiTheme="minorEastAsia" w:hAnsiTheme="minorEastAsia"/>
          <w:szCs w:val="24"/>
        </w:rPr>
        <w:t>2</w:t>
      </w:r>
      <w:r>
        <w:rPr>
          <w:rFonts w:hint="eastAsia" w:cs="宋体" w:asciiTheme="minorEastAsia" w:hAnsiTheme="minorEastAsia"/>
          <w:szCs w:val="24"/>
        </w:rPr>
        <w:t>．招标文件</w:t>
      </w:r>
      <w:r>
        <w:tab/>
      </w:r>
      <w:r>
        <w:fldChar w:fldCharType="begin"/>
      </w:r>
      <w:r>
        <w:instrText xml:space="preserve"> PAGEREF _Toc3248 \h </w:instrText>
      </w:r>
      <w:r>
        <w:fldChar w:fldCharType="separate"/>
      </w:r>
      <w:r>
        <w:t>12</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_Toc5109 </w:instrText>
      </w:r>
      <w:r>
        <w:rPr>
          <w:rFonts w:cs="宋体" w:asciiTheme="minorEastAsia" w:hAnsiTheme="minorEastAsia"/>
          <w:bCs/>
        </w:rPr>
        <w:fldChar w:fldCharType="separate"/>
      </w:r>
      <w:r>
        <w:rPr>
          <w:rFonts w:cs="宋体" w:asciiTheme="minorEastAsia" w:hAnsiTheme="minorEastAsia"/>
          <w:szCs w:val="24"/>
        </w:rPr>
        <w:t>3</w:t>
      </w:r>
      <w:r>
        <w:rPr>
          <w:rFonts w:hint="eastAsia" w:cs="宋体" w:asciiTheme="minorEastAsia" w:hAnsiTheme="minorEastAsia"/>
          <w:szCs w:val="24"/>
        </w:rPr>
        <w:t>．投标文件</w:t>
      </w:r>
      <w:r>
        <w:tab/>
      </w:r>
      <w:r>
        <w:fldChar w:fldCharType="begin"/>
      </w:r>
      <w:r>
        <w:instrText xml:space="preserve"> PAGEREF _Toc5109 \h </w:instrText>
      </w:r>
      <w:r>
        <w:fldChar w:fldCharType="separate"/>
      </w:r>
      <w:r>
        <w:t>13</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_Toc7591 </w:instrText>
      </w:r>
      <w:r>
        <w:rPr>
          <w:rFonts w:cs="宋体" w:asciiTheme="minorEastAsia" w:hAnsiTheme="minorEastAsia"/>
          <w:bCs/>
        </w:rPr>
        <w:fldChar w:fldCharType="separate"/>
      </w:r>
      <w:r>
        <w:rPr>
          <w:rFonts w:cs="宋体" w:asciiTheme="minorEastAsia" w:hAnsiTheme="minorEastAsia"/>
          <w:szCs w:val="24"/>
        </w:rPr>
        <w:t>4</w:t>
      </w:r>
      <w:r>
        <w:rPr>
          <w:rFonts w:hint="eastAsia" w:cs="宋体" w:asciiTheme="minorEastAsia" w:hAnsiTheme="minorEastAsia"/>
          <w:szCs w:val="24"/>
        </w:rPr>
        <w:t>．投标</w:t>
      </w:r>
      <w:r>
        <w:tab/>
      </w:r>
      <w:r>
        <w:fldChar w:fldCharType="begin"/>
      </w:r>
      <w:r>
        <w:instrText xml:space="preserve"> PAGEREF _Toc7591 \h </w:instrText>
      </w:r>
      <w:r>
        <w:fldChar w:fldCharType="separate"/>
      </w:r>
      <w:r>
        <w:t>15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_Toc10750 </w:instrText>
      </w:r>
      <w:r>
        <w:rPr>
          <w:rFonts w:cs="宋体" w:asciiTheme="minorEastAsia" w:hAnsiTheme="minorEastAsia"/>
          <w:bCs/>
        </w:rPr>
        <w:fldChar w:fldCharType="separate"/>
      </w:r>
      <w:r>
        <w:rPr>
          <w:rFonts w:cs="宋体" w:asciiTheme="minorEastAsia" w:hAnsiTheme="minorEastAsia"/>
          <w:szCs w:val="24"/>
        </w:rPr>
        <w:t>5</w:t>
      </w:r>
      <w:r>
        <w:rPr>
          <w:rFonts w:hint="eastAsia" w:cs="宋体" w:asciiTheme="minorEastAsia" w:hAnsiTheme="minorEastAsia"/>
          <w:szCs w:val="24"/>
        </w:rPr>
        <w:t>．开标</w:t>
      </w:r>
      <w:r>
        <w:tab/>
      </w:r>
      <w:r>
        <w:fldChar w:fldCharType="begin"/>
      </w:r>
      <w:r>
        <w:instrText xml:space="preserve"> PAGEREF _Toc10750 \h </w:instrText>
      </w:r>
      <w:r>
        <w:fldChar w:fldCharType="separate"/>
      </w:r>
      <w:r>
        <w:t>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_Toc12517 </w:instrText>
      </w:r>
      <w:r>
        <w:rPr>
          <w:rFonts w:cs="宋体" w:asciiTheme="minorEastAsia" w:hAnsiTheme="minorEastAsia"/>
          <w:bCs/>
        </w:rPr>
        <w:fldChar w:fldCharType="separate"/>
      </w:r>
      <w:r>
        <w:rPr>
          <w:rFonts w:cs="宋体" w:asciiTheme="minorEastAsia" w:hAnsiTheme="minorEastAsia"/>
          <w:szCs w:val="24"/>
        </w:rPr>
        <w:t>6</w:t>
      </w:r>
      <w:r>
        <w:rPr>
          <w:rFonts w:hint="eastAsia" w:cs="宋体" w:asciiTheme="minorEastAsia" w:hAnsiTheme="minorEastAsia"/>
          <w:szCs w:val="24"/>
        </w:rPr>
        <w:t>．评标</w:t>
      </w:r>
      <w:r>
        <w:tab/>
      </w:r>
      <w:r>
        <w:fldChar w:fldCharType="begin"/>
      </w:r>
      <w:r>
        <w:instrText xml:space="preserve"> PAGEREF _Toc12517 \h </w:instrText>
      </w:r>
      <w:r>
        <w:fldChar w:fldCharType="separate"/>
      </w:r>
      <w:r>
        <w:t>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_Toc24540 </w:instrText>
      </w:r>
      <w:r>
        <w:rPr>
          <w:rFonts w:cs="宋体" w:asciiTheme="minorEastAsia" w:hAnsiTheme="minorEastAsia"/>
          <w:bCs/>
        </w:rPr>
        <w:fldChar w:fldCharType="separate"/>
      </w:r>
      <w:r>
        <w:rPr>
          <w:rFonts w:cs="宋体" w:asciiTheme="minorEastAsia" w:hAnsiTheme="minorEastAsia"/>
          <w:szCs w:val="24"/>
        </w:rPr>
        <w:t>7</w:t>
      </w:r>
      <w:r>
        <w:rPr>
          <w:rFonts w:hint="eastAsia" w:cs="宋体" w:asciiTheme="minorEastAsia" w:hAnsiTheme="minorEastAsia"/>
          <w:szCs w:val="24"/>
        </w:rPr>
        <w:t>．定标及合同授予</w:t>
      </w:r>
      <w:r>
        <w:tab/>
      </w:r>
      <w:r>
        <w:fldChar w:fldCharType="begin"/>
      </w:r>
      <w:r>
        <w:instrText xml:space="preserve"> PAGEREF _Toc24540 \h </w:instrText>
      </w:r>
      <w:r>
        <w:fldChar w:fldCharType="separate"/>
      </w:r>
      <w:r>
        <w:t>17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_Toc29083 </w:instrText>
      </w:r>
      <w:r>
        <w:rPr>
          <w:rFonts w:cs="宋体" w:asciiTheme="minorEastAsia" w:hAnsiTheme="minorEastAsia"/>
          <w:bCs/>
        </w:rPr>
        <w:fldChar w:fldCharType="separate"/>
      </w:r>
      <w:r>
        <w:rPr>
          <w:rFonts w:cs="宋体" w:asciiTheme="minorEastAsia" w:hAnsiTheme="minorEastAsia"/>
          <w:szCs w:val="24"/>
        </w:rPr>
        <w:t>8</w:t>
      </w:r>
      <w:r>
        <w:rPr>
          <w:rFonts w:hint="eastAsia" w:cs="宋体" w:asciiTheme="minorEastAsia" w:hAnsiTheme="minorEastAsia"/>
          <w:szCs w:val="24"/>
        </w:rPr>
        <w:t>．纪律和监督</w:t>
      </w:r>
      <w:r>
        <w:tab/>
      </w:r>
      <w:r>
        <w:fldChar w:fldCharType="begin"/>
      </w:r>
      <w:r>
        <w:instrText xml:space="preserve"> PAGEREF _Toc29083 \h </w:instrText>
      </w:r>
      <w:r>
        <w:fldChar w:fldCharType="separate"/>
      </w:r>
      <w:r>
        <w:t>18</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_Toc25443 </w:instrText>
      </w:r>
      <w:r>
        <w:rPr>
          <w:rFonts w:cs="宋体" w:asciiTheme="minorEastAsia" w:hAnsiTheme="minorEastAsia"/>
          <w:bCs/>
        </w:rPr>
        <w:fldChar w:fldCharType="separate"/>
      </w:r>
      <w:r>
        <w:rPr>
          <w:rFonts w:hint="eastAsia" w:cs="宋体" w:asciiTheme="minorEastAsia" w:hAnsiTheme="minorEastAsia"/>
          <w:szCs w:val="24"/>
        </w:rPr>
        <w:t>第二章评标办法</w:t>
      </w:r>
      <w:r>
        <w:tab/>
      </w:r>
      <w:r>
        <w:fldChar w:fldCharType="begin"/>
      </w:r>
      <w:r>
        <w:instrText xml:space="preserve"> PAGEREF _Toc25443 \h </w:instrText>
      </w:r>
      <w:r>
        <w:fldChar w:fldCharType="separate"/>
      </w:r>
      <w:r>
        <w:t>20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_Toc20529 </w:instrText>
      </w:r>
      <w:r>
        <w:rPr>
          <w:rFonts w:cs="宋体" w:asciiTheme="minorEastAsia" w:hAnsiTheme="minorEastAsia"/>
          <w:bCs/>
        </w:rPr>
        <w:fldChar w:fldCharType="separate"/>
      </w:r>
      <w:r>
        <w:rPr>
          <w:rFonts w:hint="eastAsia" w:cs="宋体" w:asciiTheme="minorEastAsia" w:hAnsiTheme="minorEastAsia"/>
          <w:szCs w:val="24"/>
        </w:rPr>
        <w:t>第一节 综合评分法</w:t>
      </w:r>
      <w:r>
        <w:tab/>
      </w:r>
      <w:r>
        <w:fldChar w:fldCharType="begin"/>
      </w:r>
      <w:r>
        <w:instrText xml:space="preserve"> PAGEREF _Toc20529 \h </w:instrText>
      </w:r>
      <w:r>
        <w:fldChar w:fldCharType="separate"/>
      </w:r>
      <w:r>
        <w:t>20</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_Toc10658 </w:instrText>
      </w:r>
      <w:r>
        <w:rPr>
          <w:rFonts w:cs="宋体" w:asciiTheme="minorEastAsia" w:hAnsiTheme="minorEastAsia"/>
          <w:bCs/>
        </w:rPr>
        <w:fldChar w:fldCharType="separate"/>
      </w:r>
      <w:r>
        <w:rPr>
          <w:rFonts w:hint="eastAsia" w:cs="宋体" w:asciiTheme="minorEastAsia" w:hAnsiTheme="minorEastAsia"/>
          <w:szCs w:val="24"/>
        </w:rPr>
        <w:t>评标办法前附表</w:t>
      </w:r>
      <w:r>
        <w:tab/>
      </w:r>
      <w:r>
        <w:fldChar w:fldCharType="begin"/>
      </w:r>
      <w:r>
        <w:instrText xml:space="preserve"> PAGEREF _Toc10658 \h </w:instrText>
      </w:r>
      <w:r>
        <w:fldChar w:fldCharType="separate"/>
      </w:r>
      <w:r>
        <w:t>20</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_Toc22050 </w:instrText>
      </w:r>
      <w:r>
        <w:rPr>
          <w:rFonts w:cs="宋体" w:asciiTheme="minorEastAsia" w:hAnsiTheme="minorEastAsia"/>
          <w:bCs/>
        </w:rPr>
        <w:fldChar w:fldCharType="separate"/>
      </w:r>
      <w:r>
        <w:rPr>
          <w:rFonts w:cs="宋体" w:asciiTheme="minorEastAsia" w:hAnsiTheme="minorEastAsia"/>
          <w:szCs w:val="24"/>
        </w:rPr>
        <w:t xml:space="preserve">1. </w:t>
      </w:r>
      <w:r>
        <w:rPr>
          <w:rFonts w:hint="eastAsia" w:cs="宋体" w:asciiTheme="minorEastAsia" w:hAnsiTheme="minorEastAsia"/>
          <w:szCs w:val="24"/>
        </w:rPr>
        <w:t>评标方法</w:t>
      </w:r>
      <w:r>
        <w:tab/>
      </w:r>
      <w:r>
        <w:fldChar w:fldCharType="begin"/>
      </w:r>
      <w:r>
        <w:instrText xml:space="preserve"> PAGEREF _Toc22050 \h </w:instrText>
      </w:r>
      <w:r>
        <w:fldChar w:fldCharType="separate"/>
      </w:r>
      <w:r>
        <w:t>22</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_Toc5818 </w:instrText>
      </w:r>
      <w:r>
        <w:rPr>
          <w:rFonts w:cs="宋体" w:asciiTheme="minorEastAsia" w:hAnsiTheme="minorEastAsia"/>
          <w:bCs/>
        </w:rPr>
        <w:fldChar w:fldCharType="separate"/>
      </w:r>
      <w:r>
        <w:rPr>
          <w:rFonts w:cs="宋体" w:asciiTheme="minorEastAsia" w:hAnsiTheme="minorEastAsia"/>
          <w:szCs w:val="24"/>
        </w:rPr>
        <w:t xml:space="preserve">2. </w:t>
      </w:r>
      <w:r>
        <w:rPr>
          <w:rFonts w:hint="eastAsia" w:cs="宋体" w:asciiTheme="minorEastAsia" w:hAnsiTheme="minorEastAsia"/>
          <w:szCs w:val="24"/>
        </w:rPr>
        <w:t>评审标准</w:t>
      </w:r>
      <w:r>
        <w:tab/>
      </w:r>
      <w:r>
        <w:fldChar w:fldCharType="begin"/>
      </w:r>
      <w:r>
        <w:instrText xml:space="preserve"> PAGEREF _Toc5818 \h </w:instrText>
      </w:r>
      <w:r>
        <w:fldChar w:fldCharType="separate"/>
      </w:r>
      <w:r>
        <w:t>22</w:t>
      </w:r>
      <w:r>
        <w:fldChar w:fldCharType="end"/>
      </w:r>
      <w:r>
        <w:rPr>
          <w:rFonts w:cs="宋体" w:asciiTheme="minorEastAsia" w:hAnsiTheme="minorEastAsia"/>
          <w:bCs/>
        </w:rPr>
        <w:fldChar w:fldCharType="end"/>
      </w:r>
    </w:p>
    <w:p>
      <w:pPr>
        <w:pStyle w:val="13"/>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_Toc24599 </w:instrText>
      </w:r>
      <w:r>
        <w:rPr>
          <w:rFonts w:cs="宋体" w:asciiTheme="minorEastAsia" w:hAnsiTheme="minorEastAsia"/>
          <w:bCs/>
        </w:rPr>
        <w:fldChar w:fldCharType="separate"/>
      </w:r>
      <w:r>
        <w:rPr>
          <w:rFonts w:cs="宋体" w:asciiTheme="minorEastAsia" w:hAnsiTheme="minorEastAsia"/>
          <w:szCs w:val="24"/>
        </w:rPr>
        <w:t xml:space="preserve">3. </w:t>
      </w:r>
      <w:r>
        <w:rPr>
          <w:rFonts w:hint="eastAsia" w:cs="宋体" w:asciiTheme="minorEastAsia" w:hAnsiTheme="minorEastAsia"/>
          <w:szCs w:val="24"/>
        </w:rPr>
        <w:t>评标程序</w:t>
      </w:r>
      <w:r>
        <w:tab/>
      </w:r>
      <w:r>
        <w:fldChar w:fldCharType="begin"/>
      </w:r>
      <w:r>
        <w:instrText xml:space="preserve"> PAGEREF _Toc24599 \h </w:instrText>
      </w:r>
      <w:r>
        <w:fldChar w:fldCharType="separate"/>
      </w:r>
      <w:r>
        <w:t>23</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_Toc2622 </w:instrText>
      </w:r>
      <w:r>
        <w:rPr>
          <w:rFonts w:cs="宋体" w:asciiTheme="minorEastAsia" w:hAnsiTheme="minorEastAsia"/>
          <w:bCs/>
        </w:rPr>
        <w:fldChar w:fldCharType="separate"/>
      </w:r>
      <w:r>
        <w:rPr>
          <w:rFonts w:hint="eastAsia" w:cs="宋体" w:asciiTheme="minorEastAsia" w:hAnsiTheme="minorEastAsia"/>
          <w:szCs w:val="24"/>
        </w:rPr>
        <w:t>第三章合同</w:t>
      </w:r>
      <w:r>
        <w:tab/>
      </w:r>
      <w:r>
        <w:fldChar w:fldCharType="begin"/>
      </w:r>
      <w:r>
        <w:instrText xml:space="preserve"> PAGEREF _Toc2622 \h </w:instrText>
      </w:r>
      <w:r>
        <w:fldChar w:fldCharType="separate"/>
      </w:r>
      <w:r>
        <w:t>29</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_Toc16899 </w:instrText>
      </w:r>
      <w:r>
        <w:rPr>
          <w:rFonts w:cs="宋体" w:asciiTheme="minorEastAsia" w:hAnsiTheme="minorEastAsia"/>
          <w:bCs/>
        </w:rPr>
        <w:fldChar w:fldCharType="separate"/>
      </w:r>
      <w:r>
        <w:rPr>
          <w:rFonts w:hint="eastAsia" w:cs="宋体" w:asciiTheme="minorEastAsia" w:hAnsiTheme="minorEastAsia"/>
          <w:szCs w:val="24"/>
        </w:rPr>
        <w:t>第四章技术标准和要求</w:t>
      </w:r>
      <w:r>
        <w:tab/>
      </w:r>
      <w:r>
        <w:fldChar w:fldCharType="begin"/>
      </w:r>
      <w:r>
        <w:instrText xml:space="preserve"> PAGEREF _Toc16899 \h </w:instrText>
      </w:r>
      <w:r>
        <w:fldChar w:fldCharType="separate"/>
      </w:r>
      <w:r>
        <w:t>102</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_Toc23869 </w:instrText>
      </w:r>
      <w:r>
        <w:rPr>
          <w:rFonts w:cs="宋体" w:asciiTheme="minorEastAsia" w:hAnsiTheme="minorEastAsia"/>
          <w:bCs/>
        </w:rPr>
        <w:fldChar w:fldCharType="separate"/>
      </w:r>
      <w:r>
        <w:rPr>
          <w:rFonts w:hint="eastAsia" w:cs="宋体" w:asciiTheme="minorEastAsia" w:hAnsiTheme="minorEastAsia"/>
          <w:szCs w:val="24"/>
        </w:rPr>
        <w:t>第五章投标文件格式</w:t>
      </w:r>
      <w:r>
        <w:tab/>
      </w:r>
      <w:r>
        <w:fldChar w:fldCharType="begin"/>
      </w:r>
      <w:r>
        <w:instrText xml:space="preserve"> PAGEREF _Toc23869 \h </w:instrText>
      </w:r>
      <w:r>
        <w:fldChar w:fldCharType="separate"/>
      </w:r>
      <w:r>
        <w:t>106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_Toc21602 </w:instrText>
      </w:r>
      <w:r>
        <w:rPr>
          <w:rFonts w:cs="宋体" w:asciiTheme="minorEastAsia" w:hAnsiTheme="minorEastAsia"/>
          <w:bCs/>
        </w:rPr>
        <w:fldChar w:fldCharType="separate"/>
      </w:r>
      <w:r>
        <w:rPr>
          <w:rFonts w:hint="eastAsia" w:cs="宋体" w:asciiTheme="minorEastAsia" w:hAnsiTheme="minorEastAsia"/>
          <w:szCs w:val="24"/>
        </w:rPr>
        <w:t>目录</w:t>
      </w:r>
      <w:r>
        <w:tab/>
      </w:r>
      <w:r>
        <w:fldChar w:fldCharType="begin"/>
      </w:r>
      <w:r>
        <w:instrText xml:space="preserve"> PAGEREF _Toc21602 \h </w:instrText>
      </w:r>
      <w:r>
        <w:fldChar w:fldCharType="separate"/>
      </w:r>
      <w:r>
        <w:t>107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_Toc9000 </w:instrText>
      </w:r>
      <w:r>
        <w:rPr>
          <w:rFonts w:cs="宋体" w:asciiTheme="minorEastAsia" w:hAnsiTheme="minorEastAsia"/>
          <w:bCs/>
        </w:rPr>
        <w:fldChar w:fldCharType="separate"/>
      </w:r>
      <w:r>
        <w:rPr>
          <w:rFonts w:hint="eastAsia" w:cs="宋体" w:asciiTheme="minorEastAsia" w:hAnsiTheme="minorEastAsia"/>
          <w:szCs w:val="24"/>
        </w:rPr>
        <w:t>一、投标函</w:t>
      </w:r>
      <w:r>
        <w:tab/>
      </w:r>
      <w:r>
        <w:fldChar w:fldCharType="begin"/>
      </w:r>
      <w:r>
        <w:instrText xml:space="preserve"> PAGEREF _Toc9000 \h </w:instrText>
      </w:r>
      <w:r>
        <w:fldChar w:fldCharType="separate"/>
      </w:r>
      <w:r>
        <w:t>108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_Toc11816 </w:instrText>
      </w:r>
      <w:r>
        <w:rPr>
          <w:rFonts w:cs="宋体" w:asciiTheme="minorEastAsia" w:hAnsiTheme="minorEastAsia"/>
          <w:bCs/>
        </w:rPr>
        <w:fldChar w:fldCharType="separate"/>
      </w:r>
      <w:r>
        <w:rPr>
          <w:rFonts w:hint="eastAsia" w:cs="宋体" w:asciiTheme="minorEastAsia" w:hAnsiTheme="minorEastAsia"/>
          <w:szCs w:val="24"/>
        </w:rPr>
        <w:t>二、开标一览表</w:t>
      </w:r>
      <w:r>
        <w:tab/>
      </w:r>
      <w:r>
        <w:fldChar w:fldCharType="begin"/>
      </w:r>
      <w:r>
        <w:instrText xml:space="preserve"> PAGEREF _Toc11816 \h </w:instrText>
      </w:r>
      <w:r>
        <w:fldChar w:fldCharType="separate"/>
      </w:r>
      <w:r>
        <w:t>111</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_Toc11101 </w:instrText>
      </w:r>
      <w:r>
        <w:rPr>
          <w:rFonts w:cs="宋体" w:asciiTheme="minorEastAsia" w:hAnsiTheme="minorEastAsia"/>
          <w:bCs/>
        </w:rPr>
        <w:fldChar w:fldCharType="separate"/>
      </w:r>
      <w:r>
        <w:rPr>
          <w:rFonts w:hint="eastAsia" w:cs="宋体" w:asciiTheme="minorEastAsia" w:hAnsiTheme="minorEastAsia"/>
          <w:szCs w:val="24"/>
        </w:rPr>
        <w:t>三、</w:t>
      </w:r>
      <w:r>
        <w:rPr>
          <w:rFonts w:hint="eastAsia" w:cs="宋体" w:asciiTheme="minorEastAsia" w:hAnsiTheme="minorEastAsia"/>
          <w:kern w:val="0"/>
          <w:szCs w:val="24"/>
        </w:rPr>
        <w:t>反商业贿赂承诺书</w:t>
      </w:r>
      <w:r>
        <w:tab/>
      </w:r>
      <w:r>
        <w:fldChar w:fldCharType="begin"/>
      </w:r>
      <w:r>
        <w:instrText xml:space="preserve"> PAGEREF _Toc11101 \h </w:instrText>
      </w:r>
      <w:r>
        <w:fldChar w:fldCharType="separate"/>
      </w:r>
      <w:r>
        <w:t>114</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_Toc3213 </w:instrText>
      </w:r>
      <w:r>
        <w:rPr>
          <w:rFonts w:cs="宋体" w:asciiTheme="minorEastAsia" w:hAnsiTheme="minorEastAsia"/>
          <w:bCs/>
        </w:rPr>
        <w:fldChar w:fldCharType="separate"/>
      </w:r>
      <w:r>
        <w:rPr>
          <w:rFonts w:hint="eastAsia" w:cs="宋体" w:asciiTheme="minorEastAsia" w:hAnsiTheme="minorEastAsia"/>
          <w:szCs w:val="24"/>
        </w:rPr>
        <w:t>四、技术条款偏离表</w:t>
      </w:r>
      <w:r>
        <w:tab/>
      </w:r>
      <w:r>
        <w:fldChar w:fldCharType="begin"/>
      </w:r>
      <w:r>
        <w:instrText xml:space="preserve"> PAGEREF _Toc3213 \h </w:instrText>
      </w:r>
      <w:r>
        <w:fldChar w:fldCharType="separate"/>
      </w:r>
      <w:r>
        <w:t>115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_Toc1092 </w:instrText>
      </w:r>
      <w:r>
        <w:rPr>
          <w:rFonts w:cs="宋体" w:asciiTheme="minorEastAsia" w:hAnsiTheme="minorEastAsia"/>
          <w:bCs/>
        </w:rPr>
        <w:fldChar w:fldCharType="separate"/>
      </w:r>
      <w:r>
        <w:rPr>
          <w:rFonts w:hint="eastAsia" w:cs="宋体" w:asciiTheme="minorEastAsia" w:hAnsiTheme="minorEastAsia"/>
          <w:szCs w:val="24"/>
        </w:rPr>
        <w:t>五、商务条款偏离表</w:t>
      </w:r>
      <w:r>
        <w:tab/>
      </w:r>
      <w:r>
        <w:fldChar w:fldCharType="begin"/>
      </w:r>
      <w:r>
        <w:instrText xml:space="preserve"> PAGEREF _Toc1092 \h </w:instrText>
      </w:r>
      <w:r>
        <w:fldChar w:fldCharType="separate"/>
      </w:r>
      <w:r>
        <w:t>116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_Toc6713 </w:instrText>
      </w:r>
      <w:r>
        <w:rPr>
          <w:rFonts w:cs="宋体" w:asciiTheme="minorEastAsia" w:hAnsiTheme="minorEastAsia"/>
          <w:bCs/>
        </w:rPr>
        <w:fldChar w:fldCharType="separate"/>
      </w:r>
      <w:r>
        <w:rPr>
          <w:rFonts w:hint="eastAsia" w:cs="宋体" w:asciiTheme="minorEastAsia" w:hAnsiTheme="minorEastAsia"/>
          <w:szCs w:val="24"/>
        </w:rPr>
        <w:t>六、法定代表人身份证明书</w:t>
      </w:r>
      <w:r>
        <w:tab/>
      </w:r>
      <w:r>
        <w:fldChar w:fldCharType="begin"/>
      </w:r>
      <w:r>
        <w:instrText xml:space="preserve"> PAGEREF _Toc6713 \h </w:instrText>
      </w:r>
      <w:r>
        <w:fldChar w:fldCharType="separate"/>
      </w:r>
      <w:r>
        <w:t>117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_Toc13371 </w:instrText>
      </w:r>
      <w:r>
        <w:rPr>
          <w:rFonts w:cs="宋体" w:asciiTheme="minorEastAsia" w:hAnsiTheme="minorEastAsia"/>
          <w:bCs/>
        </w:rPr>
        <w:fldChar w:fldCharType="separate"/>
      </w:r>
      <w:r>
        <w:rPr>
          <w:rFonts w:hint="eastAsia" w:cs="宋体" w:asciiTheme="minorEastAsia" w:hAnsiTheme="minorEastAsia"/>
          <w:szCs w:val="24"/>
        </w:rPr>
        <w:t>七、法定代表人授权委托书</w:t>
      </w:r>
      <w:r>
        <w:tab/>
      </w:r>
      <w:r>
        <w:fldChar w:fldCharType="begin"/>
      </w:r>
      <w:r>
        <w:instrText xml:space="preserve"> PAGEREF _Toc13371 \h </w:instrText>
      </w:r>
      <w:r>
        <w:fldChar w:fldCharType="separate"/>
      </w:r>
      <w:r>
        <w:t>118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_Toc6408 </w:instrText>
      </w:r>
      <w:r>
        <w:rPr>
          <w:rFonts w:cs="宋体" w:asciiTheme="minorEastAsia" w:hAnsiTheme="minorEastAsia"/>
          <w:bCs/>
        </w:rPr>
        <w:fldChar w:fldCharType="separate"/>
      </w:r>
      <w:r>
        <w:rPr>
          <w:rFonts w:hint="eastAsia" w:cs="宋体" w:asciiTheme="minorEastAsia" w:hAnsiTheme="minorEastAsia"/>
          <w:szCs w:val="24"/>
        </w:rPr>
        <w:t>八、 投标人基本情况</w:t>
      </w:r>
      <w:r>
        <w:tab/>
      </w:r>
      <w:r>
        <w:fldChar w:fldCharType="begin"/>
      </w:r>
      <w:r>
        <w:instrText xml:space="preserve"> PAGEREF _Toc6408 \h </w:instrText>
      </w:r>
      <w:r>
        <w:fldChar w:fldCharType="separate"/>
      </w:r>
      <w:r>
        <w:t>119</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_Toc16085 </w:instrText>
      </w:r>
      <w:r>
        <w:rPr>
          <w:rFonts w:cs="宋体" w:asciiTheme="minorEastAsia" w:hAnsiTheme="minorEastAsia"/>
          <w:bCs/>
        </w:rPr>
        <w:fldChar w:fldCharType="separate"/>
      </w:r>
      <w:r>
        <w:rPr>
          <w:rFonts w:hint="eastAsia" w:cs="宋体" w:asciiTheme="minorEastAsia" w:hAnsiTheme="minorEastAsia"/>
          <w:szCs w:val="24"/>
        </w:rPr>
        <w:t>九、投标人近年类似项目情况表</w:t>
      </w:r>
      <w:r>
        <w:tab/>
      </w:r>
      <w:r>
        <w:fldChar w:fldCharType="begin"/>
      </w:r>
      <w:r>
        <w:instrText xml:space="preserve"> PAGEREF _Toc16085 \h </w:instrText>
      </w:r>
      <w:r>
        <w:fldChar w:fldCharType="separate"/>
      </w:r>
      <w:r>
        <w:t>125</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_Toc19134 </w:instrText>
      </w:r>
      <w:r>
        <w:rPr>
          <w:rFonts w:cs="宋体" w:asciiTheme="minorEastAsia" w:hAnsiTheme="minorEastAsia"/>
          <w:bCs/>
        </w:rPr>
        <w:fldChar w:fldCharType="separate"/>
      </w:r>
      <w:r>
        <w:rPr>
          <w:rFonts w:hint="eastAsia" w:cs="宋体" w:asciiTheme="minorEastAsia" w:hAnsiTheme="minorEastAsia"/>
          <w:bCs/>
          <w:szCs w:val="24"/>
        </w:rPr>
        <w:t>十、拟投入本项目主要机械设备</w:t>
      </w:r>
      <w:r>
        <w:tab/>
      </w:r>
      <w:r>
        <w:fldChar w:fldCharType="begin"/>
      </w:r>
      <w:r>
        <w:instrText xml:space="preserve"> PAGEREF _Toc19134 \h </w:instrText>
      </w:r>
      <w:r>
        <w:fldChar w:fldCharType="separate"/>
      </w:r>
      <w:r>
        <w:t>126</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_Toc326 </w:instrText>
      </w:r>
      <w:r>
        <w:rPr>
          <w:rFonts w:cs="宋体" w:asciiTheme="minorEastAsia" w:hAnsiTheme="minorEastAsia"/>
          <w:bCs/>
        </w:rPr>
        <w:fldChar w:fldCharType="separate"/>
      </w:r>
      <w:r>
        <w:rPr>
          <w:rFonts w:hint="eastAsia" w:cs="宋体" w:asciiTheme="minorEastAsia" w:hAnsiTheme="minorEastAsia"/>
          <w:szCs w:val="24"/>
        </w:rPr>
        <w:t>十一、项目负责人简历表</w:t>
      </w:r>
      <w:r>
        <w:tab/>
      </w:r>
      <w:r>
        <w:fldChar w:fldCharType="begin"/>
      </w:r>
      <w:r>
        <w:instrText xml:space="preserve"> PAGEREF _Toc326 \h </w:instrText>
      </w:r>
      <w:r>
        <w:fldChar w:fldCharType="separate"/>
      </w:r>
      <w:r>
        <w:t>127</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_Toc6227 </w:instrText>
      </w:r>
      <w:r>
        <w:rPr>
          <w:rFonts w:cs="宋体" w:asciiTheme="minorEastAsia" w:hAnsiTheme="minorEastAsia"/>
          <w:bCs/>
        </w:rPr>
        <w:fldChar w:fldCharType="separate"/>
      </w:r>
      <w:r>
        <w:rPr>
          <w:rFonts w:hint="eastAsia" w:cs="Arial" w:asciiTheme="minorEastAsia" w:hAnsiTheme="minorEastAsia"/>
          <w:bCs/>
          <w:kern w:val="0"/>
          <w:szCs w:val="24"/>
        </w:rPr>
        <w:t>十二</w:t>
      </w:r>
      <w:r>
        <w:rPr>
          <w:rFonts w:hint="eastAsia" w:cs="宋体" w:asciiTheme="minorEastAsia" w:hAnsiTheme="minorEastAsia"/>
          <w:szCs w:val="24"/>
        </w:rPr>
        <w:t>、拟投入人员配置表</w:t>
      </w:r>
      <w:r>
        <w:tab/>
      </w:r>
      <w:r>
        <w:fldChar w:fldCharType="begin"/>
      </w:r>
      <w:r>
        <w:instrText xml:space="preserve"> PAGEREF _Toc6227 \h </w:instrText>
      </w:r>
      <w:r>
        <w:fldChar w:fldCharType="separate"/>
      </w:r>
      <w:r>
        <w:t>128</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_Toc1774 </w:instrText>
      </w:r>
      <w:r>
        <w:rPr>
          <w:rFonts w:cs="宋体" w:asciiTheme="minorEastAsia" w:hAnsiTheme="minorEastAsia"/>
          <w:bCs/>
        </w:rPr>
        <w:fldChar w:fldCharType="separate"/>
      </w:r>
      <w:r>
        <w:rPr>
          <w:rFonts w:hint="eastAsia" w:cs="宋体" w:asciiTheme="minorEastAsia" w:hAnsiTheme="minorEastAsia"/>
          <w:szCs w:val="24"/>
        </w:rPr>
        <w:t>十三、合理化建议</w:t>
      </w:r>
      <w:r>
        <w:tab/>
      </w:r>
      <w:r>
        <w:fldChar w:fldCharType="begin"/>
      </w:r>
      <w:r>
        <w:instrText xml:space="preserve"> PAGEREF _Toc1774 \h </w:instrText>
      </w:r>
      <w:r>
        <w:fldChar w:fldCharType="separate"/>
      </w:r>
      <w:r>
        <w:t>129</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_Toc13516 </w:instrText>
      </w:r>
      <w:r>
        <w:rPr>
          <w:rFonts w:cs="宋体" w:asciiTheme="minorEastAsia" w:hAnsiTheme="minorEastAsia"/>
          <w:bCs/>
        </w:rPr>
        <w:fldChar w:fldCharType="separate"/>
      </w:r>
      <w:r>
        <w:rPr>
          <w:rFonts w:hint="eastAsia" w:cs="宋体" w:asciiTheme="minorEastAsia" w:hAnsiTheme="minorEastAsia"/>
          <w:szCs w:val="24"/>
        </w:rPr>
        <w:t>十四、养护作业方案</w:t>
      </w:r>
      <w:r>
        <w:tab/>
      </w:r>
      <w:r>
        <w:fldChar w:fldCharType="begin"/>
      </w:r>
      <w:r>
        <w:instrText xml:space="preserve"> PAGEREF _Toc13516 \h </w:instrText>
      </w:r>
      <w:r>
        <w:fldChar w:fldCharType="separate"/>
      </w:r>
      <w:r>
        <w:t>130</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_Toc16213 </w:instrText>
      </w:r>
      <w:r>
        <w:rPr>
          <w:rFonts w:cs="宋体" w:asciiTheme="minorEastAsia" w:hAnsiTheme="minorEastAsia"/>
          <w:bCs/>
        </w:rPr>
        <w:fldChar w:fldCharType="separate"/>
      </w:r>
      <w:r>
        <w:rPr>
          <w:rFonts w:hint="eastAsia" w:cs="宋体" w:asciiTheme="minorEastAsia" w:hAnsiTheme="minorEastAsia"/>
          <w:szCs w:val="24"/>
        </w:rPr>
        <w:t>十五、质量管理方案</w:t>
      </w:r>
      <w:r>
        <w:tab/>
      </w:r>
      <w:r>
        <w:fldChar w:fldCharType="begin"/>
      </w:r>
      <w:r>
        <w:instrText xml:space="preserve"> PAGEREF _Toc16213 \h </w:instrText>
      </w:r>
      <w:r>
        <w:fldChar w:fldCharType="separate"/>
      </w:r>
      <w:r>
        <w:t>131</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_Toc8126 </w:instrText>
      </w:r>
      <w:r>
        <w:rPr>
          <w:rFonts w:cs="宋体" w:asciiTheme="minorEastAsia" w:hAnsiTheme="minorEastAsia"/>
          <w:bCs/>
        </w:rPr>
        <w:fldChar w:fldCharType="separate"/>
      </w:r>
      <w:r>
        <w:rPr>
          <w:rFonts w:hint="eastAsia" w:cs="宋体" w:asciiTheme="minorEastAsia" w:hAnsiTheme="minorEastAsia"/>
          <w:szCs w:val="24"/>
        </w:rPr>
        <w:t>十六、应急抢险方案</w:t>
      </w:r>
      <w:r>
        <w:tab/>
      </w:r>
      <w:r>
        <w:fldChar w:fldCharType="begin"/>
      </w:r>
      <w:r>
        <w:instrText xml:space="preserve"> PAGEREF _Toc8126 \h </w:instrText>
      </w:r>
      <w:r>
        <w:fldChar w:fldCharType="separate"/>
      </w:r>
      <w:r>
        <w:t>132</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_Toc2345 </w:instrText>
      </w:r>
      <w:r>
        <w:rPr>
          <w:rFonts w:cs="宋体" w:asciiTheme="minorEastAsia" w:hAnsiTheme="minorEastAsia"/>
          <w:bCs/>
        </w:rPr>
        <w:fldChar w:fldCharType="separate"/>
      </w:r>
      <w:r>
        <w:rPr>
          <w:rFonts w:hint="eastAsia" w:cs="宋体" w:asciiTheme="minorEastAsia" w:hAnsiTheme="minorEastAsia"/>
          <w:szCs w:val="24"/>
        </w:rPr>
        <w:t>十七、安全服务方案</w:t>
      </w:r>
      <w:r>
        <w:tab/>
      </w:r>
      <w:r>
        <w:fldChar w:fldCharType="begin"/>
      </w:r>
      <w:r>
        <w:instrText xml:space="preserve"> PAGEREF _Toc2345 \h </w:instrText>
      </w:r>
      <w:r>
        <w:fldChar w:fldCharType="separate"/>
      </w:r>
      <w:r>
        <w:t>133</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_Toc19684 </w:instrText>
      </w:r>
      <w:r>
        <w:rPr>
          <w:rFonts w:cs="宋体" w:asciiTheme="minorEastAsia" w:hAnsiTheme="minorEastAsia"/>
          <w:bCs/>
        </w:rPr>
        <w:fldChar w:fldCharType="separate"/>
      </w:r>
      <w:r>
        <w:rPr>
          <w:rFonts w:hint="eastAsia" w:cs="宋体" w:asciiTheme="minorEastAsia" w:hAnsiTheme="minorEastAsia"/>
          <w:szCs w:val="24"/>
        </w:rPr>
        <w:t>十八、文明作业方案</w:t>
      </w:r>
      <w:r>
        <w:tab/>
      </w:r>
      <w:r>
        <w:fldChar w:fldCharType="begin"/>
      </w:r>
      <w:r>
        <w:instrText xml:space="preserve"> PAGEREF _Toc19684 \h </w:instrText>
      </w:r>
      <w:r>
        <w:fldChar w:fldCharType="separate"/>
      </w:r>
      <w:r>
        <w:t>134</w:t>
      </w:r>
      <w:r>
        <w:fldChar w:fldCharType="end"/>
      </w:r>
      <w:r>
        <w:rPr>
          <w:rFonts w:cs="宋体" w:asciiTheme="minorEastAsia" w:hAnsiTheme="minorEastAsia"/>
          <w:bCs/>
        </w:rPr>
        <w:fldChar w:fldCharType="end"/>
      </w:r>
    </w:p>
    <w:p>
      <w:pPr>
        <w:pStyle w:val="27"/>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_Toc25075 </w:instrText>
      </w:r>
      <w:r>
        <w:rPr>
          <w:rFonts w:cs="宋体" w:asciiTheme="minorEastAsia" w:hAnsiTheme="minorEastAsia"/>
          <w:bCs/>
        </w:rPr>
        <w:fldChar w:fldCharType="separate"/>
      </w:r>
      <w:r>
        <w:rPr>
          <w:rFonts w:hint="eastAsia" w:cs="宋体" w:asciiTheme="minorEastAsia" w:hAnsiTheme="minorEastAsia"/>
          <w:szCs w:val="24"/>
        </w:rPr>
        <w:t>十九、其他需要提交的资料</w:t>
      </w:r>
      <w:r>
        <w:tab/>
      </w:r>
      <w:r>
        <w:fldChar w:fldCharType="begin"/>
      </w:r>
      <w:r>
        <w:instrText xml:space="preserve"> PAGEREF _Toc25075 \h </w:instrText>
      </w:r>
      <w:r>
        <w:fldChar w:fldCharType="separate"/>
      </w:r>
      <w:r>
        <w:t>135</w:t>
      </w:r>
      <w:r>
        <w:fldChar w:fldCharType="end"/>
      </w:r>
      <w:r>
        <w:rPr>
          <w:rFonts w:cs="宋体" w:asciiTheme="minorEastAsia" w:hAnsiTheme="minorEastAsia"/>
          <w:bCs/>
        </w:rPr>
        <w:fldChar w:fldCharType="end"/>
      </w:r>
    </w:p>
    <w:p>
      <w:pPr>
        <w:pStyle w:val="21"/>
        <w:tabs>
          <w:tab w:val="right" w:leader="dot" w:pos="9354"/>
        </w:tabs>
      </w:pPr>
      <w:r>
        <w:rPr>
          <w:rFonts w:cs="宋体" w:asciiTheme="minorEastAsia" w:hAnsiTheme="minorEastAsia"/>
          <w:bCs/>
        </w:rPr>
        <w:fldChar w:fldCharType="begin"/>
      </w:r>
      <w:r>
        <w:rPr>
          <w:rFonts w:cs="宋体" w:asciiTheme="minorEastAsia" w:hAnsiTheme="minorEastAsia"/>
          <w:bCs/>
        </w:rPr>
        <w:instrText xml:space="preserve"> HYPERLINK \l _Toc8564 </w:instrText>
      </w:r>
      <w:r>
        <w:rPr>
          <w:rFonts w:cs="宋体" w:asciiTheme="minorEastAsia" w:hAnsiTheme="minorEastAsia"/>
          <w:bCs/>
        </w:rPr>
        <w:fldChar w:fldCharType="separate"/>
      </w:r>
      <w:r>
        <w:rPr>
          <w:rFonts w:hint="eastAsia" w:cs="宋体" w:asciiTheme="minorEastAsia" w:hAnsiTheme="minorEastAsia"/>
          <w:szCs w:val="24"/>
        </w:rPr>
        <w:t>第六章补充条款</w:t>
      </w:r>
      <w:r>
        <w:tab/>
      </w:r>
      <w:r>
        <w:fldChar w:fldCharType="begin"/>
      </w:r>
      <w:r>
        <w:instrText xml:space="preserve"> PAGEREF _Toc8564 \h </w:instrText>
      </w:r>
      <w:r>
        <w:fldChar w:fldCharType="separate"/>
      </w:r>
      <w:r>
        <w:t>136</w:t>
      </w:r>
      <w:r>
        <w:fldChar w:fldCharType="end"/>
      </w:r>
      <w:r>
        <w:rPr>
          <w:rFonts w:cs="宋体" w:asciiTheme="minorEastAsia" w:hAnsiTheme="minorEastAsia"/>
          <w:bCs/>
        </w:rPr>
        <w:fldChar w:fldCharType="end"/>
      </w:r>
    </w:p>
    <w:p>
      <w:pPr>
        <w:ind w:firstLine="482"/>
        <w:rPr>
          <w:rFonts w:cs="宋体" w:asciiTheme="minorEastAsia" w:hAnsiTheme="minorEastAsia"/>
          <w:b/>
          <w:bCs/>
        </w:rPr>
        <w:sectPr>
          <w:headerReference r:id="rId3" w:type="default"/>
          <w:footerReference r:id="rId4" w:type="default"/>
          <w:footerReference r:id="rId5" w:type="even"/>
          <w:pgSz w:w="11906" w:h="16838"/>
          <w:pgMar w:top="1361" w:right="1134" w:bottom="1361" w:left="1418" w:header="851" w:footer="992" w:gutter="0"/>
          <w:pgNumType w:start="1"/>
          <w:cols w:space="720" w:num="1"/>
          <w:docGrid w:type="lines" w:linePitch="312" w:charSpace="0"/>
        </w:sectPr>
      </w:pPr>
      <w:r>
        <w:rPr>
          <w:rFonts w:cs="宋体" w:asciiTheme="minorEastAsia" w:hAnsiTheme="minorEastAsia"/>
          <w:bCs/>
        </w:rPr>
        <w:fldChar w:fldCharType="end"/>
      </w:r>
    </w:p>
    <w:p>
      <w:pPr>
        <w:spacing w:line="360" w:lineRule="auto"/>
        <w:ind w:firstLine="562"/>
        <w:jc w:val="center"/>
        <w:outlineLvl w:val="0"/>
        <w:rPr>
          <w:rFonts w:asciiTheme="minorEastAsia" w:hAnsiTheme="minorEastAsia"/>
          <w:color w:val="auto"/>
          <w:sz w:val="24"/>
          <w:szCs w:val="24"/>
        </w:rPr>
      </w:pPr>
      <w:bookmarkStart w:id="0" w:name="_Toc8737"/>
      <w:bookmarkStart w:id="1" w:name="_Toc26426"/>
      <w:r>
        <w:rPr>
          <w:rFonts w:hint="eastAsia" w:asciiTheme="minorEastAsia" w:hAnsiTheme="minorEastAsia"/>
          <w:b/>
          <w:color w:val="auto"/>
          <w:sz w:val="28"/>
          <w:u w:val="single"/>
        </w:rPr>
        <w:t>2024年-2026年米东区公共绿地绿化养护项目公开招标公告</w:t>
      </w:r>
      <w:bookmarkEnd w:id="0"/>
      <w:bookmarkEnd w:id="1"/>
    </w:p>
    <w:p>
      <w:pPr>
        <w:spacing w:line="360" w:lineRule="auto"/>
        <w:rPr>
          <w:rFonts w:cs="仿宋" w:asciiTheme="minorEastAsia" w:hAnsiTheme="minorEastAsia"/>
          <w:color w:val="auto"/>
          <w:sz w:val="24"/>
          <w:szCs w:val="24"/>
          <w:u w:val="single"/>
        </w:rPr>
      </w:pPr>
      <w:r>
        <w:rPr>
          <w:rFonts w:hint="eastAsia" w:asciiTheme="minorEastAsia" w:hAnsiTheme="minorEastAsia"/>
          <w:color w:val="auto"/>
          <w:sz w:val="24"/>
          <w:szCs w:val="24"/>
        </w:rPr>
        <w:t xml:space="preserve">   </w:t>
      </w:r>
      <w:r>
        <w:rPr>
          <w:rFonts w:hint="eastAsia" w:cs="仿宋" w:asciiTheme="minorEastAsia" w:hAnsiTheme="minorEastAsia"/>
          <w:color w:val="auto"/>
          <w:sz w:val="24"/>
          <w:szCs w:val="24"/>
          <w:u w:val="single"/>
        </w:rPr>
        <w:t>2024年-2026年米东区公共绿地绿化养护项目</w:t>
      </w:r>
      <w:r>
        <w:rPr>
          <w:rFonts w:hint="eastAsia" w:cs="仿宋" w:asciiTheme="minorEastAsia" w:hAnsiTheme="minorEastAsia"/>
          <w:color w:val="auto"/>
          <w:sz w:val="24"/>
          <w:szCs w:val="24"/>
        </w:rPr>
        <w:t>的潜在投标人应在投标人登录政采云平台https://www.zcygov.cn/在线申请获取采购文件（进入“项目采购”应用，在获取采购文件菜单中选择项目，申请获取采购文件）获取采购文件，并于</w:t>
      </w:r>
      <w:r>
        <w:rPr>
          <w:rFonts w:hint="eastAsia" w:cs="仿宋" w:asciiTheme="minorEastAsia" w:hAnsiTheme="minorEastAsia"/>
          <w:color w:val="auto"/>
          <w:sz w:val="24"/>
          <w:szCs w:val="24"/>
          <w:u w:val="single"/>
        </w:rPr>
        <w:t>2024年 01月1</w:t>
      </w:r>
      <w:r>
        <w:rPr>
          <w:rFonts w:hint="eastAsia" w:cs="仿宋" w:asciiTheme="minorEastAsia" w:hAnsiTheme="minorEastAsia"/>
          <w:color w:val="auto"/>
          <w:sz w:val="24"/>
          <w:szCs w:val="24"/>
          <w:u w:val="single"/>
          <w:lang w:val="en-US" w:eastAsia="zh-CN"/>
        </w:rPr>
        <w:t>6</w:t>
      </w:r>
      <w:r>
        <w:rPr>
          <w:rFonts w:hint="eastAsia" w:cs="仿宋" w:asciiTheme="minorEastAsia" w:hAnsiTheme="minorEastAsia"/>
          <w:color w:val="auto"/>
          <w:sz w:val="24"/>
          <w:szCs w:val="24"/>
          <w:u w:val="single"/>
        </w:rPr>
        <w:t>日11:00北京时间）</w:t>
      </w:r>
      <w:r>
        <w:rPr>
          <w:rFonts w:hint="eastAsia" w:cs="仿宋" w:asciiTheme="minorEastAsia" w:hAnsiTheme="minorEastAsia"/>
          <w:color w:val="auto"/>
          <w:sz w:val="24"/>
          <w:szCs w:val="24"/>
        </w:rPr>
        <w:t>前提交投标文件。</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一、项目基本情况</w:t>
      </w:r>
    </w:p>
    <w:p>
      <w:pPr>
        <w:spacing w:line="360" w:lineRule="auto"/>
        <w:rPr>
          <w:rFonts w:hint="eastAsia" w:cs="仿宋" w:asciiTheme="minorEastAsia" w:hAnsiTheme="minorEastAsia" w:eastAsiaTheme="minorEastAsia"/>
          <w:color w:val="auto"/>
          <w:sz w:val="24"/>
          <w:szCs w:val="24"/>
          <w:u w:val="single"/>
          <w:shd w:val="clear" w:color="auto" w:fill="FFFFFF"/>
          <w:lang w:eastAsia="zh-CN"/>
        </w:rPr>
      </w:pPr>
      <w:r>
        <w:rPr>
          <w:rFonts w:hint="eastAsia" w:cs="仿宋" w:asciiTheme="minorEastAsia" w:hAnsiTheme="minorEastAsia"/>
          <w:color w:val="auto"/>
          <w:sz w:val="24"/>
          <w:szCs w:val="24"/>
        </w:rPr>
        <w:t>标段编号：</w:t>
      </w:r>
      <w:r>
        <w:rPr>
          <w:rFonts w:hint="eastAsia" w:cs="仿宋" w:asciiTheme="minorEastAsia" w:hAnsiTheme="minorEastAsia"/>
          <w:color w:val="auto"/>
          <w:sz w:val="24"/>
          <w:szCs w:val="24"/>
          <w:u w:val="single"/>
          <w:lang w:eastAsia="zh-CN"/>
        </w:rPr>
        <w:t>2023-1213-153736009</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项目名称：</w:t>
      </w:r>
      <w:r>
        <w:rPr>
          <w:rFonts w:hint="eastAsia" w:cs="仿宋" w:asciiTheme="minorEastAsia" w:hAnsiTheme="minorEastAsia"/>
          <w:color w:val="auto"/>
          <w:sz w:val="24"/>
          <w:szCs w:val="24"/>
          <w:u w:val="single"/>
        </w:rPr>
        <w:t>2024年-2026年米东区公共绿地绿化养护项目</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采购方式：</w:t>
      </w:r>
      <w:r>
        <w:rPr>
          <w:rFonts w:hint="eastAsia" w:cs="仿宋" w:asciiTheme="minorEastAsia" w:hAnsiTheme="minorEastAsia"/>
          <w:color w:val="auto"/>
          <w:sz w:val="24"/>
          <w:szCs w:val="24"/>
          <w:u w:val="single"/>
        </w:rPr>
        <w:t>公开招标</w:t>
      </w:r>
    </w:p>
    <w:p>
      <w:pPr>
        <w:spacing w:line="360" w:lineRule="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预算金额（元）：</w:t>
      </w:r>
      <w:r>
        <w:rPr>
          <w:rFonts w:hint="eastAsia" w:cs="仿宋" w:asciiTheme="minorEastAsia" w:hAnsiTheme="minorEastAsia"/>
          <w:color w:val="auto"/>
          <w:sz w:val="24"/>
          <w:szCs w:val="24"/>
          <w:u w:val="single"/>
          <w:lang w:eastAsia="zh-CN"/>
        </w:rPr>
        <w:t>2870159.5</w:t>
      </w:r>
    </w:p>
    <w:p>
      <w:pPr>
        <w:spacing w:line="360" w:lineRule="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最高限价（元）：</w:t>
      </w:r>
      <w:r>
        <w:rPr>
          <w:rFonts w:hint="eastAsia" w:cs="仿宋" w:asciiTheme="minorEastAsia" w:hAnsiTheme="minorEastAsia"/>
          <w:color w:val="auto"/>
          <w:sz w:val="24"/>
          <w:szCs w:val="24"/>
          <w:u w:val="single"/>
          <w:lang w:eastAsia="zh-CN"/>
        </w:rPr>
        <w:t>2870159.5</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采购需求：</w:t>
      </w:r>
    </w:p>
    <w:p>
      <w:pPr>
        <w:spacing w:line="360" w:lineRule="auto"/>
        <w:jc w:val="left"/>
        <w:rPr>
          <w:rFonts w:cs="仿宋" w:asciiTheme="minorEastAsia" w:hAnsiTheme="minorEastAsia"/>
          <w:color w:val="auto"/>
          <w:sz w:val="24"/>
          <w:szCs w:val="24"/>
        </w:rPr>
      </w:pPr>
      <w:r>
        <w:rPr>
          <w:rFonts w:hint="eastAsia" w:cs="仿宋" w:asciiTheme="minorEastAsia" w:hAnsiTheme="minorEastAsia"/>
          <w:color w:val="auto"/>
          <w:sz w:val="24"/>
          <w:szCs w:val="24"/>
        </w:rPr>
        <w:t>数量:不限</w:t>
      </w:r>
    </w:p>
    <w:p>
      <w:pPr>
        <w:spacing w:line="360" w:lineRule="auto"/>
        <w:jc w:val="left"/>
        <w:rPr>
          <w:rFonts w:hint="eastAsia" w:cs="仿宋" w:asciiTheme="minorEastAsia" w:hAnsiTheme="minorEastAsia" w:eastAsiaTheme="minorEastAsia"/>
          <w:color w:val="auto"/>
          <w:sz w:val="24"/>
          <w:szCs w:val="24"/>
          <w:u w:val="single"/>
          <w:lang w:eastAsia="zh-CN"/>
        </w:rPr>
      </w:pPr>
      <w:r>
        <w:rPr>
          <w:rFonts w:hint="eastAsia" w:cs="仿宋" w:asciiTheme="minorEastAsia" w:hAnsiTheme="minorEastAsia"/>
          <w:color w:val="auto"/>
          <w:sz w:val="24"/>
          <w:szCs w:val="24"/>
        </w:rPr>
        <w:t>预算金额（元）:</w:t>
      </w:r>
      <w:r>
        <w:rPr>
          <w:rFonts w:hint="eastAsia" w:cs="仿宋" w:asciiTheme="minorEastAsia" w:hAnsiTheme="minorEastAsia"/>
          <w:color w:val="auto"/>
          <w:sz w:val="24"/>
          <w:szCs w:val="24"/>
          <w:u w:val="single"/>
          <w:lang w:eastAsia="zh-CN"/>
        </w:rPr>
        <w:t>2870159.5</w:t>
      </w:r>
    </w:p>
    <w:p>
      <w:pPr>
        <w:spacing w:line="360" w:lineRule="auto"/>
        <w:rPr>
          <w:rFonts w:cs="仿宋" w:asciiTheme="minorEastAsia" w:hAnsiTheme="minorEastAsia"/>
          <w:color w:val="auto"/>
          <w:sz w:val="24"/>
          <w:szCs w:val="24"/>
          <w:u w:val="single"/>
        </w:rPr>
      </w:pPr>
      <w:r>
        <w:rPr>
          <w:rFonts w:hint="eastAsia" w:cs="仿宋" w:asciiTheme="minorEastAsia" w:hAnsiTheme="minorEastAsia"/>
          <w:color w:val="auto"/>
          <w:sz w:val="24"/>
          <w:szCs w:val="24"/>
        </w:rPr>
        <w:t>简要规格描述或项目基本概况介绍、用途：</w:t>
      </w:r>
      <w:r>
        <w:rPr>
          <w:rFonts w:hint="eastAsia" w:cs="仿宋" w:asciiTheme="minorEastAsia" w:hAnsiTheme="minorEastAsia"/>
          <w:color w:val="auto"/>
          <w:sz w:val="24"/>
          <w:szCs w:val="24"/>
          <w:u w:val="single"/>
        </w:rPr>
        <w:t>2024年-2026年米东区公共绿地绿化养护项目</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合同履约期限：</w:t>
      </w:r>
      <w:r>
        <w:rPr>
          <w:rFonts w:hint="eastAsia" w:cs="仿宋" w:asciiTheme="minorEastAsia" w:hAnsiTheme="minorEastAsia"/>
          <w:color w:val="auto"/>
          <w:sz w:val="24"/>
          <w:szCs w:val="24"/>
          <w:u w:val="single"/>
        </w:rPr>
        <w:t>1年（服务开始时间2024年1月，绿化养护在年底考核，考核通过后，续签下一年合同，中标通知书有效期三年。）</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二、申请人的资格要求：</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1.满足《中华人民共和国政府采购法》第二十二条规定；</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2.落实政府采购政策需满足的资格要求：供应商为小微企业；</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3.本项目的特定资格要求：</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1）、投标人须符合《中华人民共和国政府采购法》第二十二条款的规定，具有有效的营业执照</w:t>
      </w:r>
      <w:r>
        <w:rPr>
          <w:rFonts w:hint="eastAsia" w:asciiTheme="minorEastAsia" w:hAnsiTheme="minorEastAsia" w:cstheme="minorEastAsia"/>
          <w:color w:val="auto"/>
          <w:kern w:val="0"/>
          <w:sz w:val="24"/>
          <w:szCs w:val="24"/>
        </w:rPr>
        <w:t>（或事业单位法人证书）；</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2）、投标人须是在“信用中国”（www.creditchina.gov.cn）和中国政府采购网（www.ccgp.gov.cn）网站上未被列入失信被执行人、重大税收违法案件当事人名单以及政府采购严重违法失信行为记录名单；</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3）本项目可兼投不可兼中，开标顺序为2包→1包→3包→5包→4包→11包→6包→12包→10包→8包→9包→13包→16包→14包→15包→7包,本标段前排名第一的中标候选人不得参与本标段评审；</w:t>
      </w:r>
    </w:p>
    <w:p>
      <w:pPr>
        <w:spacing w:line="360" w:lineRule="auto"/>
        <w:rPr>
          <w:rFonts w:cs="仿宋" w:asciiTheme="minorEastAsia" w:hAnsiTheme="minorEastAsia"/>
          <w:color w:val="auto"/>
          <w:sz w:val="24"/>
          <w:szCs w:val="24"/>
        </w:rPr>
      </w:pPr>
      <w:r>
        <w:rPr>
          <w:rFonts w:hint="eastAsia" w:cs="仿宋" w:asciiTheme="minorEastAsia" w:hAnsiTheme="minorEastAsia"/>
          <w:color w:val="auto"/>
          <w:sz w:val="24"/>
          <w:szCs w:val="24"/>
        </w:rPr>
        <w:t>4）、其他说明：</w:t>
      </w:r>
      <w:r>
        <w:rPr>
          <w:rFonts w:cs="仿宋" w:asciiTheme="minorEastAsia" w:hAnsiTheme="minorEastAsia"/>
          <w:color w:val="auto"/>
          <w:sz w:val="24"/>
          <w:szCs w:val="24"/>
        </w:rPr>
        <w:t>①与</w:t>
      </w:r>
      <w:r>
        <w:rPr>
          <w:rFonts w:hint="eastAsia" w:cs="仿宋" w:asciiTheme="minorEastAsia" w:hAnsiTheme="minorEastAsia"/>
          <w:color w:val="auto"/>
          <w:sz w:val="24"/>
          <w:szCs w:val="24"/>
        </w:rPr>
        <w:t>招标人</w:t>
      </w:r>
      <w:r>
        <w:rPr>
          <w:rFonts w:cs="仿宋" w:asciiTheme="minorEastAsia" w:hAnsiTheme="minorEastAsia"/>
          <w:color w:val="auto"/>
          <w:sz w:val="24"/>
          <w:szCs w:val="24"/>
        </w:rPr>
        <w:t>存在利害关系可能影响招标公正性的法人、其他组织或者个人，不得参加投标。②</w:t>
      </w:r>
      <w:r>
        <w:rPr>
          <w:rFonts w:hint="eastAsia" w:cs="仿宋" w:asciiTheme="minorEastAsia" w:hAnsiTheme="minorEastAsia"/>
          <w:color w:val="auto"/>
          <w:sz w:val="24"/>
          <w:szCs w:val="24"/>
        </w:rPr>
        <w:t>单位负责人为同一人或者存在控股、管理关系的不同投标人，不得参加同一合同项下的政府采购活动。</w:t>
      </w:r>
      <w:r>
        <w:rPr>
          <w:rFonts w:cs="仿宋" w:asciiTheme="minorEastAsia" w:hAnsiTheme="minorEastAsia"/>
          <w:color w:val="auto"/>
          <w:sz w:val="24"/>
          <w:szCs w:val="24"/>
        </w:rPr>
        <w:t>违反前两款规定的，相关投标均无效。</w:t>
      </w:r>
    </w:p>
    <w:p>
      <w:pPr>
        <w:spacing w:line="360" w:lineRule="auto"/>
        <w:rPr>
          <w:rFonts w:cs="仿宋" w:asciiTheme="minorEastAsia" w:hAnsiTheme="minorEastAsia"/>
          <w:sz w:val="24"/>
          <w:szCs w:val="24"/>
        </w:rPr>
      </w:pPr>
      <w:r>
        <w:rPr>
          <w:rFonts w:hint="eastAsia" w:cs="仿宋" w:asciiTheme="minorEastAsia" w:hAnsiTheme="minorEastAsia"/>
          <w:sz w:val="24"/>
          <w:szCs w:val="24"/>
        </w:rPr>
        <w:t>三、获取招标文件</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时间：</w:t>
      </w:r>
      <w:r>
        <w:rPr>
          <w:rFonts w:hint="eastAsia" w:cs="仿宋" w:asciiTheme="minorEastAsia" w:hAnsiTheme="minorEastAsia"/>
          <w:sz w:val="24"/>
          <w:szCs w:val="24"/>
          <w:u w:val="single"/>
        </w:rPr>
        <w:t xml:space="preserve"> 2023 </w:t>
      </w:r>
      <w:r>
        <w:rPr>
          <w:rFonts w:hint="eastAsia" w:cs="仿宋" w:asciiTheme="minorEastAsia" w:hAnsiTheme="minorEastAsia"/>
          <w:sz w:val="24"/>
          <w:szCs w:val="24"/>
        </w:rPr>
        <w:t>年</w:t>
      </w:r>
      <w:r>
        <w:rPr>
          <w:rFonts w:hint="eastAsia" w:cs="仿宋" w:asciiTheme="minorEastAsia" w:hAnsiTheme="minorEastAsia"/>
          <w:sz w:val="24"/>
          <w:szCs w:val="24"/>
          <w:u w:val="single"/>
        </w:rPr>
        <w:t>12</w:t>
      </w:r>
      <w:r>
        <w:rPr>
          <w:rFonts w:hint="eastAsia" w:cs="仿宋" w:asciiTheme="minorEastAsia" w:hAnsiTheme="minorEastAsia"/>
          <w:sz w:val="24"/>
          <w:szCs w:val="24"/>
        </w:rPr>
        <w:t>月</w:t>
      </w:r>
      <w:r>
        <w:rPr>
          <w:rFonts w:hint="eastAsia" w:cs="仿宋" w:asciiTheme="minorEastAsia" w:hAnsiTheme="minorEastAsia"/>
          <w:sz w:val="24"/>
          <w:szCs w:val="24"/>
          <w:u w:val="single"/>
        </w:rPr>
        <w:t>2</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日至</w:t>
      </w:r>
      <w:r>
        <w:rPr>
          <w:rFonts w:hint="eastAsia" w:cs="仿宋" w:asciiTheme="minorEastAsia" w:hAnsiTheme="minorEastAsia"/>
          <w:sz w:val="24"/>
          <w:szCs w:val="24"/>
          <w:u w:val="single"/>
        </w:rPr>
        <w:t>202</w:t>
      </w:r>
      <w:r>
        <w:rPr>
          <w:rFonts w:hint="eastAsia" w:cs="仿宋" w:asciiTheme="minorEastAsia" w:hAnsiTheme="minorEastAsia"/>
          <w:sz w:val="24"/>
          <w:szCs w:val="24"/>
          <w:u w:val="single"/>
          <w:lang w:val="en-US" w:eastAsia="zh-CN"/>
        </w:rPr>
        <w:t>4</w:t>
      </w:r>
      <w:r>
        <w:rPr>
          <w:rFonts w:hint="eastAsia" w:cs="仿宋" w:asciiTheme="minorEastAsia" w:hAnsiTheme="minorEastAsia"/>
          <w:sz w:val="24"/>
          <w:szCs w:val="24"/>
        </w:rPr>
        <w:t>年</w:t>
      </w:r>
      <w:r>
        <w:rPr>
          <w:rFonts w:hint="eastAsia" w:cs="仿宋" w:asciiTheme="minorEastAsia" w:hAnsiTheme="minorEastAsia"/>
          <w:sz w:val="24"/>
          <w:szCs w:val="24"/>
          <w:u w:val="single"/>
          <w:lang w:val="en-US" w:eastAsia="zh-CN"/>
        </w:rPr>
        <w:t>01</w:t>
      </w:r>
      <w:r>
        <w:rPr>
          <w:rFonts w:hint="eastAsia" w:cs="仿宋" w:asciiTheme="minorEastAsia" w:hAnsiTheme="minorEastAsia"/>
          <w:sz w:val="24"/>
          <w:szCs w:val="24"/>
        </w:rPr>
        <w:t>月</w:t>
      </w:r>
      <w:r>
        <w:rPr>
          <w:rFonts w:hint="eastAsia" w:cs="仿宋" w:asciiTheme="minorEastAsia" w:hAnsiTheme="minorEastAsia"/>
          <w:sz w:val="24"/>
          <w:szCs w:val="24"/>
          <w:u w:val="single"/>
          <w:lang w:val="en-US" w:eastAsia="zh-CN"/>
        </w:rPr>
        <w:t>02</w:t>
      </w:r>
      <w:r>
        <w:rPr>
          <w:rFonts w:hint="eastAsia" w:cs="仿宋" w:asciiTheme="minorEastAsia" w:hAnsiTheme="minorEastAsia"/>
          <w:sz w:val="24"/>
          <w:szCs w:val="24"/>
        </w:rPr>
        <w:t>日，每天上午10:30至13:30，下午15:30至18:00（北京时间，法定节假日除外）</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地点：登陆政采云https://www.zcygov.cn/平台后进入“项目采购“应用，在获取文件菜单中选择项目，申请获取采购文件。</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方式：投标人须办理CA数字证书，通过CA数字证书登陆政采云平台https://www.zcygov.cn/，进行下载采购文件。</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售价（元）：0</w:t>
      </w:r>
    </w:p>
    <w:p>
      <w:pPr>
        <w:spacing w:line="360" w:lineRule="auto"/>
        <w:rPr>
          <w:rFonts w:cs="仿宋" w:asciiTheme="minorEastAsia" w:hAnsiTheme="minorEastAsia"/>
          <w:sz w:val="24"/>
          <w:szCs w:val="24"/>
        </w:rPr>
      </w:pPr>
      <w:r>
        <w:rPr>
          <w:rFonts w:hint="eastAsia" w:cs="仿宋" w:asciiTheme="minorEastAsia" w:hAnsiTheme="minorEastAsia"/>
          <w:sz w:val="24"/>
          <w:szCs w:val="24"/>
        </w:rPr>
        <w:t>四、提交投标文件截止时间、开标时间和地点</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提交投标文件截止时间：</w:t>
      </w:r>
      <w:r>
        <w:rPr>
          <w:rFonts w:hint="eastAsia" w:cs="仿宋" w:asciiTheme="minorEastAsia" w:hAnsiTheme="minorEastAsia"/>
          <w:sz w:val="24"/>
          <w:szCs w:val="24"/>
          <w:u w:val="single"/>
        </w:rPr>
        <w:t>2024</w:t>
      </w:r>
      <w:r>
        <w:rPr>
          <w:rFonts w:hint="eastAsia" w:cs="仿宋" w:asciiTheme="minorEastAsia" w:hAnsiTheme="minorEastAsia"/>
          <w:sz w:val="24"/>
          <w:szCs w:val="24"/>
        </w:rPr>
        <w:t>年</w:t>
      </w:r>
      <w:r>
        <w:rPr>
          <w:rFonts w:hint="eastAsia" w:cs="仿宋" w:asciiTheme="minorEastAsia" w:hAnsiTheme="minorEastAsia"/>
          <w:sz w:val="24"/>
          <w:szCs w:val="24"/>
          <w:u w:val="single"/>
        </w:rPr>
        <w:t>01</w:t>
      </w:r>
      <w:r>
        <w:rPr>
          <w:rFonts w:hint="eastAsia" w:cs="仿宋" w:asciiTheme="minorEastAsia" w:hAnsiTheme="minorEastAsia"/>
          <w:sz w:val="24"/>
          <w:szCs w:val="24"/>
        </w:rPr>
        <w:t>月</w:t>
      </w:r>
      <w:r>
        <w:rPr>
          <w:rFonts w:hint="eastAsia" w:cs="仿宋" w:asciiTheme="minorEastAsia" w:hAnsiTheme="minorEastAsia"/>
          <w:sz w:val="24"/>
          <w:szCs w:val="24"/>
          <w:u w:val="single"/>
        </w:rPr>
        <w:t>1</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日11:00（北京时间）</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    提交地点：将投标文件上传至政采云平台https://www.zcygov.cn/对应位置（逾期未上传的或不符合规定的投标文件将被拒绝接收）。</w:t>
      </w:r>
    </w:p>
    <w:p>
      <w:pPr>
        <w:spacing w:line="360" w:lineRule="auto"/>
        <w:ind w:firstLine="480"/>
        <w:rPr>
          <w:rFonts w:cs="仿宋" w:asciiTheme="minorEastAsia" w:hAnsiTheme="minorEastAsia"/>
          <w:sz w:val="24"/>
          <w:szCs w:val="24"/>
        </w:rPr>
      </w:pPr>
      <w:r>
        <w:rPr>
          <w:rFonts w:hint="eastAsia" w:cs="仿宋" w:asciiTheme="minorEastAsia" w:hAnsiTheme="minorEastAsia"/>
          <w:sz w:val="24"/>
          <w:szCs w:val="24"/>
        </w:rPr>
        <w:t>开标时间：</w:t>
      </w:r>
      <w:r>
        <w:rPr>
          <w:rFonts w:hint="eastAsia" w:cs="仿宋" w:asciiTheme="minorEastAsia" w:hAnsiTheme="minorEastAsia"/>
          <w:sz w:val="24"/>
          <w:szCs w:val="24"/>
          <w:u w:val="single"/>
        </w:rPr>
        <w:t>2024</w:t>
      </w:r>
      <w:r>
        <w:rPr>
          <w:rFonts w:hint="eastAsia" w:cs="仿宋" w:asciiTheme="minorEastAsia" w:hAnsiTheme="minorEastAsia"/>
          <w:sz w:val="24"/>
          <w:szCs w:val="24"/>
        </w:rPr>
        <w:t>年</w:t>
      </w:r>
      <w:r>
        <w:rPr>
          <w:rFonts w:hint="eastAsia" w:cs="仿宋" w:asciiTheme="minorEastAsia" w:hAnsiTheme="minorEastAsia"/>
          <w:sz w:val="24"/>
          <w:szCs w:val="24"/>
          <w:u w:val="single"/>
        </w:rPr>
        <w:t>01</w:t>
      </w:r>
      <w:r>
        <w:rPr>
          <w:rFonts w:hint="eastAsia" w:cs="仿宋" w:asciiTheme="minorEastAsia" w:hAnsiTheme="minorEastAsia"/>
          <w:sz w:val="24"/>
          <w:szCs w:val="24"/>
        </w:rPr>
        <w:t>月</w:t>
      </w:r>
      <w:r>
        <w:rPr>
          <w:rFonts w:hint="eastAsia" w:cs="仿宋" w:asciiTheme="minorEastAsia" w:hAnsiTheme="minorEastAsia"/>
          <w:sz w:val="24"/>
          <w:szCs w:val="24"/>
          <w:u w:val="single"/>
        </w:rPr>
        <w:t>1</w:t>
      </w:r>
      <w:r>
        <w:rPr>
          <w:rFonts w:hint="eastAsia" w:cs="仿宋" w:asciiTheme="minorEastAsia" w:hAnsiTheme="minorEastAsia"/>
          <w:sz w:val="24"/>
          <w:szCs w:val="24"/>
          <w:u w:val="single"/>
          <w:lang w:val="en-US" w:eastAsia="zh-CN"/>
        </w:rPr>
        <w:t>6</w:t>
      </w:r>
      <w:r>
        <w:rPr>
          <w:rFonts w:hint="eastAsia" w:cs="仿宋" w:asciiTheme="minorEastAsia" w:hAnsiTheme="minorEastAsia"/>
          <w:sz w:val="24"/>
          <w:szCs w:val="24"/>
        </w:rPr>
        <w:t>日11:00（北京时间）</w:t>
      </w:r>
    </w:p>
    <w:p>
      <w:pPr>
        <w:spacing w:line="360" w:lineRule="auto"/>
        <w:ind w:firstLine="480"/>
        <w:rPr>
          <w:rFonts w:cs="仿宋" w:asciiTheme="minorEastAsia" w:hAnsiTheme="minorEastAsia"/>
          <w:sz w:val="24"/>
          <w:szCs w:val="24"/>
        </w:rPr>
      </w:pPr>
      <w:r>
        <w:rPr>
          <w:rFonts w:hint="eastAsia" w:cs="仿宋" w:asciiTheme="minorEastAsia" w:hAnsiTheme="minorEastAsia"/>
          <w:sz w:val="24"/>
          <w:szCs w:val="24"/>
        </w:rPr>
        <w:t>开标地点：政采云网上不见面开标系统。</w:t>
      </w:r>
    </w:p>
    <w:p>
      <w:pPr>
        <w:spacing w:line="360" w:lineRule="auto"/>
        <w:rPr>
          <w:rFonts w:cs="仿宋" w:asciiTheme="minorEastAsia" w:hAnsiTheme="minorEastAsia"/>
          <w:sz w:val="24"/>
          <w:szCs w:val="24"/>
        </w:rPr>
      </w:pPr>
      <w:r>
        <w:rPr>
          <w:rFonts w:hint="eastAsia" w:cs="仿宋" w:asciiTheme="minorEastAsia" w:hAnsiTheme="minorEastAsia"/>
          <w:sz w:val="24"/>
          <w:szCs w:val="24"/>
        </w:rPr>
        <w:t>五、公告期限</w:t>
      </w:r>
    </w:p>
    <w:p>
      <w:pPr>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自本公告发布之日起5个工作日。</w:t>
      </w:r>
    </w:p>
    <w:p>
      <w:pPr>
        <w:spacing w:line="360" w:lineRule="auto"/>
        <w:rPr>
          <w:rFonts w:cs="仿宋" w:asciiTheme="minorEastAsia" w:hAnsiTheme="minorEastAsia"/>
          <w:color w:val="auto"/>
          <w:sz w:val="24"/>
          <w:szCs w:val="24"/>
        </w:rPr>
      </w:pPr>
      <w:r>
        <w:rPr>
          <w:rFonts w:hint="eastAsia" w:cs="仿宋" w:asciiTheme="minorEastAsia" w:hAnsiTheme="minorEastAsia"/>
          <w:sz w:val="24"/>
          <w:szCs w:val="24"/>
        </w:rPr>
        <w:t>六</w:t>
      </w:r>
      <w:r>
        <w:rPr>
          <w:rFonts w:hint="eastAsia" w:cs="仿宋" w:asciiTheme="minorEastAsia" w:hAnsiTheme="minorEastAsia"/>
          <w:color w:val="auto"/>
          <w:sz w:val="24"/>
          <w:szCs w:val="24"/>
        </w:rPr>
        <w:t>、其他补充事宜</w:t>
      </w:r>
    </w:p>
    <w:p>
      <w:pPr>
        <w:pStyle w:val="30"/>
        <w:spacing w:before="20" w:beforeAutospacing="0" w:after="20" w:afterAutospacing="0" w:line="360" w:lineRule="auto"/>
        <w:rPr>
          <w:rFonts w:cstheme="minorBidi"/>
          <w:color w:val="auto"/>
          <w:kern w:val="2"/>
        </w:rPr>
      </w:pPr>
      <w:r>
        <w:rPr>
          <w:rFonts w:hint="eastAsia" w:cstheme="minorBidi"/>
          <w:color w:val="auto"/>
          <w:kern w:val="2"/>
        </w:rPr>
        <w:t>（1）本项目采用全流程不见面电子开评标，</w:t>
      </w:r>
      <w:r>
        <w:rPr>
          <w:color w:val="auto"/>
        </w:rPr>
        <w:t>投标人</w:t>
      </w:r>
      <w:r>
        <w:rPr>
          <w:rFonts w:hint="eastAsia" w:cstheme="minorBidi"/>
          <w:color w:val="auto"/>
          <w:kern w:val="2"/>
        </w:rPr>
        <w:t>需要使用CA加密设备，</w:t>
      </w:r>
      <w:r>
        <w:rPr>
          <w:color w:val="auto"/>
        </w:rPr>
        <w:t>投标人</w:t>
      </w:r>
      <w:r>
        <w:rPr>
          <w:rFonts w:hint="eastAsia" w:cstheme="minorBidi"/>
          <w:color w:val="auto"/>
          <w:kern w:val="2"/>
        </w:rPr>
        <w:t>可通过新疆数字证书认证中心官网（https://www.xjca.com.cn/）或下载“新疆政务通”APP自行进行申领。</w:t>
      </w:r>
    </w:p>
    <w:p>
      <w:pPr>
        <w:pStyle w:val="30"/>
        <w:spacing w:before="20" w:beforeAutospacing="0" w:after="20" w:afterAutospacing="0" w:line="360" w:lineRule="auto"/>
        <w:rPr>
          <w:rFonts w:cstheme="minorBidi"/>
          <w:color w:val="auto"/>
          <w:kern w:val="2"/>
        </w:rPr>
      </w:pPr>
      <w:r>
        <w:rPr>
          <w:rFonts w:hint="eastAsia" w:cstheme="minorBidi"/>
          <w:color w:val="auto"/>
          <w:kern w:val="2"/>
        </w:rPr>
        <w:t>（2）本项目实行网上投标，采用加密电子投标文件(</w:t>
      </w:r>
      <w:r>
        <w:rPr>
          <w:color w:val="auto"/>
        </w:rPr>
        <w:t>投标人</w:t>
      </w:r>
      <w:r>
        <w:rPr>
          <w:rFonts w:hint="eastAsia" w:cstheme="minorBidi"/>
          <w:color w:val="auto"/>
          <w:kern w:val="2"/>
        </w:rPr>
        <w:t>须使用CA加密设备通过政采云电子投标客户端制作投标文件)。若</w:t>
      </w:r>
      <w:r>
        <w:rPr>
          <w:color w:val="auto"/>
        </w:rPr>
        <w:t>投标人</w:t>
      </w:r>
      <w:r>
        <w:rPr>
          <w:rFonts w:hint="eastAsia" w:cstheme="minorBidi"/>
          <w:color w:val="auto"/>
          <w:kern w:val="2"/>
        </w:rPr>
        <w:t>参与投标，自行承担投标一切费用。</w:t>
      </w:r>
    </w:p>
    <w:p>
      <w:pPr>
        <w:pStyle w:val="30"/>
        <w:spacing w:before="20" w:beforeAutospacing="0" w:after="20" w:afterAutospacing="0" w:line="360" w:lineRule="auto"/>
        <w:rPr>
          <w:rFonts w:cstheme="minorBidi"/>
          <w:color w:val="auto"/>
          <w:kern w:val="2"/>
        </w:rPr>
      </w:pPr>
      <w:r>
        <w:rPr>
          <w:rFonts w:hint="eastAsia" w:cstheme="minorBidi"/>
          <w:color w:val="auto"/>
          <w:kern w:val="2"/>
        </w:rPr>
        <w:t>（3）各投标人在开标前应确保成为新疆政府采购网正式注册入库投标人，并完成CA数字证书申领。因未注册入库、未办理CA数字证书等原因造成无法投标或投标失败等后果由</w:t>
      </w:r>
      <w:r>
        <w:rPr>
          <w:color w:val="auto"/>
        </w:rPr>
        <w:t>投标人</w:t>
      </w:r>
      <w:r>
        <w:rPr>
          <w:rFonts w:hint="eastAsia" w:cstheme="minorBidi"/>
          <w:color w:val="auto"/>
          <w:kern w:val="2"/>
        </w:rPr>
        <w:t>自行承担。</w:t>
      </w:r>
    </w:p>
    <w:p>
      <w:pPr>
        <w:pStyle w:val="30"/>
        <w:spacing w:before="20" w:beforeAutospacing="0" w:after="20" w:afterAutospacing="0" w:line="360" w:lineRule="auto"/>
        <w:rPr>
          <w:rFonts w:cstheme="minorBidi"/>
          <w:color w:val="auto"/>
          <w:kern w:val="2"/>
        </w:rPr>
      </w:pPr>
      <w:r>
        <w:rPr>
          <w:rFonts w:hint="eastAsia" w:cstheme="minorBidi"/>
          <w:color w:val="auto"/>
          <w:kern w:val="2"/>
        </w:rPr>
        <w:t>（4）投标人将政采云电子交易客户端下载、安装完成后，可通过账号密码或CA登录客户端进行投标文件制作。在使用政采云投标客户端时，建议使用WIN7及以上操作系统。客户端请至政采云平台（https://login.zcygov.cn/user-login/#/login）下载专区查看，如有问题可拨打政采云客户服务热线95763进行咨询。</w:t>
      </w:r>
    </w:p>
    <w:p>
      <w:pPr>
        <w:pStyle w:val="30"/>
        <w:spacing w:before="20" w:beforeAutospacing="0" w:after="20" w:afterAutospacing="0" w:line="360" w:lineRule="auto"/>
        <w:rPr>
          <w:rFonts w:cstheme="minorBidi"/>
          <w:color w:val="auto"/>
          <w:kern w:val="2"/>
        </w:rPr>
      </w:pPr>
      <w:r>
        <w:rPr>
          <w:rFonts w:hint="eastAsia" w:cstheme="minorBidi"/>
          <w:color w:val="auto"/>
          <w:kern w:val="2"/>
        </w:rPr>
        <w:t>（5）投标人在开标时须使用制作加密电子投标文件所使用的CA锁及电脑，电脑须提前配置好浏览器，以便开标时解锁。如因</w:t>
      </w:r>
      <w:r>
        <w:rPr>
          <w:color w:val="auto"/>
        </w:rPr>
        <w:t>投标人</w:t>
      </w:r>
      <w:r>
        <w:rPr>
          <w:rFonts w:hint="eastAsia" w:cstheme="minorBidi"/>
          <w:color w:val="auto"/>
          <w:kern w:val="2"/>
        </w:rPr>
        <w:t>自身原因导致在规定时间内无法正常解密的（如：浏览器故障、未安装相关驱动、网络故障、加密CA与解密CA不一致等），招标代理机构不予异常处理，视为</w:t>
      </w:r>
      <w:r>
        <w:rPr>
          <w:color w:val="auto"/>
        </w:rPr>
        <w:t>投标人</w:t>
      </w:r>
      <w:r>
        <w:rPr>
          <w:rFonts w:hint="eastAsia" w:cstheme="minorBidi"/>
          <w:color w:val="auto"/>
          <w:kern w:val="2"/>
        </w:rPr>
        <w:t>自动弃标。</w:t>
      </w:r>
    </w:p>
    <w:p>
      <w:pPr>
        <w:spacing w:line="360" w:lineRule="auto"/>
        <w:rPr>
          <w:rFonts w:ascii="宋体" w:hAnsi="宋体"/>
          <w:color w:val="auto"/>
          <w:sz w:val="24"/>
          <w:szCs w:val="24"/>
        </w:rPr>
      </w:pPr>
      <w:r>
        <w:rPr>
          <w:rFonts w:hint="eastAsia" w:ascii="宋体" w:hAnsi="宋体"/>
          <w:color w:val="auto"/>
          <w:sz w:val="24"/>
          <w:szCs w:val="24"/>
        </w:rPr>
        <w:t>（6）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政采云在线客服获取服务支持。</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特别提示：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1、超过200万元的货物和服务采购项目、超过400万元的工程采购项目中适宜由中小企业提供的，预留该部分采购项目预算总额的40%以上专门面向中小企业采购，其中预留给小微企业的比例不低于60%。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2、对于未预留份额专门面向中小企业的采购项目，以及预留份额项目中的非预留部分采购包，采购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人、招标代理机构应当对符合规定的小微企业报价给予10%~20%（工程项目为6%~10%）的扣除，用 </w:t>
      </w:r>
    </w:p>
    <w:p>
      <w:pPr>
        <w:widowControl/>
        <w:spacing w:line="360" w:lineRule="auto"/>
        <w:ind w:firstLine="482"/>
        <w:jc w:val="left"/>
        <w:rPr>
          <w:rFonts w:asciiTheme="minorEastAsia" w:hAnsiTheme="minorEastAsia"/>
          <w:b/>
          <w:color w:val="auto"/>
          <w:kern w:val="0"/>
          <w:szCs w:val="24"/>
        </w:rPr>
      </w:pPr>
      <w:r>
        <w:rPr>
          <w:rFonts w:hint="eastAsia" w:asciiTheme="minorEastAsia" w:hAnsiTheme="minorEastAsia"/>
          <w:b/>
          <w:color w:val="auto"/>
          <w:kern w:val="0"/>
          <w:szCs w:val="24"/>
        </w:rPr>
        <w:t xml:space="preserve">扣除后的价格参加评审。适用招标投标法的政府采购工程建设项目，采用综合评估法但未采用低价优先法计算价格分的，评标时应当在采用原报价进行评分的基础上增加其价格得分的6%~10%作为其价格分。 </w:t>
      </w:r>
    </w:p>
    <w:p>
      <w:pPr>
        <w:spacing w:line="360" w:lineRule="auto"/>
        <w:ind w:firstLine="482"/>
        <w:rPr>
          <w:rFonts w:cs="仿宋" w:asciiTheme="minorEastAsia" w:hAnsiTheme="minorEastAsia"/>
          <w:color w:val="auto"/>
          <w:sz w:val="24"/>
          <w:szCs w:val="24"/>
        </w:rPr>
      </w:pPr>
      <w:r>
        <w:rPr>
          <w:rFonts w:hint="eastAsia" w:asciiTheme="minorEastAsia" w:hAnsiTheme="minorEastAsia"/>
          <w:b/>
          <w:color w:val="auto"/>
          <w:kern w:val="0"/>
          <w:szCs w:val="24"/>
        </w:rPr>
        <w:t>3、接受大中型企业与小微企业组成联合体或者允许大中型企业向一家或者多家小微企业分包的采购项目，对于联合协议或者分包意向协议约定小微企业的合同份额占到合同总金额40%以上的，招标人、招标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spacing w:line="360" w:lineRule="auto"/>
        <w:rPr>
          <w:rFonts w:cs="仿宋" w:asciiTheme="minorEastAsia" w:hAnsiTheme="minorEastAsia"/>
          <w:sz w:val="24"/>
          <w:szCs w:val="24"/>
        </w:rPr>
      </w:pPr>
      <w:r>
        <w:rPr>
          <w:rFonts w:hint="eastAsia" w:cs="仿宋" w:asciiTheme="minorEastAsia" w:hAnsiTheme="minorEastAsia"/>
          <w:sz w:val="24"/>
          <w:szCs w:val="24"/>
        </w:rPr>
        <w:t>七、对本次采购提出询问，请按以下方式联系</w:t>
      </w:r>
    </w:p>
    <w:p>
      <w:pPr>
        <w:spacing w:line="360" w:lineRule="auto"/>
        <w:rPr>
          <w:rFonts w:cs="仿宋" w:asciiTheme="minorEastAsia" w:hAnsiTheme="minorEastAsia"/>
          <w:sz w:val="24"/>
          <w:szCs w:val="24"/>
        </w:rPr>
      </w:pPr>
      <w:r>
        <w:rPr>
          <w:rFonts w:hint="eastAsia" w:cs="仿宋" w:asciiTheme="minorEastAsia" w:hAnsiTheme="minorEastAsia"/>
          <w:sz w:val="24"/>
          <w:szCs w:val="24"/>
        </w:rPr>
        <w:t>1.招标人信息</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名 称：乌鲁木齐市米东区园林管理局</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地 址：乌鲁木齐市米东区</w:t>
      </w:r>
    </w:p>
    <w:p>
      <w:pPr>
        <w:spacing w:line="360" w:lineRule="auto"/>
        <w:rPr>
          <w:rFonts w:cs="仿宋" w:asciiTheme="minorEastAsia" w:hAnsiTheme="minorEastAsia"/>
          <w:sz w:val="24"/>
          <w:szCs w:val="24"/>
          <w:u w:val="single"/>
        </w:rPr>
      </w:pPr>
      <w:r>
        <w:rPr>
          <w:rFonts w:hint="eastAsia" w:cs="仿宋" w:asciiTheme="minorEastAsia" w:hAnsiTheme="minorEastAsia"/>
          <w:sz w:val="24"/>
          <w:szCs w:val="24"/>
        </w:rPr>
        <w:t>联系方式：13619913728</w:t>
      </w:r>
    </w:p>
    <w:p>
      <w:pPr>
        <w:spacing w:line="360" w:lineRule="auto"/>
        <w:rPr>
          <w:rFonts w:cs="仿宋" w:asciiTheme="minorEastAsia" w:hAnsiTheme="minorEastAsia"/>
          <w:sz w:val="24"/>
          <w:szCs w:val="24"/>
        </w:rPr>
      </w:pPr>
      <w:r>
        <w:rPr>
          <w:rFonts w:hint="eastAsia" w:cs="仿宋" w:asciiTheme="minorEastAsia" w:hAnsiTheme="minorEastAsia"/>
          <w:sz w:val="24"/>
          <w:szCs w:val="24"/>
        </w:rPr>
        <w:t>2.采购代理机构信息</w:t>
      </w:r>
    </w:p>
    <w:p>
      <w:pPr>
        <w:spacing w:line="360" w:lineRule="auto"/>
        <w:rPr>
          <w:rFonts w:cs="仿宋" w:asciiTheme="minorEastAsia" w:hAnsiTheme="minorEastAsia"/>
          <w:sz w:val="24"/>
          <w:szCs w:val="24"/>
        </w:rPr>
      </w:pPr>
      <w:r>
        <w:rPr>
          <w:rFonts w:hint="eastAsia" w:cs="仿宋" w:asciiTheme="minorEastAsia" w:hAnsiTheme="minorEastAsia"/>
          <w:sz w:val="24"/>
          <w:szCs w:val="24"/>
        </w:rPr>
        <w:t>名 称：新疆锐智时代建设工程项目管理有限公司</w:t>
      </w:r>
    </w:p>
    <w:p>
      <w:pPr>
        <w:spacing w:line="360" w:lineRule="auto"/>
        <w:rPr>
          <w:rFonts w:cs="仿宋" w:asciiTheme="minorEastAsia" w:hAnsiTheme="minorEastAsia"/>
          <w:sz w:val="24"/>
          <w:szCs w:val="24"/>
        </w:rPr>
      </w:pPr>
      <w:r>
        <w:rPr>
          <w:rFonts w:hint="eastAsia" w:cs="仿宋" w:asciiTheme="minorEastAsia" w:hAnsiTheme="minorEastAsia"/>
          <w:sz w:val="24"/>
          <w:szCs w:val="24"/>
        </w:rPr>
        <w:t>地 址：乌鲁木齐市水磨沟区立井街198号丽景名都商住10号楼21楼2115室</w:t>
      </w:r>
    </w:p>
    <w:p>
      <w:pPr>
        <w:spacing w:line="360" w:lineRule="auto"/>
        <w:rPr>
          <w:rFonts w:cs="仿宋" w:asciiTheme="minorEastAsia" w:hAnsiTheme="minorEastAsia"/>
          <w:sz w:val="24"/>
          <w:szCs w:val="24"/>
        </w:rPr>
      </w:pPr>
      <w:r>
        <w:rPr>
          <w:rFonts w:hint="eastAsia" w:cs="仿宋" w:asciiTheme="minorEastAsia" w:hAnsiTheme="minorEastAsia"/>
          <w:sz w:val="24"/>
          <w:szCs w:val="24"/>
        </w:rPr>
        <w:t xml:space="preserve">项目联系人： 王芳 </w:t>
      </w:r>
    </w:p>
    <w:p>
      <w:pPr>
        <w:spacing w:line="360" w:lineRule="auto"/>
        <w:rPr>
          <w:rFonts w:cs="仿宋" w:asciiTheme="minorEastAsia" w:hAnsiTheme="minorEastAsia"/>
          <w:sz w:val="24"/>
          <w:szCs w:val="24"/>
        </w:rPr>
      </w:pPr>
      <w:r>
        <w:rPr>
          <w:rFonts w:hint="eastAsia" w:cs="仿宋" w:asciiTheme="minorEastAsia" w:hAnsiTheme="minorEastAsia"/>
          <w:sz w:val="24"/>
          <w:szCs w:val="24"/>
        </w:rPr>
        <w:t>联系方式：17690920122</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spacing w:line="440" w:lineRule="exact"/>
        <w:ind w:firstLine="482"/>
        <w:jc w:val="center"/>
        <w:outlineLvl w:val="0"/>
        <w:rPr>
          <w:rFonts w:cs="宋体" w:asciiTheme="minorEastAsia" w:hAnsiTheme="minorEastAsia"/>
          <w:b/>
          <w:sz w:val="24"/>
          <w:szCs w:val="24"/>
        </w:rPr>
      </w:pPr>
      <w:bookmarkStart w:id="2" w:name="_Toc14276"/>
      <w:r>
        <w:rPr>
          <w:rFonts w:hint="eastAsia" w:cs="宋体" w:asciiTheme="minorEastAsia" w:hAnsiTheme="minorEastAsia"/>
          <w:b/>
          <w:sz w:val="24"/>
          <w:szCs w:val="24"/>
        </w:rPr>
        <w:t>投标人须知前附表</w:t>
      </w:r>
      <w:bookmarkEnd w:id="2"/>
    </w:p>
    <w:tbl>
      <w:tblPr>
        <w:tblStyle w:val="35"/>
        <w:tblW w:w="100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57" w:type="dxa"/>
          <w:left w:w="57" w:type="dxa"/>
          <w:bottom w:w="57" w:type="dxa"/>
          <w:right w:w="57" w:type="dxa"/>
        </w:tblCellMar>
      </w:tblPr>
      <w:tblGrid>
        <w:gridCol w:w="837"/>
        <w:gridCol w:w="1764"/>
        <w:gridCol w:w="7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87" w:hRule="atLeast"/>
          <w:jc w:val="center"/>
        </w:trPr>
        <w:tc>
          <w:tcPr>
            <w:tcW w:w="837" w:type="dxa"/>
            <w:vAlign w:val="center"/>
          </w:tcPr>
          <w:p>
            <w:pPr>
              <w:ind w:firstLine="482"/>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项号</w:t>
            </w:r>
          </w:p>
        </w:tc>
        <w:tc>
          <w:tcPr>
            <w:tcW w:w="9233" w:type="dxa"/>
            <w:gridSpan w:val="2"/>
          </w:tcPr>
          <w:p>
            <w:pPr>
              <w:ind w:firstLine="482"/>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项目名称</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2024年-2026年米东区公共绿地绿化养护项目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标段名称</w:t>
            </w:r>
          </w:p>
        </w:tc>
        <w:tc>
          <w:tcPr>
            <w:tcW w:w="7469" w:type="dxa"/>
            <w:vAlign w:val="center"/>
          </w:tcPr>
          <w:p>
            <w:pPr>
              <w:keepNext/>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2024年-2026年米东区公共绿地绿化养护项目第9包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标段编号</w:t>
            </w:r>
          </w:p>
        </w:tc>
        <w:tc>
          <w:tcPr>
            <w:tcW w:w="7469" w:type="dxa"/>
            <w:vAlign w:val="center"/>
          </w:tcPr>
          <w:p>
            <w:pPr>
              <w:keepNext/>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2023-1213-153736009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采购人</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乌鲁木齐市米东区园林管理局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采购代理机构</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新疆锐智时代建设工程项目管理有限公司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项目地点</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乌鲁木齐市米东区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项目规模</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养护面积</w:t>
            </w:r>
            <w:r>
              <w:rPr>
                <w:rFonts w:hint="eastAsia" w:asciiTheme="minorEastAsia" w:hAnsiTheme="minorEastAsia" w:cstheme="minorEastAsia"/>
                <w:kern w:val="0"/>
                <w:sz w:val="24"/>
                <w:szCs w:val="24"/>
                <w:lang w:val="en-US" w:eastAsia="zh-CN"/>
              </w:rPr>
              <w:t>272739</w:t>
            </w:r>
            <w:r>
              <w:rPr>
                <w:rFonts w:hint="eastAsia" w:asciiTheme="minorEastAsia" w:hAnsiTheme="minorEastAsia" w:cstheme="minorEastAsia"/>
                <w:kern w:val="0"/>
                <w:sz w:val="24"/>
                <w:szCs w:val="24"/>
              </w:rPr>
              <w:t>㎡；</w:t>
            </w:r>
            <w:r>
              <w:rPr>
                <w:rFonts w:hint="eastAsia" w:asciiTheme="minorEastAsia" w:hAnsiTheme="minorEastAsia" w:cstheme="minorEastAsia"/>
                <w:kern w:val="0"/>
                <w:sz w:val="24"/>
                <w:szCs w:val="24"/>
                <w:lang w:val="en-US" w:eastAsia="zh-CN"/>
              </w:rPr>
              <w:t>历史文化园、一方园、康泰园、五谷园、旱生园、百草园、光明园、黄渠嘉禾园、老电影院游园、政府院内游园、金盛集团东侧河坝边游园、文润园、汇趣园、兴盛园、嘉隆园、嘉禾园、府前路（三道坝路-米东大道）、中颐路（府前路-揽胜街）、万和街、中颐南路支巷（中颐南路-府前东路）、民康北路（揽胜东街-府前路）、政府院内停车场、米泉路（揽胜街-古牧地路）、黄渠路（古牧地路-揽胜东街）、揽胜街软隔离、府前路软隔离、中颐路软隔离、海棠花绿地、红沟河绿地、府前西路三角地（国际大酒店旁）、中医院西绿地、家和华府绿地、政府停车场河坝西侧绿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资金来源</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财政预算资金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采购预算金额</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2870159.5</w:t>
            </w:r>
            <w:r>
              <w:rPr>
                <w:rFonts w:hint="eastAsia" w:asciiTheme="minorEastAsia" w:hAnsiTheme="minorEastAsia" w:cstheme="minorEastAsia"/>
                <w:kern w:val="0"/>
                <w:sz w:val="24"/>
                <w:szCs w:val="24"/>
              </w:rPr>
              <w:t>元（其中绿地养护费</w:t>
            </w:r>
            <w:r>
              <w:rPr>
                <w:rFonts w:hint="eastAsia" w:asciiTheme="minorEastAsia" w:hAnsiTheme="minorEastAsia" w:cstheme="minorEastAsia"/>
                <w:kern w:val="0"/>
                <w:sz w:val="24"/>
                <w:szCs w:val="24"/>
                <w:lang w:eastAsia="zh-CN"/>
              </w:rPr>
              <w:t>2472527.5</w:t>
            </w:r>
            <w:r>
              <w:rPr>
                <w:rFonts w:hint="eastAsia" w:asciiTheme="minorEastAsia" w:hAnsiTheme="minorEastAsia" w:cstheme="minorEastAsia"/>
                <w:kern w:val="0"/>
                <w:sz w:val="24"/>
                <w:szCs w:val="24"/>
              </w:rPr>
              <w:t>元；设施维护费</w:t>
            </w:r>
            <w:r>
              <w:rPr>
                <w:rFonts w:hint="eastAsia" w:asciiTheme="minorEastAsia" w:hAnsiTheme="minorEastAsia" w:cstheme="minorEastAsia"/>
                <w:kern w:val="0"/>
                <w:sz w:val="24"/>
                <w:szCs w:val="24"/>
                <w:lang w:val="en-US" w:eastAsia="zh-CN"/>
              </w:rPr>
              <w:t>297632</w:t>
            </w:r>
            <w:r>
              <w:rPr>
                <w:rFonts w:hint="eastAsia" w:asciiTheme="minorEastAsia" w:hAnsiTheme="minorEastAsia" w:cstheme="minorEastAsia"/>
                <w:kern w:val="0"/>
                <w:sz w:val="24"/>
                <w:szCs w:val="24"/>
              </w:rPr>
              <w:t>元，零星绿地</w:t>
            </w:r>
            <w:r>
              <w:rPr>
                <w:rFonts w:hint="eastAsia" w:asciiTheme="minorEastAsia" w:hAnsiTheme="minorEastAsia" w:cstheme="minorEastAsia"/>
                <w:kern w:val="0"/>
                <w:sz w:val="24"/>
                <w:szCs w:val="24"/>
                <w:lang w:eastAsia="zh-CN"/>
              </w:rPr>
              <w:t>100000</w:t>
            </w:r>
            <w:r>
              <w:rPr>
                <w:rFonts w:hint="eastAsia" w:asciiTheme="minorEastAsia" w:hAnsiTheme="minorEastAsia" w:cstheme="minorEastAsia"/>
                <w:kern w:val="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最高限价</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2870159.5</w:t>
            </w:r>
            <w:r>
              <w:rPr>
                <w:rFonts w:hint="eastAsia" w:asciiTheme="minorEastAsia" w:hAnsiTheme="minorEastAsia" w:cstheme="minorEastAsia"/>
                <w:kern w:val="0"/>
                <w:sz w:val="24"/>
                <w:szCs w:val="24"/>
              </w:rPr>
              <w:t>元（其中绿地养护费</w:t>
            </w:r>
            <w:r>
              <w:rPr>
                <w:rFonts w:hint="eastAsia" w:asciiTheme="minorEastAsia" w:hAnsiTheme="minorEastAsia" w:cstheme="minorEastAsia"/>
                <w:kern w:val="0"/>
                <w:sz w:val="24"/>
                <w:szCs w:val="24"/>
                <w:lang w:eastAsia="zh-CN"/>
              </w:rPr>
              <w:t>2472527.5</w:t>
            </w:r>
            <w:r>
              <w:rPr>
                <w:rFonts w:hint="eastAsia" w:asciiTheme="minorEastAsia" w:hAnsiTheme="minorEastAsia" w:cstheme="minorEastAsia"/>
                <w:kern w:val="0"/>
                <w:sz w:val="24"/>
                <w:szCs w:val="24"/>
              </w:rPr>
              <w:t>元；设施维护费</w:t>
            </w:r>
            <w:r>
              <w:rPr>
                <w:rFonts w:hint="eastAsia" w:asciiTheme="minorEastAsia" w:hAnsiTheme="minorEastAsia" w:cstheme="minorEastAsia"/>
                <w:kern w:val="0"/>
                <w:sz w:val="24"/>
                <w:szCs w:val="24"/>
                <w:lang w:val="en-US" w:eastAsia="zh-CN"/>
              </w:rPr>
              <w:t>297632</w:t>
            </w:r>
            <w:r>
              <w:rPr>
                <w:rFonts w:hint="eastAsia" w:asciiTheme="minorEastAsia" w:hAnsiTheme="minorEastAsia" w:cstheme="minorEastAsia"/>
                <w:kern w:val="0"/>
                <w:sz w:val="24"/>
                <w:szCs w:val="24"/>
              </w:rPr>
              <w:t>元，零星绿地</w:t>
            </w:r>
            <w:r>
              <w:rPr>
                <w:rFonts w:hint="eastAsia" w:asciiTheme="minorEastAsia" w:hAnsiTheme="minorEastAsia" w:cstheme="minorEastAsia"/>
                <w:kern w:val="0"/>
                <w:sz w:val="24"/>
                <w:szCs w:val="24"/>
                <w:lang w:eastAsia="zh-CN"/>
              </w:rPr>
              <w:t>100000</w:t>
            </w:r>
            <w:r>
              <w:rPr>
                <w:rFonts w:hint="eastAsia" w:asciiTheme="minorEastAsia" w:hAnsiTheme="minorEastAsia" w:cstheme="minorEastAsia"/>
                <w:kern w:val="0"/>
                <w:sz w:val="24"/>
                <w:szCs w:val="24"/>
              </w:rPr>
              <w:t>元。）</w:t>
            </w:r>
          </w:p>
          <w:tbl>
            <w:tblPr>
              <w:tblStyle w:val="34"/>
              <w:tblW w:w="73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15"/>
              <w:gridCol w:w="3502"/>
              <w:gridCol w:w="2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3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238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kern w:val="0"/>
                      <w:sz w:val="24"/>
                      <w:szCs w:val="24"/>
                      <w:lang w:bidi="ar"/>
                    </w:rPr>
                  </w:pPr>
                  <w:r>
                    <w:rPr>
                      <w:rFonts w:hint="eastAsia" w:asciiTheme="minorEastAsia" w:hAnsiTheme="minorEastAsia" w:cstheme="minorEastAsia"/>
                      <w:kern w:val="0"/>
                      <w:sz w:val="24"/>
                      <w:szCs w:val="24"/>
                      <w:lang w:bidi="ar"/>
                    </w:rPr>
                    <w:t>控制单价</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cstheme="minorEastAsia"/>
                      <w:kern w:val="0"/>
                      <w:sz w:val="24"/>
                      <w:szCs w:val="24"/>
                      <w:lang w:bidi="ar"/>
                    </w:rPr>
                    <w:t>（元/m²/年）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3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38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历史文化园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一方园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康泰园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五谷园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旱生园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百草园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光明园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皇渠嘉禾园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老电影院游园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政府院内游园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金盛集团东侧河坝边游园 </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文润园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汇趣园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兴盛园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嘉隆园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嘉禾园</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府前路(三道坝路-米东大道）</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中颐路（府前路-揽胜街）</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民康路</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揽胜街（广场东路-中颐路）</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万和街</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中颐南路支巷（中颐南路-府前东路）</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民康北路（揽胜东街-府前路）</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政府院内停车场内地</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米泉路（揽胜街-古牧地路）</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皇渠路（古牧地路-揽胜东街）</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揽胜街软隔离</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府前路软隔离</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中颐路软隔离</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w:t>
                  </w: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海棠花绿地</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w:t>
                  </w: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红沟河绿地</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府前西路三角地</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（国际大酒店旁）</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w:t>
                  </w: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中医院西绿地</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w:t>
                  </w:r>
                </w:p>
              </w:tc>
              <w:tc>
                <w:tcPr>
                  <w:tcW w:w="2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家和华府绿地</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政府停车场河</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坝西侧绿地</w:t>
                  </w:r>
                </w:p>
              </w:tc>
              <w:tc>
                <w:tcPr>
                  <w:tcW w:w="1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w:t>
                  </w:r>
                </w:p>
              </w:tc>
              <w:tc>
                <w:tcPr>
                  <w:tcW w:w="2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零星绿地</w:t>
                  </w:r>
                </w:p>
              </w:tc>
              <w:tc>
                <w:tcPr>
                  <w:tcW w:w="1588" w:type="pc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sz w:val="24"/>
                      <w:szCs w:val="24"/>
                      <w:u w:val="none"/>
                    </w:rPr>
                    <w:t>100000</w:t>
                  </w:r>
                </w:p>
              </w:tc>
            </w:tr>
          </w:tbl>
          <w:p>
            <w:pPr>
              <w:pStyle w:val="10"/>
            </w:pPr>
            <w:r>
              <w:rPr>
                <w:rFonts w:hint="eastAsia"/>
                <w:lang w:bidi="ar"/>
              </w:rPr>
              <w:t>注：设施维护费、零星绿地费为暂估价，暂估价投标人不得更改。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服务周期</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1年（服务开始时间2024年1月，绿化养护在年底考核，考核通过后，续签下一年合同，中标通知书有效期三年。）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招标范围</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2024年-2026年米东区公共绿地绿化养护项目第9包</w:t>
            </w:r>
            <w:r>
              <w:rPr>
                <w:rFonts w:hint="eastAsia" w:asciiTheme="minorEastAsia" w:hAnsiTheme="minorEastAsia" w:cstheme="minorEastAsia"/>
                <w:kern w:val="0"/>
                <w:sz w:val="24"/>
                <w:szCs w:val="24"/>
              </w:rPr>
              <w:t>范围内所有工作内容，关于招标范围的详细说明见第四章“技术标准和要求”。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招标方式</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资格审查方式</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评标办法</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restart"/>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定标方法</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评标委员会推荐三名中标候选人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Merge w:val="continue"/>
            <w:vAlign w:val="center"/>
          </w:tcPr>
          <w:p>
            <w:pPr>
              <w:jc w:val="center"/>
              <w:rPr>
                <w:rFonts w:asciiTheme="minorEastAsia" w:hAnsiTheme="minorEastAsia" w:cstheme="minorEastAsia"/>
                <w:kern w:val="0"/>
                <w:sz w:val="24"/>
                <w:szCs w:val="24"/>
              </w:rPr>
            </w:pP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投标人资格条件和能力</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1、投标人必须满足《中华人民共和国政府采购法》第二十二条规定。</w:t>
            </w:r>
          </w:p>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2、落实政府采购政策需满足的资格要求：供应商为小微企业； </w:t>
            </w:r>
          </w:p>
          <w:p>
            <w:pPr>
              <w:rPr>
                <w:rFonts w:asciiTheme="minorEastAsia" w:hAnsiTheme="minorEastAsia" w:cstheme="minorEastAsia"/>
                <w:color w:val="auto"/>
                <w:kern w:val="0"/>
                <w:sz w:val="24"/>
                <w:szCs w:val="24"/>
              </w:rPr>
            </w:pPr>
            <w:r>
              <w:rPr>
                <w:rFonts w:hint="eastAsia" w:asciiTheme="minorEastAsia" w:hAnsiTheme="minorEastAsia" w:cstheme="minorEastAsia"/>
                <w:kern w:val="0"/>
                <w:sz w:val="24"/>
                <w:szCs w:val="24"/>
              </w:rPr>
              <w:t>3</w:t>
            </w:r>
            <w:r>
              <w:rPr>
                <w:rFonts w:hint="eastAsia" w:asciiTheme="minorEastAsia" w:hAnsiTheme="minorEastAsia" w:cstheme="minorEastAsia"/>
                <w:color w:val="auto"/>
                <w:kern w:val="0"/>
                <w:sz w:val="24"/>
                <w:szCs w:val="24"/>
              </w:rPr>
              <w:t>、投标人必须是中华人民共和国境内注册，具有有效的营业执照（或事业单位法人证书）。</w:t>
            </w:r>
          </w:p>
          <w:p>
            <w:pP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4、投标人须是在“信用中国”网站（WWW.creditchina.gov.cn）和中国政府采购网（www.ccgp.gov.cn）网站中未被列入失信被执行人、重大税收违法案件当事人名单以及政府采购严重违法失信行为记录名单（尚在处罚期内的）；</w:t>
            </w:r>
          </w:p>
          <w:p>
            <w:pPr>
              <w:keepNext/>
              <w:widowControl/>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5、本次招标不接受联合体投标。</w:t>
            </w:r>
          </w:p>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color w:val="auto"/>
                <w:kern w:val="0"/>
                <w:sz w:val="24"/>
                <w:szCs w:val="24"/>
              </w:rPr>
              <w:t>6、其他说明：</w:t>
            </w:r>
            <w:r>
              <w:rPr>
                <w:rFonts w:asciiTheme="minorEastAsia" w:hAnsiTheme="minorEastAsia"/>
                <w:color w:val="auto"/>
                <w:sz w:val="24"/>
                <w:szCs w:val="24"/>
              </w:rPr>
              <w:t>①与</w:t>
            </w:r>
            <w:r>
              <w:rPr>
                <w:rFonts w:hint="eastAsia" w:asciiTheme="minorEastAsia" w:hAnsiTheme="minorEastAsia"/>
                <w:color w:val="auto"/>
                <w:sz w:val="24"/>
                <w:szCs w:val="24"/>
              </w:rPr>
              <w:t>招标人</w:t>
            </w:r>
            <w:r>
              <w:rPr>
                <w:rFonts w:asciiTheme="minorEastAsia" w:hAnsiTheme="minorEastAsia"/>
                <w:color w:val="auto"/>
                <w:sz w:val="24"/>
                <w:szCs w:val="24"/>
              </w:rPr>
              <w:t>存在利害关系可能影响招标公正性的法人、其他组织或者个人，不得参加投标。②</w:t>
            </w:r>
            <w:r>
              <w:rPr>
                <w:rFonts w:hint="eastAsia" w:asciiTheme="minorEastAsia" w:hAnsiTheme="minorEastAsia"/>
                <w:color w:val="auto"/>
                <w:sz w:val="24"/>
                <w:szCs w:val="24"/>
              </w:rPr>
              <w:t>单位负责人为同一人或者存在控股、管理关系的不同投标人，不得参加同一合同项下的政府采购活动。</w:t>
            </w:r>
            <w:r>
              <w:rPr>
                <w:rFonts w:asciiTheme="minorEastAsia" w:hAnsiTheme="minorEastAsia"/>
                <w:color w:val="auto"/>
                <w:sz w:val="24"/>
                <w:szCs w:val="24"/>
              </w:rPr>
              <w:t>违反前两款规定的，相关投标均无效。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招标文件费</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投标保证金</w:t>
            </w:r>
          </w:p>
        </w:tc>
        <w:tc>
          <w:tcPr>
            <w:tcW w:w="7469" w:type="dxa"/>
            <w:vAlign w:val="center"/>
          </w:tcPr>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要求提供。</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本项目的投标保证金金额：</w:t>
            </w:r>
            <w:r>
              <w:rPr>
                <w:rFonts w:hint="eastAsia" w:asciiTheme="minorEastAsia" w:hAnsiTheme="minorEastAsia" w:eastAsiaTheme="minorEastAsia"/>
                <w:color w:val="auto"/>
                <w:sz w:val="24"/>
                <w:szCs w:val="24"/>
                <w:u w:val="single"/>
                <w:lang w:val="en-US" w:eastAsia="zh-CN"/>
              </w:rPr>
              <w:t>20000</w:t>
            </w:r>
            <w:r>
              <w:rPr>
                <w:rFonts w:hint="eastAsia" w:asciiTheme="minorEastAsia" w:hAnsiTheme="minorEastAsia" w:eastAsiaTheme="minorEastAsia"/>
                <w:color w:val="auto"/>
                <w:sz w:val="24"/>
                <w:szCs w:val="24"/>
              </w:rPr>
              <w:t>元（</w:t>
            </w:r>
            <w:r>
              <w:rPr>
                <w:rFonts w:hint="eastAsia" w:asciiTheme="minorEastAsia" w:hAnsiTheme="minorEastAsia" w:eastAsiaTheme="minorEastAsia"/>
                <w:color w:val="auto"/>
                <w:sz w:val="24"/>
                <w:szCs w:val="24"/>
                <w:lang w:eastAsia="zh-CN"/>
              </w:rPr>
              <w:t>贰万元整</w:t>
            </w:r>
            <w:r>
              <w:rPr>
                <w:rFonts w:hint="eastAsia" w:asciiTheme="minorEastAsia" w:hAnsiTheme="minorEastAsia" w:eastAsiaTheme="minorEastAsia"/>
                <w:color w:val="auto"/>
                <w:sz w:val="24"/>
                <w:szCs w:val="24"/>
              </w:rPr>
              <w:t>）</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账户名：新疆锐智时代建设工程项目管理有限公司</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开户行：建行五星路支行</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行  号：</w:t>
            </w:r>
            <w:r>
              <w:rPr>
                <w:rFonts w:asciiTheme="minorEastAsia" w:hAnsiTheme="minorEastAsia" w:eastAsiaTheme="minorEastAsia"/>
                <w:color w:val="auto"/>
                <w:sz w:val="24"/>
                <w:szCs w:val="24"/>
              </w:rPr>
              <w:t>105881000500</w:t>
            </w:r>
          </w:p>
          <w:p>
            <w:pPr>
              <w:pStyle w:val="14"/>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帐  号：</w:t>
            </w:r>
            <w:r>
              <w:rPr>
                <w:rFonts w:asciiTheme="minorEastAsia" w:hAnsiTheme="minorEastAsia" w:eastAsiaTheme="minorEastAsia"/>
                <w:color w:val="auto"/>
                <w:sz w:val="24"/>
                <w:szCs w:val="24"/>
              </w:rPr>
              <w:t>65050161603800000351</w:t>
            </w:r>
          </w:p>
          <w:p>
            <w:pPr>
              <w:rPr>
                <w:color w:val="auto"/>
              </w:rPr>
            </w:pPr>
            <w:r>
              <w:rPr>
                <w:rFonts w:hint="eastAsia" w:asciiTheme="minorEastAsia" w:hAnsiTheme="minorEastAsia"/>
                <w:color w:val="auto"/>
                <w:sz w:val="24"/>
                <w:szCs w:val="24"/>
              </w:rPr>
              <w:t>投标保证金缴纳形式：</w:t>
            </w:r>
            <w:r>
              <w:rPr>
                <w:rFonts w:hint="eastAsia" w:hAnsi="宋体"/>
                <w:color w:val="auto"/>
                <w:sz w:val="24"/>
                <w:szCs w:val="24"/>
              </w:rPr>
              <w:t>以非现金形式的电子保函缴纳或以电汇、网银等支付方式缴纳至招标代理机构指定账户。</w:t>
            </w:r>
          </w:p>
          <w:p>
            <w:pPr>
              <w:ind w:firstLine="482"/>
              <w:rPr>
                <w:rFonts w:ascii="宋体" w:hAnsi="宋体"/>
                <w:b/>
                <w:color w:val="auto"/>
                <w:sz w:val="24"/>
                <w:szCs w:val="24"/>
              </w:rPr>
            </w:pPr>
            <w:r>
              <w:rPr>
                <w:rFonts w:hint="eastAsia" w:ascii="宋体" w:hAnsi="宋体"/>
                <w:b/>
                <w:color w:val="auto"/>
                <w:sz w:val="24"/>
                <w:szCs w:val="24"/>
              </w:rPr>
              <w:t>1、电汇、网银转账须知：缴纳时需在附加信息及用途栏内注明投标保证金、</w:t>
            </w:r>
            <w:r>
              <w:rPr>
                <w:rFonts w:hint="eastAsia" w:ascii="宋体" w:hAnsi="宋体"/>
                <w:b/>
                <w:color w:val="auto"/>
                <w:sz w:val="24"/>
                <w:szCs w:val="24"/>
                <w:lang w:eastAsia="zh-CN"/>
              </w:rPr>
              <w:t>标段</w:t>
            </w:r>
            <w:r>
              <w:rPr>
                <w:rFonts w:hint="eastAsia" w:ascii="宋体" w:hAnsi="宋体"/>
                <w:b/>
                <w:color w:val="auto"/>
                <w:sz w:val="24"/>
                <w:szCs w:val="24"/>
              </w:rPr>
              <w:t>名称（简称）；投标</w:t>
            </w:r>
            <w:r>
              <w:rPr>
                <w:rFonts w:ascii="宋体" w:hAnsi="宋体"/>
                <w:b/>
                <w:color w:val="auto"/>
                <w:sz w:val="24"/>
                <w:szCs w:val="24"/>
              </w:rPr>
              <w:t>保证金于</w:t>
            </w:r>
            <w:r>
              <w:rPr>
                <w:rFonts w:hint="eastAsia" w:ascii="宋体" w:hAnsi="宋体"/>
                <w:b/>
                <w:color w:val="auto"/>
                <w:sz w:val="24"/>
                <w:szCs w:val="24"/>
              </w:rPr>
              <w:t>投标文件递交</w:t>
            </w:r>
            <w:r>
              <w:rPr>
                <w:rFonts w:ascii="宋体" w:hAnsi="宋体"/>
                <w:b/>
                <w:color w:val="auto"/>
                <w:sz w:val="24"/>
                <w:szCs w:val="24"/>
              </w:rPr>
              <w:t>截止时间前确认到账</w:t>
            </w:r>
            <w:r>
              <w:rPr>
                <w:rFonts w:hint="eastAsia" w:ascii="宋体" w:hAnsi="宋体"/>
                <w:b/>
                <w:color w:val="auto"/>
                <w:sz w:val="24"/>
                <w:szCs w:val="24"/>
              </w:rPr>
              <w:t>（</w:t>
            </w:r>
            <w:r>
              <w:rPr>
                <w:rFonts w:hint="eastAsia"/>
                <w:b/>
                <w:color w:val="auto"/>
                <w:sz w:val="24"/>
                <w:szCs w:val="24"/>
              </w:rPr>
              <w:t>投标人</w:t>
            </w:r>
            <w:r>
              <w:rPr>
                <w:b/>
                <w:color w:val="auto"/>
                <w:sz w:val="24"/>
                <w:szCs w:val="24"/>
              </w:rPr>
              <w:t>需自行评估因异地、跨行、公休日等因素造成的</w:t>
            </w:r>
            <w:r>
              <w:rPr>
                <w:rFonts w:hint="eastAsia" w:ascii="宋体" w:hAnsi="宋体"/>
                <w:b/>
                <w:color w:val="auto"/>
                <w:sz w:val="24"/>
                <w:szCs w:val="24"/>
              </w:rPr>
              <w:t>投标</w:t>
            </w:r>
            <w:r>
              <w:rPr>
                <w:b/>
                <w:color w:val="auto"/>
                <w:sz w:val="24"/>
                <w:szCs w:val="24"/>
              </w:rPr>
              <w:t>保证金到账延迟风险，并承担相应责任。</w:t>
            </w:r>
            <w:r>
              <w:rPr>
                <w:rFonts w:hint="eastAsia" w:ascii="宋体" w:hAnsi="宋体"/>
                <w:b/>
                <w:color w:val="auto"/>
                <w:sz w:val="24"/>
                <w:szCs w:val="24"/>
              </w:rPr>
              <w:t>）</w:t>
            </w:r>
          </w:p>
          <w:p>
            <w:pPr>
              <w:ind w:firstLine="482"/>
              <w:rPr>
                <w:b/>
                <w:color w:val="auto"/>
              </w:rPr>
            </w:pPr>
            <w:r>
              <w:rPr>
                <w:rFonts w:hint="eastAsia"/>
                <w:b/>
                <w:color w:val="auto"/>
                <w:sz w:val="24"/>
                <w:szCs w:val="24"/>
              </w:rPr>
              <w:t>2</w:t>
            </w:r>
            <w:r>
              <w:rPr>
                <w:b/>
                <w:color w:val="auto"/>
                <w:sz w:val="24"/>
                <w:szCs w:val="24"/>
              </w:rPr>
              <w:t>、政采云电子保函须知</w:t>
            </w:r>
            <w:r>
              <w:rPr>
                <w:rFonts w:hint="eastAsia"/>
                <w:b/>
                <w:color w:val="auto"/>
                <w:sz w:val="24"/>
                <w:szCs w:val="24"/>
              </w:rPr>
              <w:t>：</w:t>
            </w:r>
          </w:p>
          <w:p>
            <w:pPr>
              <w:rPr>
                <w:b/>
                <w:color w:val="auto"/>
              </w:rPr>
            </w:pPr>
            <w:r>
              <w:rPr>
                <w:rFonts w:hint="eastAsia" w:ascii="宋体" w:hAnsi="宋体" w:eastAsia="等线"/>
                <w:b/>
                <w:color w:val="auto"/>
                <w:sz w:val="24"/>
                <w:szCs w:val="24"/>
              </w:rPr>
              <w:t>(1)</w:t>
            </w:r>
            <w:r>
              <w:rPr>
                <w:rFonts w:hint="eastAsia" w:ascii="宋体" w:hAnsi="宋体"/>
                <w:b/>
                <w:color w:val="auto"/>
                <w:sz w:val="24"/>
                <w:szCs w:val="24"/>
              </w:rPr>
              <w:t>本项目推荐使用政采云电子保函形式缴纳投标保证金，在线完成保函的申请、审核、开票、出函等环节；</w:t>
            </w:r>
          </w:p>
          <w:p>
            <w:pPr>
              <w:rPr>
                <w:b/>
                <w:color w:val="auto"/>
              </w:rPr>
            </w:pPr>
            <w:r>
              <w:rPr>
                <w:rFonts w:hint="eastAsia" w:ascii="宋体" w:hAnsi="宋体" w:eastAsia="等线"/>
                <w:b/>
                <w:color w:val="auto"/>
                <w:sz w:val="24"/>
                <w:szCs w:val="24"/>
              </w:rPr>
              <w:t>(2)</w:t>
            </w:r>
            <w:r>
              <w:rPr>
                <w:rFonts w:hint="eastAsia" w:ascii="宋体" w:hAnsi="宋体"/>
                <w:b/>
                <w:color w:val="auto"/>
                <w:sz w:val="24"/>
                <w:szCs w:val="24"/>
              </w:rPr>
              <w:t>如采用政采云电子保函形式，可按照以下形式进行在线申请，电子保函申请链接</w:t>
            </w:r>
            <w:r>
              <w:rPr>
                <w:b/>
                <w:color w:val="auto"/>
                <w:sz w:val="24"/>
                <w:szCs w:val="24"/>
              </w:rPr>
              <w:t>（</w:t>
            </w:r>
            <w:r>
              <w:rPr>
                <w:rFonts w:hint="eastAsia" w:ascii="宋体" w:hAnsi="宋体" w:eastAsia="等线"/>
                <w:b/>
                <w:color w:val="auto"/>
                <w:sz w:val="24"/>
                <w:szCs w:val="24"/>
              </w:rPr>
              <w:t>https://jinrong.zcygov.cn/finance/letter/produc</w:t>
            </w:r>
          </w:p>
          <w:p>
            <w:pPr>
              <w:rPr>
                <w:b/>
                <w:color w:val="auto"/>
              </w:rPr>
            </w:pPr>
            <w:r>
              <w:rPr>
                <w:rFonts w:hint="eastAsia" w:ascii="宋体" w:hAnsi="宋体" w:eastAsia="等线"/>
                <w:b/>
                <w:color w:val="auto"/>
                <w:sz w:val="24"/>
                <w:szCs w:val="24"/>
              </w:rPr>
              <w:t>t/detail?id=30&amp;source=41</w:t>
            </w:r>
            <w:r>
              <w:rPr>
                <w:b/>
                <w:color w:val="auto"/>
                <w:sz w:val="24"/>
                <w:szCs w:val="24"/>
              </w:rPr>
              <w:t>）</w:t>
            </w:r>
            <w:r>
              <w:rPr>
                <w:rFonts w:hint="eastAsia" w:ascii="宋体" w:hAnsi="宋体"/>
                <w:b/>
                <w:color w:val="auto"/>
                <w:sz w:val="24"/>
                <w:szCs w:val="24"/>
              </w:rPr>
              <w:t>，如遇问题可拨打客服电话：95763</w:t>
            </w:r>
          </w:p>
          <w:p>
            <w:pPr>
              <w:keepNext/>
              <w:widowControl/>
              <w:ind w:firstLine="482"/>
              <w:jc w:val="left"/>
              <w:rPr>
                <w:rFonts w:asciiTheme="minorEastAsia" w:hAnsiTheme="minorEastAsia" w:cstheme="minorEastAsia"/>
                <w:color w:val="auto"/>
                <w:kern w:val="0"/>
                <w:sz w:val="24"/>
                <w:szCs w:val="24"/>
              </w:rPr>
            </w:pPr>
            <w:r>
              <w:rPr>
                <w:rFonts w:ascii="宋体" w:hAnsi="宋体"/>
                <w:b/>
                <w:color w:val="auto"/>
                <w:sz w:val="24"/>
                <w:szCs w:val="24"/>
              </w:rPr>
              <w:t>若</w:t>
            </w:r>
            <w:r>
              <w:rPr>
                <w:rFonts w:hint="eastAsia" w:ascii="宋体" w:hAnsi="宋体"/>
                <w:b/>
                <w:color w:val="auto"/>
                <w:sz w:val="24"/>
                <w:szCs w:val="24"/>
              </w:rPr>
              <w:t>投标人</w:t>
            </w:r>
            <w:r>
              <w:rPr>
                <w:rFonts w:ascii="宋体" w:hAnsi="宋体"/>
                <w:b/>
                <w:color w:val="auto"/>
                <w:sz w:val="24"/>
                <w:szCs w:val="24"/>
              </w:rPr>
              <w:t>未按照上述缴纳</w:t>
            </w:r>
            <w:r>
              <w:rPr>
                <w:rFonts w:hint="eastAsia" w:ascii="宋体" w:hAnsi="宋体"/>
                <w:b/>
                <w:color w:val="auto"/>
                <w:sz w:val="24"/>
                <w:szCs w:val="24"/>
              </w:rPr>
              <w:t>投标</w:t>
            </w:r>
            <w:r>
              <w:rPr>
                <w:rFonts w:ascii="宋体" w:hAnsi="宋体"/>
                <w:b/>
                <w:color w:val="auto"/>
                <w:sz w:val="24"/>
                <w:szCs w:val="24"/>
              </w:rPr>
              <w:t>保证金,</w:t>
            </w:r>
            <w:r>
              <w:rPr>
                <w:rFonts w:hint="eastAsia" w:ascii="宋体" w:hAnsi="宋体"/>
                <w:b/>
                <w:color w:val="auto"/>
                <w:sz w:val="24"/>
                <w:szCs w:val="24"/>
              </w:rPr>
              <w:t>投标</w:t>
            </w:r>
            <w:r>
              <w:rPr>
                <w:rFonts w:ascii="宋体" w:hAnsi="宋体"/>
                <w:b/>
                <w:color w:val="auto"/>
                <w:sz w:val="24"/>
                <w:szCs w:val="24"/>
              </w:rPr>
              <w:t>文件将被拒绝评审。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现场踏勘</w:t>
            </w:r>
          </w:p>
        </w:tc>
        <w:tc>
          <w:tcPr>
            <w:tcW w:w="7469" w:type="dxa"/>
            <w:vAlign w:val="center"/>
          </w:tcPr>
          <w:p>
            <w:pPr>
              <w:keepNext/>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招标答疑</w:t>
            </w:r>
          </w:p>
        </w:tc>
        <w:tc>
          <w:tcPr>
            <w:tcW w:w="7469" w:type="dxa"/>
            <w:vAlign w:val="center"/>
          </w:tcPr>
          <w:p>
            <w:pPr>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对招标文件提出质疑的，应当在获取招标文件或者招标文件公告期限届满之日起7个工作日内一次性提出。投标人投诉的事项不得超出已质疑事项的范围。</w:t>
            </w:r>
          </w:p>
          <w:p>
            <w:pPr>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澄清修改内容可能影响投标文件编制的，应当在投标截止时间至少15日前，以公告变更的形式通知所有获取招标文件的潜在投标人。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10</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投标文件份数</w:t>
            </w:r>
          </w:p>
        </w:tc>
        <w:tc>
          <w:tcPr>
            <w:tcW w:w="7469" w:type="dxa"/>
            <w:vAlign w:val="center"/>
          </w:tcPr>
          <w:p>
            <w:pPr>
              <w:autoSpaceDE w:val="0"/>
              <w:autoSpaceDN w:val="0"/>
              <w:adjustRightInd w:val="0"/>
              <w:jc w:val="left"/>
              <w:rPr>
                <w:rFonts w:ascii="宋体" w:hAnsi="宋体"/>
                <w:color w:val="auto"/>
                <w:kern w:val="0"/>
                <w:sz w:val="24"/>
                <w:szCs w:val="24"/>
              </w:rPr>
            </w:pPr>
            <w:r>
              <w:rPr>
                <w:rFonts w:hint="eastAsia" w:ascii="宋体" w:hAnsi="宋体"/>
                <w:color w:val="auto"/>
                <w:kern w:val="0"/>
                <w:sz w:val="24"/>
                <w:szCs w:val="24"/>
              </w:rPr>
              <w:t>加密的电子投标文件在投标截止时间前通过CA在政采云平台上传，加密的电子投标文件为使用政采云电子投标客户端制作生成的加密版投标文件。投标人未按上述要求提供加密的电子投标文件的，将导致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11</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w:t>
            </w:r>
          </w:p>
        </w:tc>
        <w:tc>
          <w:tcPr>
            <w:tcW w:w="7469" w:type="dxa"/>
            <w:vAlign w:val="center"/>
          </w:tcPr>
          <w:p>
            <w:pPr>
              <w:rPr>
                <w:rFonts w:cs="宋体" w:asciiTheme="minorEastAsia" w:hAnsiTheme="minorEastAsia"/>
                <w:kern w:val="0"/>
                <w:sz w:val="24"/>
                <w:szCs w:val="24"/>
              </w:rPr>
            </w:pPr>
            <w:r>
              <w:rPr>
                <w:rFonts w:hint="eastAsia" w:cs="宋体" w:asciiTheme="minorEastAsia" w:hAnsiTheme="minorEastAsia"/>
                <w:kern w:val="0"/>
                <w:sz w:val="24"/>
                <w:szCs w:val="24"/>
              </w:rPr>
              <w:t>截止时间：</w:t>
            </w:r>
            <w:r>
              <w:rPr>
                <w:rFonts w:hint="eastAsia" w:cs="宋体" w:asciiTheme="minorEastAsia" w:hAnsiTheme="minorEastAsia"/>
                <w:kern w:val="0"/>
                <w:sz w:val="24"/>
                <w:szCs w:val="24"/>
                <w:u w:val="single"/>
              </w:rPr>
              <w:t>2024年01月1</w:t>
            </w:r>
            <w:r>
              <w:rPr>
                <w:rFonts w:hint="eastAsia" w:cs="宋体" w:asciiTheme="minorEastAsia" w:hAnsiTheme="minorEastAsia"/>
                <w:kern w:val="0"/>
                <w:sz w:val="24"/>
                <w:szCs w:val="24"/>
                <w:u w:val="single"/>
                <w:lang w:val="en-US" w:eastAsia="zh-CN"/>
              </w:rPr>
              <w:t>6</w:t>
            </w:r>
            <w:r>
              <w:rPr>
                <w:rFonts w:hint="eastAsia" w:cs="宋体" w:asciiTheme="minorEastAsia" w:hAnsiTheme="minorEastAsia"/>
                <w:kern w:val="0"/>
                <w:sz w:val="24"/>
                <w:szCs w:val="24"/>
                <w:u w:val="single"/>
              </w:rPr>
              <w:t>日11:00（北京时间）</w:t>
            </w:r>
          </w:p>
          <w:p>
            <w:pPr>
              <w:rPr>
                <w:rFonts w:asciiTheme="minorEastAsia" w:hAnsiTheme="minorEastAsia" w:cstheme="minorEastAsia"/>
                <w:kern w:val="0"/>
                <w:sz w:val="24"/>
                <w:szCs w:val="24"/>
              </w:rPr>
            </w:pPr>
            <w:r>
              <w:rPr>
                <w:rFonts w:hint="eastAsia" w:cs="宋体" w:asciiTheme="minorEastAsia" w:hAnsiTheme="minorEastAsia"/>
                <w:kern w:val="0"/>
                <w:sz w:val="24"/>
                <w:szCs w:val="24"/>
              </w:rPr>
              <w:t>递交地点：政采云平台http://www.zcygov.cn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12</w:t>
            </w:r>
          </w:p>
        </w:tc>
        <w:tc>
          <w:tcPr>
            <w:tcW w:w="1764" w:type="dxa"/>
            <w:vAlign w:val="center"/>
          </w:tcPr>
          <w:p>
            <w:pPr>
              <w:keepNext/>
              <w:widowControl/>
              <w:jc w:val="distribute"/>
              <w:rPr>
                <w:rFonts w:asciiTheme="minorEastAsia" w:hAnsiTheme="minorEastAsia" w:cstheme="minorEastAsia"/>
                <w:kern w:val="0"/>
                <w:sz w:val="24"/>
                <w:szCs w:val="24"/>
              </w:rPr>
            </w:pPr>
            <w:r>
              <w:rPr>
                <w:rFonts w:hint="eastAsia" w:asciiTheme="minorEastAsia" w:hAnsiTheme="minorEastAsia" w:cstheme="minorEastAsia"/>
                <w:kern w:val="0"/>
                <w:sz w:val="24"/>
                <w:szCs w:val="24"/>
              </w:rPr>
              <w:t>开标</w:t>
            </w:r>
          </w:p>
        </w:tc>
        <w:tc>
          <w:tcPr>
            <w:tcW w:w="7469" w:type="dxa"/>
            <w:vAlign w:val="center"/>
          </w:tcPr>
          <w:p>
            <w:pPr>
              <w:rPr>
                <w:rFonts w:cs="宋体" w:asciiTheme="minorEastAsia" w:hAnsiTheme="minorEastAsia"/>
                <w:kern w:val="0"/>
                <w:sz w:val="24"/>
                <w:szCs w:val="24"/>
              </w:rPr>
            </w:pPr>
            <w:r>
              <w:rPr>
                <w:rFonts w:hint="eastAsia" w:cs="宋体" w:asciiTheme="minorEastAsia" w:hAnsiTheme="minorEastAsia"/>
                <w:kern w:val="0"/>
                <w:sz w:val="24"/>
                <w:szCs w:val="24"/>
              </w:rPr>
              <w:t>时间：</w:t>
            </w:r>
            <w:r>
              <w:rPr>
                <w:rFonts w:hint="eastAsia" w:cs="宋体" w:asciiTheme="minorEastAsia" w:hAnsiTheme="minorEastAsia"/>
                <w:kern w:val="0"/>
                <w:sz w:val="24"/>
                <w:szCs w:val="24"/>
                <w:u w:val="single"/>
              </w:rPr>
              <w:t>2024年01月1</w:t>
            </w:r>
            <w:r>
              <w:rPr>
                <w:rFonts w:hint="eastAsia" w:cs="宋体" w:asciiTheme="minorEastAsia" w:hAnsiTheme="minorEastAsia"/>
                <w:kern w:val="0"/>
                <w:sz w:val="24"/>
                <w:szCs w:val="24"/>
                <w:u w:val="single"/>
                <w:lang w:val="en-US" w:eastAsia="zh-CN"/>
              </w:rPr>
              <w:t>6</w:t>
            </w:r>
            <w:r>
              <w:rPr>
                <w:rFonts w:hint="eastAsia" w:cs="宋体" w:asciiTheme="minorEastAsia" w:hAnsiTheme="minorEastAsia"/>
                <w:kern w:val="0"/>
                <w:sz w:val="24"/>
                <w:szCs w:val="24"/>
                <w:u w:val="single"/>
              </w:rPr>
              <w:t>日11:00（北京时间）</w:t>
            </w:r>
          </w:p>
          <w:p>
            <w:pPr>
              <w:rPr>
                <w:rFonts w:cs="宋体" w:asciiTheme="minorEastAsia" w:hAnsiTheme="minorEastAsia"/>
                <w:kern w:val="0"/>
                <w:sz w:val="24"/>
                <w:szCs w:val="24"/>
              </w:rPr>
            </w:pPr>
            <w:r>
              <w:rPr>
                <w:rFonts w:hint="eastAsia" w:cs="宋体" w:asciiTheme="minorEastAsia" w:hAnsiTheme="minorEastAsia"/>
                <w:kern w:val="0"/>
                <w:sz w:val="24"/>
                <w:szCs w:val="24"/>
              </w:rPr>
              <w:t>地点：政采云网上不见面开标系统</w:t>
            </w:r>
          </w:p>
          <w:p>
            <w:pPr>
              <w:jc w:val="left"/>
              <w:rPr>
                <w:rFonts w:cs="Arial" w:asciiTheme="minorEastAsia" w:hAnsiTheme="minorEastAsia"/>
                <w:color w:val="auto"/>
                <w:sz w:val="24"/>
                <w:szCs w:val="24"/>
              </w:rPr>
            </w:pPr>
            <w:r>
              <w:rPr>
                <w:rFonts w:hint="eastAsia" w:cs="Arial" w:asciiTheme="minorEastAsia" w:hAnsiTheme="minorEastAsia"/>
                <w:color w:val="auto"/>
                <w:szCs w:val="24"/>
              </w:rPr>
              <w:t>说</w:t>
            </w:r>
            <w:r>
              <w:rPr>
                <w:rFonts w:hint="eastAsia" w:cs="Arial" w:asciiTheme="minorEastAsia" w:hAnsiTheme="minorEastAsia"/>
                <w:color w:val="auto"/>
                <w:sz w:val="24"/>
                <w:szCs w:val="24"/>
              </w:rPr>
              <w:t>明：</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1、本次采购采用电子交易方式，电子交易平台为“政府采购云平台（www.zcygov.cn）”。投标人参与本项目电子交易活动前，应注册成为政府采购云平台投标人。编制电子响应文件前还需申领CA证书并绑定帐号。投标人应充分考虑完成平台注册、申领CA证书等所需的时间。因未注册入库、未办理CA数字证书等原因造成无法响应或响应失败等后果由投标人自行承担。</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2、投标人须在在提交响应文件截止时间前通过CA在政采云平台上传加密的电子响应文件。投标人在开标时须使用制作加密电子响应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jc w:val="left"/>
              <w:rPr>
                <w:rFonts w:cs="Arial" w:asciiTheme="minorEastAsia" w:hAnsiTheme="minorEastAsia"/>
                <w:color w:val="auto"/>
                <w:sz w:val="24"/>
                <w:szCs w:val="24"/>
              </w:rPr>
            </w:pPr>
            <w:r>
              <w:rPr>
                <w:rFonts w:hint="eastAsia" w:cs="Arial" w:asciiTheme="minorEastAsia" w:hAnsiTheme="minorEastAsia"/>
                <w:color w:val="auto"/>
                <w:sz w:val="24"/>
                <w:szCs w:val="24"/>
              </w:rPr>
              <w:t>3、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rPr>
                <w:rFonts w:asciiTheme="minorEastAsia" w:hAnsiTheme="minorEastAsia" w:cstheme="minorEastAsia"/>
                <w:kern w:val="0"/>
                <w:sz w:val="24"/>
                <w:szCs w:val="24"/>
              </w:rPr>
            </w:pPr>
            <w:r>
              <w:rPr>
                <w:rFonts w:hint="eastAsia" w:cs="Arial" w:asciiTheme="minorEastAsia" w:hAnsiTheme="minorEastAsia"/>
                <w:color w:val="auto"/>
                <w:sz w:val="24"/>
                <w:szCs w:val="24"/>
              </w:rPr>
              <w:t>4、各投标人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投标人”版面获取操作指南，同时对自助查询无法解决的问题可通过钉钉群及政采云在线客服获取服务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7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13</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投标有效期</w:t>
            </w:r>
          </w:p>
        </w:tc>
        <w:tc>
          <w:tcPr>
            <w:tcW w:w="7469" w:type="dxa"/>
            <w:vAlign w:val="center"/>
          </w:tcPr>
          <w:p>
            <w:pPr>
              <w:keepNext/>
              <w:widowControl/>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自投标截止之日90日历日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14</w:t>
            </w:r>
          </w:p>
        </w:tc>
        <w:tc>
          <w:tcPr>
            <w:tcW w:w="1764" w:type="dxa"/>
            <w:vAlign w:val="center"/>
          </w:tcPr>
          <w:p>
            <w:pPr>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招标公告发布媒体</w:t>
            </w:r>
          </w:p>
        </w:tc>
        <w:tc>
          <w:tcPr>
            <w:tcW w:w="7469" w:type="dxa"/>
            <w:vAlign w:val="center"/>
          </w:tcPr>
          <w:p>
            <w:pPr>
              <w:rPr>
                <w:rFonts w:asciiTheme="minorEastAsia" w:hAnsiTheme="minorEastAsia" w:cstheme="minorEastAsia"/>
                <w:color w:val="auto"/>
                <w:kern w:val="0"/>
                <w:sz w:val="24"/>
                <w:szCs w:val="24"/>
              </w:rPr>
            </w:pPr>
            <w:r>
              <w:rPr>
                <w:rFonts w:hint="eastAsia" w:cs="Arial" w:asciiTheme="minorEastAsia" w:hAnsiTheme="minorEastAsia"/>
                <w:color w:val="auto"/>
                <w:kern w:val="0"/>
                <w:sz w:val="24"/>
                <w:szCs w:val="24"/>
              </w:rPr>
              <w:t>新疆政府采购网（</w:t>
            </w:r>
            <w:r>
              <w:rPr>
                <w:rFonts w:cs="Arial" w:asciiTheme="minorEastAsia" w:hAnsiTheme="minorEastAsia"/>
                <w:color w:val="auto"/>
                <w:kern w:val="0"/>
                <w:sz w:val="24"/>
                <w:szCs w:val="24"/>
              </w:rPr>
              <w:t>http://www.ccgp-xinjiang.gov.cn/</w:t>
            </w:r>
            <w:r>
              <w:rPr>
                <w:rFonts w:hint="eastAsia" w:cs="Arial" w:asciiTheme="minorEastAsia" w:hAnsiTheme="minorEastAsia"/>
                <w:color w:val="auto"/>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15</w:t>
            </w:r>
          </w:p>
        </w:tc>
        <w:tc>
          <w:tcPr>
            <w:tcW w:w="1764" w:type="dxa"/>
            <w:vAlign w:val="center"/>
          </w:tcPr>
          <w:p>
            <w:pPr>
              <w:keepNext/>
              <w:widowControl/>
              <w:jc w:val="distribute"/>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履约保证金</w:t>
            </w:r>
          </w:p>
        </w:tc>
        <w:tc>
          <w:tcPr>
            <w:tcW w:w="7469" w:type="dxa"/>
            <w:vAlign w:val="center"/>
          </w:tcPr>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金额：合同签订价款的10%或遵循甲方约定；</w:t>
            </w:r>
          </w:p>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递交时间：中标人收到《中标通知书》且签订合同时，向招标人缴纳；</w:t>
            </w:r>
          </w:p>
          <w:p>
            <w:pP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递交形式：汇票、银行转账等非现金形式；</w:t>
            </w:r>
          </w:p>
          <w:p>
            <w:pPr>
              <w:keepNext/>
              <w:widowControl/>
              <w:jc w:val="left"/>
              <w:rPr>
                <w:rFonts w:asciiTheme="minorEastAsia" w:hAnsiTheme="minorEastAsia" w:cstheme="minorEastAsia"/>
                <w:color w:val="auto"/>
                <w:kern w:val="0"/>
                <w:sz w:val="24"/>
                <w:szCs w:val="24"/>
              </w:rPr>
            </w:pPr>
            <w:r>
              <w:rPr>
                <w:rFonts w:hint="eastAsia" w:cs="Arial" w:asciiTheme="minorEastAsia" w:hAnsiTheme="minorEastAsia"/>
                <w:color w:val="auto"/>
                <w:kern w:val="0"/>
                <w:sz w:val="24"/>
                <w:szCs w:val="24"/>
              </w:rPr>
              <w:t>退还时间及方式：项目通过最终验收后，招标人一次性退还给中标人。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837" w:type="dxa"/>
            <w:vAlign w:val="center"/>
          </w:tcPr>
          <w:p>
            <w:pPr>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16</w:t>
            </w:r>
          </w:p>
        </w:tc>
        <w:tc>
          <w:tcPr>
            <w:tcW w:w="1764" w:type="dxa"/>
            <w:vAlign w:val="center"/>
          </w:tcPr>
          <w:p>
            <w:pPr>
              <w:keepNext/>
              <w:widowControl/>
              <w:jc w:val="distribute"/>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所属行业</w:t>
            </w:r>
          </w:p>
        </w:tc>
        <w:tc>
          <w:tcPr>
            <w:tcW w:w="7469" w:type="dxa"/>
            <w:vAlign w:val="center"/>
          </w:tcPr>
          <w:p>
            <w:pPr>
              <w:keepNext/>
              <w:widowControl/>
              <w:jc w:val="left"/>
              <w:rPr>
                <w:rFonts w:cs="Arial" w:asciiTheme="minorEastAsia" w:hAnsiTheme="minorEastAsia"/>
                <w:color w:val="auto"/>
                <w:kern w:val="0"/>
                <w:sz w:val="24"/>
                <w:szCs w:val="24"/>
              </w:rPr>
            </w:pPr>
            <w:r>
              <w:rPr>
                <w:rFonts w:hint="eastAsia" w:asciiTheme="minorEastAsia" w:hAnsiTheme="minorEastAsia"/>
                <w:color w:val="auto"/>
                <w:kern w:val="0"/>
                <w:sz w:val="24"/>
                <w:szCs w:val="24"/>
              </w:rPr>
              <w:t>根据《关于印发中小企业划型标准规定的通知》工信部联企业〔2011〕300号，本项目属行业为：</w:t>
            </w:r>
            <w:r>
              <w:rPr>
                <w:rFonts w:hint="eastAsia" w:asciiTheme="minorEastAsia" w:hAnsiTheme="minorEastAsia"/>
                <w:b/>
                <w:bCs/>
                <w:color w:val="auto"/>
                <w:kern w:val="0"/>
                <w:sz w:val="24"/>
                <w:szCs w:val="24"/>
              </w:rPr>
              <w:t>其他未列明行业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90" w:hRule="atLeast"/>
          <w:jc w:val="center"/>
        </w:trPr>
        <w:tc>
          <w:tcPr>
            <w:tcW w:w="837" w:type="dxa"/>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16</w:t>
            </w:r>
          </w:p>
        </w:tc>
        <w:tc>
          <w:tcPr>
            <w:tcW w:w="1764" w:type="dxa"/>
            <w:vAlign w:val="center"/>
          </w:tcPr>
          <w:p>
            <w:pPr>
              <w:keepNext/>
              <w:widowControl/>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备注</w:t>
            </w:r>
          </w:p>
        </w:tc>
        <w:tc>
          <w:tcPr>
            <w:tcW w:w="7469" w:type="dxa"/>
            <w:vAlign w:val="center"/>
          </w:tcPr>
          <w:p>
            <w:pPr>
              <w:keepNext/>
              <w:widowControl/>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1）本项目招标代理咨询服务费由中标人支付</w:t>
            </w:r>
          </w:p>
          <w:p>
            <w:pPr>
              <w:keepNext/>
              <w:widowControl/>
              <w:jc w:val="left"/>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2）本项目为一个整体项目【2021年-2023年米东区公共绿地绿化养护项目】划分为16个包，投标人可兼投不可兼中。</w:t>
            </w:r>
            <w:r>
              <w:rPr>
                <w:rFonts w:hint="eastAsia" w:cs="Arial" w:asciiTheme="minorEastAsia" w:hAnsiTheme="minorEastAsia"/>
                <w:b/>
                <w:bCs/>
                <w:kern w:val="0"/>
                <w:sz w:val="24"/>
                <w:szCs w:val="24"/>
              </w:rPr>
              <w:t>开标顺序为2包→1包→3包→5包→4包→11包→6包→12包→10包→8包→9包→13包→16包→14包→15包→7包,本标段前排名第一的中标候选人不得参与本标段评审。</w:t>
            </w:r>
          </w:p>
        </w:tc>
      </w:tr>
    </w:tbl>
    <w:p>
      <w:pPr>
        <w:rPr>
          <w:rFonts w:cs="Times New Roman" w:asciiTheme="minorEastAsia" w:hAnsiTheme="minorEastAsia"/>
          <w:kern w:val="0"/>
          <w:sz w:val="24"/>
          <w:szCs w:val="24"/>
        </w:rPr>
      </w:pPr>
    </w:p>
    <w:p>
      <w:pPr>
        <w:tabs>
          <w:tab w:val="center" w:pos="4832"/>
          <w:tab w:val="left" w:pos="7140"/>
        </w:tabs>
        <w:spacing w:line="360" w:lineRule="auto"/>
        <w:ind w:firstLine="470" w:firstLineChars="196"/>
        <w:jc w:val="left"/>
        <w:outlineLvl w:val="1"/>
        <w:rPr>
          <w:rFonts w:cs="宋体" w:asciiTheme="minorEastAsia" w:hAnsiTheme="minorEastAsia"/>
          <w:b/>
          <w:sz w:val="24"/>
          <w:szCs w:val="24"/>
        </w:rPr>
      </w:pPr>
      <w:bookmarkStart w:id="3" w:name="_BookMark_3"/>
      <w:bookmarkEnd w:id="3"/>
      <w:r>
        <w:rPr>
          <w:rFonts w:cs="Arial" w:asciiTheme="minorEastAsia" w:hAnsiTheme="minorEastAsia"/>
          <w:kern w:val="0"/>
          <w:sz w:val="24"/>
          <w:szCs w:val="24"/>
        </w:rPr>
        <w:br w:type="page"/>
      </w:r>
      <w:bookmarkStart w:id="4" w:name="_BookMark_12"/>
      <w:bookmarkEnd w:id="4"/>
      <w:bookmarkStart w:id="5" w:name="_Toc17299"/>
      <w:bookmarkStart w:id="6" w:name="_Toc22437"/>
      <w:r>
        <w:rPr>
          <w:rFonts w:cs="宋体" w:asciiTheme="minorEastAsia" w:hAnsiTheme="minorEastAsia"/>
          <w:b/>
          <w:sz w:val="24"/>
          <w:szCs w:val="24"/>
        </w:rPr>
        <w:t>1</w:t>
      </w:r>
      <w:r>
        <w:rPr>
          <w:rFonts w:hint="eastAsia" w:cs="宋体" w:asciiTheme="minorEastAsia" w:hAnsiTheme="minorEastAsia"/>
          <w:b/>
          <w:sz w:val="24"/>
          <w:szCs w:val="24"/>
        </w:rPr>
        <w:t>．总则</w:t>
      </w:r>
      <w:bookmarkEnd w:id="5"/>
      <w:bookmarkEnd w:id="6"/>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1.1 </w:t>
      </w:r>
      <w:r>
        <w:rPr>
          <w:rFonts w:hint="eastAsia" w:cs="Arial" w:asciiTheme="minorEastAsia" w:hAnsiTheme="minorEastAsia"/>
          <w:kern w:val="0"/>
          <w:sz w:val="24"/>
          <w:szCs w:val="24"/>
        </w:rPr>
        <w:t>招标项目概况</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1.1.1 </w:t>
      </w:r>
      <w:r>
        <w:rPr>
          <w:rFonts w:hint="eastAsia" w:cs="Arial" w:asciiTheme="minorEastAsia" w:hAnsiTheme="minorEastAsia"/>
          <w:kern w:val="0"/>
          <w:sz w:val="24"/>
          <w:szCs w:val="24"/>
        </w:rPr>
        <w:t>项目名称：见投标人须知前附表。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2标段名称：见投标人须知前附表。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3标段编号：见投标人须知前附表。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4招标人：见投标人须知前附表。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5采购代理机构：见投标人须知前附表。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6项目地点：见投标人须知前附表。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7资金来源：见投标人须知前附表。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1.1.</w:t>
      </w:r>
      <w:r>
        <w:rPr>
          <w:rFonts w:hint="eastAsia" w:cs="Arial" w:asciiTheme="minorEastAsia" w:hAnsiTheme="minorEastAsia"/>
          <w:kern w:val="0"/>
          <w:sz w:val="24"/>
          <w:szCs w:val="24"/>
        </w:rPr>
        <w:t>8采购预算金额：见投标人须知前附表。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1.1.8服务周期：见投标人须知前附表。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1.2</w:t>
      </w:r>
      <w:r>
        <w:rPr>
          <w:rFonts w:hint="eastAsia" w:cs="Arial" w:asciiTheme="minorEastAsia" w:hAnsiTheme="minorEastAsia"/>
          <w:kern w:val="0"/>
          <w:sz w:val="24"/>
          <w:szCs w:val="24"/>
        </w:rPr>
        <w:t>招标范围：见投标人须知前附表。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 </w:t>
      </w:r>
      <w:r>
        <w:rPr>
          <w:rFonts w:hint="eastAsia" w:cs="Arial" w:asciiTheme="minorEastAsia" w:hAnsiTheme="minorEastAsia"/>
          <w:kern w:val="0"/>
          <w:sz w:val="24"/>
          <w:szCs w:val="24"/>
        </w:rPr>
        <w:t>招标方式和资格审查方式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1.3.1 </w:t>
      </w:r>
      <w:r>
        <w:rPr>
          <w:rFonts w:hint="eastAsia" w:cs="Arial" w:asciiTheme="minorEastAsia" w:hAnsiTheme="minorEastAsia"/>
          <w:kern w:val="0"/>
          <w:sz w:val="24"/>
          <w:szCs w:val="24"/>
        </w:rPr>
        <w:t>招标方式：见投标人须知前附表。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1.3.2 </w:t>
      </w:r>
      <w:r>
        <w:rPr>
          <w:rFonts w:hint="eastAsia" w:cs="Arial" w:asciiTheme="minorEastAsia" w:hAnsiTheme="minorEastAsia"/>
          <w:kern w:val="0"/>
          <w:sz w:val="24"/>
          <w:szCs w:val="24"/>
        </w:rPr>
        <w:t>资格审查方式：见投标人须知前附表。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1.4 </w:t>
      </w:r>
      <w:r>
        <w:rPr>
          <w:rFonts w:hint="eastAsia" w:cs="Arial" w:asciiTheme="minorEastAsia" w:hAnsiTheme="minorEastAsia"/>
          <w:kern w:val="0"/>
          <w:sz w:val="24"/>
          <w:szCs w:val="24"/>
        </w:rPr>
        <w:t>评标办法及定标方法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1.4.1 </w:t>
      </w:r>
      <w:r>
        <w:rPr>
          <w:rFonts w:hint="eastAsia" w:cs="Arial" w:asciiTheme="minorEastAsia" w:hAnsiTheme="minorEastAsia"/>
          <w:kern w:val="0"/>
          <w:sz w:val="24"/>
          <w:szCs w:val="24"/>
        </w:rPr>
        <w:t>评标办法：见投标人须知前附表。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1.4.2</w:t>
      </w:r>
      <w:r>
        <w:rPr>
          <w:rFonts w:hint="eastAsia" w:cs="Arial" w:asciiTheme="minorEastAsia" w:hAnsiTheme="minorEastAsia"/>
          <w:kern w:val="0"/>
          <w:sz w:val="24"/>
          <w:szCs w:val="24"/>
        </w:rPr>
        <w:t xml:space="preserve"> 定标方法：见投标人须知前附表。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1.5 </w:t>
      </w:r>
      <w:r>
        <w:rPr>
          <w:rFonts w:hint="eastAsia" w:cs="Arial" w:asciiTheme="minorEastAsia" w:hAnsiTheme="minorEastAsia"/>
          <w:kern w:val="0"/>
          <w:sz w:val="24"/>
          <w:szCs w:val="24"/>
        </w:rPr>
        <w:t>投标人资格条件和能力要求</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kern w:val="0"/>
          <w:sz w:val="24"/>
          <w:szCs w:val="24"/>
        </w:rPr>
        <w:t xml:space="preserve">1.5.1 </w:t>
      </w:r>
      <w:r>
        <w:rPr>
          <w:rFonts w:hint="eastAsia" w:cs="Arial" w:asciiTheme="minorEastAsia" w:hAnsiTheme="minorEastAsia"/>
          <w:kern w:val="0"/>
          <w:sz w:val="24"/>
          <w:szCs w:val="24"/>
        </w:rPr>
        <w:t>投标人应具备承担本招标项目的资格条件和能力，具体要求见投标人须知前附</w:t>
      </w:r>
      <w:r>
        <w:rPr>
          <w:rFonts w:hint="eastAsia" w:cs="Arial" w:asciiTheme="minorEastAsia" w:hAnsiTheme="minorEastAsia"/>
          <w:color w:val="auto"/>
          <w:kern w:val="0"/>
          <w:sz w:val="24"/>
          <w:szCs w:val="24"/>
        </w:rPr>
        <w:t>表。</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1.5.</w:t>
      </w:r>
      <w:r>
        <w:rPr>
          <w:rFonts w:hint="eastAsia" w:cs="Arial" w:asciiTheme="minorEastAsia" w:hAnsiTheme="minorEastAsia"/>
          <w:color w:val="auto"/>
          <w:kern w:val="0"/>
          <w:sz w:val="24"/>
          <w:szCs w:val="24"/>
        </w:rPr>
        <w:t>2</w:t>
      </w:r>
      <w:r>
        <w:rPr>
          <w:rFonts w:cs="Arial" w:asciiTheme="minorEastAsia" w:hAnsiTheme="minorEastAsia"/>
          <w:color w:val="auto"/>
          <w:kern w:val="0"/>
          <w:sz w:val="24"/>
          <w:szCs w:val="24"/>
        </w:rPr>
        <w:t xml:space="preserve"> </w:t>
      </w:r>
      <w:r>
        <w:rPr>
          <w:rFonts w:hint="eastAsia" w:cs="Arial" w:asciiTheme="minorEastAsia" w:hAnsiTheme="minorEastAsia"/>
          <w:color w:val="auto"/>
          <w:kern w:val="0"/>
          <w:sz w:val="24"/>
          <w:szCs w:val="24"/>
        </w:rPr>
        <w:t>投标人不得存在下列情形之一，否则相关投标均应被否决：</w:t>
      </w:r>
    </w:p>
    <w:p>
      <w:pPr>
        <w:autoSpaceDE w:val="0"/>
        <w:autoSpaceDN w:val="0"/>
        <w:spacing w:line="360" w:lineRule="auto"/>
        <w:ind w:firstLine="480" w:firstLineChars="200"/>
        <w:jc w:val="left"/>
        <w:rPr>
          <w:rFonts w:asciiTheme="minorEastAsia" w:hAnsiTheme="minorEastAsia"/>
          <w:color w:val="auto"/>
          <w:sz w:val="24"/>
          <w:szCs w:val="24"/>
        </w:rPr>
      </w:pPr>
      <w:bookmarkStart w:id="7" w:name="_BookMark_5"/>
      <w:bookmarkEnd w:id="7"/>
      <w:r>
        <w:rPr>
          <w:rFonts w:hint="eastAsia" w:asciiTheme="minorEastAsia" w:hAnsiTheme="minorEastAsia"/>
          <w:color w:val="auto"/>
          <w:kern w:val="0"/>
          <w:sz w:val="24"/>
          <w:szCs w:val="24"/>
        </w:rPr>
        <w:t>（</w:t>
      </w:r>
      <w:r>
        <w:rPr>
          <w:rFonts w:asciiTheme="minorEastAsia" w:hAnsiTheme="minorEastAsia"/>
          <w:color w:val="auto"/>
          <w:kern w:val="0"/>
          <w:sz w:val="24"/>
          <w:szCs w:val="24"/>
        </w:rPr>
        <w:t>1</w:t>
      </w:r>
      <w:r>
        <w:rPr>
          <w:rFonts w:hint="eastAsia" w:asciiTheme="minorEastAsia" w:hAnsiTheme="minorEastAsia"/>
          <w:color w:val="auto"/>
          <w:kern w:val="0"/>
          <w:sz w:val="24"/>
          <w:szCs w:val="24"/>
        </w:rPr>
        <w:t>）</w:t>
      </w:r>
      <w:r>
        <w:rPr>
          <w:rFonts w:asciiTheme="minorEastAsia" w:hAnsiTheme="minorEastAsia"/>
          <w:color w:val="auto"/>
          <w:sz w:val="24"/>
          <w:szCs w:val="24"/>
        </w:rPr>
        <w:t>与</w:t>
      </w:r>
      <w:r>
        <w:rPr>
          <w:rFonts w:hint="eastAsia" w:asciiTheme="minorEastAsia" w:hAnsiTheme="minorEastAsia"/>
          <w:color w:val="auto"/>
          <w:sz w:val="24"/>
          <w:szCs w:val="24"/>
        </w:rPr>
        <w:t>招标人</w:t>
      </w:r>
      <w:r>
        <w:rPr>
          <w:rFonts w:asciiTheme="minorEastAsia" w:hAnsiTheme="minorEastAsia"/>
          <w:color w:val="auto"/>
          <w:sz w:val="24"/>
          <w:szCs w:val="24"/>
        </w:rPr>
        <w:t>存在利害关系可能影响招标公正性的法人、其他组织或者个人，不得参加投标。</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asciiTheme="minorEastAsia" w:hAnsiTheme="minorEastAsia"/>
          <w:color w:val="auto"/>
          <w:kern w:val="0"/>
          <w:sz w:val="24"/>
          <w:szCs w:val="24"/>
        </w:rPr>
        <w:t>（</w:t>
      </w:r>
      <w:r>
        <w:rPr>
          <w:rFonts w:asciiTheme="minorEastAsia" w:hAnsiTheme="minorEastAsia"/>
          <w:color w:val="auto"/>
          <w:kern w:val="0"/>
          <w:sz w:val="24"/>
          <w:szCs w:val="24"/>
        </w:rPr>
        <w:t>2</w:t>
      </w:r>
      <w:r>
        <w:rPr>
          <w:rFonts w:hint="eastAsia" w:asciiTheme="minorEastAsia" w:hAnsiTheme="minorEastAsia"/>
          <w:color w:val="auto"/>
          <w:kern w:val="0"/>
          <w:sz w:val="24"/>
          <w:szCs w:val="24"/>
        </w:rPr>
        <w:t>）单位负责人为同一人或者存在控股、管理关系的不同投标人，不得参加同一合同项下的政府采购活动。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6费用承担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1.6.1招标文件费：见投标人须知前附表。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1.6.2投标人应承担其编制投标文件与递交投标文件所涉及的一切费用，无论投标结果如何，招标人及采购代理机构对上述费用不作任何补偿。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7投标保证金：见投标人须知前附表。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1.8踏勘现场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投标人须知前附表规定组织踏勘现场的，招标人或采购代理机构按投标人须知前附表规定的时间、地点组织投标人踏勘项目现场。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投标人踏勘现场发生的费用自理。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除招标人或采购代理机构的原因外，投标人自行负责在踏勘现场中所发生的人员伤亡和财产损失。</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8</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招标人或采购代理机构在踏勘现场中介绍的项目有关情况，供投标人在编制投标文件时参考，招标人或采购代理机构不对投标人据此作出的判断和决策负责。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9招标答疑会和招标澄清答疑要求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投标人须知前附表规定召开招标答疑会的，招标人或采购代理机构按照投标人须知前附表规定的时间和地点召开招标答疑会，澄清投标人提出的问题。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投标人若有疑问，应按投标人须知前附表规定的时间、方式向招标人或采购代理机构提出，要求招标人对招标文件予以澄清。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9</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招标人或采购代理机构将按照投标人须知前附表规定的时间方式对投标人的疑问作出统一的解答。</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1.10投标文件份数：见投标人须知前附表。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1.11投标文件递交：见投标人须知前附表。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1.12开标：见投标人须知前附表。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1.13投标有效期：见投标人须知前附表。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1.14招标公告发布媒体：见投标人须知前附表。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1.15履约保证金：见投标人须知前附表。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1.16保密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参与招标投标活动的各方应当对招标文件和投标文件中的商业和技术等秘密保密，否则应当承担相应的法律责任。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17语言文字</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除专用术语外，与招标投标有关的语言均应当使用中文。必要时专用术语应附有中文注释。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18计量单位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所有计量均采用中华人民共和国法定计量单位。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19偏离</w:t>
      </w:r>
    </w:p>
    <w:p>
      <w:pPr>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1.</w:t>
      </w:r>
      <w:r>
        <w:rPr>
          <w:rFonts w:hint="eastAsia" w:cs="Arial" w:asciiTheme="minorEastAsia" w:hAnsiTheme="minorEastAsia"/>
          <w:color w:val="auto"/>
          <w:kern w:val="0"/>
          <w:sz w:val="24"/>
          <w:szCs w:val="24"/>
        </w:rPr>
        <w:t>19.1本条所称偏离为投标文件对招标文件的偏离，即不满足、或不响应招标文件的要求。偏离分为对招标文件的实质性要求条款偏离和对招标文件的一般商务和技术条款偏离。</w:t>
      </w:r>
    </w:p>
    <w:p>
      <w:pPr>
        <w:widowControl/>
        <w:shd w:val="clear" w:color="auto" w:fill="FFFFFF"/>
        <w:snapToGrid w:val="0"/>
        <w:spacing w:line="360" w:lineRule="auto"/>
        <w:ind w:firstLine="482" w:firstLineChars="200"/>
        <w:rPr>
          <w:rFonts w:cs="Arial" w:asciiTheme="minorEastAsia" w:hAnsiTheme="minorEastAsia"/>
          <w:color w:val="auto"/>
          <w:kern w:val="0"/>
          <w:sz w:val="24"/>
          <w:szCs w:val="24"/>
        </w:rPr>
      </w:pPr>
      <w:r>
        <w:rPr>
          <w:rFonts w:cs="Arial" w:asciiTheme="minorEastAsia" w:hAnsiTheme="minorEastAsia"/>
          <w:b/>
          <w:color w:val="auto"/>
          <w:kern w:val="0"/>
          <w:sz w:val="24"/>
          <w:szCs w:val="24"/>
        </w:rPr>
        <w:t>1.</w:t>
      </w:r>
      <w:r>
        <w:rPr>
          <w:rFonts w:hint="eastAsia" w:cs="Arial" w:asciiTheme="minorEastAsia" w:hAnsiTheme="minorEastAsia"/>
          <w:b/>
          <w:color w:val="auto"/>
          <w:kern w:val="0"/>
          <w:sz w:val="24"/>
          <w:szCs w:val="24"/>
        </w:rPr>
        <w:t>19.2除法律、法规和规章规定外。招标文件中 “拒绝”“不接受”“无效”“不得”“投标被否决”等文字规定或标注“★”“▲”符号的条款为实质性要求条款（即重要条款），对其中任一条的偏离，在评审时将其视为无效响应。未用上述文字规定或符号标注的条款为非实质性要求条款（即一般条款）。着重提醒各投标人注意，并认真查看招标文件中的每一个条款及要求，因误读招标文件而造成的后果，招标人概不负责。</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8" w:name="_Toc1284"/>
      <w:bookmarkStart w:id="9" w:name="_Toc3248"/>
      <w:r>
        <w:rPr>
          <w:rFonts w:cs="宋体" w:asciiTheme="minorEastAsia" w:hAnsiTheme="minorEastAsia"/>
          <w:b/>
          <w:sz w:val="24"/>
          <w:szCs w:val="24"/>
        </w:rPr>
        <w:t>2</w:t>
      </w:r>
      <w:r>
        <w:rPr>
          <w:rFonts w:hint="eastAsia" w:cs="宋体" w:asciiTheme="minorEastAsia" w:hAnsiTheme="minorEastAsia"/>
          <w:b/>
          <w:sz w:val="24"/>
          <w:szCs w:val="24"/>
        </w:rPr>
        <w:t>．招标文件</w:t>
      </w:r>
      <w:bookmarkEnd w:id="8"/>
      <w:bookmarkEnd w:id="9"/>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2.1 </w:t>
      </w:r>
      <w:r>
        <w:rPr>
          <w:rFonts w:hint="eastAsia" w:cs="Arial" w:asciiTheme="minorEastAsia" w:hAnsiTheme="minorEastAsia"/>
          <w:kern w:val="0"/>
          <w:sz w:val="24"/>
          <w:szCs w:val="24"/>
        </w:rPr>
        <w:t>招标文件的组成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）投标人须知；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）评标办法；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）合同条款及格式；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）技术标准和要求；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）投标文件格式；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6</w:t>
      </w:r>
      <w:r>
        <w:rPr>
          <w:rFonts w:hint="eastAsia" w:cs="Arial" w:asciiTheme="minorEastAsia" w:hAnsiTheme="minorEastAsia"/>
          <w:kern w:val="0"/>
          <w:sz w:val="24"/>
          <w:szCs w:val="24"/>
        </w:rPr>
        <w:t>）补充条款。</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根据本章第</w:t>
      </w:r>
      <w:r>
        <w:rPr>
          <w:rFonts w:cs="Arial" w:asciiTheme="minorEastAsia" w:hAnsiTheme="minorEastAsia"/>
          <w:kern w:val="0"/>
          <w:sz w:val="24"/>
          <w:szCs w:val="24"/>
        </w:rPr>
        <w:t>2.</w:t>
      </w:r>
      <w:r>
        <w:rPr>
          <w:rFonts w:hint="eastAsia" w:cs="Arial" w:asciiTheme="minorEastAsia" w:hAnsiTheme="minorEastAsia"/>
          <w:kern w:val="0"/>
          <w:sz w:val="24"/>
          <w:szCs w:val="24"/>
        </w:rPr>
        <w:t>3款和第</w:t>
      </w:r>
      <w:r>
        <w:rPr>
          <w:rFonts w:cs="Arial" w:asciiTheme="minorEastAsia" w:hAnsiTheme="minorEastAsia"/>
          <w:kern w:val="0"/>
          <w:sz w:val="24"/>
          <w:szCs w:val="24"/>
        </w:rPr>
        <w:t>2.</w:t>
      </w:r>
      <w:r>
        <w:rPr>
          <w:rFonts w:hint="eastAsia" w:cs="Arial" w:asciiTheme="minorEastAsia" w:hAnsiTheme="minorEastAsia"/>
          <w:kern w:val="0"/>
          <w:sz w:val="24"/>
          <w:szCs w:val="24"/>
        </w:rPr>
        <w:t>4款对招标文件所作的澄清、修改，构成招标文件的组成部分。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2招标文件的获取</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凡有意参加并符合投标人须知前附表“投标人资格条件和能力”的投标人，均可登陆政采云https://www.zcygov.cn/平台后进入“项目采购“应用，在获取文件菜单中选择项目，申请获取采购文件。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3招标文件的澄清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投标人应当仔细阅读和检查招标文件的全部内容。如发现缺页或附件不全，应当及时向招标人提出，以便补齐。如有疑问，应当在投标人须知前附表规定的时间、方式向招标人提出，要求招标人对招标文件予以澄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招标文件的澄清将按照投标人须知前附表规定的时间、方式发布，但不指明澄清问题的来源。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4招标文件的修改</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招标文件的修改将按照投标人须知前附表规定的时间、方式发布，但不指明澄清问题的来源。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在投标人须知前附表规定的截止时间前，无论出于何种原因，采购代理机构和招标人可主动地或在解答潜在投标人提出的澄清问题时对招标文件进行修改。</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招标文件的修改部分是招标文件的组成部分对投标人具有约束力。</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为使投标人准备投标时有充分时间对招标文件的修改部分进行研究，招标人可适当推迟投标截止期。</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.5 </w:t>
      </w:r>
      <w:r>
        <w:rPr>
          <w:rFonts w:hint="eastAsia" w:cs="Arial" w:asciiTheme="minorEastAsia" w:hAnsiTheme="minorEastAsia"/>
          <w:kern w:val="0"/>
          <w:sz w:val="24"/>
          <w:szCs w:val="24"/>
        </w:rPr>
        <w:t>当招标人发放的招标文件及招标文件的答疑文件、修改文件、补充文件前后不一致，发生矛盾情况时，以最后发出的为准。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.6 </w:t>
      </w:r>
      <w:r>
        <w:rPr>
          <w:rFonts w:hint="eastAsia" w:cs="Arial" w:asciiTheme="minorEastAsia" w:hAnsiTheme="minorEastAsia"/>
          <w:kern w:val="0"/>
          <w:sz w:val="24"/>
          <w:szCs w:val="24"/>
        </w:rPr>
        <w:t>如果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中标人将必须接受由招标人依据合同有关条款而做出的书面澄清。</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10" w:name="_BookMark_6"/>
      <w:bookmarkEnd w:id="10"/>
      <w:bookmarkStart w:id="11" w:name="_Toc5109"/>
      <w:bookmarkStart w:id="12" w:name="_Toc28949"/>
      <w:r>
        <w:rPr>
          <w:rFonts w:cs="宋体" w:asciiTheme="minorEastAsia" w:hAnsiTheme="minorEastAsia"/>
          <w:b/>
          <w:sz w:val="24"/>
          <w:szCs w:val="24"/>
        </w:rPr>
        <w:t>3</w:t>
      </w:r>
      <w:r>
        <w:rPr>
          <w:rFonts w:hint="eastAsia" w:cs="宋体" w:asciiTheme="minorEastAsia" w:hAnsiTheme="minorEastAsia"/>
          <w:b/>
          <w:sz w:val="24"/>
          <w:szCs w:val="24"/>
        </w:rPr>
        <w:t>．投标文件</w:t>
      </w:r>
      <w:bookmarkEnd w:id="11"/>
      <w:bookmarkEnd w:id="12"/>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3.1 </w:t>
      </w:r>
      <w:r>
        <w:rPr>
          <w:rFonts w:hint="eastAsia" w:cs="Arial" w:asciiTheme="minorEastAsia" w:hAnsiTheme="minorEastAsia"/>
          <w:kern w:val="0"/>
          <w:sz w:val="24"/>
          <w:szCs w:val="24"/>
        </w:rPr>
        <w:t>投标文件的组成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3.1.1</w:t>
      </w:r>
      <w:r>
        <w:rPr>
          <w:rFonts w:hint="eastAsia" w:cs="Arial" w:asciiTheme="minorEastAsia" w:hAnsiTheme="minorEastAsia"/>
          <w:kern w:val="0"/>
          <w:sz w:val="24"/>
          <w:szCs w:val="24"/>
        </w:rPr>
        <w:t>投标文件应包括下列内容：</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1、投标函</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2、开标一览表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3、反商业贿赂承诺书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4、技术条款偏离表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5、商务条款偏离表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6、法定代表人身份证明书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7、法定代表人授权委托书</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8、投标人基本情况</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9、投标人近年类似项目情况表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10、拟投入本项目主要机械设备</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11、项目负责人简历表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12、拟投入人员配置表</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13、合理化建议</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14、养护作业方案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15、质量管理方案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16、应急抢险方案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17、安全服务方案</w:t>
      </w:r>
    </w:p>
    <w:p>
      <w:pPr>
        <w:widowControl/>
        <w:shd w:val="clear" w:color="auto" w:fill="FFFFFF"/>
        <w:snapToGrid w:val="0"/>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18、文明作业方案</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ascii="宋体" w:hAnsi="宋体" w:eastAsia="宋体" w:cs="Arial"/>
          <w:kern w:val="0"/>
          <w:sz w:val="24"/>
          <w:szCs w:val="24"/>
        </w:rPr>
        <w:t>19、其他需要提交的资料（根据招标文件的要求和投标人认为需要提供的资料）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 </w:t>
      </w:r>
      <w:r>
        <w:rPr>
          <w:rFonts w:hint="eastAsia" w:cs="Arial" w:asciiTheme="minorEastAsia" w:hAnsiTheme="minorEastAsia"/>
          <w:kern w:val="0"/>
          <w:sz w:val="24"/>
          <w:szCs w:val="24"/>
        </w:rPr>
        <w:t>投标价格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w:t>
      </w:r>
      <w:r>
        <w:rPr>
          <w:rFonts w:hint="eastAsia" w:cs="Arial" w:asciiTheme="minorEastAsia" w:hAnsiTheme="minorEastAsia"/>
          <w:kern w:val="0"/>
          <w:sz w:val="24"/>
          <w:szCs w:val="24"/>
        </w:rPr>
        <w:t>1投标人的货物只允许有一个报价，招标人不接受有任何选择的报价。投标价格应包括投标人履行本项目合同（如果中标）所必须的所有成本费用和中标人应承担的一切税费，包括但不仅限于必要资料、办公、交通、保险、人员、税费、售后服务费及培训费等一切费用。未列和没有填写的项目费用，招标人将视为已包括在投标价格中；</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w:t>
      </w:r>
      <w:r>
        <w:rPr>
          <w:rFonts w:hint="eastAsia" w:cs="Arial" w:asciiTheme="minorEastAsia" w:hAnsiTheme="minorEastAsia"/>
          <w:kern w:val="0"/>
          <w:sz w:val="24"/>
          <w:szCs w:val="24"/>
        </w:rPr>
        <w:t>2投标人提供的货物一律用人民币报价。</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 </w:t>
      </w:r>
      <w:r>
        <w:rPr>
          <w:rFonts w:hint="eastAsia" w:cs="Arial" w:asciiTheme="minorEastAsia" w:hAnsiTheme="minorEastAsia"/>
          <w:kern w:val="0"/>
          <w:sz w:val="24"/>
          <w:szCs w:val="24"/>
        </w:rPr>
        <w:t>投标有效期</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3.3.1 </w:t>
      </w:r>
      <w:r>
        <w:rPr>
          <w:rFonts w:hint="eastAsia" w:cs="Arial" w:asciiTheme="minorEastAsia" w:hAnsiTheme="minorEastAsia"/>
          <w:kern w:val="0"/>
          <w:sz w:val="24"/>
          <w:szCs w:val="24"/>
        </w:rPr>
        <w:t>在投标人须知前附表规定的投标有效期内，投标人不得要求撤销或修改其投标文件。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3.3.2 </w:t>
      </w:r>
      <w:r>
        <w:rPr>
          <w:rFonts w:hint="eastAsia" w:cs="Arial" w:asciiTheme="minorEastAsia" w:hAnsiTheme="minorEastAsia"/>
          <w:kern w:val="0"/>
          <w:sz w:val="24"/>
          <w:szCs w:val="24"/>
        </w:rPr>
        <w:t>出现特殊情况需要延长投标有效期的，招标人将通知所有投标人延长投标有效期。投标人同意延长的，应当相应延长其投标保证金的有效期，但不得要求或被允许修改或撤销其投标文件；投标人拒绝延长的，其投标失效，但投标人有权收回其投标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3.3.3 </w:t>
      </w:r>
      <w:r>
        <w:rPr>
          <w:rFonts w:hint="eastAsia" w:cs="Arial" w:asciiTheme="minorEastAsia" w:hAnsiTheme="minorEastAsia"/>
          <w:kern w:val="0"/>
          <w:sz w:val="24"/>
          <w:szCs w:val="24"/>
        </w:rPr>
        <w:t>投标保证金的有效期与投标有效期一致。</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3.4 </w:t>
      </w:r>
      <w:r>
        <w:rPr>
          <w:rFonts w:hint="eastAsia" w:cs="Arial" w:asciiTheme="minorEastAsia" w:hAnsiTheme="minorEastAsia"/>
          <w:kern w:val="0"/>
          <w:sz w:val="24"/>
          <w:szCs w:val="24"/>
        </w:rPr>
        <w:t>投标保证金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3.4.1 </w:t>
      </w:r>
      <w:r>
        <w:rPr>
          <w:rFonts w:hint="eastAsia" w:cs="Arial" w:asciiTheme="minorEastAsia" w:hAnsiTheme="minorEastAsia"/>
          <w:kern w:val="0"/>
          <w:sz w:val="24"/>
          <w:szCs w:val="24"/>
        </w:rPr>
        <w:t>投标人应于投标截止时间前按投标人须知前附表规定数额提交投标保证金。未提交投标保证金的，将被视为非响应性投标而予以拒绝。联合体投标的，其投标保证金由牵头人递交，并应符合投标人须知前附表的规定。</w:t>
      </w:r>
    </w:p>
    <w:p>
      <w:pPr>
        <w:shd w:val="clear" w:color="auto" w:fill="FFFFFF"/>
        <w:snapToGrid w:val="0"/>
        <w:spacing w:line="384" w:lineRule="auto"/>
        <w:ind w:firstLine="360" w:firstLineChars="150"/>
        <w:rPr>
          <w:rFonts w:cs="Arial" w:asciiTheme="minorEastAsia" w:hAnsiTheme="minorEastAsia"/>
          <w:kern w:val="0"/>
          <w:sz w:val="24"/>
          <w:szCs w:val="24"/>
        </w:rPr>
      </w:pPr>
      <w:r>
        <w:rPr>
          <w:rFonts w:hint="eastAsia" w:cs="Arial" w:asciiTheme="minorEastAsia" w:hAnsiTheme="minorEastAsia"/>
          <w:kern w:val="0"/>
          <w:sz w:val="24"/>
          <w:szCs w:val="24"/>
        </w:rPr>
        <w:t xml:space="preserve"> </w:t>
      </w:r>
      <w:r>
        <w:rPr>
          <w:rFonts w:cs="Arial" w:asciiTheme="minorEastAsia" w:hAnsiTheme="minorEastAsia"/>
          <w:kern w:val="0"/>
          <w:sz w:val="24"/>
          <w:szCs w:val="24"/>
        </w:rPr>
        <w:t>3.4.2</w:t>
      </w:r>
      <w:r>
        <w:rPr>
          <w:rFonts w:hint="eastAsia" w:cs="Arial" w:asciiTheme="minorEastAsia" w:hAnsiTheme="minorEastAsia"/>
          <w:kern w:val="0"/>
          <w:sz w:val="24"/>
          <w:szCs w:val="24"/>
        </w:rPr>
        <w:t>投标保证金是为了保护招标人免遭因投标人的行为而蒙受损失。招标人在因投标人的行为受到损害时可根据相关法律规定没收投标人的投标保证金。</w:t>
      </w:r>
    </w:p>
    <w:p>
      <w:pPr>
        <w:autoSpaceDE w:val="0"/>
        <w:autoSpaceDN w:val="0"/>
        <w:adjustRightInd w:val="0"/>
        <w:spacing w:line="360" w:lineRule="auto"/>
        <w:ind w:firstLine="480" w:firstLineChars="200"/>
        <w:jc w:val="left"/>
        <w:rPr>
          <w:rFonts w:cs="Arial" w:asciiTheme="minorEastAsia" w:hAnsiTheme="minorEastAsia"/>
          <w:b/>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3投标人在投标截止时间前撤回已提交的投标文件的，招标人或者招标代理机构应当自收到投标人书面撤回通知之日起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个工作日内，退还已收取的投标保证金，但因投标人自身原因导致无法及时退还的除外。招标人或者招标代理机构应当自中标通知书发出之日起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个工作日内退还未中标人的投标保证金，自采购合同签订之日起</w:t>
      </w:r>
      <w:r>
        <w:rPr>
          <w:rFonts w:cs="Arial" w:asciiTheme="minorEastAsia" w:hAnsiTheme="minorEastAsia"/>
          <w:kern w:val="0"/>
          <w:sz w:val="24"/>
          <w:szCs w:val="24"/>
        </w:rPr>
        <w:t>5</w:t>
      </w:r>
      <w:r>
        <w:rPr>
          <w:rFonts w:hint="eastAsia" w:cs="Arial" w:asciiTheme="minorEastAsia" w:hAnsiTheme="minorEastAsia"/>
          <w:kern w:val="0"/>
          <w:sz w:val="24"/>
          <w:szCs w:val="24"/>
        </w:rPr>
        <w:t>个工作日内退还中标人的投标保证金。</w:t>
      </w:r>
      <w:r>
        <w:rPr>
          <w:rFonts w:hint="eastAsia" w:cs="Arial" w:asciiTheme="minorEastAsia" w:hAnsiTheme="minorEastAsia"/>
          <w:b/>
          <w:kern w:val="0"/>
          <w:sz w:val="24"/>
          <w:szCs w:val="24"/>
        </w:rPr>
        <w:t xml:space="preserve"> </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4投标保证金有效期与投标有效期一致。</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3.4.</w:t>
      </w:r>
      <w:r>
        <w:rPr>
          <w:rFonts w:hint="eastAsia" w:cs="Arial" w:asciiTheme="minorEastAsia" w:hAnsiTheme="minorEastAsia"/>
          <w:kern w:val="0"/>
          <w:sz w:val="24"/>
          <w:szCs w:val="24"/>
        </w:rPr>
        <w:t>5有下列情形之一的，投标保证金不予退还：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）投标人在规定的投标有效期内撤销或修改其投标文件的；</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）中标人在收到中标通知书后，无正当理由拒签合同协议书或在签订合同时提出附加条件或者更改合同实质性内容的；</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）未按招标文件规定提交履约保证金的。</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3.5</w:t>
      </w:r>
      <w:r>
        <w:rPr>
          <w:rFonts w:hint="eastAsia" w:cs="Arial" w:asciiTheme="minorEastAsia" w:hAnsiTheme="minorEastAsia"/>
          <w:color w:val="auto"/>
          <w:kern w:val="0"/>
          <w:sz w:val="24"/>
          <w:szCs w:val="24"/>
        </w:rPr>
        <w:t>电子投标文件的编制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3.5.1电子投标文件使用政采云平台响应文件制作工具以及招标文件要求进行制作编制。投标文件制作时，按照招标文件中明确的投标文件目录和格式进行编制，保证目录清晰、内容完整。</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3.5.2电子投标文件须使用投标人电子公章及法定代表人的电子签名。若无电子签章和签名，则视为无效响应。</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3.5.3电子招投标文件具有法律效力，与其他形式的招投标文件在内容和格式上等同，若投标文件与招标文件要求不一致，其内容影响成交结果时，责任由投标人自行承担。投标人递交的电子投标文件因投标人自身原因而导致无法导入电子辅助评标系统，该投标文件视为无效投标文件，将导致其投标被拒绝。</w:t>
      </w:r>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13" w:name="_BookMark_7"/>
      <w:bookmarkEnd w:id="13"/>
      <w:bookmarkStart w:id="14" w:name="_Toc7591"/>
      <w:bookmarkStart w:id="15" w:name="_Toc1186"/>
      <w:r>
        <w:rPr>
          <w:rFonts w:cs="宋体" w:asciiTheme="minorEastAsia" w:hAnsiTheme="minorEastAsia"/>
          <w:b/>
          <w:color w:val="auto"/>
          <w:sz w:val="24"/>
          <w:szCs w:val="24"/>
        </w:rPr>
        <w:t>4</w:t>
      </w:r>
      <w:r>
        <w:rPr>
          <w:rFonts w:hint="eastAsia" w:cs="宋体" w:asciiTheme="minorEastAsia" w:hAnsiTheme="minorEastAsia"/>
          <w:b/>
          <w:color w:val="auto"/>
          <w:sz w:val="24"/>
          <w:szCs w:val="24"/>
        </w:rPr>
        <w:t>．投标</w:t>
      </w:r>
      <w:bookmarkEnd w:id="14"/>
      <w:bookmarkEnd w:id="15"/>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4.1 </w:t>
      </w:r>
      <w:r>
        <w:rPr>
          <w:rFonts w:hint="eastAsia" w:cs="Arial" w:asciiTheme="minorEastAsia" w:hAnsiTheme="minorEastAsia"/>
          <w:color w:val="auto"/>
          <w:kern w:val="0"/>
          <w:sz w:val="24"/>
          <w:szCs w:val="24"/>
        </w:rPr>
        <w:t>投标文件的密封</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4.1.1</w:t>
      </w:r>
      <w:r>
        <w:rPr>
          <w:rFonts w:hint="eastAsia" w:cs="Arial" w:asciiTheme="minorEastAsia" w:hAnsiTheme="minorEastAsia"/>
          <w:color w:val="auto"/>
          <w:kern w:val="0"/>
          <w:sz w:val="24"/>
          <w:szCs w:val="24"/>
        </w:rPr>
        <w:t>、</w:t>
      </w:r>
      <w:r>
        <w:rPr>
          <w:rFonts w:hint="eastAsia" w:asciiTheme="minorEastAsia" w:hAnsiTheme="minorEastAsia"/>
          <w:color w:val="auto"/>
          <w:kern w:val="0"/>
          <w:sz w:val="24"/>
          <w:szCs w:val="24"/>
        </w:rPr>
        <w:t>投标文件的密封：</w:t>
      </w:r>
      <w:r>
        <w:rPr>
          <w:rFonts w:hint="eastAsia" w:cs="Arial" w:asciiTheme="minorEastAsia" w:hAnsiTheme="minorEastAsia"/>
          <w:color w:val="auto"/>
          <w:kern w:val="0"/>
          <w:sz w:val="24"/>
          <w:szCs w:val="24"/>
        </w:rPr>
        <w:t>加密的电子投标文件（.jmbs格式）加密的电子投标文件（.jmbs格式）应在投标文件递交截止时间前通过政采云平台上传完成。</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4.2 </w:t>
      </w:r>
      <w:r>
        <w:rPr>
          <w:rFonts w:hint="eastAsia" w:cs="Arial" w:asciiTheme="minorEastAsia" w:hAnsiTheme="minorEastAsia"/>
          <w:color w:val="auto"/>
          <w:kern w:val="0"/>
          <w:sz w:val="24"/>
          <w:szCs w:val="24"/>
        </w:rPr>
        <w:t>投标文件的递交</w:t>
      </w:r>
    </w:p>
    <w:p>
      <w:pPr>
        <w:autoSpaceDE w:val="0"/>
        <w:autoSpaceDN w:val="0"/>
        <w:spacing w:line="360" w:lineRule="auto"/>
        <w:ind w:firstLine="480" w:firstLineChars="200"/>
        <w:jc w:val="left"/>
        <w:rPr>
          <w:rFonts w:asciiTheme="minorEastAsia" w:hAnsiTheme="minorEastAsia"/>
          <w:bCs/>
          <w:color w:val="auto"/>
          <w:kern w:val="0"/>
          <w:sz w:val="24"/>
          <w:szCs w:val="24"/>
        </w:rPr>
      </w:pPr>
      <w:bookmarkStart w:id="16" w:name="_Hlk57105548"/>
      <w:bookmarkStart w:id="17" w:name="_Hlk18820306"/>
      <w:bookmarkStart w:id="18" w:name="_Hlk57105547"/>
      <w:bookmarkStart w:id="19" w:name="_Hlk22461104"/>
      <w:bookmarkStart w:id="20" w:name="_Hlk18820305"/>
      <w:bookmarkStart w:id="21" w:name="_Hlk23746210"/>
      <w:bookmarkStart w:id="22" w:name="_Hlk57105549"/>
      <w:bookmarkStart w:id="23" w:name="_Hlk23651228"/>
      <w:bookmarkStart w:id="24" w:name="_Hlk22461105"/>
      <w:bookmarkStart w:id="25" w:name="_Hlk18820304"/>
      <w:bookmarkStart w:id="26" w:name="_Hlk23746208"/>
      <w:bookmarkStart w:id="27" w:name="_Hlk23651230"/>
      <w:bookmarkStart w:id="28" w:name="_Hlk23651229"/>
      <w:bookmarkStart w:id="29" w:name="_Hlk22461103"/>
      <w:bookmarkStart w:id="30" w:name="_Hlk23746209"/>
      <w:r>
        <w:rPr>
          <w:rFonts w:cs="Arial" w:asciiTheme="minorEastAsia" w:hAnsiTheme="minorEastAsia"/>
          <w:color w:val="auto"/>
          <w:kern w:val="0"/>
          <w:sz w:val="24"/>
          <w:szCs w:val="24"/>
        </w:rPr>
        <w:t>4.2.1</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hint="eastAsia" w:cs="Arial" w:asciiTheme="minorEastAsia" w:hAnsiTheme="minorEastAsia"/>
          <w:color w:val="auto"/>
          <w:kern w:val="0"/>
          <w:sz w:val="24"/>
          <w:szCs w:val="24"/>
        </w:rPr>
        <w:t>、</w:t>
      </w:r>
      <w:r>
        <w:rPr>
          <w:rFonts w:hint="eastAsia" w:asciiTheme="minorEastAsia" w:hAnsiTheme="minorEastAsia"/>
          <w:bCs/>
          <w:color w:val="auto"/>
          <w:kern w:val="0"/>
          <w:sz w:val="24"/>
          <w:szCs w:val="24"/>
        </w:rPr>
        <w:t>“电子加密投标文件”的递交截止时间及地点为招标公告所规定的时间、地点，投标人将“电子加密投标文件”成功上传递交后，投标人可自行打印投标文件接收回执。任何单位和个人不得在开标前开启投标文件。逾期递交的投标文件，招标人、招标代理机构将予以拒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asciiTheme="minorEastAsia" w:hAnsiTheme="minorEastAsia"/>
          <w:bCs/>
          <w:color w:val="auto"/>
          <w:kern w:val="0"/>
          <w:sz w:val="24"/>
          <w:szCs w:val="24"/>
        </w:rPr>
        <w:t>4.2</w:t>
      </w:r>
      <w:r>
        <w:rPr>
          <w:rFonts w:asciiTheme="minorEastAsia" w:hAnsiTheme="minorEastAsia"/>
          <w:bCs/>
          <w:color w:val="auto"/>
          <w:kern w:val="0"/>
          <w:sz w:val="24"/>
          <w:szCs w:val="24"/>
        </w:rPr>
        <w:t xml:space="preserve">.2 </w:t>
      </w:r>
      <w:r>
        <w:rPr>
          <w:rFonts w:hint="eastAsia" w:asciiTheme="minorEastAsia" w:hAnsiTheme="minorEastAsia"/>
          <w:bCs/>
          <w:color w:val="auto"/>
          <w:kern w:val="0"/>
          <w:sz w:val="24"/>
          <w:szCs w:val="24"/>
        </w:rPr>
        <w:t>出现因招标文件的修改推迟投标截止时间时，则按招标人或者招标代理机构规定的顺延时间递交。</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4.3 </w:t>
      </w:r>
      <w:r>
        <w:rPr>
          <w:rFonts w:hint="eastAsia" w:cs="Arial" w:asciiTheme="minorEastAsia" w:hAnsiTheme="minorEastAsia"/>
          <w:color w:val="auto"/>
          <w:kern w:val="0"/>
          <w:sz w:val="24"/>
          <w:szCs w:val="24"/>
        </w:rPr>
        <w:t>投标文件的修改与撤回</w:t>
      </w:r>
    </w:p>
    <w:p>
      <w:pPr>
        <w:autoSpaceDE w:val="0"/>
        <w:autoSpaceDN w:val="0"/>
        <w:spacing w:line="360" w:lineRule="auto"/>
        <w:ind w:firstLine="480" w:firstLineChars="200"/>
        <w:jc w:val="left"/>
        <w:rPr>
          <w:rFonts w:asciiTheme="minorEastAsia" w:hAnsiTheme="minorEastAsia"/>
          <w:bCs/>
          <w:color w:val="auto"/>
          <w:kern w:val="0"/>
          <w:sz w:val="24"/>
          <w:szCs w:val="24"/>
        </w:rPr>
      </w:pPr>
      <w:r>
        <w:rPr>
          <w:rFonts w:cs="Arial" w:asciiTheme="minorEastAsia" w:hAnsiTheme="minorEastAsia"/>
          <w:color w:val="auto"/>
          <w:kern w:val="0"/>
          <w:sz w:val="24"/>
          <w:szCs w:val="24"/>
        </w:rPr>
        <w:t>4.3.1</w:t>
      </w:r>
      <w:r>
        <w:rPr>
          <w:rFonts w:hint="eastAsia" w:asciiTheme="minorEastAsia" w:hAnsiTheme="minorEastAsia"/>
          <w:bCs/>
          <w:color w:val="auto"/>
          <w:kern w:val="0"/>
          <w:sz w:val="24"/>
          <w:szCs w:val="24"/>
        </w:rPr>
        <w:t>投标人在投标人须知前附表规定的提交投标文件截止时间前，可以撤回已上传的投标文件。如要修改，必须在撤回并修改后在规定的投标文件递交截止时间之前将修改后的投标文件再重新上传。在投标文件递交截止时间之后，投标人不得对上传的投标文件撤销或修改。</w:t>
      </w:r>
    </w:p>
    <w:p>
      <w:pPr>
        <w:autoSpaceDE w:val="0"/>
        <w:autoSpaceDN w:val="0"/>
        <w:spacing w:line="360" w:lineRule="auto"/>
        <w:ind w:firstLine="480" w:firstLineChars="200"/>
        <w:jc w:val="left"/>
        <w:rPr>
          <w:rFonts w:asciiTheme="minorEastAsia" w:hAnsiTheme="minorEastAsia"/>
          <w:bCs/>
          <w:color w:val="auto"/>
          <w:kern w:val="0"/>
          <w:sz w:val="24"/>
          <w:szCs w:val="24"/>
        </w:rPr>
      </w:pPr>
      <w:r>
        <w:rPr>
          <w:rFonts w:hint="eastAsia" w:asciiTheme="minorEastAsia" w:hAnsiTheme="minorEastAsia"/>
          <w:bCs/>
          <w:color w:val="auto"/>
          <w:kern w:val="0"/>
          <w:sz w:val="24"/>
          <w:szCs w:val="24"/>
        </w:rPr>
        <w:t>4.3.2投标人不得在开标时间起至投标有效期期满前撤回投标文件。</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4.4</w:t>
      </w:r>
      <w:r>
        <w:rPr>
          <w:rFonts w:hint="eastAsia" w:cs="Arial" w:asciiTheme="minorEastAsia" w:hAnsiTheme="minorEastAsia"/>
          <w:color w:val="auto"/>
          <w:kern w:val="0"/>
          <w:sz w:val="24"/>
          <w:szCs w:val="24"/>
        </w:rPr>
        <w:t>投标文件格式</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4.4.1 </w:t>
      </w:r>
      <w:r>
        <w:rPr>
          <w:rFonts w:hint="eastAsia" w:cs="Arial" w:asciiTheme="minorEastAsia" w:hAnsiTheme="minorEastAsia"/>
          <w:color w:val="auto"/>
          <w:kern w:val="0"/>
          <w:sz w:val="24"/>
          <w:szCs w:val="24"/>
        </w:rPr>
        <w:t>投标文件格式见第五章。</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4.4.2 </w:t>
      </w:r>
      <w:r>
        <w:rPr>
          <w:rFonts w:hint="eastAsia" w:cs="Arial" w:asciiTheme="minorEastAsia" w:hAnsiTheme="minorEastAsia"/>
          <w:color w:val="auto"/>
          <w:kern w:val="0"/>
          <w:sz w:val="24"/>
          <w:szCs w:val="24"/>
        </w:rPr>
        <w:t>投标人应使用本招标文件后面提供的投标文件格式填写，如不够用时，投标人可按同样格式自行编制和填补，如果本招标文件未提供格式的，投标人可自行编制。</w:t>
      </w:r>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31" w:name="_BookMark_8"/>
      <w:bookmarkEnd w:id="31"/>
      <w:bookmarkStart w:id="32" w:name="_Toc10750"/>
      <w:bookmarkStart w:id="33" w:name="_Toc18413"/>
      <w:r>
        <w:rPr>
          <w:rFonts w:cs="宋体" w:asciiTheme="minorEastAsia" w:hAnsiTheme="minorEastAsia"/>
          <w:b/>
          <w:color w:val="auto"/>
          <w:sz w:val="24"/>
          <w:szCs w:val="24"/>
        </w:rPr>
        <w:t>5</w:t>
      </w:r>
      <w:r>
        <w:rPr>
          <w:rFonts w:hint="eastAsia" w:cs="宋体" w:asciiTheme="minorEastAsia" w:hAnsiTheme="minorEastAsia"/>
          <w:b/>
          <w:color w:val="auto"/>
          <w:sz w:val="24"/>
          <w:szCs w:val="24"/>
        </w:rPr>
        <w:t>．开标</w:t>
      </w:r>
      <w:bookmarkEnd w:id="32"/>
      <w:bookmarkEnd w:id="33"/>
    </w:p>
    <w:p>
      <w:pPr>
        <w:spacing w:line="360" w:lineRule="auto"/>
        <w:ind w:firstLine="482" w:firstLineChars="200"/>
        <w:rPr>
          <w:rFonts w:asciiTheme="minorEastAsia" w:hAnsiTheme="minorEastAsia"/>
          <w:b/>
          <w:bCs/>
          <w:color w:val="auto"/>
          <w:kern w:val="0"/>
          <w:sz w:val="24"/>
          <w:szCs w:val="24"/>
        </w:rPr>
      </w:pPr>
      <w:bookmarkStart w:id="34" w:name="_BookMark_9"/>
      <w:bookmarkEnd w:id="34"/>
      <w:bookmarkStart w:id="35" w:name="_Toc13479"/>
      <w:r>
        <w:rPr>
          <w:rFonts w:hint="eastAsia" w:asciiTheme="minorEastAsia" w:hAnsiTheme="minorEastAsia"/>
          <w:b/>
          <w:bCs/>
          <w:color w:val="auto"/>
          <w:kern w:val="0"/>
          <w:sz w:val="24"/>
          <w:szCs w:val="24"/>
        </w:rPr>
        <w:t>5.1投标人须在在提交投标文件截止时间前通过CA在政采云平台上传加密的电子投标文件。投标人在开标时须使用制作加密电子投标文件所使用的CA锁解密，投标人须提前配置好浏览器（建议使用360浏览器或谷歌浏览器），并确保开标期间电脑网络环境畅通，以便开标时解密。本项目解密时间定为30分钟，如因投标人自身原因导致无法正常解密，后果由投标人自行承担。</w:t>
      </w:r>
    </w:p>
    <w:p>
      <w:pPr>
        <w:spacing w:line="360" w:lineRule="auto"/>
        <w:ind w:firstLine="482" w:firstLineChars="200"/>
        <w:rPr>
          <w:rFonts w:asciiTheme="minorEastAsia" w:hAnsiTheme="minorEastAsia"/>
          <w:b/>
          <w:bCs/>
          <w:color w:val="auto"/>
          <w:kern w:val="0"/>
          <w:sz w:val="24"/>
          <w:szCs w:val="24"/>
        </w:rPr>
      </w:pPr>
      <w:r>
        <w:rPr>
          <w:rFonts w:hint="eastAsia" w:asciiTheme="minorEastAsia" w:hAnsiTheme="minorEastAsia"/>
          <w:b/>
          <w:bCs/>
          <w:color w:val="auto"/>
          <w:kern w:val="0"/>
          <w:sz w:val="24"/>
          <w:szCs w:val="24"/>
        </w:rPr>
        <w:t>5.2参与电子投标投标人，“不见面开标”大厅操作提示：①开标前一小时在系统进行在线签到②30分钟内完成在线解密③开标结束后30分钟内完成“开标一览表”在线签章。注意：如未在规定时间进行以上操作，将导致投标（响应）无效。</w:t>
      </w:r>
    </w:p>
    <w:p>
      <w:pPr>
        <w:tabs>
          <w:tab w:val="center" w:pos="4832"/>
          <w:tab w:val="left" w:pos="7140"/>
        </w:tabs>
        <w:spacing w:line="360" w:lineRule="auto"/>
        <w:ind w:firstLine="472" w:firstLineChars="196"/>
        <w:jc w:val="left"/>
        <w:outlineLvl w:val="9"/>
        <w:rPr>
          <w:rFonts w:hint="eastAsia" w:asciiTheme="minorEastAsia" w:hAnsiTheme="minorEastAsia"/>
          <w:b/>
          <w:color w:val="auto"/>
          <w:kern w:val="0"/>
          <w:sz w:val="24"/>
          <w:szCs w:val="24"/>
        </w:rPr>
      </w:pPr>
      <w:bookmarkStart w:id="36" w:name="_Toc7306"/>
      <w:r>
        <w:rPr>
          <w:rFonts w:hint="eastAsia" w:asciiTheme="minorEastAsia" w:hAnsiTheme="minorEastAsia"/>
          <w:b/>
          <w:bCs/>
          <w:color w:val="auto"/>
          <w:kern w:val="0"/>
          <w:sz w:val="24"/>
          <w:szCs w:val="24"/>
        </w:rPr>
        <w:t>5.3</w:t>
      </w:r>
      <w:r>
        <w:rPr>
          <w:rFonts w:hint="eastAsia" w:asciiTheme="minorEastAsia" w:hAnsiTheme="minorEastAsia"/>
          <w:b/>
          <w:color w:val="auto"/>
          <w:kern w:val="0"/>
          <w:sz w:val="24"/>
          <w:szCs w:val="24"/>
        </w:rPr>
        <w:t>开标结束后由招标人或招标代理机构对投标人已解密的电子投标文件进行资格审查（详见资格审查标准）。</w:t>
      </w:r>
      <w:bookmarkEnd w:id="36"/>
    </w:p>
    <w:p>
      <w:pPr>
        <w:tabs>
          <w:tab w:val="center" w:pos="4832"/>
          <w:tab w:val="left" w:pos="7140"/>
        </w:tabs>
        <w:spacing w:line="360" w:lineRule="auto"/>
        <w:ind w:firstLine="472" w:firstLineChars="196"/>
        <w:jc w:val="left"/>
        <w:outlineLvl w:val="1"/>
        <w:rPr>
          <w:rFonts w:cs="宋体" w:asciiTheme="minorEastAsia" w:hAnsiTheme="minorEastAsia"/>
          <w:b/>
          <w:color w:val="auto"/>
          <w:sz w:val="24"/>
          <w:szCs w:val="24"/>
        </w:rPr>
      </w:pPr>
      <w:bookmarkStart w:id="37" w:name="_Toc12517"/>
      <w:r>
        <w:rPr>
          <w:rFonts w:cs="宋体" w:asciiTheme="minorEastAsia" w:hAnsiTheme="minorEastAsia"/>
          <w:b/>
          <w:color w:val="auto"/>
          <w:sz w:val="24"/>
          <w:szCs w:val="24"/>
        </w:rPr>
        <w:t>6</w:t>
      </w:r>
      <w:r>
        <w:rPr>
          <w:rFonts w:hint="eastAsia" w:cs="宋体" w:asciiTheme="minorEastAsia" w:hAnsiTheme="minorEastAsia"/>
          <w:b/>
          <w:color w:val="auto"/>
          <w:sz w:val="24"/>
          <w:szCs w:val="24"/>
        </w:rPr>
        <w:t>．评标</w:t>
      </w:r>
      <w:bookmarkEnd w:id="35"/>
      <w:bookmarkEnd w:id="37"/>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6.1 </w:t>
      </w:r>
      <w:r>
        <w:rPr>
          <w:rFonts w:hint="eastAsia" w:cs="Arial" w:asciiTheme="minorEastAsia" w:hAnsiTheme="minorEastAsia"/>
          <w:color w:val="auto"/>
          <w:kern w:val="0"/>
          <w:sz w:val="24"/>
          <w:szCs w:val="24"/>
        </w:rPr>
        <w:t>评标委员会</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6.1.1</w:t>
      </w:r>
      <w:r>
        <w:rPr>
          <w:rFonts w:hint="eastAsia" w:cs="Arial" w:asciiTheme="minorEastAsia" w:hAnsiTheme="minorEastAsia"/>
          <w:color w:val="auto"/>
          <w:kern w:val="0"/>
          <w:sz w:val="24"/>
          <w:szCs w:val="24"/>
        </w:rPr>
        <w:t>评标由招标人依法组建的评标委员会负责。评标委员会由招标人熟悉相关业务的代表，以及有关技术、经济等方面的专家组成。</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招标人评标代表须具备中级专业技术职称或同等专业水平且从事相关领域工作满8年,或者具有高级专业技术职称或同等专业水平。评标委员会负责评标工作，并向招标人提交书面评标报告。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6.1.2 </w:t>
      </w:r>
      <w:r>
        <w:rPr>
          <w:rFonts w:hint="eastAsia" w:cs="Arial" w:asciiTheme="minorEastAsia" w:hAnsiTheme="minorEastAsia"/>
          <w:kern w:val="0"/>
          <w:sz w:val="24"/>
          <w:szCs w:val="24"/>
        </w:rPr>
        <w:t>评标委员会成员有下列情形之一的，应当回避：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）参加采购活动前三年内,与投标人存在劳动关系,或者担任过投标人的董事、监事,或者是投标人的控股股东或实际控制人。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）与投标人的法定代表人或者负责人有夫妻、直系血亲、三代以内旁系血亲或者近姻亲关系。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）与投标人有其它可能影响政府采购活动公平、公正进行的关系。</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6.2 </w:t>
      </w:r>
      <w:r>
        <w:rPr>
          <w:rFonts w:hint="eastAsia" w:cs="Arial" w:asciiTheme="minorEastAsia" w:hAnsiTheme="minorEastAsia"/>
          <w:kern w:val="0"/>
          <w:sz w:val="24"/>
          <w:szCs w:val="24"/>
        </w:rPr>
        <w:t>评标原则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评标活动遵循公平、公正、科学和择优的原则。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6.3 </w:t>
      </w:r>
      <w:r>
        <w:rPr>
          <w:rFonts w:hint="eastAsia" w:cs="Arial" w:asciiTheme="minorEastAsia" w:hAnsiTheme="minorEastAsia"/>
          <w:kern w:val="0"/>
          <w:sz w:val="24"/>
          <w:szCs w:val="24"/>
        </w:rPr>
        <w:t>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评标委员会按照招标文件中规定的方法、评审因素、标准和程序对投标文件进行评审。</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38" w:name="_BookMark_10"/>
      <w:bookmarkEnd w:id="38"/>
      <w:bookmarkStart w:id="39" w:name="_Toc24540"/>
      <w:bookmarkStart w:id="40" w:name="_Toc31061"/>
      <w:r>
        <w:rPr>
          <w:rFonts w:cs="宋体" w:asciiTheme="minorEastAsia" w:hAnsiTheme="minorEastAsia"/>
          <w:b/>
          <w:sz w:val="24"/>
          <w:szCs w:val="24"/>
        </w:rPr>
        <w:t>7</w:t>
      </w:r>
      <w:r>
        <w:rPr>
          <w:rFonts w:hint="eastAsia" w:cs="宋体" w:asciiTheme="minorEastAsia" w:hAnsiTheme="minorEastAsia"/>
          <w:b/>
          <w:sz w:val="24"/>
          <w:szCs w:val="24"/>
        </w:rPr>
        <w:t>．定标及合同授予</w:t>
      </w:r>
      <w:bookmarkEnd w:id="39"/>
      <w:bookmarkEnd w:id="40"/>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7.1 </w:t>
      </w:r>
      <w:r>
        <w:rPr>
          <w:rFonts w:hint="eastAsia" w:cs="Arial" w:asciiTheme="minorEastAsia" w:hAnsiTheme="minorEastAsia"/>
          <w:kern w:val="0"/>
          <w:sz w:val="24"/>
          <w:szCs w:val="24"/>
        </w:rPr>
        <w:t>定标方法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7.1.1 </w:t>
      </w:r>
      <w:r>
        <w:rPr>
          <w:rFonts w:hint="eastAsia" w:cs="Arial" w:asciiTheme="minorEastAsia" w:hAnsiTheme="minorEastAsia"/>
          <w:kern w:val="0"/>
          <w:sz w:val="24"/>
          <w:szCs w:val="24"/>
        </w:rPr>
        <w:t>评标活动遵循公平、公正、科学和择优的原则。评标委员会按照招标文件中规定的方法、评审因素、标准和程序对投标文件进行评审，并按投标人须知前附表的规定向招标人推荐中标候选人。招标人依据评标委员会推荐的中标候选人确定中标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7.1.</w:t>
      </w:r>
      <w:r>
        <w:rPr>
          <w:rFonts w:hint="eastAsia" w:cs="Arial" w:asciiTheme="minorEastAsia" w:hAnsiTheme="minorEastAsia"/>
          <w:kern w:val="0"/>
          <w:sz w:val="24"/>
          <w:szCs w:val="24"/>
        </w:rPr>
        <w:t>2招标人从中标候选人中确定出中标人的原则：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名依次确定其它中标候选人为中标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7.2 </w:t>
      </w:r>
      <w:r>
        <w:rPr>
          <w:rFonts w:hint="eastAsia" w:cs="Arial" w:asciiTheme="minorEastAsia" w:hAnsiTheme="minorEastAsia"/>
          <w:kern w:val="0"/>
          <w:sz w:val="24"/>
          <w:szCs w:val="24"/>
        </w:rPr>
        <w:t>中标候选人公示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在中标通知书发出前，中标候选人的情况将在招标公告发布的媒体上公示，公示期不得少于1个工作日。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 xml:space="preserve">7.3 </w:t>
      </w:r>
      <w:r>
        <w:rPr>
          <w:rFonts w:hint="eastAsia" w:cs="Arial" w:asciiTheme="minorEastAsia" w:hAnsiTheme="minorEastAsia"/>
          <w:color w:val="auto"/>
          <w:kern w:val="0"/>
          <w:sz w:val="24"/>
          <w:szCs w:val="24"/>
        </w:rPr>
        <w:t>中标通知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中标公示发布同时，招标人向中标单位发出中标通知书，并及时通知其它投标人中标结果。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 </w:t>
      </w:r>
      <w:r>
        <w:rPr>
          <w:rFonts w:hint="eastAsia" w:cs="Arial" w:asciiTheme="minorEastAsia" w:hAnsiTheme="minorEastAsia"/>
          <w:kern w:val="0"/>
          <w:sz w:val="24"/>
          <w:szCs w:val="24"/>
        </w:rPr>
        <w:t>履约保证金</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7.4.1 </w:t>
      </w:r>
      <w:r>
        <w:rPr>
          <w:rFonts w:hint="eastAsia" w:cs="Arial" w:asciiTheme="minorEastAsia" w:hAnsiTheme="minorEastAsia"/>
          <w:kern w:val="0"/>
          <w:sz w:val="24"/>
          <w:szCs w:val="24"/>
        </w:rPr>
        <w:t>在签订合同前，中标人应按投标人须知前附表规定的金额、形式向招标人提交履约保证金。联合体中标的，其履约保证金由牵头人提交，并应符合投标人须知前附表的规定。</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7.4.2 </w:t>
      </w:r>
      <w:r>
        <w:rPr>
          <w:rFonts w:hint="eastAsia" w:cs="Arial" w:asciiTheme="minorEastAsia" w:hAnsiTheme="minorEastAsia"/>
          <w:kern w:val="0"/>
          <w:sz w:val="24"/>
          <w:szCs w:val="24"/>
        </w:rPr>
        <w:t>中标人不能按本章第</w:t>
      </w:r>
      <w:r>
        <w:rPr>
          <w:rFonts w:cs="Arial" w:asciiTheme="minorEastAsia" w:hAnsiTheme="minorEastAsia"/>
          <w:kern w:val="0"/>
          <w:sz w:val="24"/>
          <w:szCs w:val="24"/>
        </w:rPr>
        <w:t>7.4.1</w:t>
      </w:r>
      <w:r>
        <w:rPr>
          <w:rFonts w:hint="eastAsia" w:cs="Arial" w:asciiTheme="minorEastAsia" w:hAnsiTheme="minorEastAsia"/>
          <w:kern w:val="0"/>
          <w:sz w:val="24"/>
          <w:szCs w:val="24"/>
        </w:rPr>
        <w:t>款要求提交履约保证金的，视为放弃中标，其投标保证金不予退还；给招标人造成的损失超过投标保证金数额的，中标人还应当对超过部分予以赔偿。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7.5 </w:t>
      </w:r>
      <w:r>
        <w:rPr>
          <w:rFonts w:hint="eastAsia" w:cs="Arial" w:asciiTheme="minorEastAsia" w:hAnsiTheme="minorEastAsia"/>
          <w:kern w:val="0"/>
          <w:sz w:val="24"/>
          <w:szCs w:val="24"/>
        </w:rPr>
        <w:t>签订合同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7.5.1</w:t>
      </w:r>
      <w:r>
        <w:rPr>
          <w:rFonts w:hint="eastAsia" w:cs="Arial" w:asciiTheme="minorEastAsia" w:hAnsiTheme="minorEastAsia"/>
          <w:kern w:val="0"/>
          <w:sz w:val="24"/>
          <w:szCs w:val="24"/>
        </w:rPr>
        <w:t>招标人应当自中标通知书发出之日起30日内，按照招标文件和中标人投标文件的规定，与中标人签订书面合同。所签订的合同不得对招标文件确定的事项和中标人投标文件作实质性修改。招标人不得向中标人提出任何不合理的要求作为签订合同的条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7.5.2发出中标通知书后，招标人无正当理由拒签合同的，给中标人造成损失的，还应当赔偿中标人损失。</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7.5.</w:t>
      </w:r>
      <w:r>
        <w:rPr>
          <w:rFonts w:hint="eastAsia" w:cs="Arial" w:asciiTheme="minorEastAsia" w:hAnsiTheme="minorEastAsia"/>
          <w:kern w:val="0"/>
          <w:sz w:val="24"/>
          <w:szCs w:val="24"/>
        </w:rPr>
        <w:t>3发出中标通知书后，中标人无正当理由拒签合同的，招标人取消其中标资格，其投标保证金不予退还；给招标人造成的损失超过投标保证金数额的，中标人还应当对超过部分予以赔偿。</w:t>
      </w:r>
    </w:p>
    <w:p>
      <w:pPr>
        <w:tabs>
          <w:tab w:val="center" w:pos="4832"/>
          <w:tab w:val="left" w:pos="7140"/>
        </w:tabs>
        <w:spacing w:line="360" w:lineRule="auto"/>
        <w:ind w:firstLine="472" w:firstLineChars="196"/>
        <w:jc w:val="left"/>
        <w:outlineLvl w:val="1"/>
        <w:rPr>
          <w:rFonts w:cs="宋体" w:asciiTheme="minorEastAsia" w:hAnsiTheme="minorEastAsia"/>
          <w:b/>
          <w:sz w:val="24"/>
          <w:szCs w:val="24"/>
        </w:rPr>
      </w:pPr>
      <w:bookmarkStart w:id="41" w:name="_BookMark_11"/>
      <w:bookmarkEnd w:id="41"/>
      <w:bookmarkStart w:id="42" w:name="_Toc29083"/>
      <w:bookmarkStart w:id="43" w:name="_Toc16039"/>
      <w:r>
        <w:rPr>
          <w:rFonts w:cs="宋体" w:asciiTheme="minorEastAsia" w:hAnsiTheme="minorEastAsia"/>
          <w:b/>
          <w:sz w:val="24"/>
          <w:szCs w:val="24"/>
        </w:rPr>
        <w:t>8</w:t>
      </w:r>
      <w:r>
        <w:rPr>
          <w:rFonts w:hint="eastAsia" w:cs="宋体" w:asciiTheme="minorEastAsia" w:hAnsiTheme="minorEastAsia"/>
          <w:b/>
          <w:sz w:val="24"/>
          <w:szCs w:val="24"/>
        </w:rPr>
        <w:t>．纪律和监督</w:t>
      </w:r>
      <w:bookmarkEnd w:id="42"/>
      <w:bookmarkEnd w:id="43"/>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8.1 </w:t>
      </w:r>
      <w:r>
        <w:rPr>
          <w:rFonts w:hint="eastAsia" w:cs="Arial" w:asciiTheme="minorEastAsia" w:hAnsiTheme="minorEastAsia"/>
          <w:kern w:val="0"/>
          <w:sz w:val="24"/>
          <w:szCs w:val="24"/>
        </w:rPr>
        <w:t>对招标人的纪律要求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招标人不得泄漏招标投标活动中应当保密的情况和资料，不得与投标人串通损害国家利益、社会公共利益或者他人合法权益。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8.2 </w:t>
      </w:r>
      <w:r>
        <w:rPr>
          <w:rFonts w:hint="eastAsia" w:cs="Arial" w:asciiTheme="minorEastAsia" w:hAnsiTheme="minorEastAsia"/>
          <w:kern w:val="0"/>
          <w:sz w:val="24"/>
          <w:szCs w:val="24"/>
        </w:rPr>
        <w:t>对投标人的纪律要求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投标人不得相互串通投标或者与招标人串通投标，不得向招标人或者评标委员会成员行贿谋取中标，不得以他人名义投标或者以其它方式弄虚作假骗取中标；投标人不得以任何方式干扰、影响评标工作。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8.3 </w:t>
      </w:r>
      <w:r>
        <w:rPr>
          <w:rFonts w:hint="eastAsia" w:cs="Arial" w:asciiTheme="minorEastAsia" w:hAnsiTheme="minorEastAsia"/>
          <w:kern w:val="0"/>
          <w:sz w:val="24"/>
          <w:szCs w:val="24"/>
        </w:rPr>
        <w:t>对评标委员会成员的纪律要求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成员不得收受他人的财物或者其它好处，不得向他人透漏对投标文件的评审和比较、中标候选人的推荐情况以及评标有关的其它情况。在评标活动中，评标委员会成员不得擅离职守，影响评标程序正常进行，不得使用评标办法没有规定的评审因素和标准进行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8.4 </w:t>
      </w:r>
      <w:r>
        <w:rPr>
          <w:rFonts w:hint="eastAsia" w:cs="Arial" w:asciiTheme="minorEastAsia" w:hAnsiTheme="minorEastAsia"/>
          <w:kern w:val="0"/>
          <w:sz w:val="24"/>
          <w:szCs w:val="24"/>
        </w:rPr>
        <w:t>对与评标活动有关的工作人员的纪律要求</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与评标活动有关的工作人员不得收受他人的财物或者其它好处，不得向他人透漏对投标文件的评审和比较、中标候选人的推荐情况以及评标有关的其它情况。在评标活动中，与评标活动有关的工作人员不得擅离职守，影响评标程序正常进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8.5 </w:t>
      </w:r>
      <w:r>
        <w:rPr>
          <w:rFonts w:hint="eastAsia" w:cs="Arial" w:asciiTheme="minorEastAsia" w:hAnsiTheme="minorEastAsia"/>
          <w:kern w:val="0"/>
          <w:sz w:val="24"/>
          <w:szCs w:val="24"/>
        </w:rPr>
        <w:t>监督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本项目的招标投标活动及其相关当事人应当接受有管辖权的监督部门依法实施的监督。</w:t>
      </w:r>
    </w:p>
    <w:p>
      <w:pPr>
        <w:widowControl/>
        <w:shd w:val="clear" w:color="auto" w:fill="FFFFFF"/>
        <w:snapToGrid w:val="0"/>
        <w:spacing w:line="360" w:lineRule="auto"/>
        <w:ind w:firstLine="480" w:firstLineChars="200"/>
        <w:rPr>
          <w:rFonts w:cs="Arial" w:asciiTheme="minorEastAsia" w:hAnsiTheme="minorEastAsia"/>
          <w:kern w:val="0"/>
          <w:sz w:val="24"/>
          <w:szCs w:val="24"/>
        </w:rPr>
      </w:pPr>
    </w:p>
    <w:p>
      <w:pPr>
        <w:spacing w:line="440" w:lineRule="exact"/>
        <w:jc w:val="center"/>
        <w:outlineLvl w:val="0"/>
        <w:rPr>
          <w:rFonts w:cs="宋体" w:asciiTheme="minorEastAsia" w:hAnsiTheme="minorEastAsia"/>
          <w:b/>
          <w:sz w:val="24"/>
          <w:szCs w:val="24"/>
        </w:rPr>
      </w:pPr>
      <w:r>
        <w:rPr>
          <w:rFonts w:cs="Arial" w:asciiTheme="minorEastAsia" w:hAnsiTheme="minorEastAsia"/>
          <w:bCs/>
          <w:kern w:val="0"/>
          <w:sz w:val="24"/>
          <w:szCs w:val="24"/>
        </w:rPr>
        <w:br w:type="page"/>
      </w:r>
      <w:bookmarkStart w:id="44" w:name="_Toc25443"/>
      <w:r>
        <w:rPr>
          <w:rFonts w:hint="eastAsia" w:cs="宋体" w:asciiTheme="minorEastAsia" w:hAnsiTheme="minorEastAsia"/>
          <w:b/>
          <w:sz w:val="24"/>
          <w:szCs w:val="24"/>
        </w:rPr>
        <w:t>第二章评标办法</w:t>
      </w:r>
      <w:bookmarkEnd w:id="44"/>
    </w:p>
    <w:p>
      <w:pPr>
        <w:tabs>
          <w:tab w:val="center" w:pos="4832"/>
          <w:tab w:val="left" w:pos="7140"/>
        </w:tabs>
        <w:spacing w:line="360" w:lineRule="auto"/>
        <w:ind w:firstLine="482"/>
        <w:jc w:val="center"/>
        <w:outlineLvl w:val="1"/>
        <w:rPr>
          <w:rFonts w:cs="宋体" w:asciiTheme="minorEastAsia" w:hAnsiTheme="minorEastAsia"/>
          <w:b/>
          <w:sz w:val="24"/>
          <w:szCs w:val="24"/>
        </w:rPr>
      </w:pPr>
      <w:bookmarkStart w:id="45" w:name="_BookMark_1"/>
      <w:bookmarkEnd w:id="45"/>
      <w:bookmarkStart w:id="46" w:name="_Toc20529"/>
      <w:r>
        <w:rPr>
          <w:rFonts w:hint="eastAsia" w:cs="宋体" w:asciiTheme="minorEastAsia" w:hAnsiTheme="minorEastAsia"/>
          <w:b/>
          <w:sz w:val="24"/>
          <w:szCs w:val="24"/>
        </w:rPr>
        <w:t>第一节 综合评分法</w:t>
      </w:r>
      <w:bookmarkEnd w:id="46"/>
    </w:p>
    <w:p>
      <w:pPr>
        <w:tabs>
          <w:tab w:val="center" w:pos="4832"/>
          <w:tab w:val="left" w:pos="7140"/>
        </w:tabs>
        <w:spacing w:line="360" w:lineRule="auto"/>
        <w:ind w:firstLine="482"/>
        <w:jc w:val="center"/>
        <w:outlineLvl w:val="2"/>
        <w:rPr>
          <w:rFonts w:cs="宋体" w:asciiTheme="minorEastAsia" w:hAnsiTheme="minorEastAsia"/>
          <w:b/>
          <w:sz w:val="24"/>
          <w:szCs w:val="24"/>
        </w:rPr>
      </w:pPr>
      <w:bookmarkStart w:id="47" w:name="_Toc10658"/>
      <w:r>
        <w:rPr>
          <w:rFonts w:hint="eastAsia" w:cs="宋体" w:asciiTheme="minorEastAsia" w:hAnsiTheme="minorEastAsia"/>
          <w:b/>
          <w:sz w:val="24"/>
          <w:szCs w:val="24"/>
        </w:rPr>
        <w:t>评标办法前附表</w:t>
      </w:r>
      <w:bookmarkEnd w:id="47"/>
    </w:p>
    <w:tbl>
      <w:tblPr>
        <w:tblStyle w:val="34"/>
        <w:tblW w:w="0" w:type="auto"/>
        <w:jc w:val="center"/>
        <w:tblLayout w:type="autofit"/>
        <w:tblCellMar>
          <w:top w:w="0" w:type="dxa"/>
          <w:left w:w="0" w:type="dxa"/>
          <w:bottom w:w="0" w:type="dxa"/>
          <w:right w:w="0" w:type="dxa"/>
        </w:tblCellMar>
      </w:tblPr>
      <w:tblGrid>
        <w:gridCol w:w="610"/>
        <w:gridCol w:w="2771"/>
        <w:gridCol w:w="5745"/>
      </w:tblGrid>
      <w:tr>
        <w:tblPrEx>
          <w:tblCellMar>
            <w:top w:w="0" w:type="dxa"/>
            <w:left w:w="0" w:type="dxa"/>
            <w:bottom w:w="0" w:type="dxa"/>
            <w:right w:w="0" w:type="dxa"/>
          </w:tblCellMar>
        </w:tblPrEx>
        <w:trPr>
          <w:cantSplit/>
          <w:trHeight w:val="325"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条款内容</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编列内容</w:t>
            </w:r>
          </w:p>
        </w:tc>
      </w:tr>
      <w:tr>
        <w:tblPrEx>
          <w:tblCellMar>
            <w:top w:w="0" w:type="dxa"/>
            <w:left w:w="0" w:type="dxa"/>
            <w:bottom w:w="0" w:type="dxa"/>
            <w:right w:w="0" w:type="dxa"/>
          </w:tblCellMar>
        </w:tblPrEx>
        <w:trPr>
          <w:cantSplit/>
          <w:trHeight w:val="630"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cs="Times New Roman" w:asciiTheme="minorEastAsia" w:hAnsiTheme="minorEastAsia"/>
                <w:sz w:val="24"/>
                <w:szCs w:val="24"/>
              </w:rPr>
              <w:t>1</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分值构成及权重</w:t>
            </w:r>
          </w:p>
          <w:p>
            <w:pPr>
              <w:rPr>
                <w:rFonts w:cs="Times New Roman" w:asciiTheme="minorEastAsia" w:hAnsiTheme="minorEastAsia"/>
                <w:sz w:val="24"/>
                <w:szCs w:val="24"/>
              </w:rPr>
            </w:pPr>
            <w:r>
              <w:rPr>
                <w:rFonts w:cs="Times New Roman" w:asciiTheme="minorEastAsia" w:hAnsiTheme="minorEastAsia"/>
                <w:sz w:val="24"/>
                <w:szCs w:val="24"/>
              </w:rPr>
              <w:t>(</w:t>
            </w:r>
            <w:r>
              <w:rPr>
                <w:rFonts w:hint="eastAsia" w:cs="Times New Roman" w:asciiTheme="minorEastAsia" w:hAnsiTheme="minorEastAsia"/>
                <w:sz w:val="24"/>
                <w:szCs w:val="24"/>
              </w:rPr>
              <w:t>总分</w:t>
            </w:r>
            <w:r>
              <w:rPr>
                <w:rFonts w:cs="Times New Roman" w:asciiTheme="minorEastAsia" w:hAnsiTheme="minorEastAsia"/>
                <w:sz w:val="24"/>
                <w:szCs w:val="24"/>
              </w:rPr>
              <w:t>100</w:t>
            </w:r>
            <w:r>
              <w:rPr>
                <w:rFonts w:hint="eastAsia" w:cs="Times New Roman" w:asciiTheme="minorEastAsia" w:hAnsiTheme="minorEastAsia"/>
                <w:sz w:val="24"/>
                <w:szCs w:val="24"/>
              </w:rPr>
              <w:t>分</w:t>
            </w:r>
            <w:r>
              <w:rPr>
                <w:rFonts w:cs="Times New Roman" w:asciiTheme="minorEastAsia" w:hAnsiTheme="minorEastAsia"/>
                <w:sz w:val="24"/>
                <w:szCs w:val="24"/>
              </w:rPr>
              <w:t>)</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sz w:val="24"/>
                <w:szCs w:val="24"/>
              </w:rPr>
              <w:t>详细评审部分权重</w:t>
            </w:r>
            <w:r>
              <w:rPr>
                <w:rFonts w:cs="Times New Roman" w:asciiTheme="minorEastAsia" w:hAnsiTheme="minorEastAsia"/>
                <w:sz w:val="24"/>
                <w:szCs w:val="24"/>
              </w:rPr>
              <w:t>Q1=</w:t>
            </w:r>
            <w:r>
              <w:rPr>
                <w:rFonts w:hint="eastAsia" w:cs="Times New Roman" w:asciiTheme="minorEastAsia" w:hAnsiTheme="minorEastAsia"/>
                <w:sz w:val="24"/>
                <w:szCs w:val="24"/>
              </w:rPr>
              <w:t>9</w:t>
            </w:r>
            <w:r>
              <w:rPr>
                <w:rFonts w:cs="Times New Roman" w:asciiTheme="minorEastAsia" w:hAnsiTheme="minorEastAsia"/>
                <w:sz w:val="24"/>
                <w:szCs w:val="24"/>
              </w:rPr>
              <w:t>0%</w:t>
            </w:r>
          </w:p>
          <w:p>
            <w:pPr>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投标报价权重</w:t>
            </w:r>
            <w:r>
              <w:rPr>
                <w:rFonts w:cs="Times New Roman" w:asciiTheme="minorEastAsia" w:hAnsiTheme="minorEastAsia"/>
                <w:sz w:val="24"/>
                <w:szCs w:val="24"/>
              </w:rPr>
              <w:t>Q2=</w:t>
            </w:r>
            <w:r>
              <w:rPr>
                <w:rFonts w:hint="eastAsia" w:cs="Times New Roman" w:asciiTheme="minorEastAsia" w:hAnsiTheme="minorEastAsia"/>
                <w:sz w:val="24"/>
                <w:szCs w:val="24"/>
              </w:rPr>
              <w:t>1</w:t>
            </w:r>
            <w:r>
              <w:rPr>
                <w:rFonts w:cs="Times New Roman" w:asciiTheme="minorEastAsia" w:hAnsiTheme="minorEastAsia"/>
                <w:sz w:val="24"/>
                <w:szCs w:val="24"/>
              </w:rPr>
              <w:t>0%</w:t>
            </w:r>
          </w:p>
        </w:tc>
      </w:tr>
      <w:tr>
        <w:tblPrEx>
          <w:tblCellMar>
            <w:top w:w="0" w:type="dxa"/>
            <w:left w:w="0" w:type="dxa"/>
            <w:bottom w:w="0" w:type="dxa"/>
            <w:right w:w="0" w:type="dxa"/>
          </w:tblCellMar>
        </w:tblPrEx>
        <w:trPr>
          <w:cantSplit/>
          <w:trHeight w:val="147"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2</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资格审查</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详见《资格审查标准》</w:t>
            </w:r>
          </w:p>
        </w:tc>
      </w:tr>
      <w:tr>
        <w:tblPrEx>
          <w:tblCellMar>
            <w:top w:w="0" w:type="dxa"/>
            <w:left w:w="0" w:type="dxa"/>
            <w:bottom w:w="0" w:type="dxa"/>
            <w:right w:w="0" w:type="dxa"/>
          </w:tblCellMar>
        </w:tblPrEx>
        <w:trPr>
          <w:cantSplit/>
          <w:trHeight w:val="325" w:hRule="atLeast"/>
          <w:jc w:val="center"/>
        </w:trPr>
        <w:tc>
          <w:tcPr>
            <w:tcW w:w="610"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3</w:t>
            </w:r>
          </w:p>
        </w:tc>
        <w:tc>
          <w:tcPr>
            <w:tcW w:w="2771"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完备性及符合性审查</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详见《完备性及符合性审查标准》</w:t>
            </w:r>
          </w:p>
        </w:tc>
      </w:tr>
      <w:tr>
        <w:tblPrEx>
          <w:tblCellMar>
            <w:top w:w="0" w:type="dxa"/>
            <w:left w:w="0" w:type="dxa"/>
            <w:bottom w:w="0" w:type="dxa"/>
            <w:right w:w="0" w:type="dxa"/>
          </w:tblCellMar>
        </w:tblPrEx>
        <w:trPr>
          <w:cantSplit/>
          <w:trHeight w:val="325" w:hRule="atLeast"/>
          <w:jc w:val="center"/>
        </w:trPr>
        <w:tc>
          <w:tcPr>
            <w:tcW w:w="610"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4</w:t>
            </w:r>
          </w:p>
        </w:tc>
        <w:tc>
          <w:tcPr>
            <w:tcW w:w="2771"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详细评审</w:t>
            </w: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详见《详细评审标准》及</w:t>
            </w:r>
            <w:r>
              <w:rPr>
                <w:rFonts w:hint="eastAsia" w:cs="Arial" w:asciiTheme="minorEastAsia" w:hAnsiTheme="minorEastAsia"/>
                <w:color w:val="auto"/>
                <w:kern w:val="0"/>
                <w:sz w:val="24"/>
                <w:szCs w:val="24"/>
              </w:rPr>
              <w:t>本节第3.7款</w:t>
            </w:r>
          </w:p>
        </w:tc>
      </w:tr>
      <w:tr>
        <w:tblPrEx>
          <w:tblCellMar>
            <w:top w:w="0" w:type="dxa"/>
            <w:left w:w="0" w:type="dxa"/>
            <w:bottom w:w="0" w:type="dxa"/>
            <w:right w:w="0" w:type="dxa"/>
          </w:tblCellMar>
        </w:tblPrEx>
        <w:trPr>
          <w:cantSplit/>
          <w:trHeight w:val="2577" w:hRule="atLeast"/>
          <w:jc w:val="center"/>
        </w:trPr>
        <w:tc>
          <w:tcPr>
            <w:tcW w:w="610"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jc w:val="center"/>
              <w:rPr>
                <w:rFonts w:cs="Times New Roman" w:asciiTheme="minorEastAsia" w:hAnsiTheme="minorEastAsia"/>
                <w:sz w:val="24"/>
                <w:szCs w:val="24"/>
              </w:rPr>
            </w:pPr>
          </w:p>
        </w:tc>
        <w:tc>
          <w:tcPr>
            <w:tcW w:w="2771"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rPr>
                <w:rFonts w:cs="Times New Roman" w:asciiTheme="minorEastAsia" w:hAnsiTheme="minorEastAsia"/>
                <w:color w:val="auto"/>
                <w:sz w:val="24"/>
                <w:szCs w:val="24"/>
              </w:rPr>
            </w:pPr>
          </w:p>
        </w:tc>
        <w:tc>
          <w:tcPr>
            <w:tcW w:w="574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tcPr>
          <w:p>
            <w:pPr>
              <w:rPr>
                <w:rFonts w:cs="Times New Roman" w:asciiTheme="minorEastAsia" w:hAnsiTheme="minorEastAsia"/>
                <w:color w:val="auto"/>
                <w:sz w:val="24"/>
                <w:szCs w:val="24"/>
              </w:rPr>
            </w:pPr>
            <w:r>
              <w:rPr>
                <w:rFonts w:hint="eastAsia" w:cs="Times New Roman" w:asciiTheme="minorEastAsia" w:hAnsiTheme="minorEastAsia"/>
                <w:color w:val="auto"/>
                <w:sz w:val="24"/>
                <w:szCs w:val="24"/>
              </w:rPr>
              <w:t>投标报价得分计算方法：</w:t>
            </w:r>
          </w:p>
          <w:p>
            <w:pPr>
              <w:rPr>
                <w:rFonts w:cs="Times New Roman" w:asciiTheme="minorEastAsia" w:hAnsiTheme="minorEastAsia"/>
                <w:bCs/>
                <w:color w:val="auto"/>
                <w:sz w:val="24"/>
                <w:szCs w:val="24"/>
              </w:rPr>
            </w:pPr>
            <w:r>
              <w:rPr>
                <w:rFonts w:hint="eastAsia" w:cs="Times New Roman" w:asciiTheme="minorEastAsia" w:hAnsiTheme="minorEastAsia"/>
                <w:color w:val="auto"/>
                <w:sz w:val="24"/>
                <w:szCs w:val="24"/>
              </w:rPr>
              <w:t>1</w:t>
            </w:r>
            <w:r>
              <w:rPr>
                <w:rFonts w:hint="eastAsia" w:cs="Times New Roman" w:asciiTheme="minorEastAsia" w:hAnsiTheme="minorEastAsia"/>
                <w:bCs/>
                <w:color w:val="auto"/>
                <w:sz w:val="24"/>
                <w:szCs w:val="24"/>
              </w:rPr>
              <w:t>.投标报价的确定</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投标报价是指经评审的且不超过采购预算金额的投标价格</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2.评标基准价的确定</w:t>
            </w:r>
          </w:p>
          <w:p>
            <w:pPr>
              <w:rPr>
                <w:rFonts w:cs="Times New Roman" w:asciiTheme="minorEastAsia" w:hAnsiTheme="minorEastAsia"/>
                <w:bCs/>
                <w:color w:val="auto"/>
                <w:sz w:val="24"/>
                <w:szCs w:val="24"/>
              </w:rPr>
            </w:pPr>
            <w:r>
              <w:rPr>
                <w:rFonts w:cs="Times New Roman" w:asciiTheme="minorEastAsia" w:hAnsiTheme="minorEastAsia"/>
                <w:bCs/>
                <w:color w:val="auto"/>
                <w:sz w:val="24"/>
                <w:szCs w:val="24"/>
              </w:rPr>
              <w:t>满足招标文件要求且</w:t>
            </w:r>
            <w:r>
              <w:rPr>
                <w:rFonts w:hint="eastAsia" w:cs="Times New Roman" w:asciiTheme="minorEastAsia" w:hAnsiTheme="minorEastAsia"/>
                <w:bCs/>
                <w:color w:val="auto"/>
                <w:sz w:val="24"/>
                <w:szCs w:val="24"/>
              </w:rPr>
              <w:t>投标报价</w:t>
            </w:r>
            <w:r>
              <w:rPr>
                <w:rFonts w:cs="Times New Roman" w:asciiTheme="minorEastAsia" w:hAnsiTheme="minorEastAsia"/>
                <w:bCs/>
                <w:color w:val="auto"/>
                <w:sz w:val="24"/>
                <w:szCs w:val="24"/>
              </w:rPr>
              <w:t>最低的为评标基准价</w:t>
            </w:r>
          </w:p>
          <w:p>
            <w:pPr>
              <w:rPr>
                <w:rFonts w:cs="Times New Roman" w:asciiTheme="minorEastAsia" w:hAnsiTheme="minorEastAsia"/>
                <w:bCs/>
                <w:color w:val="auto"/>
                <w:sz w:val="24"/>
                <w:szCs w:val="24"/>
              </w:rPr>
            </w:pPr>
            <w:r>
              <w:rPr>
                <w:rFonts w:hint="eastAsia" w:cs="Times New Roman" w:asciiTheme="minorEastAsia" w:hAnsiTheme="minorEastAsia"/>
                <w:bCs/>
                <w:color w:val="auto"/>
                <w:sz w:val="24"/>
                <w:szCs w:val="24"/>
              </w:rPr>
              <w:t>3.</w:t>
            </w:r>
            <w:r>
              <w:rPr>
                <w:rFonts w:cs="Times New Roman" w:asciiTheme="minorEastAsia" w:hAnsiTheme="minorEastAsia"/>
                <w:bCs/>
                <w:color w:val="auto"/>
                <w:sz w:val="24"/>
                <w:szCs w:val="24"/>
              </w:rPr>
              <w:t>投标报价得分=(评标基准价／投标报价)×100×</w:t>
            </w:r>
            <w:r>
              <w:rPr>
                <w:rFonts w:hint="eastAsia" w:cs="Times New Roman" w:asciiTheme="minorEastAsia" w:hAnsiTheme="minorEastAsia"/>
                <w:bCs/>
                <w:color w:val="auto"/>
                <w:sz w:val="24"/>
                <w:szCs w:val="24"/>
              </w:rPr>
              <w:t>Q2</w:t>
            </w:r>
          </w:p>
          <w:p>
            <w:pPr>
              <w:rPr>
                <w:rFonts w:cs="Times New Roman" w:asciiTheme="minorEastAsia" w:hAnsiTheme="minorEastAsia"/>
                <w:color w:val="auto"/>
                <w:sz w:val="24"/>
                <w:szCs w:val="24"/>
              </w:rPr>
            </w:pPr>
            <w:r>
              <w:rPr>
                <w:rFonts w:hint="eastAsia" w:cs="Times New Roman" w:asciiTheme="minorEastAsia" w:hAnsiTheme="minorEastAsia"/>
                <w:bCs/>
                <w:color w:val="auto"/>
                <w:sz w:val="24"/>
                <w:szCs w:val="24"/>
              </w:rPr>
              <w:t>4.</w:t>
            </w:r>
            <w:r>
              <w:rPr>
                <w:rFonts w:hint="eastAsia" w:cs="Times New Roman" w:asciiTheme="minorEastAsia" w:hAnsiTheme="minorEastAsia"/>
                <w:color w:val="auto"/>
                <w:sz w:val="24"/>
                <w:szCs w:val="24"/>
              </w:rPr>
              <w:t>评分分值计算保留小数点后两位，小数点后三位“四舍五入”。</w:t>
            </w:r>
          </w:p>
          <w:p>
            <w:pPr>
              <w:rPr>
                <w:rFonts w:cs="Times New Roman" w:asciiTheme="minorEastAsia" w:hAnsiTheme="minorEastAsia"/>
                <w:color w:val="auto"/>
                <w:sz w:val="24"/>
                <w:szCs w:val="24"/>
              </w:rPr>
            </w:pPr>
            <w:r>
              <w:rPr>
                <w:rFonts w:hint="eastAsia" w:asciiTheme="minorEastAsia" w:hAnsiTheme="minorEastAsia"/>
                <w:b/>
                <w:color w:val="auto"/>
                <w:szCs w:val="21"/>
              </w:rPr>
              <w:t>5. 本项目专门面对小微企业，不再执行价格评审优惠的扶持政策。本项目采购行业所属为其他未列明行业。</w:t>
            </w:r>
          </w:p>
        </w:tc>
      </w:tr>
    </w:tbl>
    <w:p>
      <w:pPr>
        <w:widowControl/>
        <w:shd w:val="clear" w:color="auto" w:fill="FFFFFF"/>
        <w:snapToGrid w:val="0"/>
        <w:ind w:firstLine="482"/>
        <w:jc w:val="center"/>
        <w:rPr>
          <w:rFonts w:cs="Arial" w:asciiTheme="minorEastAsia" w:hAnsiTheme="minorEastAsia"/>
          <w:b/>
          <w:kern w:val="0"/>
          <w:sz w:val="24"/>
          <w:szCs w:val="24"/>
        </w:rPr>
      </w:pPr>
      <w:bookmarkStart w:id="48" w:name="_Toc501719166"/>
      <w:r>
        <w:rPr>
          <w:rFonts w:hint="eastAsia" w:cs="Arial" w:asciiTheme="minorEastAsia" w:hAnsiTheme="minorEastAsia"/>
          <w:b/>
          <w:kern w:val="0"/>
          <w:sz w:val="24"/>
          <w:szCs w:val="24"/>
        </w:rPr>
        <w:t>《资格审查标准》</w:t>
      </w:r>
      <w:bookmarkEnd w:id="48"/>
    </w:p>
    <w:tbl>
      <w:tblPr>
        <w:tblStyle w:val="34"/>
        <w:tblW w:w="9090" w:type="dxa"/>
        <w:jc w:val="center"/>
        <w:tblLayout w:type="autofit"/>
        <w:tblCellMar>
          <w:top w:w="0" w:type="dxa"/>
          <w:left w:w="0" w:type="dxa"/>
          <w:bottom w:w="0" w:type="dxa"/>
          <w:right w:w="0" w:type="dxa"/>
        </w:tblCellMar>
      </w:tblPr>
      <w:tblGrid>
        <w:gridCol w:w="623"/>
        <w:gridCol w:w="8467"/>
      </w:tblGrid>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序号</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审查标准</w:t>
            </w:r>
          </w:p>
        </w:tc>
      </w:tr>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color w:val="auto"/>
                <w:kern w:val="0"/>
                <w:sz w:val="24"/>
                <w:szCs w:val="24"/>
              </w:rPr>
            </w:pPr>
            <w:r>
              <w:rPr>
                <w:rFonts w:cs="Arial" w:asciiTheme="minorEastAsia" w:hAnsiTheme="minorEastAsia"/>
                <w:color w:val="auto"/>
                <w:kern w:val="0"/>
                <w:sz w:val="24"/>
                <w:szCs w:val="24"/>
              </w:rPr>
              <w:t>1</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left"/>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投标人必须</w:t>
            </w:r>
            <w:r>
              <w:rPr>
                <w:rFonts w:cs="Arial" w:asciiTheme="minorEastAsia" w:hAnsiTheme="minorEastAsia"/>
                <w:color w:val="auto"/>
                <w:kern w:val="0"/>
                <w:sz w:val="24"/>
                <w:szCs w:val="24"/>
              </w:rPr>
              <w:t>满足《中华人民共和国政府采购法》第二十二条规定</w:t>
            </w:r>
            <w:r>
              <w:rPr>
                <w:rFonts w:hint="eastAsia" w:cs="Arial" w:asciiTheme="minorEastAsia" w:hAnsiTheme="minorEastAsia"/>
                <w:color w:val="auto"/>
                <w:kern w:val="0"/>
                <w:sz w:val="24"/>
                <w:szCs w:val="24"/>
              </w:rPr>
              <w:t>；</w:t>
            </w:r>
          </w:p>
        </w:tc>
      </w:tr>
      <w:tr>
        <w:tblPrEx>
          <w:tblCellMar>
            <w:top w:w="0" w:type="dxa"/>
            <w:left w:w="0" w:type="dxa"/>
            <w:bottom w:w="0" w:type="dxa"/>
            <w:right w:w="0" w:type="dxa"/>
          </w:tblCellMar>
        </w:tblPrEx>
        <w:trPr>
          <w:cantSplit/>
          <w:trHeight w:val="314" w:hRule="atLeast"/>
          <w:jc w:val="center"/>
        </w:trPr>
        <w:tc>
          <w:tcPr>
            <w:tcW w:w="623"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2</w:t>
            </w:r>
          </w:p>
        </w:tc>
        <w:tc>
          <w:tcPr>
            <w:tcW w:w="846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left"/>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投标人必须是中华人民共和国境内注册，具有有效的营业执照（或事业单位法人证书）；</w:t>
            </w:r>
          </w:p>
        </w:tc>
      </w:tr>
      <w:tr>
        <w:tblPrEx>
          <w:tblCellMar>
            <w:top w:w="0" w:type="dxa"/>
            <w:left w:w="0" w:type="dxa"/>
            <w:bottom w:w="0" w:type="dxa"/>
            <w:right w:w="0" w:type="dxa"/>
          </w:tblCellMar>
        </w:tblPrEx>
        <w:trPr>
          <w:cantSplit/>
          <w:trHeight w:val="409"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3</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cs="Arial" w:asciiTheme="minorEastAsia" w:hAnsiTheme="minorEastAsia"/>
                <w:color w:val="auto"/>
                <w:kern w:val="0"/>
                <w:sz w:val="24"/>
                <w:szCs w:val="24"/>
              </w:rPr>
              <w:t>投标人须是在“信用中国”网站（WWW.creditchina.gov.cn）和中国政府采购网（www.ccgp.gov.cn）网站中未被列入失信被执行人、重大税收违法案件当事人名单以及政府采购严重违法失信行为记录名单（尚在处罚期内的）</w:t>
            </w:r>
            <w:r>
              <w:rPr>
                <w:rFonts w:hint="eastAsia" w:cs="Arial" w:asciiTheme="minorEastAsia" w:hAnsiTheme="minorEastAsia"/>
                <w:color w:val="auto"/>
                <w:kern w:val="0"/>
                <w:sz w:val="24"/>
                <w:szCs w:val="24"/>
              </w:rPr>
              <w:t>；</w:t>
            </w:r>
          </w:p>
        </w:tc>
      </w:tr>
      <w:tr>
        <w:tblPrEx>
          <w:tblCellMar>
            <w:top w:w="0" w:type="dxa"/>
            <w:left w:w="0" w:type="dxa"/>
            <w:bottom w:w="0" w:type="dxa"/>
            <w:right w:w="0" w:type="dxa"/>
          </w:tblCellMar>
        </w:tblPrEx>
        <w:trPr>
          <w:cantSplit/>
          <w:trHeight w:val="377"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4</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hint="eastAsia" w:cs="Arial" w:asciiTheme="minorEastAsia" w:hAnsiTheme="minorEastAsia"/>
                <w:color w:val="auto"/>
                <w:kern w:val="0"/>
                <w:sz w:val="24"/>
                <w:szCs w:val="21"/>
              </w:rPr>
              <w:t>投标人须是小微企业并且出具《中小企业声明函》；</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5</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color w:val="auto"/>
                <w:kern w:val="0"/>
                <w:sz w:val="24"/>
                <w:szCs w:val="24"/>
              </w:rPr>
            </w:pPr>
            <w:r>
              <w:rPr>
                <w:rFonts w:hint="eastAsia" w:cs="Arial" w:asciiTheme="minorEastAsia" w:hAnsiTheme="minorEastAsia"/>
                <w:color w:val="auto"/>
                <w:kern w:val="0"/>
                <w:sz w:val="24"/>
                <w:szCs w:val="24"/>
              </w:rPr>
              <w:t>投标保证金是否按照招标文件要求缴纳。</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cs="Arial" w:asciiTheme="minorEastAsia" w:hAnsiTheme="minorEastAsia" w:eastAsiaTheme="minorEastAsia"/>
                <w:color w:val="auto"/>
                <w:kern w:val="0"/>
                <w:sz w:val="24"/>
                <w:szCs w:val="24"/>
                <w:lang w:val="en-US" w:eastAsia="zh-CN"/>
              </w:rPr>
            </w:pPr>
            <w:r>
              <w:rPr>
                <w:rFonts w:hint="eastAsia" w:cs="Arial" w:asciiTheme="minorEastAsia" w:hAnsiTheme="minorEastAsia"/>
                <w:color w:val="auto"/>
                <w:kern w:val="0"/>
                <w:sz w:val="24"/>
                <w:szCs w:val="24"/>
                <w:lang w:val="en-US" w:eastAsia="zh-CN"/>
              </w:rPr>
              <w:t>6</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hint="eastAsia" w:cs="Arial" w:asciiTheme="minorEastAsia" w:hAnsiTheme="minorEastAsia"/>
                <w:color w:val="auto"/>
                <w:kern w:val="0"/>
                <w:sz w:val="24"/>
                <w:szCs w:val="24"/>
              </w:rPr>
            </w:pPr>
            <w:r>
              <w:rPr>
                <w:rFonts w:cs="仿宋" w:asciiTheme="minorEastAsia" w:hAnsiTheme="minorEastAsia"/>
                <w:color w:val="auto"/>
                <w:sz w:val="24"/>
                <w:szCs w:val="24"/>
              </w:rPr>
              <w:t>①与</w:t>
            </w:r>
            <w:r>
              <w:rPr>
                <w:rFonts w:hint="eastAsia" w:cs="仿宋" w:asciiTheme="minorEastAsia" w:hAnsiTheme="minorEastAsia"/>
                <w:color w:val="auto"/>
                <w:sz w:val="24"/>
                <w:szCs w:val="24"/>
              </w:rPr>
              <w:t>招标人</w:t>
            </w:r>
            <w:r>
              <w:rPr>
                <w:rFonts w:cs="仿宋" w:asciiTheme="minorEastAsia" w:hAnsiTheme="minorEastAsia"/>
                <w:color w:val="auto"/>
                <w:sz w:val="24"/>
                <w:szCs w:val="24"/>
              </w:rPr>
              <w:t>存在利害关系可能影响招标公正性的法人、其他组织或者个人，不得参加投标。②</w:t>
            </w:r>
            <w:r>
              <w:rPr>
                <w:rFonts w:hint="eastAsia" w:cs="仿宋" w:asciiTheme="minorEastAsia" w:hAnsiTheme="minorEastAsia"/>
                <w:color w:val="auto"/>
                <w:sz w:val="24"/>
                <w:szCs w:val="24"/>
              </w:rPr>
              <w:t>单位负责人为同一人或者存在控股、管理关系的不同投标人，不得参加同一合同项下的政府采购活动。</w:t>
            </w:r>
            <w:r>
              <w:rPr>
                <w:rFonts w:cs="仿宋" w:asciiTheme="minorEastAsia" w:hAnsiTheme="minorEastAsia"/>
                <w:color w:val="auto"/>
                <w:sz w:val="24"/>
                <w:szCs w:val="24"/>
              </w:rPr>
              <w:t>违反前两款规定的，相关投标均无效。</w:t>
            </w:r>
          </w:p>
        </w:tc>
      </w:tr>
      <w:tr>
        <w:tblPrEx>
          <w:tblCellMar>
            <w:top w:w="0" w:type="dxa"/>
            <w:left w:w="0" w:type="dxa"/>
            <w:bottom w:w="0" w:type="dxa"/>
            <w:right w:w="0" w:type="dxa"/>
          </w:tblCellMar>
        </w:tblPrEx>
        <w:trPr>
          <w:cantSplit/>
          <w:trHeight w:val="411" w:hRule="atLeast"/>
          <w:jc w:val="center"/>
        </w:trPr>
        <w:tc>
          <w:tcPr>
            <w:tcW w:w="623"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hint="eastAsia" w:cs="Arial" w:asciiTheme="minorEastAsia" w:hAnsiTheme="minorEastAsia" w:eastAsiaTheme="minorEastAsia"/>
                <w:kern w:val="0"/>
                <w:sz w:val="24"/>
                <w:szCs w:val="24"/>
                <w:lang w:eastAsia="zh-CN"/>
              </w:rPr>
            </w:pPr>
            <w:r>
              <w:rPr>
                <w:rFonts w:hint="eastAsia" w:cs="Arial" w:asciiTheme="minorEastAsia" w:hAnsiTheme="minorEastAsia"/>
                <w:kern w:val="0"/>
                <w:sz w:val="24"/>
                <w:szCs w:val="24"/>
                <w:lang w:val="en-US" w:eastAsia="zh-CN"/>
              </w:rPr>
              <w:t>7</w:t>
            </w:r>
          </w:p>
        </w:tc>
        <w:tc>
          <w:tcPr>
            <w:tcW w:w="8467"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本项目可兼投不可</w:t>
            </w:r>
            <w:r>
              <w:rPr>
                <w:rFonts w:hint="eastAsia" w:cs="Arial" w:asciiTheme="minorEastAsia" w:hAnsiTheme="minorEastAsia"/>
                <w:color w:val="000000" w:themeColor="text1"/>
                <w:kern w:val="0"/>
                <w:sz w:val="24"/>
                <w:szCs w:val="24"/>
                <w14:textFill>
                  <w14:solidFill>
                    <w14:schemeClr w14:val="tx1"/>
                  </w14:solidFill>
                </w14:textFill>
              </w:rPr>
              <w:t>兼中，开标顺序为2包→1包→3包→5包→4包→11包→6包→12包→10包→8包→9包→13包→16包→14包→15包→7包,本标段前排名第一的中标候选人不得参与本标段评审。</w:t>
            </w:r>
          </w:p>
        </w:tc>
      </w:tr>
      <w:tr>
        <w:tblPrEx>
          <w:tblCellMar>
            <w:top w:w="0" w:type="dxa"/>
            <w:left w:w="0" w:type="dxa"/>
            <w:bottom w:w="0" w:type="dxa"/>
            <w:right w:w="0" w:type="dxa"/>
          </w:tblCellMar>
        </w:tblPrEx>
        <w:trPr>
          <w:cantSplit/>
          <w:trHeight w:val="950" w:hRule="atLeast"/>
          <w:jc w:val="center"/>
        </w:trPr>
        <w:tc>
          <w:tcPr>
            <w:tcW w:w="9090"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备注：如果资格评审中有一项不满足审查标准的，采购人将认定该投标人不通过资格审查，投标文件将被拒绝评审。并且不允许投标人通过修改或撤销其不符合要求的差异或保留，使之成为具有响应性的投标。</w:t>
            </w:r>
          </w:p>
        </w:tc>
      </w:tr>
    </w:tbl>
    <w:p>
      <w:pPr>
        <w:widowControl/>
        <w:shd w:val="clear" w:color="auto" w:fill="FFFFFF"/>
        <w:snapToGrid w:val="0"/>
        <w:ind w:firstLine="482"/>
        <w:jc w:val="center"/>
        <w:rPr>
          <w:rFonts w:cs="Arial" w:asciiTheme="minorEastAsia" w:hAnsiTheme="minorEastAsia"/>
          <w:b/>
          <w:kern w:val="0"/>
          <w:sz w:val="24"/>
          <w:szCs w:val="24"/>
        </w:rPr>
      </w:pPr>
      <w:bookmarkStart w:id="49" w:name="_Toc501719167"/>
      <w:r>
        <w:rPr>
          <w:rFonts w:hint="eastAsia" w:cs="Arial" w:asciiTheme="minorEastAsia" w:hAnsiTheme="minorEastAsia"/>
          <w:b/>
          <w:kern w:val="0"/>
          <w:sz w:val="24"/>
          <w:szCs w:val="24"/>
        </w:rPr>
        <w:t>《完备性及符合性审查标准》</w:t>
      </w:r>
      <w:bookmarkEnd w:id="49"/>
    </w:p>
    <w:tbl>
      <w:tblPr>
        <w:tblStyle w:val="34"/>
        <w:tblW w:w="9177" w:type="dxa"/>
        <w:jc w:val="center"/>
        <w:tblLayout w:type="fixed"/>
        <w:tblCellMar>
          <w:top w:w="0" w:type="dxa"/>
          <w:left w:w="0" w:type="dxa"/>
          <w:bottom w:w="0" w:type="dxa"/>
          <w:right w:w="0" w:type="dxa"/>
        </w:tblCellMar>
      </w:tblPr>
      <w:tblGrid>
        <w:gridCol w:w="621"/>
        <w:gridCol w:w="8556"/>
      </w:tblGrid>
      <w:tr>
        <w:tblPrEx>
          <w:tblCellMar>
            <w:top w:w="0" w:type="dxa"/>
            <w:left w:w="0" w:type="dxa"/>
            <w:bottom w:w="0" w:type="dxa"/>
            <w:right w:w="0" w:type="dxa"/>
          </w:tblCellMar>
        </w:tblPrEx>
        <w:trPr>
          <w:cantSplit/>
          <w:trHeight w:val="465" w:hRule="atLeast"/>
          <w:jc w:val="center"/>
        </w:trPr>
        <w:tc>
          <w:tcPr>
            <w:tcW w:w="621"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序号</w:t>
            </w:r>
          </w:p>
        </w:tc>
        <w:tc>
          <w:tcPr>
            <w:tcW w:w="8556"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评审标准</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1</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投标文件要求加盖投标人章、法定代表人章处未加盖的；</w:t>
            </w:r>
          </w:p>
        </w:tc>
      </w:tr>
      <w:tr>
        <w:tblPrEx>
          <w:tblCellMar>
            <w:top w:w="0" w:type="dxa"/>
            <w:left w:w="0" w:type="dxa"/>
            <w:bottom w:w="0" w:type="dxa"/>
            <w:right w:w="0" w:type="dxa"/>
          </w:tblCellMar>
        </w:tblPrEx>
        <w:trPr>
          <w:cantSplit/>
          <w:trHeight w:val="295"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2</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投标文件未按招标文件要求编制，内容不全或字迹模糊、辨认不清的；</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cs="Arial" w:asciiTheme="minorEastAsia" w:hAnsiTheme="minorEastAsia"/>
                <w:kern w:val="0"/>
                <w:sz w:val="24"/>
                <w:szCs w:val="24"/>
              </w:rPr>
              <w:t>3</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服务标准不满足招标文件要求的；投标价格明细表未完整填写的；</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4</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投标价格不得超过投标人须知前附表中的最高限价及控制单价，暂估价不得更改；</w:t>
            </w:r>
          </w:p>
        </w:tc>
      </w:tr>
      <w:tr>
        <w:tblPrEx>
          <w:tblCellMar>
            <w:top w:w="0" w:type="dxa"/>
            <w:left w:w="0" w:type="dxa"/>
            <w:bottom w:w="0" w:type="dxa"/>
            <w:right w:w="0" w:type="dxa"/>
          </w:tblCellMar>
        </w:tblPrEx>
        <w:trPr>
          <w:cantSplit/>
          <w:trHeight w:val="20"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jc w:val="center"/>
              <w:rPr>
                <w:rFonts w:cs="Arial" w:asciiTheme="minorEastAsia" w:hAnsiTheme="minorEastAsia"/>
                <w:kern w:val="0"/>
                <w:sz w:val="24"/>
                <w:szCs w:val="24"/>
              </w:rPr>
            </w:pPr>
            <w:r>
              <w:rPr>
                <w:rFonts w:hint="eastAsia" w:cs="Arial" w:asciiTheme="minorEastAsia" w:hAnsiTheme="minorEastAsia"/>
                <w:kern w:val="0"/>
                <w:sz w:val="24"/>
                <w:szCs w:val="24"/>
              </w:rPr>
              <w:t>5</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投标文件不符合招标文件实质性要求的。</w:t>
            </w:r>
          </w:p>
        </w:tc>
      </w:tr>
      <w:tr>
        <w:tblPrEx>
          <w:tblCellMar>
            <w:top w:w="0" w:type="dxa"/>
            <w:left w:w="0" w:type="dxa"/>
            <w:bottom w:w="0" w:type="dxa"/>
            <w:right w:w="0" w:type="dxa"/>
          </w:tblCellMar>
        </w:tblPrEx>
        <w:trPr>
          <w:cantSplit/>
          <w:trHeight w:val="20" w:hRule="atLeast"/>
          <w:jc w:val="center"/>
        </w:trPr>
        <w:tc>
          <w:tcPr>
            <w:tcW w:w="9177"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rPr>
                <w:rFonts w:cs="Arial" w:asciiTheme="minorEastAsia" w:hAnsiTheme="minorEastAsia"/>
                <w:kern w:val="0"/>
                <w:sz w:val="24"/>
                <w:szCs w:val="24"/>
              </w:rPr>
            </w:pPr>
            <w:r>
              <w:rPr>
                <w:rFonts w:hint="eastAsia" w:cs="Arial" w:asciiTheme="minorEastAsia" w:hAnsiTheme="minorEastAsia"/>
                <w:kern w:val="0"/>
                <w:sz w:val="24"/>
                <w:szCs w:val="24"/>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pPr>
        <w:ind w:firstLine="482"/>
        <w:jc w:val="center"/>
        <w:rPr>
          <w:rFonts w:cs="Arial" w:asciiTheme="minorEastAsia" w:hAnsiTheme="minorEastAsia"/>
          <w:b/>
          <w:kern w:val="0"/>
          <w:sz w:val="24"/>
          <w:szCs w:val="24"/>
        </w:rPr>
      </w:pPr>
      <w:r>
        <w:rPr>
          <w:rFonts w:hint="eastAsia" w:cs="Arial" w:asciiTheme="minorEastAsia" w:hAnsiTheme="minorEastAsia"/>
          <w:b/>
          <w:kern w:val="0"/>
          <w:sz w:val="24"/>
          <w:szCs w:val="24"/>
        </w:rPr>
        <w:t>《详细评审标准》</w:t>
      </w:r>
    </w:p>
    <w:tbl>
      <w:tblPr>
        <w:tblStyle w:val="34"/>
        <w:tblW w:w="5074" w:type="pct"/>
        <w:jc w:val="center"/>
        <w:tblLayout w:type="autofit"/>
        <w:tblCellMar>
          <w:top w:w="0" w:type="dxa"/>
          <w:left w:w="0" w:type="dxa"/>
          <w:bottom w:w="0" w:type="dxa"/>
          <w:right w:w="0" w:type="dxa"/>
        </w:tblCellMar>
      </w:tblPr>
      <w:tblGrid>
        <w:gridCol w:w="743"/>
        <w:gridCol w:w="1343"/>
        <w:gridCol w:w="1022"/>
        <w:gridCol w:w="6117"/>
      </w:tblGrid>
      <w:tr>
        <w:tblPrEx>
          <w:tblCellMar>
            <w:top w:w="0" w:type="dxa"/>
            <w:left w:w="0" w:type="dxa"/>
            <w:bottom w:w="0" w:type="dxa"/>
            <w:right w:w="0" w:type="dxa"/>
          </w:tblCellMar>
        </w:tblPrEx>
        <w:trPr>
          <w:trHeight w:val="90" w:hRule="atLeast"/>
          <w:jc w:val="center"/>
        </w:trPr>
        <w:tc>
          <w:tcPr>
            <w:tcW w:w="336" w:type="pct"/>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750"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评审项目</w:t>
            </w:r>
          </w:p>
        </w:tc>
        <w:tc>
          <w:tcPr>
            <w:tcW w:w="576"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标准分</w:t>
            </w:r>
          </w:p>
        </w:tc>
        <w:tc>
          <w:tcPr>
            <w:tcW w:w="3336" w:type="pct"/>
            <w:tcBorders>
              <w:top w:val="single" w:color="auto" w:sz="8" w:space="0"/>
              <w:left w:val="nil"/>
              <w:bottom w:val="single" w:color="auto" w:sz="8" w:space="0"/>
              <w:right w:val="single" w:color="auto" w:sz="8" w:space="0"/>
            </w:tcBorders>
            <w:vAlign w:val="center"/>
          </w:tcPr>
          <w:p>
            <w:pPr>
              <w:ind w:firstLine="482"/>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评审标准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业绩</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rPr>
              <w:t>9</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投标人提供2020年1月1日至今（以合同签订时间为准）类似业绩，1个项目得3分，此项满分9分。提供业绩的合同复印件。</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rPr>
              <w:t>机械设备保障</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rPr>
              <w:t>12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投标人提供园林绿化适用作业车辆（水车、高空作业车、自卸车等车辆）证明，每提供一辆得2分，最高得12分。（作业车辆证明需提供自有发票或租赁合同、行驶证及车辆实物照（附牌照号）复印件）</w:t>
            </w:r>
          </w:p>
        </w:tc>
      </w:tr>
      <w:tr>
        <w:tblPrEx>
          <w:tblCellMar>
            <w:top w:w="0" w:type="dxa"/>
            <w:left w:w="0" w:type="dxa"/>
            <w:bottom w:w="0" w:type="dxa"/>
            <w:right w:w="0" w:type="dxa"/>
          </w:tblCellMar>
        </w:tblPrEx>
        <w:trPr>
          <w:trHeight w:val="79" w:hRule="atLeast"/>
          <w:jc w:val="center"/>
        </w:trPr>
        <w:tc>
          <w:tcPr>
            <w:tcW w:w="336" w:type="pct"/>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750" w:type="pct"/>
            <w:tcBorders>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人员配置</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tabs>
                <w:tab w:val="left" w:pos="1260"/>
                <w:tab w:val="left" w:pos="1685"/>
                <w:tab w:val="right" w:leader="dot" w:pos="8400"/>
              </w:tabs>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养护人员的配置满足养护项目实际规模，有专人在现场负责绿化养护工作。</w:t>
            </w:r>
          </w:p>
          <w:p>
            <w:pPr>
              <w:pStyle w:val="21"/>
              <w:tabs>
                <w:tab w:val="left" w:pos="1260"/>
                <w:tab w:val="left" w:pos="1685"/>
                <w:tab w:val="right" w:leader="dot" w:pos="8400"/>
              </w:tabs>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养护期间须安排不少于20人（含项目负责人，项目负责人不得为退休人员）。应附聘用合同、身份证复印件（退休人员应附聘用合同及退休证明）扫描件等，完全满足要求的得10分，每少一位岗位人员扣0.5分，扣完为止。</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lang w:val="zh-CN"/>
              </w:rPr>
              <w:t>合理化建议</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bCs/>
                <w:sz w:val="24"/>
                <w:szCs w:val="24"/>
              </w:rPr>
            </w:pPr>
            <w:r>
              <w:rPr>
                <w:rFonts w:hint="eastAsia" w:asciiTheme="minorEastAsia" w:hAnsiTheme="minorEastAsia" w:cstheme="minorEastAsia"/>
                <w:sz w:val="24"/>
                <w:szCs w:val="24"/>
              </w:rPr>
              <w:t>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tabs>
                <w:tab w:val="left" w:pos="1260"/>
                <w:tab w:val="left" w:pos="1685"/>
                <w:tab w:val="right" w:leader="dot" w:pos="8400"/>
              </w:tabs>
              <w:rPr>
                <w:rFonts w:asciiTheme="minorEastAsia" w:hAnsiTheme="minorEastAsia" w:eastAsiaTheme="minorEastAsia" w:cstheme="minorEastAsia"/>
                <w:bCs/>
                <w:sz w:val="24"/>
              </w:rPr>
            </w:pPr>
            <w:r>
              <w:rPr>
                <w:rFonts w:hint="eastAsia" w:asciiTheme="minorEastAsia" w:hAnsiTheme="minorEastAsia" w:eastAsiaTheme="minorEastAsia" w:cstheme="minorEastAsia"/>
                <w:kern w:val="0"/>
                <w:sz w:val="24"/>
              </w:rPr>
              <w:t>每提一条，可加1分，最多可得2分。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养护作业方案</w:t>
            </w:r>
          </w:p>
          <w:p>
            <w:pPr>
              <w:pStyle w:val="189"/>
              <w:spacing w:before="0" w:after="0" w:line="360" w:lineRule="auto"/>
              <w:jc w:val="center"/>
              <w:rPr>
                <w:rFonts w:asciiTheme="minorEastAsia" w:hAnsiTheme="minorEastAsia" w:eastAsiaTheme="minorEastAsia" w:cstheme="minorEastAsia"/>
                <w:bCs/>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9"/>
              <w:spacing w:before="0" w:after="0" w:line="360" w:lineRule="auto"/>
              <w:ind w:firstLine="240" w:firstLineChars="100"/>
              <w:jc w:val="left"/>
              <w:rPr>
                <w:rFonts w:asciiTheme="minorEastAsia" w:hAnsiTheme="minorEastAsia" w:eastAsiaTheme="minorEastAsia" w:cstheme="minorEastAsia"/>
                <w:bCs/>
                <w:szCs w:val="24"/>
              </w:rPr>
            </w:pPr>
            <w:r>
              <w:rPr>
                <w:rFonts w:hint="eastAsia" w:asciiTheme="minorEastAsia" w:hAnsiTheme="minorEastAsia" w:eastAsiaTheme="minorEastAsia" w:cstheme="minorEastAsia"/>
                <w:szCs w:val="24"/>
              </w:rPr>
              <w:t>15</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9"/>
              <w:spacing w:before="0" w:after="0" w:line="240" w:lineRule="auto"/>
              <w:jc w:val="left"/>
              <w:rPr>
                <w:rFonts w:asciiTheme="minorEastAsia" w:hAnsiTheme="minorEastAsia" w:eastAsiaTheme="minorEastAsia" w:cstheme="minorEastAsia"/>
                <w:color w:val="FF0000"/>
                <w:szCs w:val="24"/>
              </w:rPr>
            </w:pPr>
            <w:r>
              <w:rPr>
                <w:rFonts w:hint="eastAsia" w:asciiTheme="minorEastAsia" w:hAnsiTheme="minorEastAsia" w:eastAsiaTheme="minorEastAsia" w:cstheme="minorEastAsia"/>
                <w:szCs w:val="24"/>
              </w:rPr>
              <w:t>横向对比各供应商提供的投标文件：养护作业方案，根据本项目现场实际情况结合米东区园林管理局绿化养护费等级标准，编制养护方案，齐全的养护作业方案内容必须包含但不仅限于：1.日常维护计划；2.抗旱计划；3.病虫害防治计划；4.植物整形计划；5.植物换补栽计划；6.施肥计划；7.松土除草计划8.草花养护计划；9.绿化设施维护及巡查反馈计划；10.粉尘污染防治；11.绿化带清扫保洁；12. 绿化垃圾收运；13. 安保巡查。</w:t>
            </w:r>
          </w:p>
          <w:p>
            <w:pPr>
              <w:pStyle w:val="189"/>
              <w:spacing w:before="0" w:after="0" w:line="240" w:lineRule="auto"/>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养护方案详尽齐全，实施作业操作性强得15分；</w:t>
            </w:r>
          </w:p>
          <w:p>
            <w:pPr>
              <w:pStyle w:val="189"/>
              <w:spacing w:before="0" w:after="0" w:line="240" w:lineRule="auto"/>
              <w:jc w:val="left"/>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养护方案较明确、可行实施度一般10分，</w:t>
            </w:r>
          </w:p>
          <w:p>
            <w:pPr>
              <w:pStyle w:val="189"/>
              <w:spacing w:before="0" w:after="0" w:line="240" w:lineRule="auto"/>
              <w:jc w:val="left"/>
              <w:rPr>
                <w:rFonts w:asciiTheme="minorEastAsia" w:hAnsiTheme="minorEastAsia" w:eastAsiaTheme="minorEastAsia" w:cstheme="minorEastAsia"/>
                <w:bCs/>
                <w:szCs w:val="24"/>
              </w:rPr>
            </w:pPr>
            <w:r>
              <w:rPr>
                <w:rFonts w:hint="eastAsia" w:asciiTheme="minorEastAsia" w:hAnsiTheme="minorEastAsia" w:eastAsiaTheme="minorEastAsia" w:cstheme="minorEastAsia"/>
                <w:kern w:val="0"/>
                <w:szCs w:val="24"/>
              </w:rPr>
              <w:t>养护方案模糊，实施强度低5分，不提供不得分；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ind w:left="89"/>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质量管理方案</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lang w:val="en-US"/>
              </w:rPr>
            </w:pPr>
            <w:r>
              <w:rPr>
                <w:rFonts w:hint="eastAsia" w:asciiTheme="minorEastAsia" w:hAnsiTheme="minorEastAsia" w:eastAsiaTheme="minorEastAsia" w:cstheme="minorEastAsia"/>
                <w:sz w:val="24"/>
                <w:szCs w:val="24"/>
                <w:lang w:val="en-US" w:bidi="ar-SA"/>
              </w:rPr>
              <w:t>12</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横向对比各供应商提供的投标文件：针对本项目拟采取的质量管理方案，包括但不限于管理方式、管理机制、质量管理目标；质量管理层级责任是否清晰、质量管理考核体系健全。</w:t>
            </w:r>
          </w:p>
          <w:p>
            <w:pPr>
              <w:jc w:val="left"/>
              <w:rPr>
                <w:rFonts w:asciiTheme="minorEastAsia" w:hAnsiTheme="minorEastAsia" w:cstheme="minorEastAsia"/>
                <w:kern w:val="0"/>
                <w:sz w:val="24"/>
                <w:szCs w:val="24"/>
              </w:rPr>
            </w:pPr>
            <w:r>
              <w:rPr>
                <w:rFonts w:hint="eastAsia" w:asciiTheme="minorEastAsia" w:hAnsiTheme="minorEastAsia" w:cstheme="minorEastAsia"/>
                <w:sz w:val="24"/>
                <w:szCs w:val="24"/>
              </w:rPr>
              <w:t>质量管理方案</w:t>
            </w:r>
            <w:r>
              <w:rPr>
                <w:rFonts w:hint="eastAsia" w:asciiTheme="minorEastAsia" w:hAnsiTheme="minorEastAsia" w:cstheme="minorEastAsia"/>
                <w:kern w:val="0"/>
                <w:sz w:val="24"/>
                <w:szCs w:val="24"/>
              </w:rPr>
              <w:t>方案清晰、可行度高得12分，</w:t>
            </w:r>
          </w:p>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方案实施力度一般、任务分配较明确得9分，</w:t>
            </w:r>
          </w:p>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方案可行性不高、任务及目标模糊不清晰的得6分，</w:t>
            </w:r>
          </w:p>
          <w:p>
            <w:pPr>
              <w:jc w:val="left"/>
              <w:rPr>
                <w:rFonts w:asciiTheme="minorEastAsia" w:hAnsiTheme="minorEastAsia" w:cstheme="minorEastAsia"/>
                <w:bCs/>
                <w:sz w:val="24"/>
                <w:szCs w:val="24"/>
              </w:rPr>
            </w:pPr>
            <w:r>
              <w:rPr>
                <w:rFonts w:hint="eastAsia" w:asciiTheme="minorEastAsia" w:hAnsiTheme="minorEastAsia" w:cstheme="minorEastAsia"/>
                <w:sz w:val="24"/>
                <w:szCs w:val="24"/>
              </w:rPr>
              <w:t>项目实施方案主要内容缺失或只有简单描述无实质性内容的得3，未提供方案不得分。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应急抢险方案</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应急抢险方案（齐全的应急抢险方案内容必须包含但不限于：1.应急组织的建立与职责；2.应急人员配备；3.应急车辆和机具配置；4.应急抢险处置流程；5.各类自然灾害或极端天气应急抢险预案。）</w:t>
            </w:r>
          </w:p>
          <w:p>
            <w:pPr>
              <w:jc w:val="left"/>
              <w:rPr>
                <w:rFonts w:asciiTheme="minorEastAsia" w:hAnsiTheme="minorEastAsia" w:cstheme="minorEastAsia"/>
                <w:bCs/>
                <w:sz w:val="24"/>
                <w:szCs w:val="24"/>
              </w:rPr>
            </w:pPr>
            <w:r>
              <w:rPr>
                <w:rFonts w:hint="eastAsia" w:asciiTheme="minorEastAsia" w:hAnsiTheme="minorEastAsia" w:cstheme="minorEastAsia"/>
                <w:sz w:val="24"/>
                <w:szCs w:val="24"/>
              </w:rPr>
              <w:t>方案实施性强得10分，方案实施性可行性一般得7分，方案可行性弱、不能很好的操作得3分。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安全服务方案</w:t>
            </w:r>
          </w:p>
          <w:p>
            <w:pPr>
              <w:pStyle w:val="186"/>
              <w:spacing w:line="255" w:lineRule="exact"/>
              <w:ind w:left="89"/>
              <w:jc w:val="center"/>
              <w:rPr>
                <w:rFonts w:asciiTheme="minorEastAsia" w:hAnsiTheme="minorEastAsia" w:eastAsiaTheme="minorEastAsia" w:cstheme="minorEastAsia"/>
                <w:bCs/>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安全服务方案，齐全的安全服务方案内容必须包含但不限于：1.安全制度；2.安全作业措施；3.森林防火及消防安全措施；4.机具配置；5.安全事故善后处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非常详实完整，针对性、可操作性强，完全满足项目需求得10分；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较为详实，针对性、可操作性较强，能满足项目需求得7分；</w:t>
            </w:r>
          </w:p>
          <w:p>
            <w:pPr>
              <w:pStyle w:val="14"/>
              <w:snapToGri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sz w:val="24"/>
                <w:szCs w:val="24"/>
              </w:rPr>
              <w:t>以上每项内容</w:t>
            </w:r>
            <w:r>
              <w:rPr>
                <w:rFonts w:hint="eastAsia" w:asciiTheme="minorEastAsia" w:hAnsiTheme="minorEastAsia" w:eastAsiaTheme="minorEastAsia" w:cstheme="minorEastAsia"/>
                <w:color w:val="000000"/>
                <w:kern w:val="0"/>
                <w:sz w:val="24"/>
                <w:szCs w:val="24"/>
              </w:rPr>
              <w:t>针对性、可操作性一般，基本满足项目需求得3分；</w:t>
            </w:r>
          </w:p>
          <w:p>
            <w:pPr>
              <w:rPr>
                <w:rFonts w:asciiTheme="minorEastAsia" w:hAnsiTheme="minorEastAsia" w:cstheme="minorEastAsia"/>
                <w:bCs/>
                <w:sz w:val="24"/>
                <w:szCs w:val="24"/>
              </w:rPr>
            </w:pPr>
            <w:r>
              <w:rPr>
                <w:rFonts w:hint="eastAsia" w:asciiTheme="minorEastAsia" w:hAnsiTheme="minorEastAsia" w:cstheme="minorEastAsia"/>
                <w:color w:val="000000"/>
                <w:kern w:val="0"/>
                <w:sz w:val="24"/>
                <w:szCs w:val="24"/>
              </w:rPr>
              <w:t>投标文件中未作针对性描述的不得分。</w:t>
            </w:r>
          </w:p>
        </w:tc>
      </w:tr>
      <w:tr>
        <w:tblPrEx>
          <w:tblCellMar>
            <w:top w:w="0" w:type="dxa"/>
            <w:left w:w="0" w:type="dxa"/>
            <w:bottom w:w="0" w:type="dxa"/>
            <w:right w:w="0" w:type="dxa"/>
          </w:tblCellMar>
        </w:tblPrEx>
        <w:trPr>
          <w:trHeight w:val="79" w:hRule="atLeast"/>
          <w:jc w:val="center"/>
        </w:trPr>
        <w:tc>
          <w:tcPr>
            <w:tcW w:w="33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p>
        </w:tc>
        <w:tc>
          <w:tcPr>
            <w:tcW w:w="750"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文明作业方案</w:t>
            </w:r>
          </w:p>
          <w:p>
            <w:pPr>
              <w:pStyle w:val="186"/>
              <w:spacing w:line="255" w:lineRule="exact"/>
              <w:ind w:left="89"/>
              <w:jc w:val="center"/>
              <w:rPr>
                <w:rFonts w:asciiTheme="minorEastAsia" w:hAnsiTheme="minorEastAsia" w:eastAsiaTheme="minorEastAsia" w:cstheme="minorEastAsia"/>
                <w:kern w:val="0"/>
                <w:sz w:val="24"/>
                <w:szCs w:val="24"/>
              </w:rPr>
            </w:pP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pStyle w:val="186"/>
              <w:spacing w:line="255"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en-US" w:bidi="ar-SA"/>
              </w:rPr>
              <w:t>10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72" w:beforeLines="30"/>
              <w:rPr>
                <w:rFonts w:asciiTheme="minorEastAsia" w:hAnsiTheme="minorEastAsia" w:cstheme="minorEastAsia"/>
                <w:sz w:val="24"/>
                <w:szCs w:val="24"/>
              </w:rPr>
            </w:pPr>
            <w:r>
              <w:rPr>
                <w:rFonts w:hint="eastAsia" w:asciiTheme="minorEastAsia" w:hAnsiTheme="minorEastAsia" w:cstheme="minorEastAsia"/>
                <w:sz w:val="24"/>
                <w:szCs w:val="24"/>
              </w:rPr>
              <w:t>横向对比各供应商提供的投标文件：投标人根据本项目制定文明作业方案（齐全的文明作业方案内容必须包含但不限于：1.文明制度；2.文明作业措施；3.作业前的管理目标；4.作业中的管理目标；5.作业后的管理目标。）</w:t>
            </w:r>
          </w:p>
          <w:p>
            <w:pPr>
              <w:spacing w:before="72" w:beforeLines="30"/>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项目文明作业方案具体、合理、可行、针对性强，能够持续提供完整、优质后续作业方案，得</w:t>
            </w:r>
            <w:r>
              <w:rPr>
                <w:rFonts w:hint="eastAsia" w:asciiTheme="minorEastAsia" w:hAnsiTheme="minorEastAsia" w:cstheme="minorEastAsia"/>
                <w:sz w:val="24"/>
                <w:szCs w:val="24"/>
              </w:rPr>
              <w:t>10</w:t>
            </w:r>
            <w:r>
              <w:rPr>
                <w:rFonts w:hint="eastAsia" w:asciiTheme="minorEastAsia" w:hAnsiTheme="minorEastAsia" w:cstheme="minorEastAsia"/>
                <w:sz w:val="24"/>
                <w:szCs w:val="24"/>
                <w:lang w:val="zh-CN"/>
              </w:rPr>
              <w:t>分；</w:t>
            </w:r>
          </w:p>
          <w:p>
            <w:pPr>
              <w:spacing w:before="72" w:beforeLines="30"/>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文明作业方案安排基本满足任务要求，实施具体、可行、合理性得</w:t>
            </w:r>
            <w:r>
              <w:rPr>
                <w:rFonts w:hint="eastAsia" w:asciiTheme="minorEastAsia" w:hAnsiTheme="minorEastAsia" w:cstheme="minorEastAsia"/>
                <w:sz w:val="24"/>
                <w:szCs w:val="24"/>
              </w:rPr>
              <w:t>7</w:t>
            </w:r>
            <w:r>
              <w:rPr>
                <w:rFonts w:hint="eastAsia" w:asciiTheme="minorEastAsia" w:hAnsiTheme="minorEastAsia" w:cstheme="minorEastAsia"/>
                <w:sz w:val="24"/>
                <w:szCs w:val="24"/>
                <w:lang w:val="zh-CN"/>
              </w:rPr>
              <w:t>分；</w:t>
            </w:r>
          </w:p>
          <w:p>
            <w:pPr>
              <w:rPr>
                <w:rFonts w:asciiTheme="minorEastAsia" w:hAnsiTheme="minorEastAsia" w:cstheme="minorEastAsia"/>
                <w:kern w:val="0"/>
                <w:sz w:val="24"/>
                <w:szCs w:val="24"/>
              </w:rPr>
            </w:pPr>
            <w:r>
              <w:rPr>
                <w:rFonts w:hint="eastAsia" w:asciiTheme="minorEastAsia" w:hAnsiTheme="minorEastAsia" w:cstheme="minorEastAsia"/>
                <w:sz w:val="24"/>
                <w:szCs w:val="24"/>
                <w:lang w:val="zh-CN"/>
              </w:rPr>
              <w:t>文明作业方案安排不符合任务要求，进度安排不合理、可行度低薄弱得</w:t>
            </w:r>
            <w:r>
              <w:rPr>
                <w:rFonts w:hint="eastAsia" w:asciiTheme="minorEastAsia" w:hAnsiTheme="minorEastAsia" w:cstheme="minorEastAsia"/>
                <w:sz w:val="24"/>
                <w:szCs w:val="24"/>
              </w:rPr>
              <w:t>3</w:t>
            </w:r>
            <w:r>
              <w:rPr>
                <w:rFonts w:hint="eastAsia" w:asciiTheme="minorEastAsia" w:hAnsiTheme="minorEastAsia" w:cstheme="minorEastAsia"/>
                <w:sz w:val="24"/>
                <w:szCs w:val="24"/>
                <w:lang w:val="zh-CN"/>
              </w:rPr>
              <w:t>分。</w:t>
            </w:r>
          </w:p>
        </w:tc>
      </w:tr>
      <w:tr>
        <w:tblPrEx>
          <w:tblCellMar>
            <w:top w:w="0" w:type="dxa"/>
            <w:left w:w="0" w:type="dxa"/>
            <w:bottom w:w="0" w:type="dxa"/>
            <w:right w:w="0" w:type="dxa"/>
          </w:tblCellMar>
        </w:tblPrEx>
        <w:trPr>
          <w:trHeight w:val="112" w:hRule="atLeast"/>
          <w:jc w:val="center"/>
        </w:trPr>
        <w:tc>
          <w:tcPr>
            <w:tcW w:w="1086" w:type="pct"/>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合计</w:t>
            </w:r>
          </w:p>
        </w:tc>
        <w:tc>
          <w:tcPr>
            <w:tcW w:w="576" w:type="pc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90</w:t>
            </w:r>
          </w:p>
        </w:tc>
        <w:tc>
          <w:tcPr>
            <w:tcW w:w="3336" w:type="pct"/>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cstheme="minorEastAsia"/>
                <w:kern w:val="0"/>
                <w:sz w:val="24"/>
                <w:szCs w:val="24"/>
              </w:rPr>
            </w:pPr>
          </w:p>
        </w:tc>
      </w:tr>
    </w:tbl>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0" w:name="_Toc22050"/>
      <w:r>
        <w:rPr>
          <w:rFonts w:cs="宋体" w:asciiTheme="minorEastAsia" w:hAnsiTheme="minorEastAsia"/>
          <w:b/>
          <w:sz w:val="24"/>
          <w:szCs w:val="24"/>
        </w:rPr>
        <w:t xml:space="preserve">1. </w:t>
      </w:r>
      <w:r>
        <w:rPr>
          <w:rFonts w:hint="eastAsia" w:cs="宋体" w:asciiTheme="minorEastAsia" w:hAnsiTheme="minorEastAsia"/>
          <w:b/>
          <w:sz w:val="24"/>
          <w:szCs w:val="24"/>
        </w:rPr>
        <w:t>评标方法</w:t>
      </w:r>
      <w:bookmarkEnd w:id="50"/>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本次评标采用综合评分法。评标委员会对满足招标文件实质性要求的投标文件，按照本节规定的评审标准进行评审。评标中各评委若发生意见分歧，以少数服从多数原则确定。</w:t>
      </w:r>
    </w:p>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1" w:name="_Toc5818"/>
      <w:r>
        <w:rPr>
          <w:rFonts w:cs="宋体" w:asciiTheme="minorEastAsia" w:hAnsiTheme="minorEastAsia"/>
          <w:b/>
          <w:sz w:val="24"/>
          <w:szCs w:val="24"/>
        </w:rPr>
        <w:t xml:space="preserve">2. </w:t>
      </w:r>
      <w:r>
        <w:rPr>
          <w:rFonts w:hint="eastAsia" w:cs="宋体" w:asciiTheme="minorEastAsia" w:hAnsiTheme="minorEastAsia"/>
          <w:b/>
          <w:sz w:val="24"/>
          <w:szCs w:val="24"/>
        </w:rPr>
        <w:t>评审标准</w:t>
      </w:r>
      <w:bookmarkEnd w:id="51"/>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1资格审查：评审因素和评审标准见《资格审查标准》。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2完备性及符合性审查：评审因素和评审标准见《完备性及符合性审查标准》。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3详细评审：</w:t>
      </w:r>
    </w:p>
    <w:p>
      <w:pPr>
        <w:widowControl/>
        <w:shd w:val="clear" w:color="auto" w:fill="FFFFFF"/>
        <w:snapToGrid w:val="0"/>
        <w:spacing w:line="360" w:lineRule="auto"/>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hint="eastAsia" w:cs="Arial" w:asciiTheme="minorEastAsia" w:hAnsiTheme="minorEastAsia"/>
          <w:color w:val="000000" w:themeColor="text1"/>
          <w:kern w:val="0"/>
          <w:sz w:val="24"/>
          <w:szCs w:val="24"/>
          <w14:textFill>
            <w14:solidFill>
              <w14:schemeClr w14:val="tx1"/>
            </w14:solidFill>
          </w14:textFill>
        </w:rPr>
        <w:t>2.3.1详细评审：评审因素和评审标准见《详细评审标准》及本节第3.5款。</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投标报价评分标准：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）分值构成及权重：见评标办法前附表。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）评标基准价计算：见评标办法前附表。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（3）投标报价得分的计算：见评标办法前附表。</w:t>
      </w:r>
    </w:p>
    <w:p>
      <w:pPr>
        <w:tabs>
          <w:tab w:val="center" w:pos="4832"/>
          <w:tab w:val="left" w:pos="7140"/>
        </w:tabs>
        <w:spacing w:line="360" w:lineRule="auto"/>
        <w:ind w:firstLine="472" w:firstLineChars="196"/>
        <w:jc w:val="left"/>
        <w:outlineLvl w:val="2"/>
        <w:rPr>
          <w:rFonts w:cs="宋体" w:asciiTheme="minorEastAsia" w:hAnsiTheme="minorEastAsia"/>
          <w:b/>
          <w:sz w:val="24"/>
          <w:szCs w:val="24"/>
        </w:rPr>
      </w:pPr>
      <w:bookmarkStart w:id="52" w:name="_Toc24599"/>
      <w:r>
        <w:rPr>
          <w:rFonts w:cs="宋体" w:asciiTheme="minorEastAsia" w:hAnsiTheme="minorEastAsia"/>
          <w:b/>
          <w:sz w:val="24"/>
          <w:szCs w:val="24"/>
        </w:rPr>
        <w:t xml:space="preserve">3. </w:t>
      </w:r>
      <w:r>
        <w:rPr>
          <w:rFonts w:hint="eastAsia" w:cs="宋体" w:asciiTheme="minorEastAsia" w:hAnsiTheme="minorEastAsia"/>
          <w:b/>
          <w:sz w:val="24"/>
          <w:szCs w:val="24"/>
        </w:rPr>
        <w:t>评标程序</w:t>
      </w:r>
      <w:bookmarkEnd w:id="52"/>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3.1 </w:t>
      </w:r>
      <w:r>
        <w:rPr>
          <w:rFonts w:hint="eastAsia" w:cs="Arial" w:asciiTheme="minorEastAsia" w:hAnsiTheme="minorEastAsia"/>
          <w:kern w:val="0"/>
          <w:sz w:val="24"/>
          <w:szCs w:val="24"/>
        </w:rPr>
        <w:t>基本程序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评标活动将按以下步骤进行：</w:t>
      </w:r>
    </w:p>
    <w:p>
      <w:pPr>
        <w:pStyle w:val="57"/>
        <w:widowControl/>
        <w:numPr>
          <w:ilvl w:val="0"/>
          <w:numId w:val="1"/>
        </w:numPr>
        <w:shd w:val="clear" w:color="auto" w:fill="FFFFFF"/>
        <w:snapToGrid w:val="0"/>
        <w:spacing w:line="360" w:lineRule="auto"/>
        <w:ind w:firstLineChars="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评标准备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（2）资格审查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（3）完备性及符合性审查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（4）详细评审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（5）澄清、说明或补正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（6）推荐中标候选人及提交评标报告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 </w:t>
      </w:r>
      <w:r>
        <w:rPr>
          <w:rFonts w:hint="eastAsia" w:cs="Arial" w:asciiTheme="minorEastAsia" w:hAnsiTheme="minorEastAsia"/>
          <w:kern w:val="0"/>
          <w:sz w:val="24"/>
          <w:szCs w:val="24"/>
        </w:rPr>
        <w:t>评标准备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3.2.1</w:t>
      </w:r>
      <w:r>
        <w:rPr>
          <w:rFonts w:hint="eastAsia" w:cs="Arial" w:asciiTheme="minorEastAsia" w:hAnsiTheme="minorEastAsia"/>
          <w:kern w:val="0"/>
          <w:sz w:val="24"/>
          <w:szCs w:val="24"/>
        </w:rPr>
        <w:t>评标委员会成员签到</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评标委员会成员到达评标现场时应当在签到表上签到以证明其出席。</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3.2.2 </w:t>
      </w:r>
      <w:r>
        <w:rPr>
          <w:rFonts w:hint="eastAsia" w:cs="Arial" w:asciiTheme="minorEastAsia" w:hAnsiTheme="minorEastAsia"/>
          <w:kern w:val="0"/>
          <w:sz w:val="24"/>
          <w:szCs w:val="24"/>
        </w:rPr>
        <w:t>评标委员会的分工</w:t>
      </w:r>
    </w:p>
    <w:p>
      <w:pPr>
        <w:widowControl/>
        <w:shd w:val="clear" w:color="auto" w:fill="FFFFFF"/>
        <w:snapToGrid w:val="0"/>
        <w:spacing w:line="360" w:lineRule="auto"/>
        <w:ind w:firstLine="480" w:firstLineChars="200"/>
        <w:rPr>
          <w:rFonts w:cs="Arial" w:asciiTheme="minorEastAsia" w:hAnsiTheme="minorEastAsia"/>
          <w:color w:val="auto"/>
          <w:kern w:val="0"/>
          <w:sz w:val="24"/>
          <w:szCs w:val="24"/>
        </w:rPr>
      </w:pPr>
      <w:r>
        <w:rPr>
          <w:rFonts w:cs="Arial" w:asciiTheme="minorEastAsia" w:hAnsiTheme="minorEastAsia"/>
          <w:color w:val="auto"/>
          <w:kern w:val="0"/>
          <w:sz w:val="24"/>
          <w:szCs w:val="24"/>
        </w:rPr>
        <w:t>3.2.2.1</w:t>
      </w:r>
      <w:r>
        <w:rPr>
          <w:rFonts w:hint="eastAsia" w:cs="Arial" w:asciiTheme="minorEastAsia" w:hAnsiTheme="minorEastAsia"/>
          <w:color w:val="auto"/>
          <w:kern w:val="0"/>
          <w:sz w:val="24"/>
          <w:szCs w:val="24"/>
        </w:rPr>
        <w:t>评标委员会首先推选一名评标委员会主任（除招标人代表）。评标委员会主任负责评标活动的组织领导工作。评标委员会主任与评标委员会其他成员具有同等的评标权力。</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3.2.2.2 </w:t>
      </w:r>
      <w:r>
        <w:rPr>
          <w:rFonts w:hint="eastAsia" w:cs="Arial" w:asciiTheme="minorEastAsia" w:hAnsiTheme="minorEastAsia"/>
          <w:kern w:val="0"/>
          <w:sz w:val="24"/>
          <w:szCs w:val="24"/>
        </w:rPr>
        <w:t>评标委员会主任除履行自己作为评标委员会成员独立评标的职责外，主要负责以下工作：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）组织评标委员会成员学习招标文件；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）汇总各评标委员会成员认为需要投标人澄清、说明或者补正的问题；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）组织评标委员会对投标人质询并对投标人的答复进行评审；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）对出现较大争议的事项进行书面记录；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）组织收回评标过程中使用的文件、表格和评标记录以及其他资料，并查验评标记录的完整性；</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6</w:t>
      </w:r>
      <w:r>
        <w:rPr>
          <w:rFonts w:hint="eastAsia" w:cs="Arial" w:asciiTheme="minorEastAsia" w:hAnsiTheme="minorEastAsia"/>
          <w:kern w:val="0"/>
          <w:sz w:val="24"/>
          <w:szCs w:val="24"/>
        </w:rPr>
        <w:t>）组织对评标结论进行复核确认；</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7</w:t>
      </w:r>
      <w:r>
        <w:rPr>
          <w:rFonts w:hint="eastAsia" w:cs="Arial" w:asciiTheme="minorEastAsia" w:hAnsiTheme="minorEastAsia"/>
          <w:kern w:val="0"/>
          <w:sz w:val="24"/>
          <w:szCs w:val="24"/>
        </w:rPr>
        <w:t>）组织编写评标报告。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 </w:t>
      </w:r>
      <w:r>
        <w:rPr>
          <w:rFonts w:hint="eastAsia" w:cs="Arial" w:asciiTheme="minorEastAsia" w:hAnsiTheme="minorEastAsia"/>
          <w:kern w:val="0"/>
          <w:sz w:val="24"/>
          <w:szCs w:val="24"/>
        </w:rPr>
        <w:t>熟悉文件资料</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3.2.3.1 </w:t>
      </w:r>
      <w:r>
        <w:rPr>
          <w:rFonts w:hint="eastAsia" w:cs="Arial" w:asciiTheme="minorEastAsia" w:hAnsiTheme="minorEastAsia"/>
          <w:kern w:val="0"/>
          <w:sz w:val="24"/>
          <w:szCs w:val="24"/>
        </w:rPr>
        <w:t>评标委员会主任应当组织评标委员会成员认真研究招标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 xml:space="preserve">3.2.3.2 </w:t>
      </w:r>
      <w:r>
        <w:rPr>
          <w:rFonts w:hint="eastAsia" w:cs="Arial" w:asciiTheme="minorEastAsia" w:hAnsiTheme="minorEastAsia"/>
          <w:kern w:val="0"/>
          <w:sz w:val="24"/>
          <w:szCs w:val="24"/>
        </w:rPr>
        <w:t>采购人或采购代理机构应当向评标委员会提供评标所需的信息和数据，包括：</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）招标文件及其澄清修改等招标文件补充；</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）未在开标会上当场拒绝的各投标文件；</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3</w:t>
      </w:r>
      <w:r>
        <w:rPr>
          <w:rFonts w:hint="eastAsia" w:cs="Arial" w:asciiTheme="minorEastAsia" w:hAnsiTheme="minorEastAsia"/>
          <w:kern w:val="0"/>
          <w:sz w:val="24"/>
          <w:szCs w:val="24"/>
        </w:rPr>
        <w:t>）开标会记录；</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4</w:t>
      </w:r>
      <w:r>
        <w:rPr>
          <w:rFonts w:hint="eastAsia" w:cs="Arial" w:asciiTheme="minorEastAsia" w:hAnsiTheme="minorEastAsia"/>
          <w:kern w:val="0"/>
          <w:sz w:val="24"/>
          <w:szCs w:val="24"/>
        </w:rPr>
        <w:t>）评标表格；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5</w:t>
      </w:r>
      <w:r>
        <w:rPr>
          <w:rFonts w:hint="eastAsia" w:cs="Arial" w:asciiTheme="minorEastAsia" w:hAnsiTheme="minorEastAsia"/>
          <w:kern w:val="0"/>
          <w:sz w:val="24"/>
          <w:szCs w:val="24"/>
        </w:rPr>
        <w:t>）其他信息和数据。</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3.3资格审查（适用于资格后审）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采购人会依据本章规定的评审因素和审查标准，对投标人的资格审查资料进行资格审查。资格审查有一项未通过审查标准，采购人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4完备性及符合性审查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评标委员会依据本章规定的评审因素和评审标准，对投标人的投标文件进行完备性及符合性审查。完备性及符合性审查有一项未通过评审标准，评标委员会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完备性及符合性审查条款是指对本招标项目产生了重大影响的重大偏差，而且纠正此类偏差将会对响应本次招标的其他投标人的竞争地位产生不公正的影响。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4</w:t>
      </w:r>
      <w:r>
        <w:rPr>
          <w:rFonts w:cs="Arial" w:asciiTheme="minorEastAsia" w:hAnsiTheme="minorEastAsia"/>
          <w:kern w:val="0"/>
          <w:sz w:val="24"/>
          <w:szCs w:val="24"/>
        </w:rPr>
        <w:t>.3</w:t>
      </w:r>
      <w:r>
        <w:rPr>
          <w:rFonts w:hint="eastAsia" w:cs="Arial" w:asciiTheme="minorEastAsia" w:hAnsiTheme="minorEastAsia"/>
          <w:kern w:val="0"/>
          <w:sz w:val="24"/>
          <w:szCs w:val="24"/>
        </w:rPr>
        <w:t>细微偏差是指投标文件在实质上响应招标文件要求，但在个别地方存在疏漏或者提供了不完整的技术信息和数据等情况，并且补正这些遗漏和不完整不会对其他投标人造成不公平的结果。细微偏差不影响投标文件的，评标委员会可要求存在细微偏差的投标人予以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.1.</w:t>
      </w:r>
      <w:r>
        <w:rPr>
          <w:rFonts w:hint="eastAsia" w:cs="Arial" w:asciiTheme="minorEastAsia" w:hAnsiTheme="minorEastAsia"/>
          <w:kern w:val="0"/>
          <w:sz w:val="24"/>
          <w:szCs w:val="24"/>
        </w:rPr>
        <w:t>只有通过了资格审查、完备性及符合性审查且投标人不少于3个方可进入详细评审。</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.2 </w:t>
      </w:r>
      <w:r>
        <w:rPr>
          <w:rFonts w:hint="eastAsia" w:cs="Arial" w:asciiTheme="minorEastAsia" w:hAnsiTheme="minorEastAsia"/>
          <w:kern w:val="0"/>
          <w:sz w:val="24"/>
          <w:szCs w:val="24"/>
        </w:rPr>
        <w:t>澄清、说明和补正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1在不改变投标人投标文件实质性内容的前提下，评标委员会应当对投标文件进行基础性数据分析和整理，从而发现并提取其中可能存在的对招标范围理解的偏差、技术响应偏离、投标价格的算术性错误、错漏项、投标价格构成不合理、不平衡报价等存在明显异常的问题。</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.2澄清、说明和补正内容不得改变投标文件的实质性内容（算术性错误修正的除外）。投标人的书面澄清、说明和补正属于投标文件的组成部分。</w:t>
      </w:r>
    </w:p>
    <w:p>
      <w:pPr>
        <w:widowControl/>
        <w:shd w:val="clear" w:color="auto" w:fill="FFFFFF"/>
        <w:snapToGrid w:val="0"/>
        <w:spacing w:line="360" w:lineRule="auto"/>
        <w:ind w:firstLine="480" w:firstLineChars="200"/>
        <w:rPr>
          <w:rFonts w:cs="Arial" w:asciiTheme="minorEastAsia" w:hAnsiTheme="minorEastAsia"/>
          <w:color w:val="FF0000"/>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.3</w:t>
      </w:r>
      <w:r>
        <w:rPr>
          <w:rFonts w:hint="eastAsia" w:cs="Arial" w:asciiTheme="minorEastAsia" w:hAnsiTheme="minorEastAsia"/>
          <w:color w:val="000000" w:themeColor="text1"/>
          <w:kern w:val="0"/>
          <w:sz w:val="24"/>
          <w:szCs w:val="24"/>
          <w14:textFill>
            <w14:solidFill>
              <w14:schemeClr w14:val="tx1"/>
            </w14:solidFill>
          </w14:textFill>
        </w:rPr>
        <w:t>评标委员会</w:t>
      </w:r>
      <w:r>
        <w:rPr>
          <w:rFonts w:hint="eastAsia" w:cs="Arial" w:asciiTheme="minorEastAsia" w:hAnsiTheme="minorEastAsia"/>
          <w:kern w:val="0"/>
          <w:sz w:val="24"/>
          <w:szCs w:val="24"/>
        </w:rPr>
        <w:t>针对需要投标</w:t>
      </w:r>
      <w:r>
        <w:rPr>
          <w:rFonts w:hint="eastAsia" w:cs="Arial" w:asciiTheme="minorEastAsia" w:hAnsiTheme="minorEastAsia"/>
          <w:color w:val="000000" w:themeColor="text1"/>
          <w:kern w:val="0"/>
          <w:sz w:val="24"/>
          <w:szCs w:val="24"/>
          <w14:textFill>
            <w14:solidFill>
              <w14:schemeClr w14:val="tx1"/>
            </w14:solidFill>
          </w14:textFill>
        </w:rPr>
        <w:t>人对所提交投标文件中不明确的内容进行书面澄清、说明或补正。</w:t>
      </w:r>
      <w:r>
        <w:rPr>
          <w:rFonts w:hint="eastAsia" w:cs="Arial" w:asciiTheme="minorEastAsia" w:hAnsiTheme="minorEastAsia"/>
          <w:kern w:val="0"/>
          <w:sz w:val="24"/>
          <w:szCs w:val="24"/>
        </w:rPr>
        <w:t>澄清通知不得向投标人提出带有暗示性或诱导性问题，或向其明确投标文件中的遗漏和错误。</w:t>
      </w:r>
      <w:r>
        <w:rPr>
          <w:rFonts w:hint="eastAsia" w:cs="Arial" w:asciiTheme="minorEastAsia" w:hAnsiTheme="minorEastAsia"/>
          <w:color w:val="000000" w:themeColor="text1"/>
          <w:kern w:val="0"/>
          <w:sz w:val="24"/>
          <w:szCs w:val="24"/>
          <w14:textFill>
            <w14:solidFill>
              <w14:schemeClr w14:val="tx1"/>
            </w14:solidFill>
          </w14:textFill>
        </w:rPr>
        <w:t>投标人接到评标委员会发出的书面澄清通知后，应按评标委员会的要求提供书面澄清资料，并在规定的时间递交到指定地点。评标委员会不接受投标人主动提出的澄清、说明或补正。</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.2</w:t>
      </w:r>
      <w:r>
        <w:rPr>
          <w:rFonts w:hint="eastAsia" w:cs="Arial" w:asciiTheme="minorEastAsia" w:hAnsiTheme="minorEastAsia"/>
          <w:kern w:val="0"/>
          <w:sz w:val="24"/>
          <w:szCs w:val="24"/>
        </w:rPr>
        <w:t>.4评标委员会对投标人提交的澄清、说明或补正有疑问的，可以要求投标人进一步澄清、说明或补正，直至满足评标委员会的要求。</w:t>
      </w:r>
    </w:p>
    <w:p>
      <w:pPr>
        <w:widowControl/>
        <w:shd w:val="clear" w:color="auto" w:fill="FFFFFF"/>
        <w:snapToGrid w:val="0"/>
        <w:spacing w:line="360" w:lineRule="auto"/>
        <w:ind w:firstLine="480" w:firstLineChars="200"/>
        <w:rPr>
          <w:rFonts w:cs="Arial" w:asciiTheme="minorEastAsia" w:hAnsiTheme="minorEastAsia"/>
          <w:color w:val="000000" w:themeColor="text1"/>
          <w:kern w:val="0"/>
          <w:sz w:val="24"/>
          <w:szCs w:val="24"/>
          <w14:textFill>
            <w14:solidFill>
              <w14:schemeClr w14:val="tx1"/>
            </w14:solidFill>
          </w14:textFill>
        </w:rPr>
      </w:pPr>
      <w:r>
        <w:rPr>
          <w:rFonts w:cs="Arial" w:asciiTheme="minorEastAsia" w:hAnsiTheme="minorEastAsia"/>
          <w:color w:val="000000" w:themeColor="text1"/>
          <w:kern w:val="0"/>
          <w:sz w:val="24"/>
          <w:szCs w:val="24"/>
          <w14:textFill>
            <w14:solidFill>
              <w14:schemeClr w14:val="tx1"/>
            </w14:solidFill>
          </w14:textFill>
        </w:rPr>
        <w:t>3.</w:t>
      </w:r>
      <w:r>
        <w:rPr>
          <w:rFonts w:hint="eastAsia" w:cs="Arial" w:asciiTheme="minorEastAsia" w:hAnsiTheme="minorEastAsia"/>
          <w:color w:val="000000" w:themeColor="text1"/>
          <w:kern w:val="0"/>
          <w:sz w:val="24"/>
          <w:szCs w:val="24"/>
          <w14:textFill>
            <w14:solidFill>
              <w14:schemeClr w14:val="tx1"/>
            </w14:solidFill>
          </w14:textFill>
        </w:rPr>
        <w:t>5</w:t>
      </w:r>
      <w:r>
        <w:rPr>
          <w:rFonts w:cs="Arial" w:asciiTheme="minorEastAsia" w:hAnsiTheme="minorEastAsia"/>
          <w:color w:val="000000" w:themeColor="text1"/>
          <w:kern w:val="0"/>
          <w:sz w:val="24"/>
          <w:szCs w:val="24"/>
          <w14:textFill>
            <w14:solidFill>
              <w14:schemeClr w14:val="tx1"/>
            </w14:solidFill>
          </w14:textFill>
        </w:rPr>
        <w:t>.3</w:t>
      </w:r>
      <w:r>
        <w:rPr>
          <w:rFonts w:hint="eastAsia" w:cs="Arial" w:asciiTheme="minorEastAsia" w:hAnsiTheme="minorEastAsia"/>
          <w:color w:val="000000" w:themeColor="text1"/>
          <w:kern w:val="0"/>
          <w:sz w:val="24"/>
          <w:szCs w:val="24"/>
          <w14:textFill>
            <w14:solidFill>
              <w14:schemeClr w14:val="tx1"/>
            </w14:solidFill>
          </w14:textFill>
        </w:rPr>
        <w:t>评委评分：评委按照《详细评审标准》评分，投标人详细评审得分等于全部评委评分的算术平均值。</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.4 </w:t>
      </w:r>
      <w:r>
        <w:rPr>
          <w:rFonts w:hint="eastAsia" w:cs="Arial" w:asciiTheme="minorEastAsia" w:hAnsiTheme="minorEastAsia"/>
          <w:kern w:val="0"/>
          <w:sz w:val="24"/>
          <w:szCs w:val="24"/>
        </w:rPr>
        <w:t>算术错误修正：投标价格有算术错误的，评标委员会按以下原则对投标价格进行修正，修正的价格经投标人书面确认后具有约束力。投标人不接受修正价格的，其投标将被否决。</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）投标文件中的大写金额与小写金额不一致的，以大写金额为准；</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）总价金额与依据单价计算出的结果不一致的，以单价金额为准修正总价，但单价金额小数点有明显错误的除外。</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.5 </w:t>
      </w:r>
      <w:r>
        <w:rPr>
          <w:rFonts w:hint="eastAsia" w:cs="Arial" w:asciiTheme="minorEastAsia" w:hAnsiTheme="minorEastAsia"/>
          <w:kern w:val="0"/>
          <w:sz w:val="24"/>
          <w:szCs w:val="24"/>
        </w:rPr>
        <w:t>评标委员会发现投标人的报价明显低于其他投标人投标价格，使得其投标价格可能低于其成本的，应当要求该投标人作出书面说明并提供相应的证明材料。投标人不能合理说明或者不能提供相应证明材料的，由评标委员会认定该投标人以低于成本报价竞标，否决其投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.6 </w:t>
      </w:r>
      <w:r>
        <w:rPr>
          <w:rFonts w:hint="eastAsia" w:cs="Arial" w:asciiTheme="minorEastAsia" w:hAnsiTheme="minorEastAsia"/>
          <w:kern w:val="0"/>
          <w:sz w:val="24"/>
          <w:szCs w:val="24"/>
        </w:rPr>
        <w:t>投标报价评分：对投标报价进行投标报价得分计算，计算方法详见评标办法前附表。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.7 </w:t>
      </w:r>
      <w:r>
        <w:rPr>
          <w:rFonts w:hint="eastAsia" w:cs="Arial" w:asciiTheme="minorEastAsia" w:hAnsiTheme="minorEastAsia"/>
          <w:kern w:val="0"/>
          <w:sz w:val="24"/>
          <w:szCs w:val="24"/>
        </w:rPr>
        <w:t>汇总评分结果，评分分值计算保留小数点后两位，小数点后第三位“四舍五入”。</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5</w:t>
      </w:r>
      <w:r>
        <w:rPr>
          <w:rFonts w:cs="Arial" w:asciiTheme="minorEastAsia" w:hAnsiTheme="minorEastAsia"/>
          <w:kern w:val="0"/>
          <w:sz w:val="24"/>
          <w:szCs w:val="24"/>
        </w:rPr>
        <w:t xml:space="preserve">.8 </w:t>
      </w:r>
      <w:r>
        <w:rPr>
          <w:rFonts w:hint="eastAsia" w:cs="Arial" w:asciiTheme="minorEastAsia" w:hAnsiTheme="minorEastAsia"/>
          <w:kern w:val="0"/>
          <w:sz w:val="24"/>
          <w:szCs w:val="24"/>
        </w:rPr>
        <w:t>详细评审工作全部结束后，投标人总得分排序按照以下原则进行。</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3.5.8.1按照总得分由高到低顺序对投标人进行排序；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3.5.8.2总</w:t>
      </w:r>
      <w:r>
        <w:rPr>
          <w:rFonts w:cs="Arial" w:asciiTheme="minorEastAsia" w:hAnsiTheme="minorEastAsia"/>
          <w:kern w:val="0"/>
          <w:sz w:val="24"/>
          <w:szCs w:val="24"/>
        </w:rPr>
        <w:t>得分</w:t>
      </w:r>
      <w:r>
        <w:rPr>
          <w:rFonts w:hint="eastAsia" w:cs="Arial" w:asciiTheme="minorEastAsia" w:hAnsiTheme="minorEastAsia"/>
          <w:kern w:val="0"/>
          <w:sz w:val="24"/>
          <w:szCs w:val="24"/>
        </w:rPr>
        <w:t>相同时报价低的</w:t>
      </w:r>
      <w:r>
        <w:rPr>
          <w:rFonts w:cs="Arial" w:asciiTheme="minorEastAsia" w:hAnsiTheme="minorEastAsia"/>
          <w:kern w:val="0"/>
          <w:sz w:val="24"/>
          <w:szCs w:val="24"/>
        </w:rPr>
        <w:t>投标人</w:t>
      </w:r>
      <w:r>
        <w:rPr>
          <w:rFonts w:hint="eastAsia" w:cs="Arial" w:asciiTheme="minorEastAsia" w:hAnsiTheme="minorEastAsia"/>
          <w:kern w:val="0"/>
          <w:sz w:val="24"/>
          <w:szCs w:val="24"/>
        </w:rPr>
        <w:t>排序靠前；</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3.5.8.3总</w:t>
      </w:r>
      <w:r>
        <w:rPr>
          <w:rFonts w:cs="Arial" w:asciiTheme="minorEastAsia" w:hAnsiTheme="minorEastAsia"/>
          <w:kern w:val="0"/>
          <w:sz w:val="24"/>
          <w:szCs w:val="24"/>
        </w:rPr>
        <w:t>得分相同</w:t>
      </w:r>
      <w:r>
        <w:rPr>
          <w:rFonts w:hint="eastAsia" w:cs="Arial" w:asciiTheme="minorEastAsia" w:hAnsiTheme="minorEastAsia"/>
          <w:kern w:val="0"/>
          <w:sz w:val="24"/>
          <w:szCs w:val="24"/>
        </w:rPr>
        <w:t>且报价相同的</w:t>
      </w:r>
      <w:r>
        <w:rPr>
          <w:rFonts w:cs="Arial" w:asciiTheme="minorEastAsia" w:hAnsiTheme="minorEastAsia"/>
          <w:kern w:val="0"/>
          <w:sz w:val="24"/>
          <w:szCs w:val="24"/>
        </w:rPr>
        <w:t>，</w:t>
      </w:r>
      <w:r>
        <w:rPr>
          <w:rFonts w:hint="eastAsia" w:cs="Arial" w:asciiTheme="minorEastAsia" w:hAnsiTheme="minorEastAsia"/>
          <w:kern w:val="0"/>
          <w:sz w:val="24"/>
          <w:szCs w:val="24"/>
        </w:rPr>
        <w:t>采取随机抽取方式</w:t>
      </w:r>
      <w:r>
        <w:rPr>
          <w:rFonts w:cs="Arial" w:asciiTheme="minorEastAsia" w:hAnsiTheme="minorEastAsia"/>
          <w:kern w:val="0"/>
          <w:sz w:val="24"/>
          <w:szCs w:val="24"/>
        </w:rPr>
        <w:t>确定</w:t>
      </w:r>
      <w:r>
        <w:rPr>
          <w:rFonts w:hint="eastAsia" w:cs="Arial" w:asciiTheme="minorEastAsia" w:hAnsiTheme="minorEastAsia"/>
          <w:kern w:val="0"/>
          <w:sz w:val="24"/>
          <w:szCs w:val="24"/>
        </w:rPr>
        <w:t>排序顺序。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6推荐中标候选人及提交评标报告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.1</w:t>
      </w:r>
      <w:r>
        <w:rPr>
          <w:rFonts w:hint="eastAsia" w:cs="Arial" w:asciiTheme="minorEastAsia" w:hAnsiTheme="minorEastAsia"/>
          <w:kern w:val="0"/>
          <w:sz w:val="24"/>
          <w:szCs w:val="24"/>
        </w:rPr>
        <w:t>评标委员会推荐中标候选人，总得分排序第一的投标人将被确定为第一中标候选人，以此类推确定出规定数量的的中标候选人。</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.2</w:t>
      </w:r>
      <w:r>
        <w:rPr>
          <w:rFonts w:hint="eastAsia" w:cs="Arial" w:asciiTheme="minorEastAsia" w:hAnsiTheme="minorEastAsia"/>
          <w:kern w:val="0"/>
          <w:sz w:val="24"/>
          <w:szCs w:val="24"/>
        </w:rPr>
        <w:t>当通过了资格审查、完备性及符合性审查后，投标人少于3个时，采购人应当依法重新招标。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6</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评标委员会完成评标后，应当向采购人提交书面评标报告。</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7特殊情况的处置程序</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.1 </w:t>
      </w:r>
      <w:r>
        <w:rPr>
          <w:rFonts w:hint="eastAsia" w:cs="Arial" w:asciiTheme="minorEastAsia" w:hAnsiTheme="minorEastAsia"/>
          <w:kern w:val="0"/>
          <w:sz w:val="24"/>
          <w:szCs w:val="24"/>
        </w:rPr>
        <w:t>关于评标活动暂停</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评标委员会应当执行连续评标的原则，按评标办法中规定的程序、内容、方法、标准完成全部评标工作。只有发生不可抗力导致评标工作无法继续时，评标活动方可暂停。发生评标暂停情况时，应当封存全部投标文件和评标记录，待不可抗力的影响结束且具备继续评标的条件时，由原评标委员会继续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.2</w:t>
      </w:r>
      <w:r>
        <w:rPr>
          <w:rFonts w:hint="eastAsia" w:cs="Arial" w:asciiTheme="minorEastAsia" w:hAnsiTheme="minorEastAsia"/>
          <w:kern w:val="0"/>
          <w:sz w:val="24"/>
          <w:szCs w:val="24"/>
        </w:rPr>
        <w:t>关于评标中途更换评委</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.2.1 </w:t>
      </w:r>
      <w:r>
        <w:rPr>
          <w:rFonts w:hint="eastAsia" w:cs="Arial" w:asciiTheme="minorEastAsia" w:hAnsiTheme="minorEastAsia"/>
          <w:kern w:val="0"/>
          <w:sz w:val="24"/>
          <w:szCs w:val="24"/>
        </w:rPr>
        <w:t>除非发生下列情况之一，评标委员会成员不得在评标中途更换：</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1</w:t>
      </w:r>
      <w:r>
        <w:rPr>
          <w:rFonts w:hint="eastAsia" w:cs="Arial" w:asciiTheme="minorEastAsia" w:hAnsiTheme="minorEastAsia"/>
          <w:kern w:val="0"/>
          <w:sz w:val="24"/>
          <w:szCs w:val="24"/>
        </w:rPr>
        <w:t>）因不可抗拒的客观原因，不能到场或需在评标中途退出评标活动。</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w:t>
      </w:r>
      <w:r>
        <w:rPr>
          <w:rFonts w:cs="Arial" w:asciiTheme="minorEastAsia" w:hAnsiTheme="minorEastAsia"/>
          <w:kern w:val="0"/>
          <w:sz w:val="24"/>
          <w:szCs w:val="24"/>
        </w:rPr>
        <w:t>2</w:t>
      </w:r>
      <w:r>
        <w:rPr>
          <w:rFonts w:hint="eastAsia" w:cs="Arial" w:asciiTheme="minorEastAsia" w:hAnsiTheme="minorEastAsia"/>
          <w:kern w:val="0"/>
          <w:sz w:val="24"/>
          <w:szCs w:val="24"/>
        </w:rPr>
        <w:t>）根据法律法规规定，某个或某几个评标委员会成员需要回避。</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.2.2 </w:t>
      </w:r>
      <w:r>
        <w:rPr>
          <w:rFonts w:hint="eastAsia" w:cs="Arial" w:asciiTheme="minorEastAsia" w:hAnsiTheme="minorEastAsia"/>
          <w:kern w:val="0"/>
          <w:sz w:val="24"/>
          <w:szCs w:val="24"/>
        </w:rPr>
        <w:t>退出评标的评标委员会成员，其已完成的评标行为无效，由更换的评委进行评标。</w:t>
      </w:r>
    </w:p>
    <w:p>
      <w:pPr>
        <w:widowControl/>
        <w:shd w:val="clear" w:color="auto" w:fill="FFFFFF"/>
        <w:snapToGrid w:val="0"/>
        <w:spacing w:line="360" w:lineRule="auto"/>
        <w:ind w:firstLine="480" w:firstLineChars="200"/>
        <w:rPr>
          <w:rFonts w:cs="Arial" w:asciiTheme="minorEastAsia" w:hAnsiTheme="minorEastAsia"/>
          <w:kern w:val="0"/>
          <w:sz w:val="24"/>
          <w:szCs w:val="24"/>
        </w:rPr>
      </w:pPr>
      <w:r>
        <w:rPr>
          <w:rFonts w:cs="Arial" w:asciiTheme="minorEastAsia" w:hAnsiTheme="minorEastAsia"/>
          <w:kern w:val="0"/>
          <w:sz w:val="24"/>
          <w:szCs w:val="24"/>
        </w:rPr>
        <w:t>3.</w:t>
      </w:r>
      <w:r>
        <w:rPr>
          <w:rFonts w:hint="eastAsia" w:cs="Arial" w:asciiTheme="minorEastAsia" w:hAnsiTheme="minorEastAsia"/>
          <w:kern w:val="0"/>
          <w:sz w:val="24"/>
          <w:szCs w:val="24"/>
        </w:rPr>
        <w:t>7</w:t>
      </w:r>
      <w:r>
        <w:rPr>
          <w:rFonts w:cs="Arial" w:asciiTheme="minorEastAsia" w:hAnsiTheme="minorEastAsia"/>
          <w:kern w:val="0"/>
          <w:sz w:val="24"/>
          <w:szCs w:val="24"/>
        </w:rPr>
        <w:t xml:space="preserve">.3 </w:t>
      </w:r>
      <w:r>
        <w:rPr>
          <w:rFonts w:hint="eastAsia" w:cs="Arial" w:asciiTheme="minorEastAsia" w:hAnsiTheme="minorEastAsia"/>
          <w:kern w:val="0"/>
          <w:sz w:val="24"/>
          <w:szCs w:val="24"/>
        </w:rPr>
        <w:t>在评标环节中，需评标委员会就某项定性的评审结论做出表决的，由评标委员会全体成员按照少数服从多数的原则确定。</w:t>
      </w:r>
    </w:p>
    <w:p>
      <w:pPr>
        <w:widowControl/>
        <w:ind w:firstLine="482"/>
        <w:jc w:val="center"/>
        <w:rPr>
          <w:rFonts w:cs="宋体" w:asciiTheme="minorEastAsia" w:hAnsiTheme="minorEastAsia"/>
          <w:b/>
          <w:sz w:val="24"/>
          <w:szCs w:val="24"/>
        </w:rPr>
      </w:pPr>
      <w:r>
        <w:rPr>
          <w:rFonts w:cs="宋体" w:asciiTheme="minorEastAsia" w:hAnsiTheme="minorEastAsia"/>
          <w:b/>
          <w:sz w:val="24"/>
          <w:szCs w:val="24"/>
        </w:rPr>
        <w:br w:type="page"/>
      </w:r>
      <w:bookmarkStart w:id="53" w:name="_Toc485312286"/>
      <w:r>
        <w:rPr>
          <w:rFonts w:hint="eastAsia" w:cs="Times New Roman" w:asciiTheme="minorEastAsia" w:hAnsiTheme="minorEastAsia"/>
          <w:b/>
          <w:sz w:val="24"/>
          <w:szCs w:val="24"/>
        </w:rPr>
        <w:t>问题澄清通知</w:t>
      </w:r>
    </w:p>
    <w:p>
      <w:pPr>
        <w:rPr>
          <w:rFonts w:cs="Times New Roman" w:asciiTheme="minorEastAsia" w:hAnsiTheme="minorEastAsia"/>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（投标人名称）：</w:t>
      </w:r>
    </w:p>
    <w:p>
      <w:pPr>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（招标项目名称）招标的评标委员会，对你方的投标文件进行了仔细的审查，现需你方对本通知所附质疑问卷中的问题以书面形式予以澄清、说明或者补正。</w:t>
      </w:r>
    </w:p>
    <w:p>
      <w:pPr>
        <w:rPr>
          <w:rFonts w:cs="Arial" w:asciiTheme="minorEastAsia" w:hAnsiTheme="minorEastAsia"/>
          <w:kern w:val="0"/>
          <w:sz w:val="24"/>
          <w:szCs w:val="24"/>
        </w:rPr>
      </w:pPr>
      <w:r>
        <w:rPr>
          <w:rFonts w:hint="eastAsia" w:cs="Arial" w:asciiTheme="minorEastAsia" w:hAnsiTheme="minorEastAsia"/>
          <w:kern w:val="0"/>
          <w:sz w:val="24"/>
          <w:szCs w:val="24"/>
        </w:rPr>
        <w:t>质疑问题：</w:t>
      </w: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评标委员会员（签字）：</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jc w:val="center"/>
        <w:rPr>
          <w:rFonts w:cs="Times New Roman" w:asciiTheme="minorEastAsia" w:hAnsiTheme="minorEastAsia"/>
          <w:b/>
          <w:sz w:val="24"/>
          <w:szCs w:val="24"/>
        </w:rPr>
      </w:pPr>
      <w:r>
        <w:rPr>
          <w:rFonts w:cs="Arial" w:asciiTheme="minorEastAsia" w:hAnsiTheme="minorEastAsia"/>
          <w:kern w:val="0"/>
          <w:sz w:val="24"/>
          <w:szCs w:val="24"/>
        </w:rPr>
        <w:br w:type="page"/>
      </w:r>
      <w:r>
        <w:rPr>
          <w:rFonts w:hint="eastAsia" w:cs="Times New Roman" w:asciiTheme="minorEastAsia" w:hAnsiTheme="minorEastAsia"/>
          <w:b/>
          <w:sz w:val="24"/>
          <w:szCs w:val="24"/>
        </w:rPr>
        <w:t>问题的澄清、说明或补正</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评标委员会：</w:t>
      </w:r>
    </w:p>
    <w:p>
      <w:pPr>
        <w:ind w:firstLine="480" w:firstLineChars="200"/>
        <w:rPr>
          <w:rFonts w:cs="Arial" w:asciiTheme="minorEastAsia" w:hAnsiTheme="minorEastAsia"/>
          <w:kern w:val="0"/>
          <w:sz w:val="24"/>
          <w:szCs w:val="24"/>
        </w:rPr>
      </w:pPr>
      <w:r>
        <w:rPr>
          <w:rFonts w:hint="eastAsia" w:cs="Arial" w:asciiTheme="minorEastAsia" w:hAnsiTheme="minorEastAsia"/>
          <w:kern w:val="0"/>
          <w:sz w:val="24"/>
          <w:szCs w:val="24"/>
        </w:rPr>
        <w:t>（招标项目名称）的问题澄清通知已收悉，现澄清、说明或者补正如下：</w:t>
      </w: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法定代表人或其授权委托人（签字）：</w:t>
      </w:r>
    </w:p>
    <w:p>
      <w:pPr>
        <w:rPr>
          <w:rFonts w:cs="Arial" w:asciiTheme="minorEastAsia" w:hAnsiTheme="minorEastAsia"/>
          <w:kern w:val="0"/>
          <w:sz w:val="24"/>
          <w:szCs w:val="24"/>
        </w:rPr>
      </w:pPr>
    </w:p>
    <w:p>
      <w:pP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spacing w:line="440" w:lineRule="exact"/>
        <w:jc w:val="center"/>
        <w:outlineLvl w:val="0"/>
        <w:rPr>
          <w:rFonts w:cs="宋体" w:asciiTheme="minorEastAsia" w:hAnsiTheme="minorEastAsia"/>
          <w:b/>
          <w:sz w:val="24"/>
          <w:szCs w:val="24"/>
        </w:rPr>
      </w:pPr>
      <w:r>
        <w:rPr>
          <w:rFonts w:cs="Arial" w:asciiTheme="minorEastAsia" w:hAnsiTheme="minorEastAsia"/>
          <w:kern w:val="0"/>
          <w:sz w:val="24"/>
          <w:szCs w:val="24"/>
        </w:rPr>
        <w:br w:type="page"/>
      </w:r>
      <w:r>
        <w:rPr>
          <w:rFonts w:hint="eastAsia" w:cs="Arial" w:asciiTheme="minorEastAsia" w:hAnsiTheme="minorEastAsia"/>
          <w:kern w:val="0"/>
          <w:sz w:val="24"/>
          <w:szCs w:val="24"/>
        </w:rPr>
        <w:t xml:space="preserve"> </w:t>
      </w:r>
      <w:bookmarkStart w:id="54" w:name="_Toc2622"/>
      <w:r>
        <w:rPr>
          <w:rFonts w:hint="eastAsia" w:cs="宋体" w:asciiTheme="minorEastAsia" w:hAnsiTheme="minorEastAsia"/>
          <w:b/>
          <w:sz w:val="24"/>
          <w:szCs w:val="24"/>
        </w:rPr>
        <w:t>第三章合同</w:t>
      </w:r>
      <w:bookmarkEnd w:id="53"/>
      <w:bookmarkEnd w:id="54"/>
    </w:p>
    <w:p>
      <w:pPr>
        <w:keepNext w:val="0"/>
        <w:keepLines w:val="0"/>
        <w:pageBreakBefore w:val="0"/>
        <w:widowControl/>
        <w:kinsoku/>
        <w:wordWrap/>
        <w:overflowPunct/>
        <w:topLinePunct w:val="0"/>
        <w:autoSpaceDE/>
        <w:autoSpaceDN/>
        <w:bidi w:val="0"/>
        <w:adjustRightInd/>
        <w:snapToGrid/>
        <w:spacing w:before="240" w:line="240" w:lineRule="auto"/>
        <w:jc w:val="center"/>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绿化养护承包合同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甲方：乌鲁木齐市米东区园林管理局</w:t>
      </w: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乙方：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为了进一步提高米东区的绿化养护水平，确保各类树木花草的正常生长,甲方将辖区管理的绿地承包给乙方进行养护,经双方平等协商,签订本合同。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一、绿地养护的期限:</w:t>
      </w:r>
      <w:r>
        <w:rPr>
          <w:rFonts w:hint="eastAsia" w:asciiTheme="minorEastAsia" w:hAnsiTheme="minorEastAsia" w:cstheme="minorEastAsia"/>
          <w:color w:val="333333"/>
          <w:kern w:val="0"/>
          <w:sz w:val="24"/>
          <w:szCs w:val="24"/>
        </w:rPr>
        <w:t xml:space="preserve">   年  月  日 至   年  月  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二、绿地养护的面积：     平方米</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绿地养护地址、范围、标准详见清单</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三、本年度养护费总金额：     元（其中绿化养护费：   元，设施维护费：   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四、绿化养护及设施维护</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color w:val="333333"/>
          <w:kern w:val="0"/>
          <w:sz w:val="24"/>
          <w:szCs w:val="24"/>
        </w:rPr>
        <w:t>绿化养护内容:</w:t>
      </w:r>
      <w:r>
        <w:rPr>
          <w:rFonts w:hint="eastAsia" w:asciiTheme="minorEastAsia" w:hAnsiTheme="minorEastAsia" w:cstheme="minorEastAsia"/>
          <w:color w:val="333333"/>
          <w:kern w:val="0"/>
          <w:sz w:val="24"/>
          <w:szCs w:val="24"/>
        </w:rPr>
        <w:t>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
          <w:bCs/>
          <w:color w:val="333333"/>
          <w:kern w:val="0"/>
          <w:sz w:val="24"/>
          <w:szCs w:val="24"/>
        </w:rPr>
        <w:t>设施维护内容：</w:t>
      </w:r>
      <w:r>
        <w:rPr>
          <w:rFonts w:hint="eastAsia" w:asciiTheme="minorEastAsia" w:hAnsiTheme="minorEastAsia" w:cstheme="minorEastAsia"/>
          <w:color w:val="333333"/>
          <w:kern w:val="0"/>
          <w:sz w:val="24"/>
          <w:szCs w:val="24"/>
        </w:rPr>
        <w:t>园林建筑（厕所）、园林小品（园灯、导游牌、宣传牌、果皮箱、园桌椅、栏杆、健身器材等）、园路及铺装场地、园艺设施、园林电器设备（主要为广播、景观照明、配电箱、线路等）     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及检修等，不包括设施大修。此设施维护费标准不包含水电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五、付款方式及金额：</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绿化养护费支付方式：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1、分季度付款。根据工作内容的不同，12—2月份每月支付养护金额的3.33%， 3—11月份每月支付养护总金额的10%。</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2、养护科每月按照养护考核标准考核一次，依据考核得分确定当月支付金额，每季度进行汇总，确定支付金额后由养护公司开具发票，甲方支付养护费；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3、考核得分的高低确定支付金额：</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96—100分：按合同支付，高于95分的分值，作为年终奖励依据，进行奖励。</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86—95分：按合同支付，不奖不罚；</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60—85分：低于86分的分值，每分扣除当月养护金额的1%；</w:t>
      </w:r>
    </w:p>
    <w:p>
      <w:pPr>
        <w:keepNext w:val="0"/>
        <w:keepLines w:val="0"/>
        <w:pageBreakBefore w:val="0"/>
        <w:widowControl/>
        <w:kinsoku/>
        <w:wordWrap/>
        <w:overflowPunct/>
        <w:topLinePunct w:val="0"/>
        <w:autoSpaceDE/>
        <w:autoSpaceDN/>
        <w:bidi w:val="0"/>
        <w:adjustRightInd/>
        <w:snapToGrid/>
        <w:spacing w:line="240" w:lineRule="auto"/>
        <w:ind w:left="1"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59分以下：60--85分的分值，每分扣除当月养护金额的1%，低于60分的分值，每分扣除当月养护金额的2%；</w:t>
      </w:r>
    </w:p>
    <w:p>
      <w:pPr>
        <w:keepNext w:val="0"/>
        <w:keepLines w:val="0"/>
        <w:pageBreakBefore w:val="0"/>
        <w:widowControl/>
        <w:kinsoku/>
        <w:wordWrap/>
        <w:overflowPunct/>
        <w:topLinePunct w:val="0"/>
        <w:autoSpaceDE/>
        <w:autoSpaceDN/>
        <w:bidi w:val="0"/>
        <w:adjustRightInd/>
        <w:snapToGrid/>
        <w:spacing w:line="240" w:lineRule="auto"/>
        <w:ind w:left="1199" w:leftChars="228" w:hanging="720" w:hangingChars="3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第二次59分以下：60--85分的分值，每分扣除当月养护金额的1%，低于60分的分值，每分扣除当月养护金额的4%；</w:t>
      </w:r>
    </w:p>
    <w:p>
      <w:pPr>
        <w:keepNext w:val="0"/>
        <w:keepLines w:val="0"/>
        <w:pageBreakBefore w:val="0"/>
        <w:widowControl/>
        <w:kinsoku/>
        <w:wordWrap/>
        <w:overflowPunct/>
        <w:topLinePunct w:val="0"/>
        <w:autoSpaceDE/>
        <w:autoSpaceDN/>
        <w:bidi w:val="0"/>
        <w:adjustRightInd/>
        <w:snapToGrid/>
        <w:spacing w:line="240" w:lineRule="auto"/>
        <w:ind w:left="1079" w:leftChars="228" w:hanging="600" w:hangingChars="25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第三次59分以下：60--85分的分值，每分扣除当月养护金额的1%，低于60分的分值，每分扣除当月养护金额的8%；</w:t>
      </w:r>
    </w:p>
    <w:p>
      <w:pPr>
        <w:keepNext w:val="0"/>
        <w:keepLines w:val="0"/>
        <w:pageBreakBefore w:val="0"/>
        <w:widowControl/>
        <w:kinsoku/>
        <w:wordWrap/>
        <w:overflowPunct/>
        <w:topLinePunct w:val="0"/>
        <w:autoSpaceDE/>
        <w:autoSpaceDN/>
        <w:bidi w:val="0"/>
        <w:adjustRightInd/>
        <w:snapToGrid/>
        <w:spacing w:line="240" w:lineRule="auto"/>
        <w:ind w:left="1203" w:leftChars="286" w:hanging="602" w:hangingChars="250"/>
        <w:jc w:val="left"/>
        <w:textAlignment w:val="auto"/>
        <w:rPr>
          <w:rFonts w:asciiTheme="minorEastAsia" w:hAnsiTheme="minorEastAsia" w:cstheme="minorEastAsia"/>
          <w:b/>
          <w:bCs/>
          <w:color w:val="333333"/>
          <w:kern w:val="0"/>
          <w:sz w:val="24"/>
          <w:szCs w:val="24"/>
        </w:rPr>
      </w:pPr>
      <w:r>
        <w:rPr>
          <w:rFonts w:hint="eastAsia" w:asciiTheme="minorEastAsia" w:hAnsiTheme="minorEastAsia" w:cstheme="minorEastAsia"/>
          <w:b/>
          <w:bCs/>
          <w:color w:val="333333"/>
          <w:kern w:val="0"/>
          <w:sz w:val="24"/>
          <w:szCs w:val="24"/>
        </w:rPr>
        <w:t>设施维护费支付方式：</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设施维护费以实际发生审计结算价为准，年底一次性支付。</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六、甲方的权利和义务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1、制定各类绿地的检查考核标准，并根据实际情况调整标准；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2、检查养护公司的年、季、月工作计划并提出意见；</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3、定期或不定期对养护公司的养护工作进行检查并考核打分；</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4、定期或不定期对养护公司的养护工作进行检查，在检查中如发现养护工作存在重大问题，严重问题，一般问题的将进行罚款1-10万元。</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5、苗木养护成活当年的保存率：（扣除交通事故，自然灾害因素）一级（含游园）：95%，二级：92%，三级：90%，四级（含防护林）：88%。</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因养护工作不到位造成苗木死亡且低于当年养护成活的保存率，由养护公司自行购置同品种，同规格，同数量的苗木。原则上当月补植完，因温度，成活率等其它因素可在本年度年底一次性栽植，如未完成补植工作将在年底一次性扣除同等价值的养护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7、年底将根据养护考核平均分进行年终评优活动，优秀单位将颁发荣誉证书，表彰先进个人。同时将在行业内通报落后单位。</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8、将各项检查结果以书面形式通知养护公司并监督其进行整改；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9、如遇以下情况，甲方有权与养护公司提前解除合同，并追究相应的经济和法律责任：</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养护公司擅自将养护绿地全部或部分转包第三方；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养护公司在养护期内累计三次考核不合格（低于60分）；</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 xml:space="preserve">    因养护责任未尽职，造成植物大量死亡的；</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因看管责任未尽职，导致绿地被人为严重破坏、损失的；</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因养护公司工作期间出现重大安全事故，造成重大经济损失的；</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10、核实因城市建设、绿地改造而变更的养护面积及养护费；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11、为养护公司绿化用水提供便利；</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12、依据考核结果及时准确支付养护费用；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13、定期举办形式多样的专业技术培训班，逐年提高养护公司的管养水平。</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 xml:space="preserve">七、乙方的权利和义务：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bCs/>
          <w:color w:val="333333"/>
          <w:kern w:val="0"/>
          <w:sz w:val="24"/>
          <w:szCs w:val="24"/>
        </w:rPr>
        <w:t>1、</w:t>
      </w:r>
      <w:r>
        <w:rPr>
          <w:rFonts w:hint="eastAsia" w:asciiTheme="minorEastAsia" w:hAnsiTheme="minorEastAsia" w:cstheme="minorEastAsia"/>
          <w:color w:val="333333"/>
          <w:kern w:val="0"/>
          <w:sz w:val="24"/>
          <w:szCs w:val="24"/>
        </w:rPr>
        <w:t xml:space="preserve">每月向甲方提供详细的月工作计划，主要工作人员的工作安排和工作区域以书面形式提供给甲方；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2、按工作计划及养护标准认真进行各类绿地的养护，对甲方提出的整改要求立即执行，保质保量完成各项养护任务；</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3、因工作失误造成养护绿地减少和损毁的，乙方应及时补栽和修复，并自行承担所有费用；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4、因自然灾害、交通事故等不可抗因素造成养护绿地减少和损毁的，乙方应及时清点数量并上报甲方，甲方核实后提供主材，乙方负责补栽及修复，费用自理；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5、配合甲方完成临时性、突发性、紧急性工作任务；</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6、自行负责养护管理过程中所产生的人员工资、社保、福利以及材料、工具、车辆等费用；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7、高度重视安全生产，确保全年无安全事故，由此产生的一切责任及损失由乙方负责。</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八、违约责任</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1、甲方未及时按照考核结果办理支付程序，导致乙方养护费拖欠的（因区财政原因除外），甲方向乙方支付滞纳金，标准为养护费的1‰/日。</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2、乙方未按合同进行正常养护，造成养护绿地大面积死亡、苗木生长缓慢、病虫害蔓延等现象的，甲方将扣除全年养护费用，同时，乙方赔偿甲方经济损失二倍的违约金。</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3、合同生效后，乙方毁约不再进行养护，必须向甲方支付合同价款二倍的违约金。</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九、合同争议</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kern w:val="0"/>
          <w:sz w:val="24"/>
          <w:szCs w:val="24"/>
        </w:rPr>
      </w:pPr>
      <w:r>
        <w:rPr>
          <w:rFonts w:hint="eastAsia" w:asciiTheme="minorEastAsia" w:hAnsiTheme="minorEastAsia" w:cstheme="minorEastAsia"/>
          <w:color w:val="333333"/>
          <w:kern w:val="0"/>
          <w:sz w:val="24"/>
          <w:szCs w:val="24"/>
        </w:rPr>
        <w:t>合同执行过程中发生争议的，双方协商解决，无法达成协议可申请劳动仲裁或向米东区人民法院起诉。</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 xml:space="preserve">十、合同的生效、变更和终止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color w:val="333333"/>
          <w:sz w:val="24"/>
          <w:szCs w:val="24"/>
        </w:rPr>
      </w:pPr>
      <w:r>
        <w:rPr>
          <w:rFonts w:hint="eastAsia" w:asciiTheme="minorEastAsia" w:hAnsiTheme="minorEastAsia" w:cstheme="minorEastAsia"/>
          <w:color w:val="333333"/>
          <w:kern w:val="0"/>
          <w:sz w:val="24"/>
          <w:szCs w:val="24"/>
        </w:rPr>
        <w:t>本合同双方签字盖章后生效；有效期满，双方结算完成，合同自行终止；未尽事宜，由双方另行签订补充协议。</w:t>
      </w:r>
    </w:p>
    <w:p>
      <w:pPr>
        <w:keepNext w:val="0"/>
        <w:keepLines w:val="0"/>
        <w:pageBreakBefore w:val="0"/>
        <w:widowControl/>
        <w:kinsoku/>
        <w:wordWrap/>
        <w:overflowPunct/>
        <w:topLinePunct w:val="0"/>
        <w:autoSpaceDE/>
        <w:autoSpaceDN/>
        <w:bidi w:val="0"/>
        <w:adjustRightInd/>
        <w:snapToGrid/>
        <w:spacing w:line="240" w:lineRule="auto"/>
        <w:ind w:firstLine="482" w:firstLineChars="200"/>
        <w:jc w:val="left"/>
        <w:textAlignment w:val="auto"/>
        <w:rPr>
          <w:rFonts w:asciiTheme="minorEastAsia" w:hAnsiTheme="minorEastAsia" w:cstheme="minorEastAsia"/>
          <w:b/>
          <w:color w:val="333333"/>
          <w:kern w:val="0"/>
          <w:sz w:val="24"/>
          <w:szCs w:val="24"/>
        </w:rPr>
      </w:pPr>
      <w:r>
        <w:rPr>
          <w:rFonts w:hint="eastAsia" w:asciiTheme="minorEastAsia" w:hAnsiTheme="minorEastAsia" w:cstheme="minorEastAsia"/>
          <w:b/>
          <w:color w:val="333333"/>
          <w:kern w:val="0"/>
          <w:sz w:val="24"/>
          <w:szCs w:val="24"/>
        </w:rPr>
        <w:t>十一、本合同一式四份，甲乙双方各执两份。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heme="minorEastAsia" w:hAnsiTheme="minorEastAsia" w:cstheme="minorEastAsia"/>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val="0"/>
          <w:bCs/>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482"/>
        <w:jc w:val="left"/>
        <w:textAlignment w:val="auto"/>
        <w:rPr>
          <w:rFonts w:asciiTheme="minorEastAsia" w:hAnsiTheme="minorEastAsia" w:cstheme="minorEastAsia"/>
          <w:b w:val="0"/>
          <w:bCs/>
          <w:color w:val="333333"/>
          <w:kern w:val="0"/>
          <w:sz w:val="24"/>
          <w:szCs w:val="24"/>
        </w:rPr>
      </w:pPr>
      <w:r>
        <w:rPr>
          <w:rFonts w:hint="eastAsia" w:asciiTheme="minorEastAsia" w:hAnsiTheme="minorEastAsia" w:cstheme="minorEastAsia"/>
          <w:b w:val="0"/>
          <w:bCs/>
          <w:color w:val="333333"/>
          <w:kern w:val="0"/>
          <w:sz w:val="24"/>
          <w:szCs w:val="24"/>
        </w:rPr>
        <w:t>甲方：（盖章）                    乙方：（盖章）</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kern w:val="0"/>
          <w:sz w:val="24"/>
          <w:szCs w:val="24"/>
        </w:rPr>
      </w:pPr>
      <w:r>
        <w:rPr>
          <w:rFonts w:hint="eastAsia" w:asciiTheme="minorEastAsia" w:hAnsiTheme="minorEastAsia" w:cstheme="minorEastAsia"/>
          <w:b w:val="0"/>
          <w:bCs/>
          <w:color w:val="333333"/>
          <w:kern w:val="0"/>
          <w:sz w:val="24"/>
          <w:szCs w:val="24"/>
        </w:rPr>
        <w:t>法人代表：                        法人代表：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sz w:val="24"/>
          <w:szCs w:val="24"/>
        </w:rPr>
      </w:pPr>
      <w:r>
        <w:rPr>
          <w:rFonts w:hint="eastAsia" w:asciiTheme="minorEastAsia" w:hAnsiTheme="minorEastAsia" w:cstheme="minorEastAsia"/>
          <w:b w:val="0"/>
          <w:bCs/>
          <w:color w:val="333333"/>
          <w:kern w:val="0"/>
          <w:sz w:val="24"/>
          <w:szCs w:val="24"/>
        </w:rPr>
        <w:t>委托人：                          委托人：</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cstheme="minorEastAsia"/>
          <w:b w:val="0"/>
          <w:bCs/>
          <w:color w:val="333333"/>
          <w:sz w:val="24"/>
          <w:szCs w:val="24"/>
        </w:rPr>
      </w:pPr>
      <w:r>
        <w:rPr>
          <w:rFonts w:hint="eastAsia" w:asciiTheme="minorEastAsia" w:hAnsiTheme="minorEastAsia" w:cstheme="minorEastAsia"/>
          <w:b w:val="0"/>
          <w:bCs/>
          <w:color w:val="333333"/>
          <w:kern w:val="0"/>
          <w:sz w:val="24"/>
          <w:szCs w:val="24"/>
        </w:rPr>
        <w:t>日 期：                           日期：</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Theme="minorEastAsia" w:hAnsiTheme="minorEastAsia"/>
          <w:sz w:val="24"/>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cs="楷体_GB2312" w:asciiTheme="minorEastAsia" w:hAnsiTheme="minorEastAsia"/>
          <w:color w:val="333333"/>
          <w:sz w:val="24"/>
          <w:szCs w:val="24"/>
        </w:rPr>
      </w:pPr>
    </w:p>
    <w:p>
      <w:pPr>
        <w:keepNext w:val="0"/>
        <w:keepLines w:val="0"/>
        <w:pageBreakBefore w:val="0"/>
        <w:kinsoku/>
        <w:wordWrap/>
        <w:overflowPunct/>
        <w:topLinePunct w:val="0"/>
        <w:autoSpaceDE/>
        <w:autoSpaceDN/>
        <w:bidi w:val="0"/>
        <w:adjustRightInd/>
        <w:snapToGrid/>
        <w:spacing w:line="240" w:lineRule="auto"/>
        <w:ind w:firstLine="600"/>
        <w:textAlignment w:val="auto"/>
        <w:rPr>
          <w:rFonts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240" w:lineRule="auto"/>
        <w:ind w:firstLine="482"/>
        <w:textAlignment w:val="auto"/>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sectPr>
          <w:headerReference r:id="rId6" w:type="default"/>
          <w:footerReference r:id="rId7" w:type="default"/>
          <w:pgSz w:w="11906" w:h="16838"/>
          <w:pgMar w:top="1134" w:right="1418" w:bottom="1134" w:left="1418" w:header="851" w:footer="992" w:gutter="0"/>
          <w:pgNumType w:start="1"/>
          <w:cols w:space="425" w:num="1"/>
          <w:docGrid w:linePitch="312" w:charSpace="0"/>
        </w:sectPr>
      </w:pPr>
      <w:r>
        <w:rPr>
          <w:rFonts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4116"/>
        <w:gridCol w:w="756"/>
        <w:gridCol w:w="936"/>
        <w:gridCol w:w="136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3月4月米东区绿地养护考核评分表(公园级、游园一级）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绿地整理17分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296"/>
        <w:gridCol w:w="4176"/>
        <w:gridCol w:w="756"/>
        <w:gridCol w:w="936"/>
        <w:gridCol w:w="1188"/>
        <w:gridCol w:w="936"/>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 米东区绿地养护考核评分表(公园级、游园一级）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水系及硬化路面管理16分                                                                                                                                                                                                                                     </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1、水系无漂浮物、水藻，保持水体清洁。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2、禁止游人游泳</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3、按要求上报工作计划、工作小结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01"/>
        <w:gridCol w:w="3070"/>
        <w:gridCol w:w="661"/>
        <w:gridCol w:w="807"/>
        <w:gridCol w:w="2659"/>
        <w:gridCol w:w="990"/>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 米东区绿地养护考核评分表(公园级、游园一级）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2、硬化路面保持卫生干净整洁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3、按要求报工作计划、工作小结</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18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009"/>
        <w:gridCol w:w="2894"/>
        <w:gridCol w:w="674"/>
        <w:gridCol w:w="811"/>
        <w:gridCol w:w="2875"/>
        <w:gridCol w:w="1025"/>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12月1月2月米东区绿地养护考核评分表(公园级、游园一级）</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0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绿地管理25分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硬化路面管理30分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1、硬化路面保持卫生干净整洁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2、硬化路面及时清除积雪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4116"/>
        <w:gridCol w:w="756"/>
        <w:gridCol w:w="936"/>
        <w:gridCol w:w="136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3月4月米东区绿地养护考核评分表(游园二级）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病虫害防治8分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绿地整理17分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296"/>
        <w:gridCol w:w="4176"/>
        <w:gridCol w:w="756"/>
        <w:gridCol w:w="936"/>
        <w:gridCol w:w="1188"/>
        <w:gridCol w:w="936"/>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 米东区绿地养护考核评分表(游园二级）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535"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水系及硬化路面管理16分                                                                                                                                                                                                                                     </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1、水系无漂浮物、水藻，保持水体清洁。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2、禁止游人游泳</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3、硬化路面保持卫生干净整洁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日常管理9分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3、按要求上报工作计划、工作小结</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13"/>
        <w:gridCol w:w="3105"/>
        <w:gridCol w:w="664"/>
        <w:gridCol w:w="814"/>
        <w:gridCol w:w="2619"/>
        <w:gridCol w:w="973"/>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 米东区绿地养护考核评分表(游园二级）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水系及硬化路面管理15分                                                                                                                                                                                                                                     </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1、水系保持干净整洁。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2、硬化路面保持卫生干净整洁</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日常管理10分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3、按要求报工作计划、工作小结</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4、养护人员配置到位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7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18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5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955"/>
        <w:gridCol w:w="2713"/>
        <w:gridCol w:w="720"/>
        <w:gridCol w:w="771"/>
        <w:gridCol w:w="3039"/>
        <w:gridCol w:w="1090"/>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12月1月2月米东区绿地养护考核评分表(游园二级）</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0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绿地管理25分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硬化路面管理30分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1、硬化路面保持卫生干净整洁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2、硬化路面及时清除积雪</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974"/>
        <w:gridCol w:w="3301"/>
        <w:gridCol w:w="782"/>
        <w:gridCol w:w="786"/>
        <w:gridCol w:w="2376"/>
        <w:gridCol w:w="1069"/>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3月4月米东区绿地养护考核评分表(道路一级、游园三级)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乔灌木修剪22分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3、花卉整齐，长势好、没有缺株，倒伏，没有残花败叶。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病虫害防治12分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4、对毁绿占绿现象及时发现、及时阻止、现场取证，及时上报主管科室，并配合监察科工作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19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3"/>
        <w:gridCol w:w="3286"/>
        <w:gridCol w:w="782"/>
        <w:gridCol w:w="782"/>
        <w:gridCol w:w="2402"/>
        <w:gridCol w:w="1053"/>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5月-9月米东区绿地养护考核评分表(道路一级、游园三级)</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日期：                       养护公司：                      养护面积：               </w:t>
            </w:r>
          </w:p>
        </w:tc>
      </w:tr>
      <w:tr>
        <w:tblPrEx>
          <w:tblCellMar>
            <w:top w:w="0" w:type="dxa"/>
            <w:left w:w="108" w:type="dxa"/>
            <w:bottom w:w="0" w:type="dxa"/>
            <w:right w:w="108" w:type="dxa"/>
          </w:tblCellMar>
        </w:tblPrEx>
        <w:trPr>
          <w:trHeight w:val="450" w:hRule="atLeast"/>
        </w:trPr>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29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29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花卉管理8分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1、按要求及时完成栽植花卉工作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2、按要求及时施肥，及时中耕除草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3、花卉整齐，长势好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4、没有缺株，倒伏，没有残花败叶</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5、按要求上报工作计划、工作小结</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135"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c>
          <w:tcPr>
            <w:tcW w:w="566" w:type="pct"/>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67"/>
        <w:gridCol w:w="3301"/>
        <w:gridCol w:w="782"/>
        <w:gridCol w:w="799"/>
        <w:gridCol w:w="2402"/>
        <w:gridCol w:w="1037"/>
      </w:tblGrid>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10月11月米东区绿地养护考核评分表(道路一级、游园三级)</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花卉管理6分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1、花卉整齐、长势好</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2、对宿根花卉及时平茬，及时清除残枝败叶</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3、对草花种植区及时深翻</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5、按要求报工作计划、工作小结</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7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2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4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5"/>
        <w:gridCol w:w="3284"/>
        <w:gridCol w:w="15"/>
        <w:gridCol w:w="749"/>
        <w:gridCol w:w="815"/>
        <w:gridCol w:w="2402"/>
        <w:gridCol w:w="1038"/>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12月1月2月米东区绿地养护考核评分表(道路一级、游园三级)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2、及时制止倒融雪剂现象</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7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3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5"/>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60"/>
        <w:gridCol w:w="3242"/>
        <w:gridCol w:w="797"/>
        <w:gridCol w:w="775"/>
        <w:gridCol w:w="2422"/>
        <w:gridCol w:w="1092"/>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3月4月米东区绿地养护考核评分表(道路二级)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乔灌木修剪27分</w:t>
            </w: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4、苗木要按照生长习性和花期进行修剪。</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5、灌木，绿篱、绿雕徒长枝不能高于5CM</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7、按规定时间完成修剪工作，修剪枝当天清理</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9、草坪修剪整齐，没有杂草斑秃</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10、及时清除林地内杂草</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病虫害防治12分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绿地整理21分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1、及时清理林带内的枯枝败叶及垃圾，卫生打扫干净，保持林带内环境优美整洁。</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5、保质保量完成各类灌溉设施到位，并且能正常使用。</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6、及时完成绿地绿地的整理及中耕除草工作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2、服从单位安排的应急事件要求，并保质保量完成处置处置。</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3、禁止车辆用高压水枪冲洗路面时产生的垃圾进入林带。</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4、对毁绿占绿现象及时发现、及时阻止、现场取证，及时上报主管科室，并配合监察科工作</w:t>
            </w:r>
          </w:p>
        </w:tc>
        <w:tc>
          <w:tcPr>
            <w:tcW w:w="4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2、绿地内的灌溉灌溉水井盖完好</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48"/>
        <w:gridCol w:w="3253"/>
        <w:gridCol w:w="67"/>
        <w:gridCol w:w="749"/>
        <w:gridCol w:w="749"/>
        <w:gridCol w:w="2419"/>
        <w:gridCol w:w="1103"/>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5月-9月米东区绿地养护考核评分表(道路二级)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日期：                       养护公司：                     养护面积：               </w:t>
            </w:r>
          </w:p>
        </w:tc>
      </w:tr>
      <w:tr>
        <w:tblPrEx>
          <w:tblCellMar>
            <w:top w:w="0" w:type="dxa"/>
            <w:left w:w="108" w:type="dxa"/>
            <w:bottom w:w="0" w:type="dxa"/>
            <w:right w:w="108" w:type="dxa"/>
          </w:tblCellMar>
        </w:tblPrEx>
        <w:trPr>
          <w:trHeight w:val="450" w:hRule="atLeast"/>
        </w:trPr>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6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乔灌木绿篱修剪24分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3、灌木，绿篱、绿雕徒长枝不能高于5CM</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39"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39"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7、规定时间完成修剪工作，修剪枝当天及时清理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8、草坪修剪整齐，草坪没有杂草斑秃</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9、及时清除林地内杂草</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植物病虫害防治7分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浇水24分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2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5、按要求上报工作计划、工作小结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33"/>
        <w:gridCol w:w="3269"/>
        <w:gridCol w:w="67"/>
        <w:gridCol w:w="749"/>
        <w:gridCol w:w="765"/>
        <w:gridCol w:w="2402"/>
        <w:gridCol w:w="1103"/>
      </w:tblGrid>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10月11月米东区绿地养护考核评分表(道路二级)</w:t>
            </w:r>
          </w:p>
        </w:tc>
      </w:tr>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乔灌木修剪23分</w:t>
            </w: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3、在规定时间内完成灌木，绿篱、绿雕修剪，确保株形完美、线条整齐、形态逼真。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4、按苗木生长习性修剪，灌木，绿篱、绿雕徒长枝不能高于5CM</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5、按规定时间完成修剪工作，修剪枝当天及时清理</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7、草坪修剪整齐，草坪没有杂草斑秃入冬前完成最后一次修剪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9、3㎝以上剪口、损伤部位涂防护剂</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6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冬灌浇水23分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2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10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2、服从单位安排的应急事件，并且保质保量完成。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5、按要求报工作计划、工作小结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设施设备维修4分</w:t>
            </w:r>
          </w:p>
        </w:tc>
        <w:tc>
          <w:tcPr>
            <w:tcW w:w="17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fixed"/>
        <w:tblCellMar>
          <w:top w:w="0" w:type="dxa"/>
          <w:left w:w="108" w:type="dxa"/>
          <w:bottom w:w="0" w:type="dxa"/>
          <w:right w:w="108" w:type="dxa"/>
        </w:tblCellMar>
      </w:tblPr>
      <w:tblGrid>
        <w:gridCol w:w="989"/>
        <w:gridCol w:w="3229"/>
        <w:gridCol w:w="50"/>
        <w:gridCol w:w="765"/>
        <w:gridCol w:w="749"/>
        <w:gridCol w:w="2456"/>
        <w:gridCol w:w="1050"/>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12月1月2月米东区绿地养护考核评分表(道路二级)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2、及时制止倒融雪剂现象</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1、及时排查处理各种安全隐患</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1、养护单位对园林局安排的工作及时落实到位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2、服从单位安排的应急事件要求</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3、保质保量完成应急事件处置</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2、绿地内的水井盖完好</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2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6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72"/>
        <w:gridCol w:w="3230"/>
        <w:gridCol w:w="67"/>
        <w:gridCol w:w="765"/>
        <w:gridCol w:w="749"/>
        <w:gridCol w:w="2452"/>
        <w:gridCol w:w="1053"/>
      </w:tblGrid>
      <w:tr>
        <w:tblPrEx>
          <w:tblCellMar>
            <w:top w:w="0" w:type="dxa"/>
            <w:left w:w="108" w:type="dxa"/>
            <w:bottom w:w="0" w:type="dxa"/>
            <w:right w:w="108" w:type="dxa"/>
          </w:tblCellMar>
        </w:tblPrEx>
        <w:trPr>
          <w:trHeight w:val="66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3月4月米东区绿地养护考核评分表(道路三级)</w:t>
            </w:r>
          </w:p>
        </w:tc>
      </w:tr>
      <w:tr>
        <w:tblPrEx>
          <w:tblCellMar>
            <w:top w:w="0" w:type="dxa"/>
            <w:left w:w="108" w:type="dxa"/>
            <w:bottom w:w="0" w:type="dxa"/>
            <w:right w:w="108" w:type="dxa"/>
          </w:tblCellMar>
        </w:tblPrEx>
        <w:trPr>
          <w:trHeight w:val="46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得分</w:t>
            </w:r>
          </w:p>
        </w:tc>
        <w:tc>
          <w:tcPr>
            <w:tcW w:w="1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3、苗木要按照生长习性和花期进行修剪。</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4、灌木，绿篱、绿雕徒长枝不能高于10CM</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6、按规定时间完成修剪工作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1、按要求及时完成涂白工作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2、涂白高度整齐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3、涂白剂涂抹均匀</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4、按标准进行药物配比</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绿地整理25分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5、保质保量完成各类灌溉设施到位，摆放整齐，并且能正常使用。</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注释：绿色为增加条款。黄色为修改条款。 </w:t>
            </w:r>
          </w:p>
        </w:tc>
      </w:tr>
      <w:tr>
        <w:tblPrEx>
          <w:tblCellMar>
            <w:top w:w="0" w:type="dxa"/>
            <w:left w:w="108" w:type="dxa"/>
            <w:bottom w:w="0" w:type="dxa"/>
            <w:right w:w="108" w:type="dxa"/>
          </w:tblCellMar>
        </w:tblPrEx>
        <w:trPr>
          <w:trHeight w:val="5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38"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gridSpan w:val="2"/>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18"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7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967"/>
        <w:gridCol w:w="3234"/>
        <w:gridCol w:w="67"/>
        <w:gridCol w:w="765"/>
        <w:gridCol w:w="749"/>
        <w:gridCol w:w="2430"/>
        <w:gridCol w:w="1076"/>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5月-9月米东区绿地养护考核评分表(道路三级)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600" w:hRule="atLeast"/>
        </w:trPr>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3、灌木，绿篱、绿雕徒长枝不能高于10CM</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4、在规定时间内完成灌木，绿篱、绿雕修剪，确保株形完美、线条整齐、形态逼真。</w:t>
            </w:r>
          </w:p>
        </w:tc>
        <w:tc>
          <w:tcPr>
            <w:tcW w:w="448"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4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30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5、苗木要按照生长习性和花期进行修剪。</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6、死树及时伐掉、倒树及时扶正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7、修剪枝当天及时清理</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8、及时清除林地内杂草</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0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7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22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15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041"/>
        <w:gridCol w:w="2889"/>
        <w:gridCol w:w="338"/>
        <w:gridCol w:w="370"/>
        <w:gridCol w:w="765"/>
        <w:gridCol w:w="2824"/>
        <w:gridCol w:w="1061"/>
      </w:tblGrid>
      <w:tr>
        <w:tblPrEx>
          <w:tblCellMar>
            <w:top w:w="0" w:type="dxa"/>
            <w:left w:w="108" w:type="dxa"/>
            <w:bottom w:w="0" w:type="dxa"/>
            <w:right w:w="108" w:type="dxa"/>
          </w:tblCellMar>
        </w:tblPrEx>
        <w:trPr>
          <w:trHeight w:val="72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10月11月米东区绿地养护考核评分表(道路三级)</w:t>
            </w:r>
          </w:p>
        </w:tc>
      </w:tr>
      <w:tr>
        <w:tblPrEx>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3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3、按苗木生长习性修剪，灌木，绿篱、绿雕徒长枝不能高于10CM</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及时完成花卉种植区的整理、翻土及中耕除草工作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3、禁止用高压水枪冲洗路面时，产生的垃圾进入林带。</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1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31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051"/>
        <w:gridCol w:w="2866"/>
        <w:gridCol w:w="351"/>
        <w:gridCol w:w="381"/>
        <w:gridCol w:w="749"/>
        <w:gridCol w:w="2840"/>
        <w:gridCol w:w="1050"/>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12月1月2月米东区绿地养护考核评分表(道路三级)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840" w:hRule="atLeast"/>
        </w:trPr>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5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2、及时制止人为倒融雪剂现象</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6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6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52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21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32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76"/>
        <w:gridCol w:w="3696"/>
        <w:gridCol w:w="636"/>
        <w:gridCol w:w="936"/>
        <w:gridCol w:w="1908"/>
        <w:gridCol w:w="936"/>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3月4月米东区绿地养护考核评分表(道路四级)</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3、及时做好间苗，移植、定植工作。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4、苗木要按生长习性和出圃的标准进行修剪。</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6、按规定时间完成修剪工作</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7、修剪枝当天清理</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8、3㎝以上剪口、损伤部位涂防护剂</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病虫害防治10分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1、清洗乔灌木灰尘</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2、按要求及时完成涂白工作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3、涂白高度整齐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4、涂白剂涂抹均匀</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5、按标准进行药物配比</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绿地整理25分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5、及时保质地完成管线维修工作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6、及时完成花卉种植区的整理及中耕除草工作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7、肥料需施在树穴并深翻</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8、在规定时间保质保量完成施肥工作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注释：绿色为增加条款。黄色为修改条款。 </w:t>
            </w:r>
          </w:p>
        </w:tc>
      </w:tr>
      <w:tr>
        <w:tblPrEx>
          <w:tblCellMar>
            <w:top w:w="0" w:type="dxa"/>
            <w:left w:w="108" w:type="dxa"/>
            <w:bottom w:w="0" w:type="dxa"/>
            <w:right w:w="108" w:type="dxa"/>
          </w:tblCellMar>
        </w:tblPrEx>
        <w:trPr>
          <w:trHeight w:val="54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4、未及时发现上报毁绿占绿现象</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5、及时按要求上报工作计划、工作小结</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91"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33"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21"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3"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21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28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202"/>
        <w:gridCol w:w="2916"/>
        <w:gridCol w:w="150"/>
        <w:gridCol w:w="600"/>
        <w:gridCol w:w="799"/>
        <w:gridCol w:w="2666"/>
        <w:gridCol w:w="955"/>
      </w:tblGrid>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5月-9月米东区绿地养护考核评分表(道路四级)</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               </w:t>
            </w:r>
          </w:p>
        </w:tc>
      </w:tr>
      <w:tr>
        <w:tblPrEx>
          <w:tblCellMar>
            <w:top w:w="0" w:type="dxa"/>
            <w:left w:w="108" w:type="dxa"/>
            <w:bottom w:w="0" w:type="dxa"/>
            <w:right w:w="108" w:type="dxa"/>
          </w:tblCellMar>
        </w:tblPrEx>
        <w:trPr>
          <w:trHeight w:val="450" w:hRule="atLeast"/>
        </w:trPr>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2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37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3、在规定时间内完成乔木，灌木，绿篱修剪，确保株形完美、线条整齐、形态逼真。</w:t>
            </w:r>
          </w:p>
        </w:tc>
        <w:tc>
          <w:tcPr>
            <w:tcW w:w="404"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43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heme="minorEastAsia" w:hAnsiTheme="minorEastAsia" w:cstheme="minorEastAsia"/>
                <w:color w:val="000000"/>
                <w:sz w:val="24"/>
                <w:szCs w:val="24"/>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143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4、苗木要按生长习性和花期进行修剪</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1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7、及时清除林地内杂草</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5、及时清洗乔灌木灰尘</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95"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5、肥料需施在树穴并深翻</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5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22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2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fixed"/>
        <w:tblCellMar>
          <w:top w:w="0" w:type="dxa"/>
          <w:left w:w="108" w:type="dxa"/>
          <w:bottom w:w="0" w:type="dxa"/>
          <w:right w:w="108" w:type="dxa"/>
        </w:tblCellMar>
      </w:tblPr>
      <w:tblGrid>
        <w:gridCol w:w="1197"/>
        <w:gridCol w:w="3377"/>
        <w:gridCol w:w="604"/>
        <w:gridCol w:w="869"/>
        <w:gridCol w:w="2002"/>
        <w:gridCol w:w="1239"/>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10月11月米东区绿地养护考核评分表(道路四级)</w:t>
            </w:r>
          </w:p>
        </w:tc>
      </w:tr>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3、及时做好移植、定植工作。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4、苗木要按生长习性修剪，按规定时间完成修剪工作。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5、清洗乔灌木灰尘</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4、确保树穴为下沉式</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5、及时完成花卉种植区的整理、翻土及中耕除草工作</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3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4、按时、按要求报工作计划、工作小结</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8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0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18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462" w:type="pct"/>
            <w:gridSpan w:val="2"/>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537"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067"/>
        <w:gridCol w:w="3087"/>
        <w:gridCol w:w="581"/>
        <w:gridCol w:w="113"/>
        <w:gridCol w:w="854"/>
        <w:gridCol w:w="2627"/>
        <w:gridCol w:w="959"/>
      </w:tblGrid>
      <w:tr>
        <w:tblPrEx>
          <w:tblCellMar>
            <w:top w:w="0" w:type="dxa"/>
            <w:left w:w="108" w:type="dxa"/>
            <w:bottom w:w="0" w:type="dxa"/>
            <w:right w:w="108" w:type="dxa"/>
          </w:tblCellMar>
        </w:tblPrEx>
        <w:trPr>
          <w:trHeight w:val="840" w:hRule="atLeast"/>
        </w:trPr>
        <w:tc>
          <w:tcPr>
            <w:tcW w:w="5000" w:type="pct"/>
            <w:gridSpan w:val="7"/>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12月1月2月米东区绿地养护考核评分表(道路四级)</w:t>
            </w:r>
          </w:p>
        </w:tc>
      </w:tr>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84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7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2、及时制止人为倒融雪剂现象</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8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3、保质保量完成应急事件</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51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51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38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9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43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00" w:hRule="atLeast"/>
        </w:trPr>
        <w:tc>
          <w:tcPr>
            <w:tcW w:w="2298" w:type="pct"/>
            <w:gridSpan w:val="3"/>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考核人签字：                                              </w:t>
            </w:r>
          </w:p>
        </w:tc>
        <w:tc>
          <w:tcPr>
            <w:tcW w:w="2701" w:type="pct"/>
            <w:gridSpan w:val="4"/>
            <w:tcBorders>
              <w:top w:val="nil"/>
              <w:left w:val="nil"/>
              <w:bottom w:val="nil"/>
              <w:right w:val="nil"/>
            </w:tcBorders>
            <w:shd w:val="clear" w:color="auto" w:fill="auto"/>
            <w:noWrap/>
            <w:vAlign w:val="center"/>
          </w:tcPr>
          <w:p>
            <w:pP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tbl>
      <w:tblPr>
        <w:tblStyle w:val="34"/>
        <w:tblW w:w="5000" w:type="pct"/>
        <w:tblInd w:w="0" w:type="dxa"/>
        <w:tblLayout w:type="autofit"/>
        <w:tblCellMar>
          <w:top w:w="0" w:type="dxa"/>
          <w:left w:w="108" w:type="dxa"/>
          <w:bottom w:w="0" w:type="dxa"/>
          <w:right w:w="108" w:type="dxa"/>
        </w:tblCellMar>
      </w:tblPr>
      <w:tblGrid>
        <w:gridCol w:w="993"/>
        <w:gridCol w:w="3033"/>
        <w:gridCol w:w="785"/>
        <w:gridCol w:w="799"/>
        <w:gridCol w:w="2601"/>
        <w:gridCol w:w="1077"/>
      </w:tblGrid>
      <w:tr>
        <w:tblPrEx>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3月4月米东区防护林养护考核评分表</w:t>
            </w:r>
          </w:p>
        </w:tc>
      </w:tr>
      <w:tr>
        <w:tblPrEx>
          <w:tblCellMar>
            <w:top w:w="0" w:type="dxa"/>
            <w:left w:w="108" w:type="dxa"/>
            <w:bottom w:w="0" w:type="dxa"/>
            <w:right w:w="108" w:type="dxa"/>
          </w:tblCellMar>
        </w:tblPrEx>
        <w:trPr>
          <w:trHeight w:val="46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7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得 分</w:t>
            </w:r>
          </w:p>
        </w:tc>
        <w:tc>
          <w:tcPr>
            <w:tcW w:w="16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7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乔灌木修剪32分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3、死树及时伐掉、倒树及时扶正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5、修剪枝当天清理</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6、3㎝以上剪口、损伤部位涂防护剂</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涂白工作8分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1、按要求及时完成涂白工作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2、涂白高度整齐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3、涂白剂涂抹均匀</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4、按标准进行药物配比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1、清理林带内的枯枝败叶及垃圾卫生打扫干净，保持林带内环境优美整洁。</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2、林带内没有悬挂物、私搭乱建现象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4、保质保量完成各类灌溉设施到位，摆放整齐，并且能正常使用。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5、按照要求施肥，肥料需施在树穴并深翻</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6、在规定时间保质保量完成施肥工作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5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日常管理20分</w:t>
            </w: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7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FFFFFF"/>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75"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single" w:color="000000" w:sz="4" w:space="0"/>
              <w:right w:val="nil"/>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67"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86"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nil"/>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71" w:type="pct"/>
            <w:tcBorders>
              <w:top w:val="single" w:color="000000" w:sz="4" w:space="0"/>
              <w:left w:val="single" w:color="000000" w:sz="4" w:space="0"/>
              <w:bottom w:val="nil"/>
              <w:right w:val="nil"/>
            </w:tcBorders>
            <w:shd w:val="clear" w:color="auto" w:fill="auto"/>
            <w:noWrap/>
            <w:vAlign w:val="center"/>
          </w:tcPr>
          <w:p>
            <w:pP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17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53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考核人签字：                                       养护单位负责人签字：</w:t>
            </w:r>
          </w:p>
        </w:tc>
      </w:tr>
    </w:tbl>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tbl>
      <w:tblPr>
        <w:tblStyle w:val="34"/>
        <w:tblW w:w="5000" w:type="pct"/>
        <w:tblInd w:w="0" w:type="dxa"/>
        <w:tblLayout w:type="autofit"/>
        <w:tblCellMar>
          <w:top w:w="0" w:type="dxa"/>
          <w:left w:w="108" w:type="dxa"/>
          <w:bottom w:w="0" w:type="dxa"/>
          <w:right w:w="108" w:type="dxa"/>
        </w:tblCellMar>
      </w:tblPr>
      <w:tblGrid>
        <w:gridCol w:w="1127"/>
        <w:gridCol w:w="3151"/>
        <w:gridCol w:w="719"/>
        <w:gridCol w:w="823"/>
        <w:gridCol w:w="2435"/>
        <w:gridCol w:w="1033"/>
      </w:tblGrid>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5月-9月米东区防护林养护考核评分表</w:t>
            </w:r>
          </w:p>
        </w:tc>
      </w:tr>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日期：                       养护公司：                     养护面积：</w:t>
            </w:r>
          </w:p>
        </w:tc>
      </w:tr>
      <w:tr>
        <w:tblPrEx>
          <w:tblCellMar>
            <w:top w:w="0" w:type="dxa"/>
            <w:left w:w="108" w:type="dxa"/>
            <w:bottom w:w="0" w:type="dxa"/>
            <w:right w:w="108" w:type="dxa"/>
          </w:tblCellMar>
        </w:tblPrEx>
        <w:trPr>
          <w:trHeight w:val="600"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10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乔灌木绿篱修剪20分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9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2、枯死枝、徒长枝、下垂枝、折枝、病虫枝、过密枝，萌蘖枝及时清理</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3、灌木，绿篱、绿雕徒长枝不能高于15CM</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4、死树及时伐掉、倒树及时扶正</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5、修剪枝当天及时清理</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6、及时清除林地内杂草</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0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植物病虫害防治10分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1、根据虫害发生情况及时以化学防治的方法打药预防</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2、必须使用高效低毒农药</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3、防治病虫害效果明显，在可控范围内</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1、及时浇水，没有造成植物萎蔫，枝叶枯黄</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4、确保各类灌溉系统正常浇水，未出现跑冒滴漏现象</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绿地整理15分</w:t>
            </w: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1、清理林带内的枯枝败叶以及垃圾，卫生打扫干净，保持林带内环境优美整洁。</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w:t>
            </w: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2、林带没有悬挂物及私搭乱建现象</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3、平整林带并进行中耕松土</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4、及时安排人员进行挖树穴工作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0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5、按照要求肥料需施在树穴里深翻，并保质保量完成施肥工作。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4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1、养护单位对园林队的工作安排及时落实到位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7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22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3、对毁绿占绿现象及时发现、及时阻止、现场取证，上报主管科室，并配合监察科工作</w:t>
            </w:r>
          </w:p>
        </w:tc>
        <w:tc>
          <w:tcPr>
            <w:tcW w:w="4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4、及时按要求上报工作计划、工作小结</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5、养护人员配置到位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6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设施设备维修5分</w:t>
            </w: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00" w:hRule="atLeast"/>
        </w:trPr>
        <w:tc>
          <w:tcPr>
            <w:tcW w:w="18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当月考核分数</w:t>
            </w:r>
          </w:p>
        </w:tc>
        <w:tc>
          <w:tcPr>
            <w:tcW w:w="24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br w:type="page"/>
      </w:r>
    </w:p>
    <w:tbl>
      <w:tblPr>
        <w:tblStyle w:val="34"/>
        <w:tblW w:w="5000" w:type="pct"/>
        <w:tblInd w:w="0" w:type="dxa"/>
        <w:tblLayout w:type="fixed"/>
        <w:tblCellMar>
          <w:top w:w="0" w:type="dxa"/>
          <w:left w:w="108" w:type="dxa"/>
          <w:bottom w:w="0" w:type="dxa"/>
          <w:right w:w="108" w:type="dxa"/>
        </w:tblCellMar>
      </w:tblPr>
      <w:tblGrid>
        <w:gridCol w:w="1232"/>
        <w:gridCol w:w="2736"/>
        <w:gridCol w:w="832"/>
        <w:gridCol w:w="999"/>
        <w:gridCol w:w="2168"/>
        <w:gridCol w:w="1321"/>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10月11月米东区防护林绿化养护考核评分表</w:t>
            </w:r>
          </w:p>
        </w:tc>
      </w:tr>
      <w:tr>
        <w:tblPrEx>
          <w:tblCellMar>
            <w:top w:w="0" w:type="dxa"/>
            <w:left w:w="108" w:type="dxa"/>
            <w:bottom w:w="0" w:type="dxa"/>
            <w:right w:w="108" w:type="dxa"/>
          </w:tblCellMar>
        </w:tblPrEx>
        <w:trPr>
          <w:trHeight w:val="6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               养护公司：                          养护面积：</w:t>
            </w:r>
          </w:p>
        </w:tc>
      </w:tr>
      <w:tr>
        <w:tblPrEx>
          <w:tblCellMar>
            <w:top w:w="0" w:type="dxa"/>
            <w:left w:w="108" w:type="dxa"/>
            <w:bottom w:w="0" w:type="dxa"/>
            <w:right w:w="108" w:type="dxa"/>
          </w:tblCellMar>
        </w:tblPrEx>
        <w:trPr>
          <w:trHeight w:val="660" w:hRule="atLeast"/>
        </w:trPr>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68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乔灌木修剪20分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1、乔灌木生长势好，树形完整，层次清楚，没有人为偏冠</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73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2、枯死枝、徒长枝、下垂枝、折枝、病虫枝、过密枝及时清理</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3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3、按苗木生长习性修剪，灌木，绿篱、绿雕徒长枝不能高于15CM</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4、按规定时间完成修剪工作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5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5、死树及时伐掉、倒树及时扶正</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46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6、修剪枝当天及时清理</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7、3㎝以上剪口、损伤部位涂防护剂</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乔灌木栽植10分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1、按要求合理规范施工</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2、苗木当天需栽植并完成浇水工作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3、确保苗木的成活率</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4、在规定时间内完成</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7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浇水25分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1、按要求及时冬灌</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                                                                                                                每月考核时随机抽选5-10处，每处1000㎡。分别打分，最后计算得出本月得分。</w:t>
            </w:r>
          </w:p>
        </w:tc>
      </w:tr>
      <w:tr>
        <w:tblPrEx>
          <w:tblCellMar>
            <w:top w:w="0" w:type="dxa"/>
            <w:left w:w="108" w:type="dxa"/>
            <w:bottom w:w="0" w:type="dxa"/>
            <w:right w:w="108" w:type="dxa"/>
          </w:tblCellMar>
        </w:tblPrEx>
        <w:trPr>
          <w:trHeight w:val="55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2、确保浇水浇到位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15"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3、确保浇水浇透</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4、及时做好排水工作</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绿地整理13分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1、及时清理林带内的枯枝败叶以及垃圾，卫生打扫干净，保持林带内环境优美整洁。</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2、林带内没有悬挂物及私搭乱建现象</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0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3、平整林带并进行中耕除草，松土</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4、及时安排人员进行挖树穴工作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56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0"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日常管理17分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6分</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stheme="minorEastAsia"/>
                <w:color w:val="000000"/>
                <w:sz w:val="24"/>
                <w:szCs w:val="24"/>
              </w:rPr>
            </w:pP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68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14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885" w:hRule="atLeast"/>
        </w:trPr>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20" w:hRule="atLeast"/>
        </w:trPr>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21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15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br w:type="page"/>
      </w:r>
    </w:p>
    <w:tbl>
      <w:tblPr>
        <w:tblStyle w:val="34"/>
        <w:tblW w:w="5000" w:type="pct"/>
        <w:tblInd w:w="0" w:type="dxa"/>
        <w:tblLayout w:type="autofit"/>
        <w:tblCellMar>
          <w:top w:w="0" w:type="dxa"/>
          <w:left w:w="108" w:type="dxa"/>
          <w:bottom w:w="0" w:type="dxa"/>
          <w:right w:w="108" w:type="dxa"/>
        </w:tblCellMar>
      </w:tblPr>
      <w:tblGrid>
        <w:gridCol w:w="1009"/>
        <w:gridCol w:w="2894"/>
        <w:gridCol w:w="674"/>
        <w:gridCol w:w="811"/>
        <w:gridCol w:w="2875"/>
        <w:gridCol w:w="1025"/>
      </w:tblGrid>
      <w:tr>
        <w:tblPrEx>
          <w:tblCellMar>
            <w:top w:w="0" w:type="dxa"/>
            <w:left w:w="108" w:type="dxa"/>
            <w:bottom w:w="0" w:type="dxa"/>
            <w:right w:w="108" w:type="dxa"/>
          </w:tblCellMar>
        </w:tblPrEx>
        <w:trPr>
          <w:trHeight w:val="840" w:hRule="atLeast"/>
        </w:trPr>
        <w:tc>
          <w:tcPr>
            <w:tcW w:w="5000" w:type="pct"/>
            <w:gridSpan w:val="6"/>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12月1月2月米东区防护林养护考核评分表</w:t>
            </w:r>
          </w:p>
        </w:tc>
      </w:tr>
      <w:tr>
        <w:tblPrEx>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日期：年   月    日                   养护公司：                 养护面积：</w:t>
            </w:r>
          </w:p>
        </w:tc>
      </w:tr>
      <w:tr>
        <w:tblPrEx>
          <w:tblCellMar>
            <w:top w:w="0" w:type="dxa"/>
            <w:left w:w="108" w:type="dxa"/>
            <w:bottom w:w="0" w:type="dxa"/>
            <w:right w:w="108" w:type="dxa"/>
          </w:tblCellMar>
        </w:tblPrEx>
        <w:trPr>
          <w:trHeight w:val="84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考核项目</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考核内容</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评分标准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得  分</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扣分原因</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备  注</w:t>
            </w:r>
          </w:p>
        </w:tc>
      </w:tr>
      <w:tr>
        <w:tblPrEx>
          <w:tblCellMar>
            <w:top w:w="0" w:type="dxa"/>
            <w:left w:w="108" w:type="dxa"/>
            <w:bottom w:w="0" w:type="dxa"/>
            <w:right w:w="108" w:type="dxa"/>
          </w:tblCellMar>
        </w:tblPrEx>
        <w:trPr>
          <w:trHeight w:val="99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绿地管理55分</w:t>
            </w:r>
          </w:p>
        </w:tc>
        <w:tc>
          <w:tcPr>
            <w:tcW w:w="1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1、巡查养护林地，没有毁绿占绿现象，发现问题及时上报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40分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每月考核时随机抽选5-10处，每处1000㎡。分别打分，最后计算得出本月得分。 注释：绿色为增加条款。黄色为修改条款</w:t>
            </w: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3、及时清理垃圾，卫生打扫干净，保持林带内环境优美整洁。</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4、及时清除乔灌木枝叶上积雪</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安全生产管理10分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1、及时排查处理安全隐患</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2、配备安全保护器材</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6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3、合理规范操作机械</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4、做好安全警示标志</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6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日常管理30分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1、养护单位对园林队安排的工作及时落实到位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 xml:space="preserve">每月考核时随机抽选5-10处，每处1000㎡。分别打分，最后计算得出本月得分。 </w:t>
            </w:r>
          </w:p>
        </w:tc>
      </w:tr>
      <w:tr>
        <w:tblPrEx>
          <w:tblCellMar>
            <w:top w:w="0" w:type="dxa"/>
            <w:left w:w="108" w:type="dxa"/>
            <w:bottom w:w="0" w:type="dxa"/>
            <w:right w:w="108" w:type="dxa"/>
          </w:tblCellMar>
        </w:tblPrEx>
        <w:trPr>
          <w:trHeight w:val="84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2、服从单位安排的应急事件，并保质保量完成应急事件。</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4、对毁绿占绿现象及时发现、及时阻止、现场取证，上报主管科室，并配合监察科工作</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5、按时、按要求报工作计划、工作小结</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6、养护人员配置到位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9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br w:type="textWrapping"/>
            </w:r>
            <w:r>
              <w:rPr>
                <w:rFonts w:hint="eastAsia" w:asciiTheme="minorEastAsia" w:hAnsiTheme="minorEastAsia" w:cstheme="minorEastAsia"/>
                <w:color w:val="000000"/>
                <w:kern w:val="0"/>
                <w:sz w:val="24"/>
                <w:szCs w:val="24"/>
                <w:lang w:bidi="ar"/>
              </w:rPr>
              <w:t>设施设备维修5分</w:t>
            </w: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1、各种标牌、标志物、辅助设施损坏及时修复</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108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4"/>
                <w:szCs w:val="24"/>
              </w:rPr>
            </w:pPr>
          </w:p>
        </w:tc>
        <w:tc>
          <w:tcPr>
            <w:tcW w:w="1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2、林地内的水井盖完好</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18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r>
        <w:tblPrEx>
          <w:tblCellMar>
            <w:top w:w="0" w:type="dxa"/>
            <w:left w:w="108" w:type="dxa"/>
            <w:bottom w:w="0" w:type="dxa"/>
            <w:right w:w="108" w:type="dxa"/>
          </w:tblCellMar>
        </w:tblPrEx>
        <w:trPr>
          <w:trHeight w:val="750" w:hRule="atLeast"/>
        </w:trPr>
        <w:tc>
          <w:tcPr>
            <w:tcW w:w="17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当月考核得分</w:t>
            </w:r>
          </w:p>
        </w:tc>
        <w:tc>
          <w:tcPr>
            <w:tcW w:w="263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z w:val="24"/>
                <w:szCs w:val="24"/>
              </w:rPr>
            </w:pPr>
          </w:p>
        </w:tc>
      </w:tr>
    </w:tbl>
    <w:p>
      <w:pP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考核人签字：                                       养护单位负责人签字：</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ind w:firstLine="482"/>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pPr>
      <w:bookmarkStart w:id="55" w:name="_Toc16899"/>
      <w:r>
        <w:rPr>
          <w:rFonts w:hint="eastAsia" w:cs="宋体" w:asciiTheme="minorEastAsia" w:hAnsiTheme="minorEastAsia"/>
          <w:b/>
          <w:sz w:val="24"/>
          <w:szCs w:val="24"/>
        </w:rPr>
        <w:t>第四章技术标准和要求</w:t>
      </w:r>
      <w:bookmarkEnd w:id="55"/>
      <w:bookmarkStart w:id="56" w:name="_Toc138638538"/>
      <w:bookmarkEnd w:id="56"/>
      <w:bookmarkStart w:id="57" w:name="_Toc138638534"/>
      <w:bookmarkEnd w:id="57"/>
      <w:bookmarkStart w:id="58" w:name="_Toc138638509"/>
      <w:bookmarkEnd w:id="58"/>
      <w:bookmarkStart w:id="59" w:name="_Toc138639090"/>
      <w:bookmarkEnd w:id="59"/>
      <w:bookmarkStart w:id="60" w:name="_Toc138638702"/>
      <w:bookmarkEnd w:id="60"/>
      <w:bookmarkStart w:id="61" w:name="_Toc138638910"/>
      <w:bookmarkEnd w:id="61"/>
      <w:bookmarkStart w:id="62" w:name="_Toc138638510"/>
      <w:bookmarkEnd w:id="62"/>
      <w:bookmarkStart w:id="63" w:name="_Toc138638907"/>
      <w:bookmarkEnd w:id="63"/>
      <w:bookmarkStart w:id="64" w:name="_Toc138639145"/>
      <w:bookmarkEnd w:id="64"/>
      <w:bookmarkStart w:id="65" w:name="_Toc138638718"/>
      <w:bookmarkEnd w:id="65"/>
      <w:bookmarkStart w:id="66" w:name="_Toc138639091"/>
      <w:bookmarkEnd w:id="66"/>
      <w:bookmarkStart w:id="67" w:name="_合同文件的组成及解释顺序"/>
      <w:bookmarkEnd w:id="67"/>
      <w:bookmarkStart w:id="68" w:name="_Toc138638906"/>
      <w:bookmarkEnd w:id="68"/>
      <w:bookmarkStart w:id="69" w:name="_Toc138639074"/>
      <w:bookmarkEnd w:id="69"/>
      <w:bookmarkStart w:id="70" w:name="_Toc138638883"/>
      <w:bookmarkEnd w:id="70"/>
      <w:bookmarkStart w:id="71" w:name="_Toc138638719"/>
      <w:bookmarkEnd w:id="71"/>
      <w:bookmarkStart w:id="72" w:name="_Toc138638535"/>
      <w:bookmarkEnd w:id="72"/>
      <w:bookmarkStart w:id="73" w:name="_Toc138638884"/>
      <w:bookmarkEnd w:id="73"/>
      <w:bookmarkStart w:id="74" w:name="_Toc138638773"/>
      <w:bookmarkEnd w:id="74"/>
    </w:p>
    <w:p>
      <w:pPr>
        <w:spacing w:line="440" w:lineRule="exact"/>
        <w:ind w:firstLine="542"/>
        <w:jc w:val="center"/>
        <w:rPr>
          <w:rFonts w:hint="eastAsia" w:cs="宋体" w:asciiTheme="minorEastAsia" w:hAnsiTheme="minorEastAsia" w:eastAsiaTheme="minorEastAsia"/>
          <w:b/>
          <w:kern w:val="0"/>
          <w:sz w:val="27"/>
          <w:szCs w:val="27"/>
          <w:lang w:eastAsia="zh-CN"/>
        </w:rPr>
      </w:pPr>
      <w:r>
        <w:rPr>
          <w:rFonts w:hint="eastAsia" w:cs="宋体" w:asciiTheme="minorEastAsia" w:hAnsiTheme="minorEastAsia"/>
          <w:b/>
          <w:kern w:val="0"/>
          <w:sz w:val="27"/>
          <w:szCs w:val="27"/>
          <w:lang w:eastAsia="zh-CN"/>
        </w:rPr>
        <w:t>2024年-2026年米东区公共绿地绿化养护项目第9包</w:t>
      </w:r>
    </w:p>
    <w:tbl>
      <w:tblPr>
        <w:tblStyle w:val="3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16"/>
        <w:gridCol w:w="1656"/>
        <w:gridCol w:w="1416"/>
        <w:gridCol w:w="1418"/>
        <w:gridCol w:w="1416"/>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76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879"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531" w:type="pct"/>
            <w:gridSpan w:val="2"/>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长度</w:t>
            </w:r>
          </w:p>
        </w:tc>
        <w:tc>
          <w:tcPr>
            <w:tcW w:w="76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面积m²</w:t>
            </w:r>
          </w:p>
        </w:tc>
        <w:tc>
          <w:tcPr>
            <w:tcW w:w="1058"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79"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东（南）</w:t>
            </w: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西（北）</w:t>
            </w: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58"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历史文化园</w:t>
            </w:r>
          </w:p>
        </w:tc>
        <w:tc>
          <w:tcPr>
            <w:tcW w:w="765" w:type="pct"/>
            <w:vMerge w:val="restar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restar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13484</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58"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一方园</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5008</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康泰园</w:t>
            </w:r>
          </w:p>
        </w:tc>
        <w:tc>
          <w:tcPr>
            <w:tcW w:w="765" w:type="pct"/>
            <w:vMerge w:val="restar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restar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9793</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58"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五谷园</w:t>
            </w:r>
          </w:p>
        </w:tc>
        <w:tc>
          <w:tcPr>
            <w:tcW w:w="765" w:type="pct"/>
            <w:vMerge w:val="restar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restar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5315</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58"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旱生园</w:t>
            </w:r>
          </w:p>
        </w:tc>
        <w:tc>
          <w:tcPr>
            <w:tcW w:w="765" w:type="pct"/>
            <w:vMerge w:val="restar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restar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3046</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58"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百草园</w:t>
            </w:r>
          </w:p>
        </w:tc>
        <w:tc>
          <w:tcPr>
            <w:tcW w:w="765"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1684</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光明园</w:t>
            </w:r>
          </w:p>
        </w:tc>
        <w:tc>
          <w:tcPr>
            <w:tcW w:w="765" w:type="pct"/>
            <w:vMerge w:val="restar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restar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2955</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58"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皇渠嘉禾园</w:t>
            </w:r>
          </w:p>
        </w:tc>
        <w:tc>
          <w:tcPr>
            <w:tcW w:w="765"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1456</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老电影院游园</w:t>
            </w:r>
          </w:p>
        </w:tc>
        <w:tc>
          <w:tcPr>
            <w:tcW w:w="765" w:type="pct"/>
            <w:vMerge w:val="restar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restar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8569</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vMerge w:val="continue"/>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58"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政府院内游园</w:t>
            </w:r>
          </w:p>
        </w:tc>
        <w:tc>
          <w:tcPr>
            <w:tcW w:w="765" w:type="pct"/>
            <w:vMerge w:val="restar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restar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restar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31246</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vMerge w:val="continue"/>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58"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金盛集团东侧河坝边游园 </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4464</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文润园</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11923</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汇趣园</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19999</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兴盛园</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8132</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嘉隆园</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9338</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嘉禾园</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25346</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府前路(三道坝路-米东大道）</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31934.5</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中颐路（府前路-揽胜街）</w:t>
            </w:r>
          </w:p>
        </w:tc>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325</w:t>
            </w:r>
          </w:p>
        </w:tc>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351.6</w:t>
            </w: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5864</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民康路</w:t>
            </w:r>
          </w:p>
        </w:tc>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574</w:t>
            </w:r>
          </w:p>
        </w:tc>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581</w:t>
            </w: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4507</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揽胜街（广场东路-中颐路）</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32420</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万和街</w:t>
            </w:r>
          </w:p>
        </w:tc>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682</w:t>
            </w:r>
          </w:p>
        </w:tc>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672</w:t>
            </w: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2849</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中颐南路支巷（中颐南路-府前东路）</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2004</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民康北路（揽胜东街-府前路）</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3796</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政府院内停车场内地</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2903</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米泉路（揽胜街-古牧地路）</w:t>
            </w:r>
          </w:p>
        </w:tc>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319</w:t>
            </w:r>
          </w:p>
        </w:tc>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303</w:t>
            </w: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2772</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皇渠路（古牧地路-揽胜东街）</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1596</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揽胜街软隔离</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205</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府前路软隔离</w:t>
            </w:r>
          </w:p>
        </w:tc>
        <w:tc>
          <w:tcPr>
            <w:tcW w:w="1531" w:type="pct"/>
            <w:gridSpan w:val="2"/>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539</w:t>
            </w: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1186</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中颐路软隔离</w:t>
            </w:r>
          </w:p>
        </w:tc>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280.9</w:t>
            </w:r>
          </w:p>
        </w:tc>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165</w:t>
            </w: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981</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w:t>
            </w: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海棠花绿地</w:t>
            </w:r>
          </w:p>
        </w:tc>
        <w:tc>
          <w:tcPr>
            <w:tcW w:w="765"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1483</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w:t>
            </w: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红沟河绿地</w:t>
            </w:r>
          </w:p>
        </w:tc>
        <w:tc>
          <w:tcPr>
            <w:tcW w:w="765"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1700</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府前西路三角地</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（国际大酒店旁）</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6132</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w:t>
            </w: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中医院西绿地</w:t>
            </w:r>
          </w:p>
        </w:tc>
        <w:tc>
          <w:tcPr>
            <w:tcW w:w="765"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3533</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w:t>
            </w:r>
          </w:p>
        </w:tc>
        <w:tc>
          <w:tcPr>
            <w:tcW w:w="879"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家和华府绿地</w:t>
            </w:r>
          </w:p>
        </w:tc>
        <w:tc>
          <w:tcPr>
            <w:tcW w:w="765"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2364</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政府停车场河</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坝西侧绿地</w:t>
            </w: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65"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2752</w:t>
            </w:r>
          </w:p>
        </w:tc>
        <w:tc>
          <w:tcPr>
            <w:tcW w:w="1058" w:type="pct"/>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65"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w:t>
            </w:r>
          </w:p>
        </w:tc>
        <w:tc>
          <w:tcPr>
            <w:tcW w:w="879" w:type="pc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零星绿地</w:t>
            </w:r>
          </w:p>
        </w:tc>
        <w:tc>
          <w:tcPr>
            <w:tcW w:w="2296" w:type="pct"/>
            <w:gridSpan w:val="3"/>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058" w:type="pct"/>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bl>
    <w:p>
      <w:pPr>
        <w:spacing w:line="360" w:lineRule="auto"/>
        <w:ind w:firstLine="480" w:firstLineChars="200"/>
        <w:rPr>
          <w:rFonts w:asciiTheme="minorEastAsia" w:hAnsiTheme="minorEastAsia" w:cstheme="minorEastAsia"/>
          <w:sz w:val="24"/>
          <w:szCs w:val="24"/>
        </w:rPr>
      </w:pP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备注：</w:t>
      </w:r>
      <w:r>
        <w:rPr>
          <w:rFonts w:hint="eastAsia" w:cs="宋体" w:asciiTheme="minorEastAsia" w:hAnsiTheme="minorEastAsia"/>
          <w:color w:val="000000" w:themeColor="text1"/>
          <w:kern w:val="0"/>
          <w:sz w:val="24"/>
          <w:szCs w:val="24"/>
          <w14:textFill>
            <w14:solidFill>
              <w14:schemeClr w14:val="tx1"/>
            </w14:solidFill>
          </w14:textFill>
        </w:rPr>
        <w:t>1、绿化养护内容包括: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    2、设施维护内容包括：园林建筑（厕所）、园林小品（园灯、导游牌、宣传牌、果皮箱、圆桌椅、栏杆、健身器材）、园路及铺装场地、园艺设施、园林电器设备（主要为广播、景观照明、配电箱、线路）。</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剂检修等，不包括设施大修。此设施维护费标准不包含水电费。</w:t>
      </w:r>
    </w:p>
    <w:p>
      <w:pPr>
        <w:widowControl/>
        <w:spacing w:line="360" w:lineRule="auto"/>
        <w:ind w:firstLine="480" w:firstLineChars="200"/>
        <w:jc w:val="left"/>
        <w:rPr>
          <w:rFonts w:cs="宋体" w:asciiTheme="minorEastAsia" w:hAnsiTheme="minorEastAsia"/>
          <w:color w:val="000000" w:themeColor="text1"/>
          <w:kern w:val="0"/>
          <w:sz w:val="24"/>
          <w:szCs w:val="24"/>
          <w:highlight w:val="yellow"/>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设施维护费用的使用：养护企业根据中标的设施维护费用，及设施损坏的程度，上报养护科维修地点、项目、预算，经园林局领导审核同意后进行维修。维修时间为每年5月至9月之间，完工后经养护科验收合格，送第三方审计公司审核。园林管理局财务科根据审计价一次性付款97%，预留3%质保金。剩余设施维护费用上交国库。</w:t>
      </w: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widowControl/>
        <w:spacing w:line="360" w:lineRule="auto"/>
        <w:ind w:firstLine="480" w:firstLineChars="200"/>
        <w:jc w:val="left"/>
        <w:rPr>
          <w:rFonts w:cs="宋体" w:asciiTheme="minorEastAsia" w:hAnsiTheme="minorEastAsia"/>
          <w:color w:val="FF0000"/>
          <w:kern w:val="0"/>
          <w:sz w:val="24"/>
          <w:szCs w:val="24"/>
          <w:highlight w:val="yellow"/>
        </w:rPr>
      </w:pPr>
    </w:p>
    <w:p>
      <w:pPr>
        <w:rPr>
          <w:rFonts w:cs="宋体" w:asciiTheme="minorEastAsia" w:hAnsiTheme="minorEastAsia"/>
          <w:color w:val="FF0000"/>
          <w:kern w:val="0"/>
          <w:sz w:val="24"/>
          <w:szCs w:val="24"/>
          <w:highlight w:val="yellow"/>
        </w:rPr>
      </w:pPr>
      <w:r>
        <w:rPr>
          <w:rFonts w:hint="eastAsia" w:cs="宋体" w:asciiTheme="minorEastAsia" w:hAnsiTheme="minorEastAsia"/>
          <w:color w:val="FF0000"/>
          <w:kern w:val="0"/>
          <w:sz w:val="24"/>
          <w:szCs w:val="24"/>
          <w:highlight w:val="yellow"/>
        </w:rPr>
        <w:br w:type="page"/>
      </w:r>
    </w:p>
    <w:p>
      <w:pPr>
        <w:widowControl/>
        <w:spacing w:line="360" w:lineRule="auto"/>
        <w:ind w:firstLine="482"/>
        <w:rPr>
          <w:rFonts w:cs="宋体" w:asciiTheme="minorEastAsia" w:hAnsiTheme="minorEastAsia"/>
          <w:b/>
          <w:bCs/>
          <w:kern w:val="0"/>
          <w:sz w:val="24"/>
          <w:szCs w:val="24"/>
        </w:rPr>
      </w:pPr>
      <w:r>
        <w:rPr>
          <w:rFonts w:hint="eastAsia" w:cs="宋体" w:asciiTheme="minorEastAsia" w:hAnsiTheme="minorEastAsia"/>
          <w:b/>
          <w:bCs/>
          <w:kern w:val="0"/>
          <w:sz w:val="24"/>
          <w:szCs w:val="24"/>
        </w:rPr>
        <w:t>注：养护费组成如下</w:t>
      </w:r>
    </w:p>
    <w:tbl>
      <w:tblPr>
        <w:tblStyle w:val="34"/>
        <w:tblW w:w="5000" w:type="pct"/>
        <w:tblInd w:w="0" w:type="dxa"/>
        <w:tblLayout w:type="autofit"/>
        <w:tblCellMar>
          <w:top w:w="0" w:type="dxa"/>
          <w:left w:w="108" w:type="dxa"/>
          <w:bottom w:w="0" w:type="dxa"/>
          <w:right w:w="108" w:type="dxa"/>
        </w:tblCellMar>
      </w:tblPr>
      <w:tblGrid>
        <w:gridCol w:w="1008"/>
        <w:gridCol w:w="889"/>
        <w:gridCol w:w="889"/>
        <w:gridCol w:w="889"/>
        <w:gridCol w:w="889"/>
        <w:gridCol w:w="968"/>
        <w:gridCol w:w="968"/>
        <w:gridCol w:w="889"/>
        <w:gridCol w:w="890"/>
        <w:gridCol w:w="1009"/>
      </w:tblGrid>
      <w:tr>
        <w:tblPrEx>
          <w:tblCellMar>
            <w:top w:w="0" w:type="dxa"/>
            <w:left w:w="108" w:type="dxa"/>
            <w:bottom w:w="0" w:type="dxa"/>
            <w:right w:w="108" w:type="dxa"/>
          </w:tblCellMar>
        </w:tblPrEx>
        <w:trPr>
          <w:trHeight w:val="703" w:hRule="atLeast"/>
        </w:trPr>
        <w:tc>
          <w:tcPr>
            <w:tcW w:w="5000" w:type="pct"/>
            <w:gridSpan w:val="10"/>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color w:val="000000"/>
                <w:sz w:val="24"/>
                <w:szCs w:val="24"/>
              </w:rPr>
            </w:pPr>
            <w:bookmarkStart w:id="75" w:name="_Toc482628481"/>
            <w:bookmarkStart w:id="76" w:name="_Toc21888"/>
            <w:r>
              <w:rPr>
                <w:rFonts w:hint="eastAsia" w:asciiTheme="minorEastAsia" w:hAnsiTheme="minorEastAsia" w:cstheme="minorEastAsia"/>
                <w:b/>
                <w:bCs/>
                <w:color w:val="000000"/>
                <w:kern w:val="0"/>
                <w:sz w:val="24"/>
                <w:szCs w:val="24"/>
                <w:lang w:bidi="ar"/>
              </w:rPr>
              <w:t>米东区园林管理局绿化养护费等级标准</w:t>
            </w:r>
          </w:p>
        </w:tc>
      </w:tr>
      <w:tr>
        <w:tblPrEx>
          <w:tblCellMar>
            <w:top w:w="0" w:type="dxa"/>
            <w:left w:w="108" w:type="dxa"/>
            <w:bottom w:w="0" w:type="dxa"/>
            <w:right w:w="108" w:type="dxa"/>
          </w:tblCellMar>
        </w:tblPrEx>
        <w:trPr>
          <w:trHeight w:val="760" w:hRule="atLeast"/>
        </w:trPr>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名称</w:t>
            </w:r>
          </w:p>
        </w:tc>
        <w:tc>
          <w:tcPr>
            <w:tcW w:w="4453"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绿化养护级别</w:t>
            </w:r>
          </w:p>
        </w:tc>
      </w:tr>
      <w:tr>
        <w:tblPrEx>
          <w:tblCellMar>
            <w:top w:w="0" w:type="dxa"/>
            <w:left w:w="108" w:type="dxa"/>
            <w:bottom w:w="0" w:type="dxa"/>
            <w:right w:w="108" w:type="dxa"/>
          </w:tblCellMar>
        </w:tblPrEx>
        <w:trPr>
          <w:trHeight w:val="840"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道路一级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道路二级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道路三级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道路四级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公园级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游园一级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游园二级</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游园三级</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农区防护林</w:t>
            </w:r>
          </w:p>
        </w:tc>
      </w:tr>
      <w:tr>
        <w:tblPrEx>
          <w:tblCellMar>
            <w:top w:w="0" w:type="dxa"/>
            <w:left w:w="108" w:type="dxa"/>
            <w:bottom w:w="0" w:type="dxa"/>
            <w:right w:w="108" w:type="dxa"/>
          </w:tblCellMar>
        </w:tblPrEx>
        <w:trPr>
          <w:trHeight w:val="8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r>
      <w:tr>
        <w:tblPrEx>
          <w:tblCellMar>
            <w:top w:w="0" w:type="dxa"/>
            <w:left w:w="108" w:type="dxa"/>
            <w:bottom w:w="0" w:type="dxa"/>
            <w:right w:w="108" w:type="dxa"/>
          </w:tblCellMar>
        </w:tblPrEx>
        <w:trPr>
          <w:trHeight w:val="9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水费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2.6元/m²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0.7元/m²</w:t>
            </w:r>
          </w:p>
        </w:tc>
      </w:tr>
      <w:tr>
        <w:tblPrEx>
          <w:tblCellMar>
            <w:top w:w="0" w:type="dxa"/>
            <w:left w:w="108" w:type="dxa"/>
            <w:bottom w:w="0" w:type="dxa"/>
            <w:right w:w="108" w:type="dxa"/>
          </w:tblCellMar>
        </w:tblPrEx>
        <w:trPr>
          <w:trHeight w:val="90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管线费</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0.3元/m²</w:t>
            </w:r>
          </w:p>
        </w:tc>
      </w:tr>
      <w:tr>
        <w:tblPrEx>
          <w:tblCellMar>
            <w:top w:w="0" w:type="dxa"/>
            <w:left w:w="108" w:type="dxa"/>
            <w:bottom w:w="0" w:type="dxa"/>
            <w:right w:w="108" w:type="dxa"/>
          </w:tblCellMar>
        </w:tblPrEx>
        <w:trPr>
          <w:trHeight w:val="1040"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养护费合计</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7.2元/m²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4.7元/m²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11.5元/m²</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11.5元/m²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10元/m²</w:t>
            </w:r>
          </w:p>
        </w:tc>
        <w:tc>
          <w:tcPr>
            <w:tcW w:w="4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9元/m²</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2.1元/m²</w:t>
            </w:r>
          </w:p>
        </w:tc>
      </w:tr>
    </w:tbl>
    <w:p>
      <w:pPr>
        <w:spacing w:line="440" w:lineRule="exact"/>
        <w:rPr>
          <w:rFonts w:cs="Arial" w:asciiTheme="minorEastAsia" w:hAnsiTheme="minorEastAsia"/>
          <w:szCs w:val="24"/>
        </w:rPr>
      </w:pPr>
    </w:p>
    <w:tbl>
      <w:tblPr>
        <w:tblStyle w:val="34"/>
        <w:tblW w:w="5000" w:type="pct"/>
        <w:tblInd w:w="0" w:type="dxa"/>
        <w:tblLayout w:type="autofit"/>
        <w:tblCellMar>
          <w:top w:w="0" w:type="dxa"/>
          <w:left w:w="108" w:type="dxa"/>
          <w:bottom w:w="0" w:type="dxa"/>
          <w:right w:w="108" w:type="dxa"/>
        </w:tblCellMar>
      </w:tblPr>
      <w:tblGrid>
        <w:gridCol w:w="1100"/>
        <w:gridCol w:w="967"/>
        <w:gridCol w:w="1057"/>
        <w:gridCol w:w="1057"/>
        <w:gridCol w:w="1057"/>
        <w:gridCol w:w="1057"/>
        <w:gridCol w:w="1057"/>
        <w:gridCol w:w="968"/>
        <w:gridCol w:w="968"/>
      </w:tblGrid>
      <w:tr>
        <w:tblPrEx>
          <w:tblCellMar>
            <w:top w:w="0" w:type="dxa"/>
            <w:left w:w="108" w:type="dxa"/>
            <w:bottom w:w="0" w:type="dxa"/>
            <w:right w:w="108" w:type="dxa"/>
          </w:tblCellMar>
        </w:tblPrEx>
        <w:trPr>
          <w:trHeight w:val="737" w:hRule="atLeast"/>
        </w:trPr>
        <w:tc>
          <w:tcPr>
            <w:tcW w:w="5000" w:type="pct"/>
            <w:gridSpan w:val="9"/>
            <w:tcBorders>
              <w:top w:val="nil"/>
              <w:left w:val="nil"/>
              <w:bottom w:val="nil"/>
              <w:right w:val="nil"/>
            </w:tcBorders>
            <w:shd w:val="clear" w:color="auto" w:fill="auto"/>
            <w:noWrap/>
            <w:vAlign w:val="center"/>
          </w:tcPr>
          <w:p>
            <w:pPr>
              <w:widowControl/>
              <w:ind w:firstLine="482"/>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b/>
                <w:bCs/>
                <w:color w:val="000000"/>
                <w:kern w:val="0"/>
                <w:sz w:val="24"/>
                <w:szCs w:val="24"/>
                <w:lang w:bidi="ar"/>
              </w:rPr>
              <w:t>石化片区绿化养护费等级标准</w:t>
            </w:r>
          </w:p>
        </w:tc>
      </w:tr>
      <w:tr>
        <w:tblPrEx>
          <w:tblCellMar>
            <w:top w:w="0" w:type="dxa"/>
            <w:left w:w="108" w:type="dxa"/>
            <w:bottom w:w="0" w:type="dxa"/>
            <w:right w:w="108" w:type="dxa"/>
          </w:tblCellMar>
        </w:tblPrEx>
        <w:trPr>
          <w:trHeight w:val="760" w:hRule="atLeast"/>
        </w:trPr>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名称</w:t>
            </w:r>
          </w:p>
        </w:tc>
        <w:tc>
          <w:tcPr>
            <w:tcW w:w="440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绿化养护级别</w:t>
            </w:r>
          </w:p>
        </w:tc>
      </w:tr>
      <w:tr>
        <w:tblPrEx>
          <w:tblCellMar>
            <w:top w:w="0" w:type="dxa"/>
            <w:left w:w="108" w:type="dxa"/>
            <w:bottom w:w="0" w:type="dxa"/>
            <w:right w:w="108" w:type="dxa"/>
          </w:tblCellMar>
        </w:tblPrEx>
        <w:trPr>
          <w:trHeight w:val="84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heme="minorEastAsia" w:hAnsiTheme="minorEastAsia" w:cstheme="minorEastAsia"/>
                <w:color w:val="000000"/>
                <w:sz w:val="24"/>
                <w:szCs w:val="24"/>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道路一级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道路二级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道路三级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道路四级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公园级</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游园一级</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游园二级</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游园三级</w:t>
            </w:r>
          </w:p>
        </w:tc>
      </w:tr>
      <w:tr>
        <w:tblPrEx>
          <w:tblCellMar>
            <w:top w:w="0" w:type="dxa"/>
            <w:left w:w="108" w:type="dxa"/>
            <w:bottom w:w="0" w:type="dxa"/>
            <w:right w:w="108" w:type="dxa"/>
          </w:tblCellMar>
        </w:tblPrEx>
        <w:trPr>
          <w:trHeight w:val="8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7.5元/m²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5元/m²</w:t>
            </w:r>
          </w:p>
        </w:tc>
      </w:tr>
      <w:tr>
        <w:tblPrEx>
          <w:tblCellMar>
            <w:top w:w="0" w:type="dxa"/>
            <w:left w:w="108" w:type="dxa"/>
            <w:bottom w:w="0" w:type="dxa"/>
            <w:right w:w="108" w:type="dxa"/>
          </w:tblCellMar>
        </w:tblPrEx>
        <w:trPr>
          <w:trHeight w:val="9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水费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3.28元/m²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4.26元/m²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5.2元/m²</w:t>
            </w:r>
          </w:p>
        </w:tc>
      </w:tr>
      <w:tr>
        <w:tblPrEx>
          <w:tblCellMar>
            <w:top w:w="0" w:type="dxa"/>
            <w:left w:w="108" w:type="dxa"/>
            <w:bottom w:w="0" w:type="dxa"/>
            <w:right w:w="108" w:type="dxa"/>
          </w:tblCellMar>
        </w:tblPrEx>
        <w:trPr>
          <w:trHeight w:val="9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管线费</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0.8元/m²</w:t>
            </w:r>
          </w:p>
        </w:tc>
      </w:tr>
      <w:tr>
        <w:tblPrEx>
          <w:tblCellMar>
            <w:top w:w="0" w:type="dxa"/>
            <w:left w:w="108" w:type="dxa"/>
            <w:bottom w:w="0" w:type="dxa"/>
            <w:right w:w="108" w:type="dxa"/>
          </w:tblCellMar>
        </w:tblPrEx>
        <w:trPr>
          <w:trHeight w:val="104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养护费合计</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8.86元/m²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6.78元/m²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6.36元/m²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13.5元/m²</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13.5元/m²</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12元/m²</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11元/m²</w:t>
            </w:r>
          </w:p>
        </w:tc>
      </w:tr>
    </w:tbl>
    <w:p>
      <w:pPr>
        <w:spacing w:line="440" w:lineRule="exact"/>
        <w:outlineLvl w:val="0"/>
        <w:rPr>
          <w:rFonts w:cs="Arial" w:asciiTheme="minorEastAsia" w:hAnsiTheme="minorEastAsia"/>
          <w:szCs w:val="24"/>
        </w:rPr>
        <w:sectPr>
          <w:pgSz w:w="11906" w:h="16838"/>
          <w:pgMar w:top="1134" w:right="1417" w:bottom="1134" w:left="1417" w:header="851" w:footer="992" w:gutter="0"/>
          <w:cols w:space="0" w:num="1"/>
          <w:docGrid w:linePitch="312" w:charSpace="0"/>
        </w:sectPr>
      </w:pPr>
      <w:r>
        <w:rPr>
          <w:rFonts w:hint="eastAsia" w:cs="Arial" w:asciiTheme="minorEastAsia" w:hAnsiTheme="minorEastAsia"/>
          <w:szCs w:val="24"/>
        </w:rPr>
        <w:br w:type="page"/>
      </w:r>
      <w:bookmarkEnd w:id="75"/>
      <w:bookmarkEnd w:id="76"/>
    </w:p>
    <w:p>
      <w:pPr>
        <w:spacing w:line="440" w:lineRule="exact"/>
        <w:ind w:firstLine="482"/>
        <w:jc w:val="center"/>
        <w:outlineLvl w:val="0"/>
        <w:rPr>
          <w:rFonts w:cs="宋体" w:asciiTheme="minorEastAsia" w:hAnsiTheme="minorEastAsia"/>
          <w:b/>
          <w:sz w:val="24"/>
          <w:szCs w:val="24"/>
        </w:rPr>
      </w:pPr>
      <w:bookmarkStart w:id="77" w:name="_Toc23869"/>
      <w:r>
        <w:rPr>
          <w:rFonts w:hint="eastAsia" w:cs="宋体" w:asciiTheme="minorEastAsia" w:hAnsiTheme="minorEastAsia"/>
          <w:b/>
          <w:sz w:val="24"/>
          <w:szCs w:val="24"/>
        </w:rPr>
        <w:t>第五章投标文件格式</w:t>
      </w:r>
      <w:bookmarkEnd w:id="77"/>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p>
    <w:p>
      <w:pPr>
        <w:rPr>
          <w:rFonts w:cs="宋体" w:asciiTheme="minorEastAsia" w:hAnsiTheme="minorEastAsia"/>
          <w:sz w:val="24"/>
          <w:szCs w:val="24"/>
          <w:u w:val="single"/>
        </w:rPr>
      </w:pPr>
      <w:r>
        <w:rPr>
          <w:rFonts w:hint="eastAsia" w:cs="宋体" w:asciiTheme="minorEastAsia" w:hAnsiTheme="minorEastAsia"/>
          <w:sz w:val="24"/>
          <w:szCs w:val="24"/>
          <w:u w:val="single"/>
        </w:rPr>
        <w:t>投标文件封面示例</w:t>
      </w:r>
    </w:p>
    <w:p>
      <w:pPr>
        <w:spacing w:line="720" w:lineRule="auto"/>
        <w:ind w:right="315" w:firstLine="482"/>
        <w:jc w:val="right"/>
        <w:rPr>
          <w:rFonts w:cs="宋体" w:asciiTheme="minorEastAsia" w:hAnsiTheme="minorEastAsia"/>
          <w:b/>
          <w:sz w:val="24"/>
          <w:szCs w:val="24"/>
          <w:bdr w:val="single" w:color="auto" w:sz="4" w:space="0"/>
        </w:rPr>
      </w:pPr>
      <w:r>
        <w:rPr>
          <w:rFonts w:hint="eastAsia" w:cs="宋体" w:asciiTheme="minorEastAsia" w:hAnsiTheme="minorEastAsia"/>
          <w:b/>
          <w:sz w:val="24"/>
          <w:szCs w:val="24"/>
          <w:bdr w:val="single" w:color="auto" w:sz="4" w:space="0"/>
        </w:rPr>
        <w:t>正本</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（项目名称）</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（标项名称）</w:t>
      </w:r>
    </w:p>
    <w:p>
      <w:pPr>
        <w:spacing w:line="480" w:lineRule="auto"/>
        <w:ind w:firstLine="482"/>
        <w:jc w:val="center"/>
        <w:rPr>
          <w:rFonts w:cs="宋体" w:asciiTheme="minorEastAsia" w:hAnsiTheme="minorEastAsia"/>
          <w:b/>
          <w:bCs/>
          <w:sz w:val="24"/>
          <w:szCs w:val="24"/>
          <w:u w:val="single"/>
        </w:rPr>
      </w:pPr>
      <w:r>
        <w:rPr>
          <w:rFonts w:hint="eastAsia" w:cs="宋体" w:asciiTheme="minorEastAsia" w:hAnsiTheme="minorEastAsia"/>
          <w:b/>
          <w:bCs/>
          <w:sz w:val="24"/>
          <w:szCs w:val="24"/>
          <w:u w:val="single"/>
        </w:rPr>
        <w:t>（标段编号）</w:t>
      </w:r>
    </w:p>
    <w:p>
      <w:pPr>
        <w:spacing w:line="300" w:lineRule="exact"/>
        <w:ind w:firstLine="482"/>
        <w:jc w:val="center"/>
        <w:rPr>
          <w:rFonts w:cs="宋体" w:asciiTheme="minorEastAsia" w:hAnsiTheme="minorEastAsia"/>
          <w:b/>
          <w:bCs/>
          <w:sz w:val="24"/>
          <w:szCs w:val="24"/>
        </w:rPr>
      </w:pPr>
    </w:p>
    <w:p>
      <w:pPr>
        <w:spacing w:line="300" w:lineRule="exact"/>
        <w:ind w:firstLine="482"/>
        <w:jc w:val="center"/>
        <w:rPr>
          <w:rFonts w:cs="宋体" w:asciiTheme="minorEastAsia" w:hAnsiTheme="minorEastAsia"/>
          <w:b/>
          <w:bCs/>
          <w:sz w:val="24"/>
          <w:szCs w:val="24"/>
        </w:rPr>
      </w:pPr>
    </w:p>
    <w:p>
      <w:pPr>
        <w:spacing w:line="300" w:lineRule="exact"/>
        <w:ind w:firstLine="482"/>
        <w:jc w:val="center"/>
        <w:rPr>
          <w:rFonts w:cs="宋体" w:asciiTheme="minorEastAsia" w:hAnsiTheme="minorEastAsia"/>
          <w:b/>
          <w:bCs/>
          <w:sz w:val="24"/>
          <w:szCs w:val="24"/>
        </w:rPr>
      </w:pPr>
      <w:r>
        <w:rPr>
          <w:rFonts w:hint="eastAsia" w:cs="宋体" w:asciiTheme="minorEastAsia" w:hAnsiTheme="minorEastAsia"/>
          <w:b/>
          <w:bCs/>
          <w:sz w:val="24"/>
          <w:szCs w:val="24"/>
        </w:rPr>
        <w:t>投标文件</w:t>
      </w:r>
    </w:p>
    <w:p>
      <w:pPr>
        <w:spacing w:line="720" w:lineRule="auto"/>
        <w:rPr>
          <w:rFonts w:cs="宋体" w:asciiTheme="minorEastAsia" w:hAnsiTheme="minorEastAsia"/>
          <w:sz w:val="24"/>
          <w:szCs w:val="24"/>
        </w:rPr>
      </w:pPr>
    </w:p>
    <w:p>
      <w:pPr>
        <w:spacing w:line="720" w:lineRule="auto"/>
        <w:rPr>
          <w:rFonts w:cs="宋体" w:asciiTheme="minorEastAsia" w:hAnsiTheme="minorEastAsia"/>
          <w:sz w:val="24"/>
          <w:szCs w:val="24"/>
        </w:rPr>
      </w:pPr>
      <w:r>
        <w:rPr>
          <w:rFonts w:hint="eastAsia" w:cs="宋体" w:asciiTheme="minorEastAsia" w:hAnsiTheme="minorEastAsia"/>
          <w:sz w:val="24"/>
          <w:szCs w:val="24"/>
        </w:rPr>
        <w:t>投标人：（盖章）</w:t>
      </w:r>
    </w:p>
    <w:p>
      <w:pPr>
        <w:spacing w:line="720" w:lineRule="auto"/>
        <w:rPr>
          <w:rFonts w:cs="宋体" w:asciiTheme="minorEastAsia" w:hAnsiTheme="minorEastAsia"/>
          <w:sz w:val="24"/>
          <w:szCs w:val="24"/>
        </w:rPr>
      </w:pPr>
      <w:r>
        <w:rPr>
          <w:rFonts w:hint="eastAsia" w:cs="宋体" w:asciiTheme="minorEastAsia" w:hAnsiTheme="minorEastAsia"/>
          <w:sz w:val="24"/>
          <w:szCs w:val="24"/>
        </w:rPr>
        <w:t>法定代表人：（盖章）</w:t>
      </w:r>
    </w:p>
    <w:p>
      <w:pPr>
        <w:spacing w:line="720" w:lineRule="auto"/>
        <w:rPr>
          <w:rFonts w:cs="宋体" w:asciiTheme="minorEastAsia" w:hAnsiTheme="minorEastAsia"/>
          <w:sz w:val="24"/>
          <w:szCs w:val="24"/>
        </w:rPr>
      </w:pPr>
      <w:r>
        <w:rPr>
          <w:rFonts w:hint="eastAsia" w:cs="宋体" w:asciiTheme="minorEastAsia" w:hAnsiTheme="minorEastAsia"/>
          <w:sz w:val="24"/>
          <w:szCs w:val="24"/>
        </w:rPr>
        <w:t>单位地址：</w:t>
      </w:r>
    </w:p>
    <w:p>
      <w:pPr>
        <w:spacing w:line="720" w:lineRule="auto"/>
        <w:rPr>
          <w:rFonts w:cs="宋体" w:asciiTheme="minorEastAsia" w:hAnsiTheme="minorEastAsia"/>
          <w:sz w:val="24"/>
          <w:szCs w:val="24"/>
        </w:rPr>
      </w:pPr>
      <w:r>
        <w:rPr>
          <w:rFonts w:hint="eastAsia" w:cs="宋体" w:asciiTheme="minorEastAsia" w:hAnsiTheme="minorEastAsia"/>
          <w:sz w:val="24"/>
          <w:szCs w:val="24"/>
        </w:rPr>
        <w:t>邮政编码：</w:t>
      </w:r>
    </w:p>
    <w:p>
      <w:pPr>
        <w:spacing w:line="720" w:lineRule="auto"/>
        <w:rPr>
          <w:rFonts w:cs="宋体" w:asciiTheme="minorEastAsia" w:hAnsiTheme="minorEastAsia"/>
          <w:sz w:val="24"/>
          <w:szCs w:val="24"/>
        </w:rPr>
      </w:pPr>
      <w:r>
        <w:rPr>
          <w:rFonts w:hint="eastAsia" w:cs="宋体" w:asciiTheme="minorEastAsia" w:hAnsiTheme="minorEastAsia"/>
          <w:sz w:val="24"/>
          <w:szCs w:val="24"/>
        </w:rPr>
        <w:t>联系人：</w:t>
      </w:r>
    </w:p>
    <w:p>
      <w:pPr>
        <w:spacing w:line="720" w:lineRule="auto"/>
        <w:rPr>
          <w:rFonts w:cs="宋体" w:asciiTheme="minorEastAsia" w:hAnsiTheme="minorEastAsia"/>
          <w:sz w:val="24"/>
          <w:szCs w:val="24"/>
        </w:rPr>
      </w:pPr>
      <w:r>
        <w:rPr>
          <w:rFonts w:hint="eastAsia" w:cs="宋体" w:asciiTheme="minorEastAsia" w:hAnsiTheme="minorEastAsia"/>
          <w:sz w:val="24"/>
          <w:szCs w:val="24"/>
        </w:rPr>
        <w:t>联系电话：</w:t>
      </w:r>
    </w:p>
    <w:p>
      <w:pPr>
        <w:spacing w:line="720" w:lineRule="auto"/>
        <w:rPr>
          <w:rFonts w:cs="宋体" w:asciiTheme="minorEastAsia" w:hAnsiTheme="minorEastAsia"/>
          <w:sz w:val="24"/>
          <w:szCs w:val="24"/>
        </w:rPr>
      </w:pPr>
    </w:p>
    <w:p>
      <w:pPr>
        <w:spacing w:line="720" w:lineRule="auto"/>
        <w:ind w:firstLine="2" w:firstLineChars="1"/>
        <w:jc w:val="center"/>
        <w:rPr>
          <w:rFonts w:cs="宋体" w:asciiTheme="minorEastAsia" w:hAnsiTheme="minorEastAsia"/>
          <w:sz w:val="24"/>
          <w:szCs w:val="24"/>
        </w:rPr>
      </w:pPr>
      <w:r>
        <w:rPr>
          <w:rFonts w:hint="eastAsia" w:cs="宋体" w:asciiTheme="minorEastAsia" w:hAnsiTheme="minorEastAsia"/>
          <w:sz w:val="24"/>
          <w:szCs w:val="24"/>
        </w:rPr>
        <w:t>年月日</w:t>
      </w:r>
    </w:p>
    <w:p>
      <w:pPr>
        <w:tabs>
          <w:tab w:val="center" w:pos="4832"/>
          <w:tab w:val="left" w:pos="7140"/>
        </w:tabs>
        <w:ind w:firstLine="482"/>
        <w:jc w:val="center"/>
        <w:outlineLvl w:val="1"/>
        <w:rPr>
          <w:rFonts w:cs="宋体" w:asciiTheme="minorEastAsia" w:hAnsiTheme="minorEastAsia"/>
          <w:b/>
          <w:sz w:val="24"/>
          <w:szCs w:val="24"/>
        </w:rPr>
      </w:pPr>
      <w:r>
        <w:rPr>
          <w:rFonts w:cs="宋体" w:asciiTheme="minorEastAsia" w:hAnsiTheme="minorEastAsia"/>
          <w:b/>
          <w:sz w:val="24"/>
          <w:szCs w:val="24"/>
        </w:rPr>
        <w:br w:type="page"/>
      </w:r>
      <w:bookmarkStart w:id="78" w:name="_Toc21602"/>
      <w:bookmarkStart w:id="79" w:name="_Toc508295341"/>
      <w:r>
        <w:rPr>
          <w:rFonts w:hint="eastAsia" w:cs="宋体" w:asciiTheme="minorEastAsia" w:hAnsiTheme="minorEastAsia"/>
          <w:b/>
          <w:sz w:val="24"/>
          <w:szCs w:val="24"/>
        </w:rPr>
        <w:t>目录</w:t>
      </w:r>
      <w:bookmarkEnd w:id="78"/>
      <w:bookmarkEnd w:id="79"/>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投标函</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开标一览表</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反商业贿赂承诺书</w:t>
      </w:r>
    </w:p>
    <w:p>
      <w:pPr>
        <w:numPr>
          <w:ilvl w:val="0"/>
          <w:numId w:val="2"/>
        </w:numPr>
        <w:spacing w:line="280" w:lineRule="exact"/>
        <w:rPr>
          <w:rFonts w:ascii="宋体" w:hAnsi="宋体" w:eastAsia="宋体" w:cs="Times New Roman"/>
          <w:bCs/>
          <w:sz w:val="24"/>
          <w:szCs w:val="24"/>
        </w:rPr>
      </w:pPr>
      <w:r>
        <w:rPr>
          <w:rFonts w:hint="eastAsia" w:ascii="宋体" w:hAnsi="宋体" w:eastAsia="宋体" w:cs="Times New Roman"/>
          <w:bCs/>
          <w:sz w:val="24"/>
          <w:szCs w:val="24"/>
        </w:rPr>
        <w:t>技术条款偏离表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5、商务条款偏离表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6、法定代表人身份证明书</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7、法定代表人授权委托书</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8、投标人基本情况</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9、投标人近年类似项目情况表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10、拟投入本项目主要机械设备</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11、项目负责人简历表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12、拟投入人员配置表</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13、合理化建议</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14、养护作业方案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15、质量管理方案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16、应急抢险方案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17、安全服务方案</w:t>
      </w:r>
    </w:p>
    <w:p>
      <w:pPr>
        <w:spacing w:line="280" w:lineRule="exact"/>
        <w:rPr>
          <w:rFonts w:ascii="宋体" w:hAnsi="宋体" w:eastAsia="宋体" w:cs="Times New Roman"/>
          <w:bCs/>
          <w:sz w:val="24"/>
          <w:szCs w:val="24"/>
        </w:rPr>
      </w:pPr>
      <w:r>
        <w:rPr>
          <w:rFonts w:hint="eastAsia" w:ascii="宋体" w:hAnsi="宋体" w:eastAsia="宋体" w:cs="Times New Roman"/>
          <w:bCs/>
          <w:sz w:val="24"/>
          <w:szCs w:val="24"/>
        </w:rPr>
        <w:t>18、文明作业方案</w:t>
      </w:r>
    </w:p>
    <w:p>
      <w:pPr>
        <w:spacing w:line="280" w:lineRule="exact"/>
        <w:rPr>
          <w:rFonts w:cs="Times New Roman" w:asciiTheme="minorEastAsia" w:hAnsiTheme="minorEastAsia"/>
          <w:bCs/>
          <w:sz w:val="24"/>
          <w:szCs w:val="24"/>
        </w:rPr>
      </w:pPr>
      <w:r>
        <w:rPr>
          <w:rFonts w:hint="eastAsia" w:ascii="宋体" w:hAnsi="宋体" w:eastAsia="宋体" w:cs="Times New Roman"/>
          <w:bCs/>
          <w:sz w:val="24"/>
          <w:szCs w:val="24"/>
        </w:rPr>
        <w:t>19、其他需要提交的资料（根据招标文件的要求和投标人认为需要提供的资料）</w:t>
      </w:r>
    </w:p>
    <w:p>
      <w:pPr>
        <w:spacing w:line="280" w:lineRule="exact"/>
        <w:rPr>
          <w:rFonts w:cs="Times New Roman" w:asciiTheme="minorEastAsia" w:hAnsiTheme="minorEastAsia"/>
          <w:bCs/>
          <w:sz w:val="24"/>
          <w:szCs w:val="24"/>
        </w:rPr>
      </w:pPr>
      <w:r>
        <w:rPr>
          <w:rFonts w:hint="eastAsia" w:cs="Times New Roman" w:asciiTheme="minorEastAsia" w:hAnsiTheme="minorEastAsia"/>
          <w:bCs/>
          <w:sz w:val="24"/>
          <w:szCs w:val="24"/>
        </w:rPr>
        <w:t>注：为了便于查找，请按上述顺序编制投标文件内容，并在目录中标明每项内容的起始页码。</w:t>
      </w:r>
    </w:p>
    <w:p>
      <w:pPr>
        <w:tabs>
          <w:tab w:val="center" w:pos="4832"/>
          <w:tab w:val="left" w:pos="7140"/>
        </w:tabs>
        <w:ind w:firstLine="482"/>
        <w:jc w:val="center"/>
        <w:outlineLvl w:val="1"/>
        <w:rPr>
          <w:rFonts w:cs="宋体" w:asciiTheme="minorEastAsia" w:hAnsiTheme="minorEastAsia"/>
          <w:b/>
          <w:sz w:val="24"/>
          <w:szCs w:val="24"/>
        </w:rPr>
      </w:pPr>
      <w:r>
        <w:rPr>
          <w:rFonts w:cs="宋体" w:asciiTheme="minorEastAsia" w:hAnsiTheme="minorEastAsia"/>
          <w:b/>
          <w:sz w:val="24"/>
          <w:szCs w:val="24"/>
        </w:rPr>
        <w:br w:type="page"/>
      </w:r>
      <w:bookmarkStart w:id="80" w:name="_Toc9000"/>
      <w:r>
        <w:rPr>
          <w:rFonts w:hint="eastAsia" w:cs="宋体" w:asciiTheme="minorEastAsia" w:hAnsiTheme="minorEastAsia"/>
          <w:b/>
          <w:sz w:val="24"/>
          <w:szCs w:val="24"/>
        </w:rPr>
        <w:t>一、投标函</w:t>
      </w:r>
      <w:bookmarkEnd w:id="80"/>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致：（采购人名称）</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根据已收到的项目的招标文件，遵照招标投标法律法规的规定，经考察现场和充分研究贵方的招标文件的全部内容后，我方郑重承诺如下：</w:t>
      </w:r>
    </w:p>
    <w:p>
      <w:pPr>
        <w:widowControl/>
        <w:shd w:val="clear" w:color="auto" w:fill="FFFFFF"/>
        <w:snapToGrid w:val="0"/>
        <w:spacing w:line="384" w:lineRule="auto"/>
        <w:ind w:firstLine="480"/>
        <w:jc w:val="left"/>
        <w:rPr>
          <w:rFonts w:cs="Arial" w:asciiTheme="minorEastAsia" w:hAnsiTheme="minorEastAsia"/>
          <w:color w:val="auto"/>
          <w:kern w:val="0"/>
          <w:sz w:val="24"/>
          <w:szCs w:val="24"/>
        </w:rPr>
      </w:pPr>
      <w:r>
        <w:rPr>
          <w:rFonts w:cs="Arial" w:asciiTheme="minorEastAsia" w:hAnsiTheme="minorEastAsia"/>
          <w:kern w:val="0"/>
          <w:sz w:val="24"/>
          <w:szCs w:val="24"/>
        </w:rPr>
        <w:t>1.</w:t>
      </w:r>
      <w:r>
        <w:rPr>
          <w:rFonts w:hint="eastAsia" w:cs="Arial" w:asciiTheme="minorEastAsia" w:hAnsiTheme="minorEastAsia"/>
          <w:kern w:val="0"/>
          <w:sz w:val="24"/>
          <w:szCs w:val="24"/>
        </w:rPr>
        <w:t>我方投标价格为</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人民币元/</w:t>
      </w:r>
      <w:r>
        <w:rPr>
          <w:rFonts w:hint="eastAsia" w:cs="Arial" w:asciiTheme="minorEastAsia" w:hAnsiTheme="minorEastAsia"/>
          <w:sz w:val="24"/>
          <w:szCs w:val="24"/>
        </w:rPr>
        <w:t>年</w:t>
      </w:r>
      <w:r>
        <w:rPr>
          <w:rFonts w:hint="eastAsia" w:cs="Arial" w:asciiTheme="minorEastAsia" w:hAnsiTheme="minorEastAsia"/>
          <w:kern w:val="0"/>
          <w:sz w:val="24"/>
          <w:szCs w:val="24"/>
        </w:rPr>
        <w:t>（大写</w:t>
      </w:r>
      <w:r>
        <w:rPr>
          <w:rFonts w:hint="eastAsia" w:cs="Arial" w:asciiTheme="minorEastAsia" w:hAnsiTheme="minorEastAsia"/>
          <w:kern w:val="0"/>
          <w:sz w:val="24"/>
          <w:szCs w:val="24"/>
          <w:u w:val="single"/>
        </w:rPr>
        <w:t xml:space="preserve">      </w:t>
      </w:r>
      <w:r>
        <w:rPr>
          <w:rFonts w:hint="eastAsia" w:cs="Arial" w:asciiTheme="minorEastAsia" w:hAnsiTheme="minorEastAsia"/>
          <w:kern w:val="0"/>
          <w:sz w:val="24"/>
          <w:szCs w:val="24"/>
        </w:rPr>
        <w:t>），服务周期为</w:t>
      </w:r>
      <w:r>
        <w:rPr>
          <w:rFonts w:hint="eastAsia" w:cs="Arial" w:asciiTheme="minorEastAsia" w:hAnsiTheme="minorEastAsia"/>
          <w:kern w:val="0"/>
          <w:sz w:val="24"/>
          <w:szCs w:val="24"/>
          <w:lang w:eastAsia="zh-CN"/>
        </w:rPr>
        <w:t>：</w:t>
      </w:r>
      <w:r>
        <w:rPr>
          <w:rFonts w:hint="eastAsia" w:cs="仿宋" w:asciiTheme="minorEastAsia" w:hAnsiTheme="minorEastAsia"/>
          <w:color w:val="auto"/>
          <w:sz w:val="24"/>
          <w:szCs w:val="24"/>
          <w:u w:val="single"/>
        </w:rPr>
        <w:t>1年（服务开始时间2024年1月，绿化养护在年底考核，考核通过后，续签下一年合同，中标通知书有效期三年。）</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cs="Arial" w:asciiTheme="minorEastAsia" w:hAnsiTheme="minorEastAsia"/>
          <w:kern w:val="0"/>
          <w:sz w:val="24"/>
          <w:szCs w:val="24"/>
        </w:rPr>
        <w:t>2.</w:t>
      </w:r>
      <w:r>
        <w:rPr>
          <w:rFonts w:hint="eastAsia" w:cs="Arial" w:asciiTheme="minorEastAsia" w:hAnsiTheme="minorEastAsia"/>
          <w:kern w:val="0"/>
          <w:sz w:val="24"/>
          <w:szCs w:val="24"/>
        </w:rPr>
        <w:t>如果我方中标，我方将按规定履行合同责任义务。保证在合同约定的服务周期内提供服务，并确保我方提供相关服务满足招标文件的要求。</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3</w:t>
      </w:r>
      <w:r>
        <w:rPr>
          <w:rFonts w:cs="Arial" w:asciiTheme="minorEastAsia" w:hAnsiTheme="minorEastAsia"/>
          <w:kern w:val="0"/>
          <w:sz w:val="24"/>
          <w:szCs w:val="24"/>
        </w:rPr>
        <w:t>.</w:t>
      </w:r>
      <w:r>
        <w:rPr>
          <w:rFonts w:hint="eastAsia" w:cs="Arial" w:asciiTheme="minorEastAsia" w:hAnsiTheme="minorEastAsia"/>
          <w:kern w:val="0"/>
          <w:sz w:val="24"/>
          <w:szCs w:val="24"/>
        </w:rPr>
        <w:t>本投标文件在招标文件规定的投标有效期内对我方具有约束力，如果我方在投标有效期内撤销投标，其投标保证金将被贵方没收。</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4</w:t>
      </w:r>
      <w:r>
        <w:rPr>
          <w:rFonts w:cs="Arial" w:asciiTheme="minorEastAsia" w:hAnsiTheme="minorEastAsia"/>
          <w:kern w:val="0"/>
          <w:sz w:val="24"/>
          <w:szCs w:val="24"/>
        </w:rPr>
        <w:t>.</w:t>
      </w:r>
      <w:r>
        <w:rPr>
          <w:rFonts w:hint="eastAsia" w:cs="Arial" w:asciiTheme="minorEastAsia" w:hAnsiTheme="minorEastAsia"/>
          <w:kern w:val="0"/>
          <w:sz w:val="24"/>
          <w:szCs w:val="24"/>
        </w:rPr>
        <w:t>我方已详细审查全部招标文件并完全理解并同意放弃对这方面有不明及误解的权力。</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5</w:t>
      </w:r>
      <w:r>
        <w:rPr>
          <w:rFonts w:cs="Arial" w:asciiTheme="minorEastAsia" w:hAnsiTheme="minorEastAsia"/>
          <w:kern w:val="0"/>
          <w:sz w:val="24"/>
          <w:szCs w:val="24"/>
        </w:rPr>
        <w:t>.</w:t>
      </w:r>
      <w:r>
        <w:rPr>
          <w:rFonts w:hint="eastAsia" w:cs="Arial" w:asciiTheme="minorEastAsia" w:hAnsiTheme="minorEastAsia"/>
          <w:kern w:val="0"/>
          <w:sz w:val="24"/>
          <w:szCs w:val="24"/>
        </w:rPr>
        <w:t>我方愿意提供贵方可能要求的与投标有关的一切数据或资料，完全理解贵方不一定接受最低投标报价的投标或收到的任何投标。</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6</w:t>
      </w:r>
      <w:r>
        <w:rPr>
          <w:rFonts w:cs="Arial" w:asciiTheme="minorEastAsia" w:hAnsiTheme="minorEastAsia"/>
          <w:kern w:val="0"/>
          <w:sz w:val="24"/>
          <w:szCs w:val="24"/>
        </w:rPr>
        <w:t>.</w:t>
      </w:r>
      <w:r>
        <w:rPr>
          <w:rFonts w:hint="eastAsia" w:cs="Arial" w:asciiTheme="minorEastAsia" w:hAnsiTheme="minorEastAsia"/>
          <w:kern w:val="0"/>
          <w:sz w:val="24"/>
          <w:szCs w:val="24"/>
        </w:rPr>
        <w:t>我方派法定代表人或其授权委托人作为我方代表，负责按时参加开标会并签署与投标有关的相关文件等。</w:t>
      </w:r>
    </w:p>
    <w:p>
      <w:pPr>
        <w:widowControl/>
        <w:shd w:val="clear" w:color="auto" w:fill="FFFFFF"/>
        <w:snapToGrid w:val="0"/>
        <w:spacing w:line="384"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7.如我方中标，在合同签订后3个工作日内向采购代理机构提供采购合同原件一份用于采购资料备案工作。</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jc w:val="center"/>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rPr>
          <w:rFonts w:cs="Arial" w:asciiTheme="minorEastAsia" w:hAnsiTheme="minorEastAsia"/>
          <w:kern w:val="0"/>
          <w:sz w:val="24"/>
          <w:szCs w:val="24"/>
        </w:rPr>
      </w:pPr>
      <w:r>
        <w:rPr>
          <w:rFonts w:hint="eastAsia" w:cs="Arial" w:asciiTheme="minorEastAsia" w:hAnsiTheme="minorEastAsia"/>
          <w:kern w:val="0"/>
          <w:sz w:val="24"/>
          <w:szCs w:val="24"/>
        </w:rPr>
        <w:br w:type="page"/>
      </w:r>
    </w:p>
    <w:p>
      <w:pPr>
        <w:widowControl/>
        <w:shd w:val="clear" w:color="auto" w:fill="FFFFFF"/>
        <w:snapToGrid w:val="0"/>
        <w:spacing w:line="384" w:lineRule="auto"/>
        <w:ind w:firstLine="482"/>
        <w:jc w:val="center"/>
        <w:rPr>
          <w:rFonts w:cs="Arial" w:asciiTheme="minorEastAsia" w:hAnsiTheme="minorEastAsia"/>
          <w:b/>
          <w:kern w:val="0"/>
          <w:sz w:val="24"/>
          <w:szCs w:val="24"/>
        </w:rPr>
      </w:pPr>
      <w:r>
        <w:rPr>
          <w:rFonts w:hint="eastAsia" w:cs="宋体" w:asciiTheme="minorEastAsia" w:hAnsiTheme="minorEastAsia"/>
          <w:b/>
          <w:sz w:val="24"/>
          <w:szCs w:val="24"/>
        </w:rPr>
        <w:t>1.2</w:t>
      </w:r>
      <w:r>
        <w:rPr>
          <w:rFonts w:hint="eastAsia" w:cs="Arial" w:asciiTheme="minorEastAsia" w:hAnsiTheme="minorEastAsia"/>
          <w:b/>
          <w:kern w:val="0"/>
          <w:sz w:val="24"/>
          <w:szCs w:val="24"/>
        </w:rPr>
        <w:t>资格声明函</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招标人：</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关于贵方组织的</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采购项目的招标，我方愿意参加投标响应，提供招标文件中规定的货物，并郑重声明如下：</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、我方具备履行合同所必需的设备和专业技术能力。</w:t>
      </w:r>
    </w:p>
    <w:p>
      <w:pPr>
        <w:autoSpaceDE w:val="0"/>
        <w:autoSpaceDN w:val="0"/>
        <w:adjustRightInd w:val="0"/>
        <w:spacing w:line="360" w:lineRule="auto"/>
        <w:jc w:val="left"/>
        <w:rPr>
          <w:rFonts w:cs="宋体" w:asciiTheme="minorEastAsia" w:hAnsiTheme="minorEastAsia"/>
          <w:kern w:val="0"/>
          <w:sz w:val="24"/>
          <w:szCs w:val="24"/>
        </w:rPr>
      </w:pPr>
      <w:r>
        <w:rPr>
          <w:rFonts w:hint="eastAsia" w:asciiTheme="minorEastAsia" w:hAnsiTheme="minorEastAsia"/>
          <w:sz w:val="24"/>
          <w:szCs w:val="24"/>
        </w:rPr>
        <w:t xml:space="preserve">2、 </w:t>
      </w:r>
      <w:r>
        <w:rPr>
          <w:rFonts w:hint="eastAsia" w:cs="宋体" w:asciiTheme="minorEastAsia" w:hAnsiTheme="minorEastAsia"/>
          <w:kern w:val="0"/>
          <w:sz w:val="24"/>
          <w:szCs w:val="24"/>
        </w:rPr>
        <w:t>我方</w:t>
      </w:r>
      <w:r>
        <w:rPr>
          <w:rFonts w:hint="eastAsia" w:asciiTheme="minorEastAsia" w:hAnsiTheme="minorEastAsia"/>
          <w:sz w:val="24"/>
          <w:szCs w:val="24"/>
        </w:rPr>
        <w:t>在“信用中国”（</w:t>
      </w:r>
      <w:r>
        <w:rPr>
          <w:rFonts w:asciiTheme="minorEastAsia" w:hAnsiTheme="minorEastAsia"/>
          <w:sz w:val="24"/>
          <w:szCs w:val="24"/>
        </w:rPr>
        <w:t>www.creditchina.gov.cn</w:t>
      </w:r>
      <w:r>
        <w:rPr>
          <w:rFonts w:hint="eastAsia" w:asciiTheme="minorEastAsia" w:hAnsiTheme="minorEastAsia"/>
          <w:sz w:val="24"/>
          <w:szCs w:val="24"/>
        </w:rPr>
        <w:t>）和中国政府采购网（</w:t>
      </w:r>
      <w:r>
        <w:rPr>
          <w:rFonts w:asciiTheme="minorEastAsia" w:hAnsiTheme="minorEastAsia"/>
          <w:sz w:val="24"/>
          <w:szCs w:val="24"/>
        </w:rPr>
        <w:t>www.ccgp.gov.cn</w:t>
      </w:r>
      <w:r>
        <w:rPr>
          <w:rFonts w:hint="eastAsia" w:asciiTheme="minorEastAsia" w:hAnsiTheme="minorEastAsia"/>
          <w:sz w:val="24"/>
          <w:szCs w:val="24"/>
        </w:rPr>
        <w:t>）网站上未被列入失信被执行人、重大税收违法案件当事人名单以及政府采购严重违法失信行为记录名单；</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3、我方在参加本次采购活动前</w:t>
      </w:r>
      <w:r>
        <w:rPr>
          <w:rFonts w:cs="宋体" w:asciiTheme="minorEastAsia" w:hAnsiTheme="minorEastAsia"/>
          <w:kern w:val="0"/>
          <w:sz w:val="24"/>
          <w:szCs w:val="24"/>
        </w:rPr>
        <w:t>3</w:t>
      </w:r>
      <w:r>
        <w:rPr>
          <w:rFonts w:hint="eastAsia" w:cs="宋体" w:asciiTheme="minorEastAsia" w:hAnsiTheme="minorEastAsia"/>
          <w:kern w:val="0"/>
          <w:sz w:val="24"/>
          <w:szCs w:val="24"/>
        </w:rPr>
        <w:t>年内在经营活动中没有重大违法记录。</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4、我方已按招标文件规定办理报名登记手续并购买了招标文件。</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5、我方是在法律、财务和运作上独立于招标人、招标代理机构的投标人。</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6、我方在本次采购活动中，不存在单位负责人为同一人或者存在直接控股、管理关系的不同投标人，同时参加同一合同项下的采购活动之情形。</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7、我方不是为本项目提供食材供应、规范编制或者项目实施要求等服务的投标人及其附属机构。</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我方保证上述声明的事项都是真实的，如有虚假，我方承担相应的法律责任，并承担因此给贵公司以及本项目招标人所造成的一切损失。</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我方已经按照贵方招标文件的要求，提交了所要求提交的能够证明上述声明事项真实性的全部文件材料，并保证随时按照贵方的要求提供能够证明上述声明事项真实性的任何有效文件。</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Arial"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 xml:space="preserve">月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widowControl/>
        <w:ind w:firstLine="482"/>
        <w:jc w:val="left"/>
        <w:rPr>
          <w:rFonts w:cs="Arial" w:asciiTheme="minorEastAsia" w:hAnsiTheme="minorEastAsia"/>
          <w:b/>
          <w:bCs/>
          <w:kern w:val="36"/>
          <w:sz w:val="24"/>
          <w:szCs w:val="24"/>
        </w:rPr>
      </w:pPr>
      <w:r>
        <w:rPr>
          <w:rFonts w:cs="Arial" w:asciiTheme="minorEastAsia" w:hAnsiTheme="minorEastAsia"/>
          <w:b/>
          <w:bCs/>
          <w:kern w:val="36"/>
          <w:sz w:val="24"/>
          <w:szCs w:val="24"/>
        </w:rPr>
        <w:br w:type="page"/>
      </w:r>
    </w:p>
    <w:p>
      <w:pPr>
        <w:autoSpaceDE w:val="0"/>
        <w:autoSpaceDN w:val="0"/>
        <w:adjustRightInd w:val="0"/>
        <w:spacing w:line="360" w:lineRule="auto"/>
        <w:ind w:firstLine="482"/>
        <w:jc w:val="center"/>
        <w:rPr>
          <w:rFonts w:cs="宋体" w:asciiTheme="minorEastAsia" w:hAnsiTheme="minorEastAsia"/>
          <w:b/>
          <w:kern w:val="0"/>
          <w:sz w:val="24"/>
          <w:szCs w:val="24"/>
        </w:rPr>
      </w:pPr>
      <w:r>
        <w:rPr>
          <w:rFonts w:hint="eastAsia" w:cs="宋体" w:asciiTheme="minorEastAsia" w:hAnsiTheme="minorEastAsia"/>
          <w:b/>
          <w:kern w:val="0"/>
          <w:sz w:val="24"/>
          <w:szCs w:val="24"/>
        </w:rPr>
        <w:t>1.3不参与围标串标承诺书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本人作为经授权投标人代表，清楚知晓我单位本项目投标活动，对以下事项作出承诺: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一、我单位和我本人遵循公开、公平、公正、诚实守信的原则，依法依规参与本项目竞标。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二、我单位和我本人在本项目采购活动中，未参与围标串标。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三、我单位如被查实在本项目采购活动中存在围标串标行为的，递交投标文件行为作为实施串通投标违法行为的关键环节，本人承担直接责任人员法律责任，接受相应行政处罚和失信惩戒。</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（盖章）</w:t>
      </w:r>
    </w:p>
    <w:p>
      <w:pPr>
        <w:autoSpaceDE w:val="0"/>
        <w:autoSpaceDN w:val="0"/>
        <w:adjustRightIn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autoSpaceDE w:val="0"/>
        <w:autoSpaceDN w:val="0"/>
        <w:adjustRightInd w:val="0"/>
        <w:jc w:val="left"/>
        <w:rPr>
          <w:rFonts w:cs="宋体" w:asciiTheme="minorEastAsia" w:hAnsiTheme="minorEastAsia"/>
          <w:kern w:val="0"/>
          <w:sz w:val="24"/>
          <w:szCs w:val="24"/>
        </w:rPr>
      </w:pPr>
    </w:p>
    <w:p>
      <w:pPr>
        <w:autoSpaceDE w:val="0"/>
        <w:autoSpaceDN w:val="0"/>
        <w:adjustRightInd w:val="0"/>
        <w:jc w:val="left"/>
        <w:rPr>
          <w:rFonts w:cs="Arial"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 xml:space="preserve">月 </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81" w:name="_Toc11816"/>
      <w:r>
        <w:rPr>
          <w:rFonts w:hint="eastAsia" w:cs="宋体" w:asciiTheme="minorEastAsia" w:hAnsiTheme="minorEastAsia"/>
          <w:b/>
          <w:sz w:val="24"/>
          <w:szCs w:val="24"/>
        </w:rPr>
        <w:t>二、开标一览表</w:t>
      </w:r>
      <w:bookmarkEnd w:id="81"/>
    </w:p>
    <w:p>
      <w:pPr>
        <w:spacing w:line="360" w:lineRule="auto"/>
        <w:ind w:left="424" w:leftChars="202"/>
        <w:rPr>
          <w:rFonts w:cs="宋体" w:asciiTheme="minorEastAsia" w:hAnsiTheme="minorEastAsia"/>
          <w:sz w:val="24"/>
          <w:szCs w:val="24"/>
        </w:rPr>
      </w:pPr>
    </w:p>
    <w:p>
      <w:pPr>
        <w:spacing w:line="360" w:lineRule="auto"/>
        <w:ind w:left="424" w:leftChars="202"/>
        <w:rPr>
          <w:rFonts w:cs="宋体" w:asciiTheme="minorEastAsia" w:hAnsiTheme="minorEastAsia"/>
          <w:sz w:val="24"/>
          <w:szCs w:val="24"/>
          <w:u w:val="single"/>
        </w:rPr>
      </w:pPr>
      <w:r>
        <w:rPr>
          <w:rFonts w:hint="eastAsia" w:cs="宋体" w:asciiTheme="minorEastAsia" w:hAnsiTheme="minorEastAsia"/>
          <w:sz w:val="24"/>
          <w:szCs w:val="24"/>
        </w:rPr>
        <w:t>项目名称：</w:t>
      </w:r>
    </w:p>
    <w:tbl>
      <w:tblPr>
        <w:tblStyle w:val="34"/>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20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序号</w:t>
            </w:r>
          </w:p>
        </w:tc>
        <w:tc>
          <w:tcPr>
            <w:tcW w:w="2205"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项目</w:t>
            </w:r>
          </w:p>
        </w:tc>
        <w:tc>
          <w:tcPr>
            <w:tcW w:w="5880"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1</w:t>
            </w:r>
          </w:p>
        </w:tc>
        <w:tc>
          <w:tcPr>
            <w:tcW w:w="2205"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投标报价（元）</w:t>
            </w:r>
          </w:p>
        </w:tc>
        <w:tc>
          <w:tcPr>
            <w:tcW w:w="5880" w:type="dxa"/>
            <w:vAlign w:val="center"/>
          </w:tcPr>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大写：</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w:t>
            </w: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小写：</w:t>
            </w:r>
            <w:r>
              <w:rPr>
                <w:rFonts w:hint="eastAsia" w:cs="宋体" w:asciiTheme="minorEastAsia" w:hAnsiTheme="minorEastAsia"/>
                <w:kern w:val="0"/>
                <w:sz w:val="24"/>
                <w:szCs w:val="24"/>
                <w:u w:val="single"/>
              </w:rPr>
              <w:t xml:space="preserve">                           </w:t>
            </w:r>
            <w:r>
              <w:rPr>
                <w:rFonts w:hint="eastAsia" w:cs="宋体"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138" w:type="dxa"/>
            <w:gridSpan w:val="3"/>
            <w:vAlign w:val="center"/>
          </w:tcPr>
          <w:p>
            <w:pPr>
              <w:autoSpaceDE w:val="0"/>
              <w:autoSpaceDN w:val="0"/>
              <w:adjustRightInd w:val="0"/>
              <w:spacing w:line="360" w:lineRule="auto"/>
              <w:rPr>
                <w:rFonts w:cs="宋体" w:asciiTheme="minorEastAsia" w:hAnsiTheme="minorEastAsia"/>
                <w:kern w:val="0"/>
                <w:sz w:val="24"/>
                <w:szCs w:val="24"/>
                <w:u w:val="single"/>
              </w:rPr>
            </w:pPr>
            <w:r>
              <w:rPr>
                <w:rFonts w:hint="eastAsia" w:cs="Arial" w:asciiTheme="minorEastAsia" w:hAnsiTheme="minorEastAsia"/>
                <w:kern w:val="0"/>
                <w:sz w:val="24"/>
                <w:szCs w:val="24"/>
              </w:rPr>
              <w:t>服务周期：</w:t>
            </w:r>
            <w:r>
              <w:rPr>
                <w:rFonts w:hint="eastAsia" w:cs="仿宋" w:asciiTheme="minorEastAsia" w:hAnsiTheme="minorEastAsia"/>
                <w:color w:val="auto"/>
                <w:sz w:val="24"/>
                <w:szCs w:val="24"/>
                <w:u w:val="none"/>
              </w:rPr>
              <w:t>1年（服务开始时间2024年1月，绿化养护在年底考核，考核通过后，续签下一年合同，中标通知书有效期三年。）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8" w:type="dxa"/>
            <w:gridSpan w:val="3"/>
            <w:vAlign w:val="center"/>
          </w:tcPr>
          <w:p>
            <w:pPr>
              <w:autoSpaceDE w:val="0"/>
              <w:autoSpaceDN w:val="0"/>
              <w:adjustRightInd w:val="0"/>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备注：</w:t>
            </w:r>
          </w:p>
        </w:tc>
      </w:tr>
    </w:tbl>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注：</w:t>
      </w:r>
      <w:r>
        <w:rPr>
          <w:rFonts w:cs="宋体" w:asciiTheme="minorEastAsia" w:hAnsiTheme="minorEastAsia"/>
          <w:kern w:val="0"/>
          <w:sz w:val="24"/>
          <w:szCs w:val="24"/>
        </w:rPr>
        <w:t>1.</w:t>
      </w:r>
      <w:r>
        <w:rPr>
          <w:rFonts w:hint="eastAsia" w:cs="宋体" w:asciiTheme="minorEastAsia" w:hAnsiTheme="minorEastAsia"/>
          <w:kern w:val="0"/>
          <w:sz w:val="24"/>
          <w:szCs w:val="24"/>
        </w:rPr>
        <w:t>表中大小写不一致时，以大写为准。</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w:t>
      </w:r>
      <w:r>
        <w:rPr>
          <w:rFonts w:cs="宋体" w:asciiTheme="minorEastAsia" w:hAnsiTheme="minorEastAsia"/>
          <w:kern w:val="0"/>
          <w:sz w:val="24"/>
          <w:szCs w:val="24"/>
        </w:rPr>
        <w:t>.</w:t>
      </w:r>
      <w:r>
        <w:rPr>
          <w:rFonts w:hint="eastAsia" w:cs="宋体" w:asciiTheme="minorEastAsia" w:hAnsiTheme="minorEastAsia"/>
          <w:kern w:val="0"/>
          <w:sz w:val="24"/>
          <w:szCs w:val="24"/>
        </w:rPr>
        <w:t>投标报价为完成本次采购项目内的所有内容的一切相关费用。可根据需要附报价明细。</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3</w:t>
      </w:r>
      <w:bookmarkStart w:id="113" w:name="_GoBack"/>
      <w:bookmarkEnd w:id="113"/>
      <w:r>
        <w:rPr>
          <w:rFonts w:cs="宋体" w:asciiTheme="minorEastAsia" w:hAnsiTheme="minorEastAsia"/>
          <w:kern w:val="0"/>
          <w:sz w:val="24"/>
          <w:szCs w:val="24"/>
        </w:rPr>
        <w:t>.</w:t>
      </w:r>
      <w:r>
        <w:rPr>
          <w:rFonts w:hint="eastAsia" w:cs="宋体" w:asciiTheme="minorEastAsia" w:hAnsiTheme="minorEastAsia"/>
          <w:kern w:val="0"/>
          <w:sz w:val="24"/>
          <w:szCs w:val="24"/>
        </w:rPr>
        <w:t>本表中“投标总报价”必须与《投标函》中的“投标价格”均保持一致，如不一致，以《开标一览表》为准。</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spacing w:line="360" w:lineRule="auto"/>
        <w:rPr>
          <w:rFonts w:cs="宋体" w:asciiTheme="minorEastAsia" w:hAnsiTheme="minorEastAsia"/>
          <w:kern w:val="0"/>
          <w:sz w:val="24"/>
          <w:szCs w:val="24"/>
        </w:rPr>
      </w:pPr>
    </w:p>
    <w:p>
      <w:pPr>
        <w:spacing w:line="360" w:lineRule="auto"/>
        <w:ind w:left="424" w:leftChars="202"/>
        <w:rPr>
          <w:rFonts w:cs="宋体" w:asciiTheme="minorEastAsia" w:hAnsiTheme="minorEastAsia"/>
          <w:sz w:val="24"/>
          <w:szCs w:val="24"/>
        </w:rPr>
      </w:pPr>
    </w:p>
    <w:p>
      <w:pPr>
        <w:widowControl/>
        <w:shd w:val="clear" w:color="auto" w:fill="FFFFFF"/>
        <w:snapToGrid w:val="0"/>
        <w:spacing w:line="360" w:lineRule="auto"/>
        <w:ind w:firstLine="480"/>
        <w:jc w:val="center"/>
        <w:rPr>
          <w:rFonts w:cs="Arial" w:asciiTheme="minorEastAsia" w:hAnsiTheme="minorEastAsia"/>
          <w:kern w:val="0"/>
          <w:sz w:val="24"/>
          <w:szCs w:val="24"/>
        </w:rPr>
      </w:pPr>
    </w:p>
    <w:p>
      <w:pPr>
        <w:widowControl/>
        <w:ind w:firstLine="482"/>
        <w:jc w:val="left"/>
        <w:rPr>
          <w:rFonts w:cs="宋体" w:asciiTheme="minorEastAsia" w:hAnsiTheme="minorEastAsia"/>
          <w:b/>
          <w:sz w:val="24"/>
          <w:szCs w:val="24"/>
        </w:rPr>
      </w:pPr>
    </w:p>
    <w:p>
      <w:pPr>
        <w:widowControl/>
        <w:ind w:firstLine="482"/>
        <w:jc w:val="left"/>
        <w:rPr>
          <w:rFonts w:cs="宋体" w:asciiTheme="minorEastAsia" w:hAnsiTheme="minorEastAsia"/>
          <w:b/>
          <w:sz w:val="24"/>
          <w:szCs w:val="24"/>
        </w:rPr>
      </w:pPr>
      <w:r>
        <w:rPr>
          <w:rFonts w:cs="宋体" w:asciiTheme="minorEastAsia" w:hAnsiTheme="minorEastAsia"/>
          <w:b/>
          <w:sz w:val="24"/>
          <w:szCs w:val="24"/>
        </w:rPr>
        <w:br w:type="page"/>
      </w:r>
    </w:p>
    <w:p>
      <w:pPr>
        <w:tabs>
          <w:tab w:val="center" w:pos="4832"/>
          <w:tab w:val="left" w:pos="7140"/>
        </w:tabs>
        <w:ind w:firstLine="482"/>
        <w:jc w:val="center"/>
        <w:rPr>
          <w:rFonts w:cs="宋体" w:asciiTheme="minorEastAsia" w:hAnsiTheme="minorEastAsia"/>
          <w:b/>
          <w:sz w:val="24"/>
          <w:szCs w:val="24"/>
        </w:rPr>
      </w:pPr>
      <w:r>
        <w:rPr>
          <w:rFonts w:hint="eastAsia" w:cs="宋体" w:asciiTheme="minorEastAsia" w:hAnsiTheme="minorEastAsia"/>
          <w:b/>
          <w:sz w:val="24"/>
          <w:szCs w:val="24"/>
        </w:rPr>
        <w:t>2.2、投标价格明细表</w:t>
      </w:r>
    </w:p>
    <w:tbl>
      <w:tblPr>
        <w:tblStyle w:val="34"/>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7"/>
        <w:gridCol w:w="1536"/>
        <w:gridCol w:w="997"/>
        <w:gridCol w:w="983"/>
        <w:gridCol w:w="1173"/>
        <w:gridCol w:w="1118"/>
        <w:gridCol w:w="1350"/>
        <w:gridCol w:w="1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9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82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分项名称</w:t>
            </w:r>
          </w:p>
        </w:tc>
        <w:tc>
          <w:tcPr>
            <w:tcW w:w="106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长度</w:t>
            </w:r>
          </w:p>
        </w:tc>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面积m²</w:t>
            </w:r>
          </w:p>
        </w:tc>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全费用综合单价（元/m²/年）</w:t>
            </w:r>
          </w:p>
        </w:tc>
        <w:tc>
          <w:tcPr>
            <w:tcW w:w="7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合价（元/年）</w:t>
            </w:r>
          </w:p>
        </w:tc>
        <w:tc>
          <w:tcPr>
            <w:tcW w:w="6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养护等级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东（南）</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西（北）</w:t>
            </w:r>
          </w:p>
        </w:tc>
        <w:tc>
          <w:tcPr>
            <w:tcW w:w="6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历史文化园</w:t>
            </w:r>
          </w:p>
        </w:tc>
        <w:tc>
          <w:tcPr>
            <w:tcW w:w="5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13484</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5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一方园</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5008</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康泰园</w:t>
            </w:r>
          </w:p>
        </w:tc>
        <w:tc>
          <w:tcPr>
            <w:tcW w:w="5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9793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5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五谷园</w:t>
            </w:r>
          </w:p>
        </w:tc>
        <w:tc>
          <w:tcPr>
            <w:tcW w:w="5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5315</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5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旱生园</w:t>
            </w:r>
          </w:p>
        </w:tc>
        <w:tc>
          <w:tcPr>
            <w:tcW w:w="5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3046</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5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百草园</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1684</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光明园</w:t>
            </w:r>
          </w:p>
        </w:tc>
        <w:tc>
          <w:tcPr>
            <w:tcW w:w="5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2955</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5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皇渠嘉禾园</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1456</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老电影院游园</w:t>
            </w:r>
          </w:p>
        </w:tc>
        <w:tc>
          <w:tcPr>
            <w:tcW w:w="5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8569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5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政府院内游园</w:t>
            </w:r>
          </w:p>
        </w:tc>
        <w:tc>
          <w:tcPr>
            <w:tcW w:w="5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31246</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设施维护费用</w:t>
            </w:r>
          </w:p>
        </w:tc>
        <w:tc>
          <w:tcPr>
            <w:tcW w:w="5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金盛集团东侧河坝边游园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4464</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文润园</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11923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汇趣园</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19999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兴盛园</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8132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嘉隆园</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9338</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嘉禾园</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25346</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游园三级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府前路(三道坝路-米东大道）</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31934.5</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中颐路（府前路-揽胜街）</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325</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351.6</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5864</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民康路</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574</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581</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4507</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揽胜街（广场东路-中颐路）</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32420</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万和街</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682</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672</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2849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中颐南路支巷（中颐南路-府前东路）</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2004</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民康北路（揽胜东街-府前路）</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3796</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政府院内停车场内地</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2903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米泉路（揽胜街-古牧地路）</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319</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303</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2772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皇渠路（古牧地路-揽胜东街）</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1596</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揽胜街软隔离</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205</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府前路软隔离</w:t>
            </w:r>
          </w:p>
        </w:tc>
        <w:tc>
          <w:tcPr>
            <w:tcW w:w="10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539</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1186</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中颐路软隔离</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280.9</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165</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981</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海棠花绿地</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1483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红沟河绿地</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1700</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府前西路三角地</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（国际大酒店旁）</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6132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中医院西绿地</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3533</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家和华府绿地</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2364</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政府停车场河</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坝西侧绿地</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2752</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道路三级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零星绿地</w:t>
            </w:r>
          </w:p>
        </w:tc>
        <w:tc>
          <w:tcPr>
            <w:tcW w:w="23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100000</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2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合计：</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272739</w:t>
            </w: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bl>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Cs w:val="21"/>
        </w:rPr>
      </w:pP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备注：</w:t>
      </w:r>
    </w:p>
    <w:p>
      <w:pPr>
        <w:spacing w:line="360" w:lineRule="auto"/>
        <w:jc w:val="left"/>
        <w:rPr>
          <w:rFonts w:cs="Times New Roman" w:asciiTheme="minorEastAsia" w:hAnsiTheme="minorEastAsia"/>
          <w:szCs w:val="21"/>
        </w:rPr>
      </w:pPr>
      <w:r>
        <w:rPr>
          <w:rFonts w:cs="Times New Roman" w:asciiTheme="minorEastAsia" w:hAnsiTheme="minorEastAsia"/>
          <w:szCs w:val="21"/>
        </w:rPr>
        <w:t>1</w:t>
      </w:r>
      <w:r>
        <w:rPr>
          <w:rFonts w:hint="eastAsia" w:cs="Times New Roman" w:asciiTheme="minorEastAsia" w:hAnsiTheme="minorEastAsia"/>
          <w:szCs w:val="21"/>
        </w:rPr>
        <w:t>、名称和数量应按照第四章“技术标准和要求”内容填写。</w:t>
      </w:r>
    </w:p>
    <w:p>
      <w:pPr>
        <w:spacing w:line="360" w:lineRule="auto"/>
        <w:jc w:val="left"/>
        <w:rPr>
          <w:rFonts w:cs="Times New Roman" w:asciiTheme="minorEastAsia" w:hAnsiTheme="minorEastAsia"/>
          <w:szCs w:val="21"/>
        </w:rPr>
      </w:pPr>
      <w:r>
        <w:rPr>
          <w:rFonts w:cs="Times New Roman" w:asciiTheme="minorEastAsia" w:hAnsiTheme="minorEastAsia"/>
          <w:szCs w:val="21"/>
        </w:rPr>
        <w:t>2</w:t>
      </w:r>
      <w:r>
        <w:rPr>
          <w:rFonts w:hint="eastAsia" w:cs="Times New Roman" w:asciiTheme="minorEastAsia" w:hAnsiTheme="minorEastAsia"/>
          <w:szCs w:val="21"/>
        </w:rPr>
        <w:t>、投标人填报价格合计应与投标函载明价格一致，若不一致，应按照第二章评标办法修正原则进行修正。</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3、绿化养护全费用综合单价包含但不限于：绿地灌溉、管网维修（含管线、喷头、滴头、自来水井、阀门、井盖等）、机井维修（含水泵、变压器、配电箱及元器件、线路等）、水资源费、电费、病虫害防治、乔灌木草坪修剪、中耕除草施肥（不含肥料）、花卉栽植（不含花卉）、苗木补植（含苗木）、卫生保洁、全年养护巡查。包含所有人工、机械及材料。</w:t>
      </w:r>
    </w:p>
    <w:p>
      <w:pPr>
        <w:spacing w:line="360" w:lineRule="auto"/>
        <w:jc w:val="left"/>
        <w:rPr>
          <w:rFonts w:cs="Times New Roman" w:asciiTheme="minorEastAsia" w:hAnsiTheme="minorEastAsia"/>
          <w:szCs w:val="21"/>
        </w:rPr>
      </w:pPr>
      <w:r>
        <w:rPr>
          <w:rFonts w:hint="eastAsia" w:cs="Times New Roman" w:asciiTheme="minorEastAsia" w:hAnsiTheme="minorEastAsia"/>
          <w:szCs w:val="21"/>
        </w:rPr>
        <w:t>设施维护全费用综合单价包含但不限于：园林建筑（厕所）、园林小品（园灯、导游牌、宣传牌、果皮箱、园桌椅、栏杆、健身器材等）、园路及铺装场地、园艺设施、园林电器设备（主要为广播、景观照明、配电箱、线路等）。设施维护是指设施的日常维修保养（含保洁），即为保持设施的完整和正常运行所进行的预防性保养和轻微损坏部分的修补，不包括设施更新和园林建筑主体结构的修复；为保证设施的正常运转及维护设施的缘由功能而进行的清洁、紧固、调整、润滑及检修等，不包括设施大修。此设施维护费标准不包含水电费。</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ind w:firstLine="482"/>
        <w:jc w:val="left"/>
        <w:rPr>
          <w:rFonts w:cs="Arial" w:asciiTheme="minorEastAsia" w:hAnsiTheme="minorEastAsia"/>
          <w:b/>
          <w:bCs/>
          <w:kern w:val="36"/>
          <w:sz w:val="24"/>
          <w:szCs w:val="24"/>
        </w:rPr>
      </w:pPr>
      <w:r>
        <w:rPr>
          <w:rFonts w:cs="Arial" w:asciiTheme="minorEastAsia" w:hAnsiTheme="minorEastAsia"/>
          <w:b/>
          <w:bCs/>
          <w:kern w:val="36"/>
          <w:sz w:val="24"/>
          <w:szCs w:val="24"/>
        </w:rPr>
        <w:br w:type="page"/>
      </w:r>
    </w:p>
    <w:p>
      <w:pPr>
        <w:ind w:firstLine="482"/>
        <w:rPr>
          <w:rFonts w:cs="宋体" w:asciiTheme="minorEastAsia" w:hAnsiTheme="minorEastAsia"/>
          <w:b/>
          <w:sz w:val="24"/>
          <w:szCs w:val="24"/>
        </w:rPr>
      </w:pPr>
    </w:p>
    <w:p>
      <w:pPr>
        <w:widowControl/>
        <w:ind w:firstLine="482"/>
        <w:jc w:val="center"/>
        <w:outlineLvl w:val="1"/>
        <w:rPr>
          <w:rFonts w:cs="宋体" w:asciiTheme="minorEastAsia" w:hAnsiTheme="minorEastAsia"/>
          <w:b/>
          <w:kern w:val="0"/>
          <w:sz w:val="24"/>
          <w:szCs w:val="24"/>
        </w:rPr>
      </w:pPr>
      <w:bookmarkStart w:id="82" w:name="_Toc11916"/>
      <w:bookmarkStart w:id="83" w:name="_Toc11101"/>
      <w:r>
        <w:rPr>
          <w:rFonts w:hint="eastAsia" w:cs="宋体" w:asciiTheme="minorEastAsia" w:hAnsiTheme="minorEastAsia"/>
          <w:b/>
          <w:sz w:val="24"/>
          <w:szCs w:val="24"/>
        </w:rPr>
        <w:t>三、</w:t>
      </w:r>
      <w:r>
        <w:rPr>
          <w:rFonts w:hint="eastAsia" w:cs="宋体" w:asciiTheme="minorEastAsia" w:hAnsiTheme="minorEastAsia"/>
          <w:b/>
          <w:kern w:val="0"/>
          <w:sz w:val="24"/>
          <w:szCs w:val="24"/>
        </w:rPr>
        <w:t>反商业贿赂承诺书</w:t>
      </w:r>
      <w:bookmarkEnd w:id="82"/>
      <w:bookmarkEnd w:id="83"/>
    </w:p>
    <w:p>
      <w:pPr>
        <w:widowControl/>
        <w:rPr>
          <w:rFonts w:cs="宋体" w:asciiTheme="minorEastAsia" w:hAnsiTheme="minorEastAsia"/>
          <w:kern w:val="0"/>
          <w:sz w:val="24"/>
          <w:szCs w:val="24"/>
        </w:rPr>
      </w:pP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承诺书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我公司承诺在</w:t>
      </w:r>
      <w:r>
        <w:rPr>
          <w:rFonts w:hint="eastAsia" w:cs="宋体" w:asciiTheme="minorEastAsia" w:hAnsiTheme="minorEastAsia"/>
          <w:kern w:val="0"/>
          <w:sz w:val="24"/>
          <w:szCs w:val="24"/>
          <w:u w:val="single"/>
        </w:rPr>
        <w:t>（标段编号、标段名称）</w:t>
      </w:r>
      <w:r>
        <w:rPr>
          <w:rFonts w:hint="eastAsia" w:cs="宋体" w:asciiTheme="minorEastAsia" w:hAnsiTheme="minorEastAsia"/>
          <w:kern w:val="0"/>
          <w:sz w:val="24"/>
          <w:szCs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投标人：</w:t>
      </w:r>
      <w:r>
        <w:rPr>
          <w:rFonts w:hint="eastAsia" w:cs="宋体" w:asciiTheme="minorEastAsia" w:hAnsiTheme="minorEastAsia"/>
          <w:kern w:val="0"/>
          <w:sz w:val="24"/>
          <w:szCs w:val="24"/>
          <w:u w:val="single"/>
        </w:rPr>
        <w:t>（全称）（盖章）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法定代表人：</w:t>
      </w:r>
      <w:r>
        <w:rPr>
          <w:rFonts w:hint="eastAsia" w:cs="宋体" w:asciiTheme="minorEastAsia" w:hAnsiTheme="minorEastAsia"/>
          <w:kern w:val="0"/>
          <w:sz w:val="24"/>
          <w:szCs w:val="24"/>
          <w:u w:val="single"/>
        </w:rPr>
        <w:t>（盖章）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hint="eastAsia" w:asciiTheme="minorEastAsia" w:hAnsiTheme="minorEastAsia"/>
          <w:sz w:val="24"/>
          <w:szCs w:val="24"/>
          <w:u w:val="single"/>
        </w:rPr>
        <w:t xml:space="preserve">    </w:t>
      </w:r>
      <w:r>
        <w:rPr>
          <w:rFonts w:asciiTheme="minorEastAsia" w:hAnsiTheme="minorEastAsia"/>
          <w:sz w:val="24"/>
          <w:szCs w:val="24"/>
        </w:rPr>
        <w:t>年</w:t>
      </w:r>
      <w:r>
        <w:rPr>
          <w:rFonts w:hint="eastAsia" w:asciiTheme="minorEastAsia" w:hAnsiTheme="minorEastAsia"/>
          <w:sz w:val="24"/>
          <w:szCs w:val="24"/>
          <w:u w:val="single"/>
        </w:rPr>
        <w:t xml:space="preserve">    </w:t>
      </w:r>
      <w:r>
        <w:rPr>
          <w:rFonts w:asciiTheme="minorEastAsia" w:hAnsiTheme="minorEastAsia"/>
          <w:sz w:val="24"/>
          <w:szCs w:val="24"/>
        </w:rPr>
        <w:t>月</w:t>
      </w:r>
      <w:r>
        <w:rPr>
          <w:rFonts w:hint="eastAsia" w:asciiTheme="minorEastAsia" w:hAnsiTheme="minorEastAsia"/>
          <w:sz w:val="24"/>
          <w:szCs w:val="24"/>
          <w:u w:val="single"/>
        </w:rPr>
        <w:t xml:space="preserve">    </w:t>
      </w:r>
      <w:r>
        <w:rPr>
          <w:rFonts w:asciiTheme="minorEastAsia" w:hAnsiTheme="minorEastAsia"/>
          <w:sz w:val="24"/>
          <w:szCs w:val="24"/>
        </w:rPr>
        <w:t>日</w:t>
      </w:r>
    </w:p>
    <w:p>
      <w:pPr>
        <w:tabs>
          <w:tab w:val="center" w:pos="4832"/>
          <w:tab w:val="left" w:pos="7140"/>
        </w:tabs>
        <w:jc w:val="left"/>
        <w:rPr>
          <w:rFonts w:cs="宋体" w:asciiTheme="minorEastAsia" w:hAnsiTheme="minorEastAsia"/>
          <w:kern w:val="0"/>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84" w:name="_Toc14696"/>
      <w:bookmarkStart w:id="85" w:name="_Toc3213"/>
      <w:r>
        <w:rPr>
          <w:rFonts w:hint="eastAsia" w:cs="宋体" w:asciiTheme="minorEastAsia" w:hAnsiTheme="minorEastAsia"/>
          <w:b/>
          <w:sz w:val="24"/>
          <w:szCs w:val="24"/>
        </w:rPr>
        <w:t>四、技术条款偏离表</w:t>
      </w:r>
      <w:bookmarkEnd w:id="84"/>
      <w:bookmarkEnd w:id="85"/>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序号</w:t>
            </w:r>
          </w:p>
        </w:tc>
        <w:tc>
          <w:tcPr>
            <w:tcW w:w="135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货物名称</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招标文件条目号</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招标文件要求规格</w:t>
            </w:r>
          </w:p>
        </w:tc>
        <w:tc>
          <w:tcPr>
            <w:tcW w:w="13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投标规格</w:t>
            </w:r>
          </w:p>
        </w:tc>
        <w:tc>
          <w:tcPr>
            <w:tcW w:w="132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偏离</w:t>
            </w:r>
          </w:p>
        </w:tc>
        <w:tc>
          <w:tcPr>
            <w:tcW w:w="1327"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ind w:firstLine="482"/>
              <w:jc w:val="center"/>
              <w:rPr>
                <w:rFonts w:cs="宋体" w:asciiTheme="minorEastAsia" w:hAnsiTheme="minorEastAsia"/>
                <w:b/>
                <w:bCs/>
                <w:sz w:val="24"/>
                <w:szCs w:val="24"/>
              </w:rPr>
            </w:pPr>
          </w:p>
        </w:tc>
        <w:tc>
          <w:tcPr>
            <w:tcW w:w="1357"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6"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c>
          <w:tcPr>
            <w:tcW w:w="1327" w:type="dxa"/>
          </w:tcPr>
          <w:p>
            <w:pPr>
              <w:ind w:firstLine="482"/>
              <w:jc w:val="center"/>
              <w:rPr>
                <w:rFonts w:cs="宋体" w:asciiTheme="minorEastAsia" w:hAnsiTheme="minorEastAsia"/>
                <w:b/>
                <w:bCs/>
                <w:sz w:val="24"/>
                <w:szCs w:val="24"/>
              </w:rPr>
            </w:pPr>
          </w:p>
        </w:tc>
      </w:tr>
    </w:tbl>
    <w:p>
      <w:pPr>
        <w:spacing w:line="360" w:lineRule="auto"/>
        <w:ind w:firstLine="475" w:firstLineChars="198"/>
        <w:jc w:val="left"/>
        <w:rPr>
          <w:rFonts w:cs="Times New Roman" w:asciiTheme="minorEastAsia" w:hAnsiTheme="minorEastAsia"/>
          <w:sz w:val="24"/>
          <w:szCs w:val="24"/>
        </w:rPr>
      </w:pPr>
      <w:r>
        <w:rPr>
          <w:rFonts w:hint="eastAsia" w:cs="Times New Roman" w:asciiTheme="minorEastAsia" w:hAnsiTheme="minorEastAsia"/>
          <w:sz w:val="24"/>
          <w:szCs w:val="24"/>
        </w:rPr>
        <w:t>备注：投标人应根据其提供的服务，对照招标文件第四章“技术标准和要求”中的要求，有差异的，则在此表中列明实际响应的内容提要并加以说明，以便查对。本表包括所有的技术响应及差异。无差异说明表示完全响应。</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36"/>
          <w:sz w:val="24"/>
          <w:szCs w:val="24"/>
        </w:rPr>
        <w:br w:type="page"/>
      </w:r>
      <w:bookmarkStart w:id="86" w:name="_Toc24010"/>
      <w:bookmarkStart w:id="87" w:name="_Toc1092"/>
      <w:r>
        <w:rPr>
          <w:rFonts w:hint="eastAsia" w:cs="宋体" w:asciiTheme="minorEastAsia" w:hAnsiTheme="minorEastAsia"/>
          <w:b/>
          <w:sz w:val="24"/>
          <w:szCs w:val="24"/>
        </w:rPr>
        <w:t>五、商务条款偏离表</w:t>
      </w:r>
      <w:bookmarkEnd w:id="86"/>
      <w:bookmarkEnd w:id="87"/>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6"/>
        <w:gridCol w:w="2070"/>
        <w:gridCol w:w="2052"/>
        <w:gridCol w:w="2126"/>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80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序号</w:t>
            </w:r>
          </w:p>
        </w:tc>
        <w:tc>
          <w:tcPr>
            <w:tcW w:w="2070"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招标文件条目号</w:t>
            </w:r>
          </w:p>
        </w:tc>
        <w:tc>
          <w:tcPr>
            <w:tcW w:w="2052"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招标文件的商务条款</w:t>
            </w:r>
          </w:p>
        </w:tc>
        <w:tc>
          <w:tcPr>
            <w:tcW w:w="2126"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投标文件的商务条款</w:t>
            </w:r>
          </w:p>
        </w:tc>
        <w:tc>
          <w:tcPr>
            <w:tcW w:w="1985" w:type="dxa"/>
            <w:vAlign w:val="center"/>
          </w:tcPr>
          <w:p>
            <w:pPr>
              <w:jc w:val="center"/>
              <w:rPr>
                <w:rFonts w:cs="宋体" w:asciiTheme="minorEastAsia" w:hAnsiTheme="minorEastAsia"/>
                <w:bCs/>
                <w:sz w:val="24"/>
                <w:szCs w:val="24"/>
              </w:rPr>
            </w:pPr>
            <w:r>
              <w:rPr>
                <w:rFonts w:hint="eastAsia" w:cs="宋体" w:asciiTheme="minorEastAsia" w:hAnsiTheme="minorEastAsia"/>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ind w:firstLine="482"/>
              <w:jc w:val="center"/>
              <w:rPr>
                <w:rFonts w:cs="宋体" w:asciiTheme="minorEastAsia" w:hAnsiTheme="minorEastAsia"/>
                <w:b/>
                <w:bCs/>
                <w:sz w:val="24"/>
                <w:szCs w:val="24"/>
              </w:rPr>
            </w:pPr>
          </w:p>
        </w:tc>
        <w:tc>
          <w:tcPr>
            <w:tcW w:w="2070" w:type="dxa"/>
          </w:tcPr>
          <w:p>
            <w:pPr>
              <w:ind w:firstLine="482"/>
              <w:jc w:val="center"/>
              <w:rPr>
                <w:rFonts w:cs="宋体" w:asciiTheme="minorEastAsia" w:hAnsiTheme="minorEastAsia"/>
                <w:b/>
                <w:bCs/>
                <w:sz w:val="24"/>
                <w:szCs w:val="24"/>
              </w:rPr>
            </w:pPr>
          </w:p>
        </w:tc>
        <w:tc>
          <w:tcPr>
            <w:tcW w:w="2052" w:type="dxa"/>
          </w:tcPr>
          <w:p>
            <w:pPr>
              <w:ind w:firstLine="482"/>
              <w:jc w:val="center"/>
              <w:rPr>
                <w:rFonts w:cs="宋体" w:asciiTheme="minorEastAsia" w:hAnsiTheme="minorEastAsia"/>
                <w:b/>
                <w:bCs/>
                <w:sz w:val="24"/>
                <w:szCs w:val="24"/>
              </w:rPr>
            </w:pPr>
          </w:p>
        </w:tc>
        <w:tc>
          <w:tcPr>
            <w:tcW w:w="2126" w:type="dxa"/>
          </w:tcPr>
          <w:p>
            <w:pPr>
              <w:ind w:firstLine="482"/>
              <w:jc w:val="center"/>
              <w:rPr>
                <w:rFonts w:cs="宋体" w:asciiTheme="minorEastAsia" w:hAnsiTheme="minorEastAsia"/>
                <w:b/>
                <w:bCs/>
                <w:sz w:val="24"/>
                <w:szCs w:val="24"/>
              </w:rPr>
            </w:pPr>
          </w:p>
        </w:tc>
        <w:tc>
          <w:tcPr>
            <w:tcW w:w="1985" w:type="dxa"/>
          </w:tcPr>
          <w:p>
            <w:pPr>
              <w:ind w:firstLine="482"/>
              <w:jc w:val="center"/>
              <w:rPr>
                <w:rFonts w:cs="宋体" w:asciiTheme="minorEastAsia" w:hAnsiTheme="minorEastAsia"/>
                <w:b/>
                <w:bCs/>
                <w:sz w:val="24"/>
                <w:szCs w:val="24"/>
              </w:rPr>
            </w:pPr>
          </w:p>
        </w:tc>
      </w:tr>
    </w:tbl>
    <w:p>
      <w:pPr>
        <w:spacing w:line="360" w:lineRule="auto"/>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备注：投标人商务条款有差异的，则在此表中列明实际响应的内容提要并加以说明，以便查对。无差异说明表示完全响应。</w:t>
      </w:r>
    </w:p>
    <w:p>
      <w:pPr>
        <w:spacing w:line="360" w:lineRule="auto"/>
        <w:jc w:val="left"/>
        <w:rPr>
          <w:rFonts w:cs="Times New Roman" w:asciiTheme="minorEastAsia" w:hAnsiTheme="minorEastAsia"/>
          <w:sz w:val="24"/>
          <w:szCs w:val="24"/>
        </w:rPr>
      </w:pPr>
    </w:p>
    <w:p>
      <w:pPr>
        <w:spacing w:line="360" w:lineRule="auto"/>
        <w:jc w:val="left"/>
        <w:rPr>
          <w:rFonts w:cs="Times New Roman" w:asciiTheme="minorEastAsia" w:hAnsiTheme="minorEastAsia"/>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36"/>
          <w:sz w:val="24"/>
          <w:szCs w:val="24"/>
        </w:rPr>
        <w:br w:type="page"/>
      </w:r>
      <w:bookmarkStart w:id="88" w:name="_Toc9077"/>
      <w:bookmarkStart w:id="89" w:name="_Toc6713"/>
      <w:r>
        <w:rPr>
          <w:rFonts w:hint="eastAsia" w:cs="宋体" w:asciiTheme="minorEastAsia" w:hAnsiTheme="minorEastAsia"/>
          <w:b/>
          <w:sz w:val="24"/>
          <w:szCs w:val="24"/>
        </w:rPr>
        <w:t>六、法定代表人身份证明书</w:t>
      </w:r>
      <w:bookmarkEnd w:id="88"/>
      <w:bookmarkEnd w:id="89"/>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单位性质：</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地址：</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成立时间：年月日</w:t>
      </w: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经营期限：</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姓名：性别：年龄：职务：系（投标人名称）的法定代表人。</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特此证明。</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附：法定代表人身份证明</w:t>
      </w:r>
    </w:p>
    <w:p>
      <w:pPr>
        <w:widowControl/>
        <w:shd w:val="clear" w:color="auto" w:fill="FFFFFF"/>
        <w:snapToGrid w:val="0"/>
        <w:spacing w:line="384" w:lineRule="auto"/>
        <w:jc w:val="left"/>
        <w:rPr>
          <w:rFonts w:cs="Arial" w:asciiTheme="minorEastAsia" w:hAnsiTheme="minorEastAsia"/>
          <w:kern w:val="0"/>
          <w:sz w:val="24"/>
          <w:szCs w:val="24"/>
        </w:rPr>
      </w:pP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Arial" w:asciiTheme="minorEastAsia" w:hAnsiTheme="minorEastAsia"/>
                <w:kern w:val="0"/>
                <w:sz w:val="24"/>
                <w:szCs w:val="24"/>
              </w:rPr>
              <w:t>法定代表人</w:t>
            </w:r>
            <w:r>
              <w:rPr>
                <w:rFonts w:hint="eastAsia" w:cs="Times New Roman" w:asciiTheme="minorEastAsia" w:hAnsiTheme="minorEastAsia"/>
                <w:kern w:val="0"/>
                <w:sz w:val="24"/>
                <w:szCs w:val="24"/>
              </w:rPr>
              <w:t>身份证复印件（正面）</w:t>
            </w:r>
          </w:p>
        </w:tc>
      </w:tr>
    </w:tbl>
    <w:tbl>
      <w:tblPr>
        <w:tblStyle w:val="34"/>
        <w:tblpPr w:leftFromText="180" w:rightFromText="180" w:vertAnchor="text" w:horzAnchor="page" w:tblpX="5711" w:tblpY="-24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Arial" w:asciiTheme="minorEastAsia" w:hAnsiTheme="minorEastAsia"/>
                <w:kern w:val="0"/>
                <w:sz w:val="24"/>
                <w:szCs w:val="24"/>
              </w:rPr>
              <w:t>法定代表人</w:t>
            </w:r>
            <w:r>
              <w:rPr>
                <w:rFonts w:hint="eastAsia" w:cs="Times New Roman" w:asciiTheme="minorEastAsia" w:hAnsiTheme="minorEastAsia"/>
                <w:kern w:val="0"/>
                <w:sz w:val="24"/>
                <w:szCs w:val="24"/>
              </w:rPr>
              <w:t>身份证复印件（反面）</w:t>
            </w:r>
          </w:p>
        </w:tc>
      </w:tr>
    </w:tbl>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wordWrap w:val="0"/>
        <w:snapToGrid w:val="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tabs>
          <w:tab w:val="center" w:pos="4832"/>
          <w:tab w:val="left" w:pos="7140"/>
        </w:tabs>
        <w:ind w:firstLine="482"/>
        <w:jc w:val="center"/>
        <w:outlineLvl w:val="1"/>
        <w:rPr>
          <w:rFonts w:cs="宋体" w:asciiTheme="minorEastAsia" w:hAnsiTheme="minorEastAsia"/>
          <w:b/>
          <w:sz w:val="24"/>
          <w:szCs w:val="24"/>
        </w:rPr>
      </w:pPr>
      <w:r>
        <w:rPr>
          <w:rFonts w:cs="Arial" w:asciiTheme="minorEastAsia" w:hAnsiTheme="minorEastAsia"/>
          <w:b/>
          <w:bCs/>
          <w:kern w:val="0"/>
          <w:sz w:val="24"/>
          <w:szCs w:val="24"/>
        </w:rPr>
        <w:br w:type="page"/>
      </w:r>
      <w:bookmarkStart w:id="90" w:name="_Toc29933"/>
      <w:bookmarkStart w:id="91" w:name="_Toc13371"/>
      <w:r>
        <w:rPr>
          <w:rFonts w:hint="eastAsia" w:cs="宋体" w:asciiTheme="minorEastAsia" w:hAnsiTheme="minorEastAsia"/>
          <w:b/>
          <w:sz w:val="24"/>
          <w:szCs w:val="24"/>
        </w:rPr>
        <w:t>七、法定代表人授权委托书</w:t>
      </w:r>
      <w:bookmarkEnd w:id="90"/>
      <w:bookmarkEnd w:id="91"/>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本人（姓名）系（投标人名称）的法定代表人，现拟派我单位（姓名）为我方委托代理人。委托代理人根据授权，就（招标标段名称）的投标，以本公司名义处理一切与之有关的事务，其法律后果由我方承担。</w:t>
      </w:r>
    </w:p>
    <w:p>
      <w:pPr>
        <w:widowControl/>
        <w:shd w:val="clear" w:color="auto" w:fill="FFFFFF"/>
        <w:snapToGrid w:val="0"/>
        <w:spacing w:line="384" w:lineRule="auto"/>
        <w:ind w:firstLine="480" w:firstLineChars="200"/>
        <w:jc w:val="left"/>
        <w:rPr>
          <w:rFonts w:cs="Arial" w:asciiTheme="minorEastAsia" w:hAnsiTheme="minorEastAsia"/>
          <w:kern w:val="0"/>
          <w:sz w:val="24"/>
          <w:szCs w:val="24"/>
          <w:u w:val="single"/>
        </w:rPr>
      </w:pPr>
      <w:r>
        <w:rPr>
          <w:rFonts w:hint="eastAsia" w:cs="Arial" w:asciiTheme="minorEastAsia" w:hAnsiTheme="minorEastAsia"/>
          <w:kern w:val="0"/>
          <w:sz w:val="24"/>
          <w:szCs w:val="24"/>
        </w:rPr>
        <w:t>代理人：性别：年龄：</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单位：部门：职务：</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代理人无转委权，特此申明。</w:t>
      </w:r>
    </w:p>
    <w:p>
      <w:pPr>
        <w:widowControl/>
        <w:shd w:val="clear" w:color="auto" w:fill="FFFFFF"/>
        <w:snapToGrid w:val="0"/>
        <w:spacing w:line="384" w:lineRule="auto"/>
        <w:ind w:firstLine="480" w:firstLineChars="200"/>
        <w:jc w:val="left"/>
        <w:rPr>
          <w:rFonts w:cs="Arial" w:asciiTheme="minorEastAsia" w:hAnsiTheme="minorEastAsia"/>
          <w:kern w:val="0"/>
          <w:sz w:val="24"/>
          <w:szCs w:val="24"/>
        </w:rPr>
      </w:pPr>
    </w:p>
    <w:p>
      <w:pPr>
        <w:widowControl/>
        <w:shd w:val="clear" w:color="auto" w:fill="FFFFFF"/>
        <w:snapToGrid w:val="0"/>
        <w:spacing w:line="384" w:lineRule="auto"/>
        <w:rPr>
          <w:rFonts w:cs="Arial" w:asciiTheme="minorEastAsia" w:hAnsiTheme="minorEastAsia"/>
          <w:kern w:val="0"/>
          <w:sz w:val="24"/>
          <w:szCs w:val="24"/>
        </w:rPr>
      </w:pPr>
      <w:r>
        <w:rPr>
          <w:rFonts w:hint="eastAsia" w:cs="Arial" w:asciiTheme="minorEastAsia" w:hAnsiTheme="minorEastAsia"/>
          <w:kern w:val="0"/>
          <w:sz w:val="24"/>
          <w:szCs w:val="24"/>
        </w:rPr>
        <w:t>附：授权委托人身份证明。</w:t>
      </w:r>
    </w:p>
    <w:tbl>
      <w:tblPr>
        <w:tblStyle w:val="34"/>
        <w:tblW w:w="0" w:type="auto"/>
        <w:tblInd w:w="5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代理人身份证复印件（正面）</w:t>
            </w:r>
          </w:p>
        </w:tc>
      </w:tr>
    </w:tbl>
    <w:tbl>
      <w:tblPr>
        <w:tblStyle w:val="34"/>
        <w:tblpPr w:leftFromText="180" w:rightFromText="180" w:vertAnchor="text" w:horzAnchor="margin" w:tblpXSpec="right" w:tblpY="-244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代理人身份证复印件（反面）</w:t>
            </w:r>
          </w:p>
        </w:tc>
      </w:tr>
    </w:tbl>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投标人：（盖章）</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r>
        <w:rPr>
          <w:rFonts w:hint="eastAsia" w:cs="Arial" w:asciiTheme="minorEastAsia" w:hAnsiTheme="minorEastAsia"/>
          <w:kern w:val="0"/>
          <w:sz w:val="24"/>
          <w:szCs w:val="24"/>
        </w:rPr>
        <w:t>法定代表人：（盖章）</w:t>
      </w:r>
    </w:p>
    <w:p>
      <w:pPr>
        <w:widowControl/>
        <w:shd w:val="clear" w:color="auto" w:fill="FFFFFF"/>
        <w:wordWrap w:val="0"/>
        <w:snapToGrid w:val="0"/>
        <w:spacing w:line="384" w:lineRule="auto"/>
        <w:ind w:firstLine="480"/>
        <w:jc w:val="right"/>
        <w:rPr>
          <w:rFonts w:cs="Arial" w:asciiTheme="minorEastAsia" w:hAnsiTheme="minorEastAsia"/>
          <w:kern w:val="0"/>
          <w:sz w:val="24"/>
          <w:szCs w:val="24"/>
        </w:rPr>
      </w:pPr>
      <w:r>
        <w:rPr>
          <w:rFonts w:hint="eastAsia" w:cs="Arial" w:asciiTheme="minorEastAsia" w:hAnsiTheme="minorEastAsia"/>
          <w:kern w:val="0"/>
          <w:sz w:val="24"/>
          <w:szCs w:val="24"/>
        </w:rPr>
        <w:t>日期：年月日</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numPr>
          <w:ilvl w:val="0"/>
          <w:numId w:val="3"/>
        </w:numPr>
        <w:autoSpaceDE w:val="0"/>
        <w:autoSpaceDN w:val="0"/>
        <w:adjustRightInd w:val="0"/>
        <w:spacing w:line="360" w:lineRule="auto"/>
        <w:jc w:val="center"/>
        <w:outlineLvl w:val="1"/>
        <w:rPr>
          <w:rFonts w:cs="宋体" w:asciiTheme="minorEastAsia" w:hAnsiTheme="minorEastAsia"/>
          <w:b/>
          <w:sz w:val="24"/>
          <w:szCs w:val="24"/>
        </w:rPr>
      </w:pPr>
      <w:r>
        <w:rPr>
          <w:rFonts w:cs="Arial" w:asciiTheme="minorEastAsia" w:hAnsiTheme="minorEastAsia"/>
          <w:kern w:val="0"/>
          <w:sz w:val="24"/>
          <w:szCs w:val="24"/>
        </w:rPr>
        <w:br w:type="page"/>
      </w:r>
      <w:bookmarkStart w:id="92" w:name="_Toc10311"/>
      <w:bookmarkStart w:id="93" w:name="_Toc6408"/>
      <w:bookmarkStart w:id="94" w:name="_Toc37592795"/>
      <w:r>
        <w:rPr>
          <w:rFonts w:hint="eastAsia" w:cs="宋体" w:asciiTheme="minorEastAsia" w:hAnsiTheme="minorEastAsia"/>
          <w:b/>
          <w:sz w:val="24"/>
          <w:szCs w:val="24"/>
        </w:rPr>
        <w:t>投标人基本情况</w:t>
      </w:r>
      <w:bookmarkEnd w:id="92"/>
      <w:bookmarkEnd w:id="93"/>
    </w:p>
    <w:p>
      <w:pPr>
        <w:pStyle w:val="10"/>
        <w:ind w:firstLine="482"/>
      </w:pPr>
      <w:r>
        <w:rPr>
          <w:rFonts w:hint="eastAsia"/>
        </w:rPr>
        <w:t>1、投标人基本情况表</w:t>
      </w:r>
    </w:p>
    <w:bookmarkEnd w:id="94"/>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5"/>
        <w:gridCol w:w="1038"/>
        <w:gridCol w:w="552"/>
        <w:gridCol w:w="587"/>
        <w:gridCol w:w="988"/>
        <w:gridCol w:w="262"/>
        <w:gridCol w:w="1733"/>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投标人名称</w:t>
            </w: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注册地址</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邮政编码</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成立时间</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企业性质</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营业执照号</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注册资金</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法定代表人</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电话</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联系人</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电话</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传真</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网址</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开户银行</w:t>
            </w:r>
          </w:p>
        </w:tc>
        <w:tc>
          <w:tcPr>
            <w:tcW w:w="3165" w:type="dxa"/>
            <w:gridSpan w:val="4"/>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银行帐号</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职工概况</w:t>
            </w:r>
          </w:p>
        </w:tc>
        <w:tc>
          <w:tcPr>
            <w:tcW w:w="1038"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职工总数</w:t>
            </w:r>
          </w:p>
        </w:tc>
        <w:tc>
          <w:tcPr>
            <w:tcW w:w="1139" w:type="dxa"/>
            <w:gridSpan w:val="2"/>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restart"/>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其</w:t>
            </w:r>
          </w:p>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中</w:t>
            </w: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高级职称人员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03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139" w:type="dxa"/>
            <w:gridSpan w:val="2"/>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中级职称人员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03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139" w:type="dxa"/>
            <w:gridSpan w:val="2"/>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988" w:type="dxa"/>
            <w:vMerge w:val="continue"/>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995"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初级职称人员</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590"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姓名</w:t>
            </w:r>
          </w:p>
        </w:tc>
        <w:tc>
          <w:tcPr>
            <w:tcW w:w="1837" w:type="dxa"/>
            <w:gridSpan w:val="3"/>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职务及职称</w:t>
            </w:r>
          </w:p>
        </w:tc>
        <w:tc>
          <w:tcPr>
            <w:tcW w:w="1733" w:type="dxa"/>
            <w:vAlign w:val="center"/>
          </w:tcPr>
          <w:p>
            <w:pPr>
              <w:autoSpaceDE w:val="0"/>
              <w:autoSpaceDN w:val="0"/>
              <w:adjustRightInd w:val="0"/>
              <w:snapToGrid w:val="0"/>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年龄</w:t>
            </w: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Merge w:val="continue"/>
            <w:vAlign w:val="center"/>
          </w:tcPr>
          <w:p>
            <w:pPr>
              <w:widowControl/>
              <w:adjustRightInd w:val="0"/>
              <w:snapToGrid w:val="0"/>
              <w:spacing w:line="360" w:lineRule="auto"/>
              <w:jc w:val="center"/>
              <w:rPr>
                <w:rFonts w:cs="Times New Roman" w:asciiTheme="minorEastAsia" w:hAnsiTheme="minorEastAsia"/>
                <w:kern w:val="0"/>
                <w:sz w:val="24"/>
                <w:szCs w:val="24"/>
              </w:rPr>
            </w:pPr>
          </w:p>
        </w:tc>
        <w:tc>
          <w:tcPr>
            <w:tcW w:w="1590" w:type="dxa"/>
            <w:gridSpan w:val="2"/>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837" w:type="dxa"/>
            <w:gridSpan w:val="3"/>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1733"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c>
          <w:tcPr>
            <w:tcW w:w="2140" w:type="dxa"/>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665" w:type="dxa"/>
            <w:vAlign w:val="center"/>
          </w:tcPr>
          <w:p>
            <w:pPr>
              <w:widowControl/>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经营范围</w:t>
            </w:r>
          </w:p>
        </w:tc>
        <w:tc>
          <w:tcPr>
            <w:tcW w:w="7300" w:type="dxa"/>
            <w:gridSpan w:val="7"/>
            <w:vAlign w:val="center"/>
          </w:tcPr>
          <w:p>
            <w:pPr>
              <w:autoSpaceDE w:val="0"/>
              <w:autoSpaceDN w:val="0"/>
              <w:adjustRightInd w:val="0"/>
              <w:snapToGrid w:val="0"/>
              <w:spacing w:line="360" w:lineRule="auto"/>
              <w:jc w:val="center"/>
              <w:rPr>
                <w:rFonts w:cs="Times New Roman" w:asciiTheme="minorEastAsia" w:hAnsiTheme="minorEastAsia"/>
                <w:kern w:val="0"/>
                <w:sz w:val="24"/>
                <w:szCs w:val="24"/>
              </w:rPr>
            </w:pPr>
          </w:p>
        </w:tc>
      </w:tr>
    </w:tbl>
    <w:p>
      <w:pPr>
        <w:pStyle w:val="190"/>
        <w:rPr>
          <w:rFonts w:asciiTheme="minorEastAsia" w:hAnsiTheme="minorEastAsia" w:eastAsiaTheme="minorEastAsia"/>
          <w:sz w:val="24"/>
          <w:szCs w:val="24"/>
        </w:rPr>
      </w:pPr>
      <w:r>
        <w:rPr>
          <w:rFonts w:hint="eastAsia" w:asciiTheme="minorEastAsia" w:hAnsiTheme="minorEastAsia" w:eastAsiaTheme="minorEastAsia"/>
          <w:sz w:val="24"/>
          <w:szCs w:val="24"/>
        </w:rPr>
        <w:t>附件 2-1法人或者其他组织的营业执照等证明文件，自然人的身份证明；</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2-2 财务状况报告、依法缴纳税收和社会保障资金的相关证明</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2-3具备履行合同所必需的设备和专业技术能力的证明材料(由投标人根据项目需求提供说明材料)</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备注：1）.投标人提供的财务状况报告，包括资产负债表等复印件。 (如投标人为新成立公司的，应提供公司成立之日后的财务报表) </w:t>
      </w:r>
    </w:p>
    <w:p>
      <w:pPr>
        <w:pStyle w:val="14"/>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2）.提供依法缴纳税收和社会保障资金证明材料的复印件。</w:t>
      </w:r>
    </w:p>
    <w:p>
      <w:pPr>
        <w:spacing w:line="360" w:lineRule="auto"/>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2、中小微企业证明文件</w:t>
      </w: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-1 </w:t>
      </w:r>
      <w:r>
        <w:rPr>
          <w:rFonts w:hint="eastAsia" w:cs="宋体" w:asciiTheme="minorEastAsia" w:hAnsiTheme="minorEastAsia"/>
          <w:kern w:val="0"/>
          <w:sz w:val="24"/>
          <w:szCs w:val="24"/>
        </w:rPr>
        <w:t>中小企业声明函</w:t>
      </w:r>
      <w:r>
        <w:rPr>
          <w:rFonts w:cs="宋体" w:asciiTheme="minorEastAsia" w:hAnsiTheme="minorEastAsia"/>
          <w:kern w:val="0"/>
          <w:sz w:val="24"/>
          <w:szCs w:val="24"/>
        </w:rPr>
        <w:t>（</w:t>
      </w:r>
      <w:r>
        <w:rPr>
          <w:rFonts w:hint="eastAsia" w:cs="宋体" w:asciiTheme="minorEastAsia" w:hAnsiTheme="minorEastAsia"/>
          <w:kern w:val="0"/>
          <w:sz w:val="24"/>
          <w:szCs w:val="24"/>
        </w:rPr>
        <w:t>工程、</w:t>
      </w:r>
      <w:r>
        <w:rPr>
          <w:rFonts w:cs="宋体" w:asciiTheme="minorEastAsia" w:hAnsiTheme="minorEastAsia"/>
          <w:kern w:val="0"/>
          <w:sz w:val="24"/>
          <w:szCs w:val="24"/>
        </w:rPr>
        <w:t>服务）</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本公司</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郑重声明，根据《政府采购促进中小企业发展管理办法》（财库</w:t>
      </w:r>
      <w:r>
        <w:rPr>
          <w:rFonts w:hint="eastAsia" w:cs="宋体" w:asciiTheme="minorEastAsia" w:hAnsiTheme="minorEastAsia"/>
          <w:kern w:val="0"/>
          <w:sz w:val="24"/>
          <w:szCs w:val="24"/>
        </w:rPr>
        <w:t>﹝</w:t>
      </w:r>
      <w:r>
        <w:rPr>
          <w:rFonts w:cs="宋体" w:asciiTheme="minorEastAsia" w:hAnsiTheme="minorEastAsia"/>
          <w:kern w:val="0"/>
          <w:sz w:val="24"/>
          <w:szCs w:val="24"/>
        </w:rPr>
        <w:t>2020</w:t>
      </w:r>
      <w:r>
        <w:rPr>
          <w:rFonts w:hint="eastAsia" w:cs="宋体" w:asciiTheme="minorEastAsia" w:hAnsiTheme="minorEastAsia"/>
          <w:kern w:val="0"/>
          <w:sz w:val="24"/>
          <w:szCs w:val="24"/>
        </w:rPr>
        <w:t>﹞</w:t>
      </w:r>
      <w:r>
        <w:rPr>
          <w:rFonts w:cs="宋体" w:asciiTheme="minorEastAsia" w:hAnsiTheme="minorEastAsia"/>
          <w:kern w:val="0"/>
          <w:sz w:val="24"/>
          <w:szCs w:val="24"/>
        </w:rPr>
        <w:t>46 号）的规定，本公司</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参加</w:t>
      </w:r>
      <w:r>
        <w:rPr>
          <w:rFonts w:cs="宋体" w:asciiTheme="minorEastAsia" w:hAnsiTheme="minorEastAsia"/>
          <w:kern w:val="0"/>
          <w:sz w:val="24"/>
          <w:szCs w:val="24"/>
          <w:u w:val="single"/>
        </w:rPr>
        <w:t>（单位名称）</w:t>
      </w:r>
      <w:r>
        <w:rPr>
          <w:rFonts w:cs="宋体" w:asciiTheme="minorEastAsia" w:hAnsiTheme="minorEastAsia"/>
          <w:kern w:val="0"/>
          <w:sz w:val="24"/>
          <w:szCs w:val="24"/>
        </w:rPr>
        <w:t>的</w:t>
      </w:r>
      <w:r>
        <w:rPr>
          <w:rFonts w:cs="宋体" w:asciiTheme="minorEastAsia" w:hAnsiTheme="minorEastAsia"/>
          <w:kern w:val="0"/>
          <w:sz w:val="24"/>
          <w:szCs w:val="24"/>
          <w:u w:val="single"/>
        </w:rPr>
        <w:t>（项目名称）</w:t>
      </w:r>
      <w:r>
        <w:rPr>
          <w:rFonts w:cs="宋体" w:asciiTheme="minorEastAsia" w:hAnsiTheme="minorEastAsia"/>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1、</w:t>
      </w:r>
      <w:r>
        <w:rPr>
          <w:rFonts w:cs="宋体" w:asciiTheme="minorEastAsia" w:hAnsiTheme="minorEastAsia"/>
          <w:kern w:val="0"/>
          <w:sz w:val="24"/>
          <w:szCs w:val="24"/>
          <w:u w:val="single"/>
        </w:rPr>
        <w:t>（标的名称）</w:t>
      </w:r>
      <w:r>
        <w:rPr>
          <w:rFonts w:cs="宋体" w:asciiTheme="minorEastAsia" w:hAnsiTheme="minorEastAsia"/>
          <w:kern w:val="0"/>
          <w:sz w:val="24"/>
          <w:szCs w:val="24"/>
        </w:rPr>
        <w:t>，属于</w:t>
      </w:r>
      <w:r>
        <w:rPr>
          <w:rFonts w:cs="宋体" w:asciiTheme="minorEastAsia" w:hAnsiTheme="minorEastAsia"/>
          <w:kern w:val="0"/>
          <w:sz w:val="24"/>
          <w:szCs w:val="24"/>
          <w:u w:val="single"/>
        </w:rPr>
        <w:t>（</w:t>
      </w:r>
      <w:r>
        <w:rPr>
          <w:rFonts w:hint="eastAsia" w:cs="宋体" w:asciiTheme="minorEastAsia" w:hAnsiTheme="minorEastAsia"/>
          <w:kern w:val="0"/>
          <w:sz w:val="24"/>
          <w:szCs w:val="24"/>
          <w:u w:val="single"/>
        </w:rPr>
        <w:t>其他未列明行业</w:t>
      </w:r>
      <w:r>
        <w:rPr>
          <w:rFonts w:cs="宋体" w:asciiTheme="minorEastAsia" w:hAnsiTheme="minorEastAsia"/>
          <w:kern w:val="0"/>
          <w:sz w:val="24"/>
          <w:szCs w:val="24"/>
          <w:u w:val="single"/>
        </w:rPr>
        <w:t>）</w:t>
      </w:r>
      <w:r>
        <w:rPr>
          <w:rFonts w:cs="宋体" w:asciiTheme="minorEastAsia" w:hAnsiTheme="minorEastAsia"/>
          <w:kern w:val="0"/>
          <w:sz w:val="24"/>
          <w:szCs w:val="24"/>
        </w:rPr>
        <w:t>；承建（承接）企业为</w:t>
      </w:r>
      <w:r>
        <w:rPr>
          <w:rFonts w:cs="宋体" w:asciiTheme="minorEastAsia" w:hAnsiTheme="minorEastAsia"/>
          <w:kern w:val="0"/>
          <w:sz w:val="24"/>
          <w:szCs w:val="24"/>
          <w:u w:val="single"/>
        </w:rPr>
        <w:t>（企业名称）</w:t>
      </w:r>
      <w:r>
        <w:rPr>
          <w:rFonts w:cs="宋体" w:asciiTheme="minorEastAsia" w:hAnsiTheme="minorEastAsia"/>
          <w:kern w:val="0"/>
          <w:sz w:val="24"/>
          <w:szCs w:val="24"/>
        </w:rPr>
        <w:t>，从业人员</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人，营业收入为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万元，资产总额为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万元，属于</w:t>
      </w:r>
      <w:r>
        <w:rPr>
          <w:rFonts w:cs="宋体" w:asciiTheme="minorEastAsia" w:hAnsiTheme="minorEastAsia"/>
          <w:kern w:val="0"/>
          <w:sz w:val="24"/>
          <w:szCs w:val="24"/>
          <w:u w:val="single"/>
        </w:rPr>
        <w:t>（中型企业、小型企业、微型企业）</w:t>
      </w:r>
      <w:r>
        <w:rPr>
          <w:rFonts w:cs="宋体" w:asciiTheme="minorEastAsia" w:hAnsiTheme="minorEastAsia"/>
          <w:kern w:val="0"/>
          <w:sz w:val="24"/>
          <w:szCs w:val="24"/>
        </w:rPr>
        <w:t>；</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u w:val="single"/>
        </w:rPr>
        <w:t>（标的名称）</w:t>
      </w:r>
      <w:r>
        <w:rPr>
          <w:rFonts w:cs="宋体" w:asciiTheme="minorEastAsia" w:hAnsiTheme="minorEastAsia"/>
          <w:kern w:val="0"/>
          <w:sz w:val="24"/>
          <w:szCs w:val="24"/>
        </w:rPr>
        <w:t>，属于</w:t>
      </w:r>
      <w:r>
        <w:rPr>
          <w:rFonts w:cs="宋体" w:asciiTheme="minorEastAsia" w:hAnsiTheme="minorEastAsia"/>
          <w:kern w:val="0"/>
          <w:sz w:val="24"/>
          <w:szCs w:val="24"/>
          <w:u w:val="single"/>
        </w:rPr>
        <w:t>（采购文件中明确的所属行业）</w:t>
      </w:r>
      <w:r>
        <w:rPr>
          <w:rFonts w:cs="宋体" w:asciiTheme="minorEastAsia" w:hAnsiTheme="minorEastAsia"/>
          <w:kern w:val="0"/>
          <w:sz w:val="24"/>
          <w:szCs w:val="24"/>
        </w:rPr>
        <w:t>；承建（承接）企业为</w:t>
      </w:r>
      <w:r>
        <w:rPr>
          <w:rFonts w:cs="宋体" w:asciiTheme="minorEastAsia" w:hAnsiTheme="minorEastAsia"/>
          <w:kern w:val="0"/>
          <w:sz w:val="24"/>
          <w:szCs w:val="24"/>
          <w:u w:val="single"/>
        </w:rPr>
        <w:t>（企业名称）</w:t>
      </w:r>
      <w:r>
        <w:rPr>
          <w:rFonts w:cs="宋体" w:asciiTheme="minorEastAsia" w:hAnsiTheme="minorEastAsia"/>
          <w:kern w:val="0"/>
          <w:sz w:val="24"/>
          <w:szCs w:val="24"/>
        </w:rPr>
        <w:t>，从业人员</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人，营业收入为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万元，资产总额为</w:t>
      </w:r>
      <w:r>
        <w:rPr>
          <w:rFonts w:hint="eastAsia" w:cs="宋体" w:asciiTheme="minorEastAsia" w:hAnsiTheme="minorEastAsia"/>
          <w:kern w:val="0"/>
          <w:sz w:val="24"/>
          <w:szCs w:val="24"/>
          <w:u w:val="single"/>
        </w:rPr>
        <w:t xml:space="preserve">   </w:t>
      </w:r>
      <w:r>
        <w:rPr>
          <w:rFonts w:cs="宋体" w:asciiTheme="minorEastAsia" w:hAnsiTheme="minorEastAsia"/>
          <w:kern w:val="0"/>
          <w:sz w:val="24"/>
          <w:szCs w:val="24"/>
        </w:rPr>
        <w:t>万元，属于</w:t>
      </w:r>
      <w:r>
        <w:rPr>
          <w:rFonts w:cs="宋体" w:asciiTheme="minorEastAsia" w:hAnsiTheme="minorEastAsia"/>
          <w:kern w:val="0"/>
          <w:sz w:val="24"/>
          <w:szCs w:val="24"/>
          <w:u w:val="single"/>
        </w:rPr>
        <w:t>（中型企业、小型企业、微型企业）</w:t>
      </w:r>
      <w:r>
        <w:rPr>
          <w:rFonts w:cs="宋体" w:asciiTheme="minorEastAsia" w:hAnsiTheme="minorEastAsia"/>
          <w:kern w:val="0"/>
          <w:sz w:val="24"/>
          <w:szCs w:val="24"/>
        </w:rPr>
        <w:t>；</w:t>
      </w: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w:t>
      </w:r>
    </w:p>
    <w:p>
      <w:pPr>
        <w:spacing w:line="360" w:lineRule="auto"/>
        <w:rPr>
          <w:rFonts w:cs="宋体" w:asciiTheme="minorEastAsia" w:hAnsiTheme="minorEastAsia"/>
          <w:color w:val="FF0000"/>
          <w:kern w:val="0"/>
          <w:sz w:val="24"/>
          <w:szCs w:val="24"/>
        </w:rPr>
      </w:pPr>
      <w:r>
        <w:rPr>
          <w:rFonts w:hint="eastAsia" w:cs="宋体" w:asciiTheme="minorEastAsia" w:hAnsiTheme="minorEastAsia"/>
          <w:kern w:val="0"/>
          <w:sz w:val="24"/>
          <w:szCs w:val="24"/>
        </w:rPr>
        <w:t xml:space="preserve">  </w:t>
      </w:r>
      <w:r>
        <w:rPr>
          <w:rFonts w:hint="eastAsia" w:cs="宋体" w:asciiTheme="minorEastAsia" w:hAnsiTheme="minorEastAsia"/>
          <w:color w:val="FF0000"/>
          <w:kern w:val="0"/>
          <w:sz w:val="24"/>
          <w:szCs w:val="24"/>
        </w:rPr>
        <w:t xml:space="preserve"> </w:t>
      </w:r>
    </w:p>
    <w:p>
      <w:pPr>
        <w:pStyle w:val="191"/>
        <w:ind w:firstLine="480"/>
        <w:rPr>
          <w:rFonts w:cs="宋体" w:asciiTheme="minorEastAsia" w:hAnsiTheme="minorEastAsia"/>
          <w:color w:val="FF0000"/>
          <w:kern w:val="0"/>
          <w:sz w:val="24"/>
          <w:szCs w:val="24"/>
        </w:rPr>
      </w:pPr>
    </w:p>
    <w:p>
      <w:pPr>
        <w:pStyle w:val="191"/>
        <w:ind w:firstLine="480"/>
        <w:rPr>
          <w:rFonts w:cs="宋体" w:asciiTheme="minorEastAsia" w:hAnsiTheme="minorEastAsia"/>
          <w:color w:val="FF0000"/>
          <w:kern w:val="0"/>
          <w:sz w:val="24"/>
          <w:szCs w:val="24"/>
        </w:rPr>
      </w:pP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本企业对上述声明内容的真实性负责。如有虚假，将依法承担相应责任。</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供应商</w:t>
      </w:r>
      <w:r>
        <w:rPr>
          <w:rFonts w:cs="宋体" w:asciiTheme="minorEastAsia" w:hAnsiTheme="minorEastAsia"/>
          <w:kern w:val="0"/>
          <w:sz w:val="24"/>
          <w:szCs w:val="24"/>
        </w:rPr>
        <w:t>名称（盖章）：</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r>
        <w:rPr>
          <w:rFonts w:cs="宋体" w:asciiTheme="minorEastAsia" w:hAnsiTheme="minorEastAsia"/>
          <w:kern w:val="0"/>
          <w:sz w:val="24"/>
          <w:szCs w:val="24"/>
        </w:rPr>
        <w:t>日期：</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说明：</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、填写前请认真阅读《工业和信息化部、国家统计局、国家发展和改革委员会、财政部关于印发中小企业划型标准规定的通知》（工信部联企业</w:t>
      </w:r>
      <w:r>
        <w:rPr>
          <w:rFonts w:cs="宋体" w:asciiTheme="minorEastAsia" w:hAnsiTheme="minorEastAsia"/>
          <w:kern w:val="0"/>
          <w:sz w:val="24"/>
          <w:szCs w:val="24"/>
        </w:rPr>
        <w:t xml:space="preserve">[2011]300 </w:t>
      </w:r>
      <w:r>
        <w:rPr>
          <w:rFonts w:hint="eastAsia" w:cs="宋体" w:asciiTheme="minorEastAsia" w:hAnsiTheme="minorEastAsia"/>
          <w:kern w:val="0"/>
          <w:sz w:val="24"/>
          <w:szCs w:val="24"/>
        </w:rPr>
        <w:t>号）和《财政部工业和信息化部关于印发</w:t>
      </w:r>
      <w:r>
        <w:rPr>
          <w:rFonts w:cs="宋体" w:asciiTheme="minorEastAsia" w:hAnsiTheme="minorEastAsia"/>
          <w:kern w:val="0"/>
          <w:sz w:val="24"/>
          <w:szCs w:val="24"/>
        </w:rPr>
        <w:t>《政府采购促进中小企业发展管理办法》(</w:t>
      </w:r>
      <w:r>
        <w:rPr>
          <w:rFonts w:hint="eastAsia" w:cs="宋体" w:asciiTheme="minorEastAsia" w:hAnsiTheme="minorEastAsia"/>
          <w:kern w:val="0"/>
          <w:sz w:val="24"/>
          <w:szCs w:val="24"/>
        </w:rPr>
        <w:t>财库</w:t>
      </w:r>
      <w:r>
        <w:rPr>
          <w:rFonts w:cs="宋体" w:asciiTheme="minorEastAsia" w:hAnsiTheme="minorEastAsia"/>
          <w:kern w:val="0"/>
          <w:sz w:val="24"/>
          <w:szCs w:val="24"/>
        </w:rPr>
        <w:t>[20</w:t>
      </w:r>
      <w:r>
        <w:rPr>
          <w:rFonts w:hint="eastAsia" w:cs="宋体" w:asciiTheme="minorEastAsia" w:hAnsiTheme="minorEastAsia"/>
          <w:kern w:val="0"/>
          <w:sz w:val="24"/>
          <w:szCs w:val="24"/>
        </w:rPr>
        <w:t>20</w:t>
      </w:r>
      <w:r>
        <w:rPr>
          <w:rFonts w:cs="宋体" w:asciiTheme="minorEastAsia" w:hAnsiTheme="minorEastAsia"/>
          <w:kern w:val="0"/>
          <w:sz w:val="24"/>
          <w:szCs w:val="24"/>
        </w:rPr>
        <w:t>]</w:t>
      </w:r>
      <w:r>
        <w:rPr>
          <w:rFonts w:hint="eastAsia" w:cs="宋体" w:asciiTheme="minorEastAsia" w:hAnsiTheme="minorEastAsia"/>
          <w:kern w:val="0"/>
          <w:sz w:val="24"/>
          <w:szCs w:val="24"/>
        </w:rPr>
        <w:t>46号</w:t>
      </w:r>
      <w:r>
        <w:rPr>
          <w:rFonts w:cs="宋体" w:asciiTheme="minorEastAsia" w:hAnsiTheme="minorEastAsia"/>
          <w:kern w:val="0"/>
          <w:sz w:val="24"/>
          <w:szCs w:val="24"/>
        </w:rPr>
        <w:t>)</w:t>
      </w:r>
      <w:r>
        <w:rPr>
          <w:rFonts w:hint="eastAsia" w:cs="宋体" w:asciiTheme="minorEastAsia" w:hAnsiTheme="minorEastAsia"/>
          <w:kern w:val="0"/>
          <w:sz w:val="24"/>
          <w:szCs w:val="24"/>
        </w:rPr>
        <w:t>相关规定。</w:t>
      </w:r>
    </w:p>
    <w:p>
      <w:pPr>
        <w:autoSpaceDE w:val="0"/>
        <w:autoSpaceDN w:val="0"/>
        <w:adjustRightInd w:val="0"/>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2</w:t>
      </w:r>
      <w:r>
        <w:rPr>
          <w:rFonts w:hint="eastAsia" w:cs="宋体" w:asciiTheme="minorEastAsia" w:hAnsiTheme="minorEastAsia"/>
          <w:kern w:val="0"/>
          <w:sz w:val="24"/>
          <w:szCs w:val="24"/>
        </w:rPr>
        <w:t>、从业人员、营业收入、资产总额填报上一年度数据，无上一年度数据的新成立企业可不填报。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-2 </w:t>
      </w:r>
      <w:r>
        <w:rPr>
          <w:rFonts w:hint="eastAsia" w:cs="宋体" w:asciiTheme="minorEastAsia" w:hAnsiTheme="minorEastAsia"/>
          <w:kern w:val="0"/>
          <w:sz w:val="24"/>
          <w:szCs w:val="24"/>
        </w:rPr>
        <w:t>残疾人福利性单位声明函</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本单位郑重声明，根据《财政部民政部中国残疾人联合会关于促进残疾人就业政府采购政策的通知》（财库〔</w:t>
      </w:r>
      <w:r>
        <w:rPr>
          <w:rFonts w:cs="宋体" w:asciiTheme="minorEastAsia" w:hAnsiTheme="minorEastAsia"/>
          <w:kern w:val="0"/>
          <w:sz w:val="24"/>
          <w:szCs w:val="24"/>
        </w:rPr>
        <w:t>2017</w:t>
      </w:r>
      <w:r>
        <w:rPr>
          <w:rFonts w:hint="eastAsia" w:cs="宋体" w:asciiTheme="minorEastAsia" w:hAnsiTheme="minorEastAsia"/>
          <w:kern w:val="0"/>
          <w:sz w:val="24"/>
          <w:szCs w:val="24"/>
        </w:rPr>
        <w:t>〕</w:t>
      </w:r>
      <w:r>
        <w:rPr>
          <w:rFonts w:cs="宋体" w:asciiTheme="minorEastAsia" w:hAnsiTheme="minorEastAsia"/>
          <w:kern w:val="0"/>
          <w:sz w:val="24"/>
          <w:szCs w:val="24"/>
        </w:rPr>
        <w:t>141</w:t>
      </w:r>
      <w:r>
        <w:rPr>
          <w:rFonts w:hint="eastAsia" w:cs="宋体" w:asciiTheme="minorEastAsia" w:hAnsiTheme="minorEastAsia"/>
          <w:kern w:val="0"/>
          <w:sz w:val="24"/>
          <w:szCs w:val="24"/>
        </w:rPr>
        <w:t>号）的规定，本单位为符合条件的残疾人福利性单位，且本单位参加</w:t>
      </w:r>
      <w:r>
        <w:rPr>
          <w:rFonts w:cs="宋体" w:asciiTheme="minorEastAsia" w:hAnsiTheme="minorEastAsia"/>
          <w:kern w:val="0"/>
          <w:sz w:val="24"/>
          <w:szCs w:val="24"/>
          <w:u w:val="single"/>
        </w:rPr>
        <w:t>______</w:t>
      </w:r>
      <w:r>
        <w:rPr>
          <w:rFonts w:hint="eastAsia" w:cs="宋体" w:asciiTheme="minorEastAsia" w:hAnsiTheme="minorEastAsia"/>
          <w:kern w:val="0"/>
          <w:sz w:val="24"/>
          <w:szCs w:val="24"/>
        </w:rPr>
        <w:t>单位的</w:t>
      </w:r>
      <w:r>
        <w:rPr>
          <w:rFonts w:cs="宋体" w:asciiTheme="minorEastAsia" w:hAnsiTheme="minorEastAsia"/>
          <w:kern w:val="0"/>
          <w:sz w:val="24"/>
          <w:szCs w:val="24"/>
          <w:u w:val="single"/>
        </w:rPr>
        <w:t>______</w:t>
      </w:r>
      <w:r>
        <w:rPr>
          <w:rFonts w:hint="eastAsia" w:cs="宋体" w:asciiTheme="minorEastAsia" w:hAnsiTheme="minorEastAsia"/>
          <w:kern w:val="0"/>
          <w:sz w:val="24"/>
          <w:szCs w:val="24"/>
        </w:rPr>
        <w:t>项目采购活动提供本单位制造的货物（由本单位承担工程</w:t>
      </w:r>
      <w:r>
        <w:rPr>
          <w:rFonts w:cs="宋体" w:asciiTheme="minorEastAsia" w:hAnsiTheme="minorEastAsia"/>
          <w:kern w:val="0"/>
          <w:sz w:val="24"/>
          <w:szCs w:val="24"/>
        </w:rPr>
        <w:t>/</w:t>
      </w:r>
      <w:r>
        <w:rPr>
          <w:rFonts w:hint="eastAsia" w:cs="宋体" w:asciiTheme="minorEastAsia" w:hAnsiTheme="minorEastAsia"/>
          <w:kern w:val="0"/>
          <w:sz w:val="24"/>
          <w:szCs w:val="24"/>
        </w:rPr>
        <w:t>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本单位对上述声明的真实性负责。如有虚假，将依法承担相应责任。</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供应商名称：</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（盖单位章）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月</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spacing w:line="360" w:lineRule="auto"/>
        <w:ind w:firstLine="480" w:firstLineChars="200"/>
        <w:jc w:val="center"/>
        <w:rPr>
          <w:rFonts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w:t>
      </w:r>
      <w:r>
        <w:rPr>
          <w:rFonts w:hint="eastAsia" w:cs="宋体" w:asciiTheme="minorEastAsia" w:hAnsiTheme="minorEastAsia"/>
          <w:kern w:val="0"/>
          <w:sz w:val="24"/>
          <w:szCs w:val="24"/>
        </w:rPr>
        <w:t>3</w:t>
      </w:r>
      <w:r>
        <w:rPr>
          <w:rFonts w:cs="宋体" w:asciiTheme="minorEastAsia" w:hAnsiTheme="minorEastAsia"/>
          <w:kern w:val="0"/>
          <w:sz w:val="24"/>
          <w:szCs w:val="24"/>
        </w:rPr>
        <w:t xml:space="preserve"> </w:t>
      </w:r>
      <w:r>
        <w:rPr>
          <w:rFonts w:hint="eastAsia" w:asciiTheme="minorEastAsia" w:hAnsiTheme="minorEastAsia"/>
          <w:kern w:val="0"/>
          <w:sz w:val="24"/>
          <w:szCs w:val="24"/>
        </w:rPr>
        <w:t>监狱企业声明函</w:t>
      </w:r>
    </w:p>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（监狱企业适用）</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本公司郑重声明，根据《关于政府采购支持监狱企业发展有关问题的通知》（财库[2014]68号）的规定，本公司为监狱企业。</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本公司参加______单位的______项目采购活动，采购活动提供本企业（填写制造的货物，由本企业承担工程、提供服务）。</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本条所称货物不包括使用大型企业注册商标的货物和服务。</w:t>
      </w:r>
    </w:p>
    <w:p>
      <w:pPr>
        <w:spacing w:line="360" w:lineRule="auto"/>
        <w:ind w:firstLine="540" w:firstLineChars="225"/>
        <w:rPr>
          <w:rFonts w:asciiTheme="minorEastAsia" w:hAnsiTheme="minorEastAsia"/>
          <w:kern w:val="0"/>
          <w:sz w:val="24"/>
          <w:szCs w:val="24"/>
        </w:rPr>
      </w:pPr>
      <w:r>
        <w:rPr>
          <w:rFonts w:hint="eastAsia" w:asciiTheme="minorEastAsia" w:hAnsiTheme="minorEastAsia"/>
          <w:kern w:val="0"/>
          <w:sz w:val="24"/>
          <w:szCs w:val="24"/>
        </w:rPr>
        <w:t>本公司对上述声明的真实性负责。如有虚假，将依法承担相应责任。</w:t>
      </w:r>
    </w:p>
    <w:p>
      <w:pPr>
        <w:spacing w:line="360" w:lineRule="auto"/>
        <w:rPr>
          <w:rFonts w:cs="宋体" w:asciiTheme="minorEastAsia" w:hAnsiTheme="minorEastAsia"/>
          <w:kern w:val="0"/>
          <w:sz w:val="24"/>
          <w:szCs w:val="24"/>
        </w:rPr>
      </w:pPr>
    </w:p>
    <w:p>
      <w:pPr>
        <w:spacing w:line="360" w:lineRule="auto"/>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u w:val="single"/>
        </w:rPr>
      </w:pPr>
      <w:r>
        <w:rPr>
          <w:rFonts w:hint="eastAsia" w:cs="宋体" w:asciiTheme="minorEastAsia" w:hAnsiTheme="minorEastAsia"/>
          <w:kern w:val="0"/>
          <w:sz w:val="24"/>
          <w:szCs w:val="24"/>
        </w:rPr>
        <w:t>供应商名称：</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u w:val="single"/>
        </w:rPr>
        <w:t>（盖单位章）</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日期：</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年</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月</w:t>
      </w:r>
      <w:r>
        <w:rPr>
          <w:rFonts w:cs="宋体" w:asciiTheme="minorEastAsia" w:hAnsiTheme="minorEastAsia"/>
          <w:kern w:val="0"/>
          <w:sz w:val="24"/>
          <w:szCs w:val="24"/>
          <w:u w:val="single"/>
        </w:rPr>
        <w:t xml:space="preserve">    </w:t>
      </w:r>
      <w:r>
        <w:rPr>
          <w:rFonts w:hint="eastAsia" w:cs="宋体" w:asciiTheme="minorEastAsia" w:hAnsiTheme="minorEastAsia"/>
          <w:kern w:val="0"/>
          <w:sz w:val="24"/>
          <w:szCs w:val="24"/>
        </w:rPr>
        <w:t>日</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p>
    <w:p>
      <w:pPr>
        <w:rPr>
          <w:rFonts w:cs="宋体" w:asciiTheme="minorEastAsia" w:hAnsiTheme="minorEastAsia"/>
          <w:kern w:val="0"/>
          <w:sz w:val="24"/>
          <w:szCs w:val="24"/>
        </w:rPr>
      </w:pPr>
      <w:r>
        <w:rPr>
          <w:rFonts w:cs="宋体" w:asciiTheme="minorEastAsia" w:hAnsiTheme="minorEastAsia"/>
          <w:kern w:val="0"/>
          <w:sz w:val="24"/>
          <w:szCs w:val="24"/>
        </w:rPr>
        <w:br w:type="page"/>
      </w:r>
    </w:p>
    <w:p>
      <w:pPr>
        <w:autoSpaceDE w:val="0"/>
        <w:autoSpaceDN w:val="0"/>
        <w:adjustRightInd w:val="0"/>
        <w:spacing w:line="360" w:lineRule="auto"/>
        <w:ind w:firstLine="482"/>
        <w:jc w:val="center"/>
        <w:rPr>
          <w:rFonts w:cs="宋体" w:asciiTheme="minorEastAsia" w:hAnsiTheme="minorEastAsia"/>
          <w:b/>
          <w:kern w:val="0"/>
          <w:sz w:val="24"/>
          <w:szCs w:val="24"/>
        </w:rPr>
      </w:pPr>
      <w:r>
        <w:rPr>
          <w:rFonts w:hint="eastAsia" w:cs="宋体" w:asciiTheme="minorEastAsia" w:hAnsiTheme="minorEastAsia"/>
          <w:b/>
          <w:kern w:val="0"/>
          <w:sz w:val="24"/>
          <w:szCs w:val="24"/>
        </w:rPr>
        <w:t>3、投标保证金提交证明</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9288" w:type="dxa"/>
            <w:vAlign w:val="center"/>
          </w:tcPr>
          <w:p>
            <w:pPr>
              <w:autoSpaceDE w:val="0"/>
              <w:autoSpaceDN w:val="0"/>
              <w:adjustRightInd w:val="0"/>
              <w:spacing w:line="360" w:lineRule="auto"/>
              <w:jc w:val="center"/>
              <w:rPr>
                <w:rFonts w:cs="宋体" w:asciiTheme="minorEastAsia" w:hAnsiTheme="minorEastAsia"/>
                <w:kern w:val="0"/>
                <w:sz w:val="24"/>
                <w:szCs w:val="24"/>
              </w:rPr>
            </w:pPr>
            <w:bookmarkStart w:id="95" w:name="OLE_LINK1"/>
            <w:bookmarkStart w:id="96" w:name="OLE_LINK2"/>
            <w:r>
              <w:rPr>
                <w:rFonts w:hint="eastAsia" w:cs="宋体" w:asciiTheme="minorEastAsia" w:hAnsiTheme="minorEastAsia"/>
                <w:kern w:val="0"/>
                <w:sz w:val="24"/>
                <w:szCs w:val="24"/>
              </w:rPr>
              <w:t>投标保证金电汇、网银缴纳凭证复印件</w:t>
            </w:r>
            <w:bookmarkEnd w:id="95"/>
            <w:bookmarkEnd w:id="96"/>
          </w:p>
        </w:tc>
      </w:tr>
    </w:tbl>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（投标人须将投标保证金电汇、网银缴纳凭证复印件附在此处）</w:t>
      </w:r>
    </w:p>
    <w:p>
      <w:pPr>
        <w:ind w:firstLine="482"/>
        <w:rPr>
          <w:rFonts w:cs="宋体" w:asciiTheme="minorEastAsia" w:hAnsiTheme="minorEastAsia"/>
          <w:b/>
          <w:bCs/>
          <w:kern w:val="0"/>
          <w:sz w:val="24"/>
          <w:szCs w:val="24"/>
        </w:rPr>
      </w:pPr>
      <w:r>
        <w:rPr>
          <w:rFonts w:cs="宋体" w:asciiTheme="minorEastAsia" w:hAnsiTheme="minorEastAsia"/>
          <w:b/>
          <w:bCs/>
          <w:kern w:val="0"/>
          <w:sz w:val="24"/>
          <w:szCs w:val="24"/>
        </w:rPr>
        <w:br w:type="page"/>
      </w:r>
    </w:p>
    <w:p>
      <w:pPr>
        <w:autoSpaceDE w:val="0"/>
        <w:autoSpaceDN w:val="0"/>
        <w:adjustRightInd w:val="0"/>
        <w:spacing w:line="360" w:lineRule="auto"/>
        <w:ind w:firstLine="482"/>
        <w:jc w:val="center"/>
        <w:rPr>
          <w:rFonts w:cs="宋体" w:asciiTheme="minorEastAsia" w:hAnsiTheme="minorEastAsia"/>
          <w:b/>
          <w:bCs/>
          <w:kern w:val="0"/>
          <w:sz w:val="24"/>
          <w:szCs w:val="24"/>
        </w:rPr>
      </w:pPr>
      <w:r>
        <w:rPr>
          <w:rFonts w:cs="宋体" w:asciiTheme="minorEastAsia" w:hAnsiTheme="minorEastAsia"/>
          <w:b/>
          <w:bCs/>
          <w:kern w:val="0"/>
          <w:sz w:val="24"/>
          <w:szCs w:val="24"/>
        </w:rPr>
        <w:t>4</w:t>
      </w:r>
      <w:r>
        <w:rPr>
          <w:rFonts w:hint="eastAsia" w:cs="宋体" w:asciiTheme="minorEastAsia" w:hAnsiTheme="minorEastAsia"/>
          <w:b/>
          <w:bCs/>
          <w:kern w:val="0"/>
          <w:sz w:val="24"/>
          <w:szCs w:val="24"/>
        </w:rPr>
        <w:t>、信用查询文件</w:t>
      </w:r>
    </w:p>
    <w:p>
      <w:pPr>
        <w:pStyle w:val="14"/>
        <w:spacing w:line="360" w:lineRule="auto"/>
        <w:ind w:firstLine="480" w:firstLineChars="2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4.1参加政府采购活动前三年内在经营活动中</w:t>
      </w:r>
    </w:p>
    <w:p>
      <w:pPr>
        <w:pStyle w:val="14"/>
        <w:spacing w:line="360" w:lineRule="auto"/>
        <w:ind w:firstLine="480" w:firstLineChars="200"/>
        <w:jc w:val="center"/>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没有重大违法记录</w:t>
      </w:r>
    </w:p>
    <w:p>
      <w:pPr>
        <w:pStyle w:val="14"/>
        <w:spacing w:line="360" w:lineRule="auto"/>
        <w:ind w:firstLine="480" w:firstLineChars="200"/>
        <w:rPr>
          <w:rFonts w:asciiTheme="minorEastAsia" w:hAnsiTheme="minorEastAsia" w:eastAsiaTheme="minorEastAsia"/>
          <w:sz w:val="24"/>
          <w:szCs w:val="24"/>
        </w:rPr>
      </w:pPr>
    </w:p>
    <w:p>
      <w:pPr>
        <w:pStyle w:val="14"/>
        <w:spacing w:line="360" w:lineRule="auto"/>
        <w:ind w:firstLine="400" w:firstLineChars="200"/>
        <w:rPr>
          <w:rFonts w:asciiTheme="minorEastAsia" w:hAnsiTheme="minorEastAsia" w:eastAsiaTheme="minorEastAsia"/>
          <w:sz w:val="20"/>
        </w:rPr>
      </w:pPr>
    </w:p>
    <w:p>
      <w:pPr>
        <w:pStyle w:val="14"/>
        <w:spacing w:line="360" w:lineRule="auto"/>
        <w:ind w:firstLine="480" w:firstLineChars="200"/>
        <w:rPr>
          <w:rFonts w:asciiTheme="minorEastAsia" w:hAnsiTheme="minorEastAsia" w:eastAsiaTheme="minorEastAsia"/>
        </w:rPr>
      </w:pPr>
      <w:r>
        <w:rPr>
          <w:rFonts w:hint="eastAsia" w:cs="宋体" w:asciiTheme="minorEastAsia" w:hAnsiTheme="minorEastAsia" w:eastAsiaTheme="minorEastAsia"/>
          <w:kern w:val="0"/>
          <w:sz w:val="24"/>
          <w:szCs w:val="24"/>
        </w:rPr>
        <w:t>注：附网页查询后的截图证明。</w:t>
      </w:r>
    </w:p>
    <w:p>
      <w:pPr>
        <w:autoSpaceDE w:val="0"/>
        <w:autoSpaceDN w:val="0"/>
        <w:adjustRightInd w:val="0"/>
        <w:spacing w:line="360" w:lineRule="auto"/>
        <w:ind w:firstLine="482" w:firstLineChars="200"/>
        <w:jc w:val="left"/>
        <w:rPr>
          <w:rFonts w:cs="宋体" w:asciiTheme="minorEastAsia" w:hAnsiTheme="minorEastAsia"/>
          <w:kern w:val="0"/>
          <w:sz w:val="24"/>
          <w:szCs w:val="24"/>
        </w:rPr>
      </w:pPr>
      <w:r>
        <w:rPr>
          <w:rFonts w:hint="eastAsia" w:cs="宋体" w:asciiTheme="minorEastAsia" w:hAnsiTheme="minorEastAsia"/>
          <w:b/>
          <w:kern w:val="0"/>
          <w:sz w:val="24"/>
          <w:szCs w:val="24"/>
        </w:rPr>
        <w:t>查询渠道为：</w:t>
      </w:r>
      <w:r>
        <w:rPr>
          <w:rFonts w:hint="eastAsia" w:cs="宋体" w:asciiTheme="minorEastAsia" w:hAnsiTheme="minorEastAsia"/>
          <w:kern w:val="0"/>
          <w:sz w:val="24"/>
          <w:szCs w:val="24"/>
        </w:rPr>
        <w:t>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）。查询时间为自公告发布之日起至投标文件递交截止时间止（该时间段内任一时间）。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pStyle w:val="14"/>
        <w:ind w:firstLine="420" w:firstLineChars="200"/>
        <w:rPr>
          <w:rFonts w:asciiTheme="minorEastAsia" w:hAnsiTheme="minorEastAsia" w:eastAsiaTheme="minorEastAsia"/>
        </w:rPr>
      </w:pPr>
    </w:p>
    <w:p>
      <w:pPr>
        <w:pStyle w:val="14"/>
        <w:rPr>
          <w:rFonts w:asciiTheme="minorEastAsia" w:hAnsiTheme="minorEastAsia" w:eastAsiaTheme="minorEastAsia"/>
        </w:rPr>
      </w:pPr>
    </w:p>
    <w:p>
      <w:pPr>
        <w:pStyle w:val="14"/>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4.2无不良信用记录</w:t>
      </w:r>
    </w:p>
    <w:p>
      <w:pPr>
        <w:autoSpaceDE w:val="0"/>
        <w:autoSpaceDN w:val="0"/>
        <w:adjustRightInd w:val="0"/>
        <w:spacing w:line="360" w:lineRule="auto"/>
        <w:jc w:val="center"/>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注：附网页查询后的截图证明</w:t>
      </w:r>
    </w:p>
    <w:p>
      <w:pPr>
        <w:autoSpaceDE w:val="0"/>
        <w:autoSpaceDN w:val="0"/>
        <w:adjustRightInd w:val="0"/>
        <w:spacing w:line="360" w:lineRule="auto"/>
        <w:ind w:firstLine="482" w:firstLineChars="200"/>
        <w:jc w:val="left"/>
        <w:rPr>
          <w:rFonts w:cs="宋体" w:asciiTheme="minorEastAsia" w:hAnsiTheme="minorEastAsia"/>
          <w:kern w:val="0"/>
          <w:sz w:val="24"/>
          <w:szCs w:val="24"/>
        </w:rPr>
      </w:pPr>
      <w:r>
        <w:rPr>
          <w:rFonts w:hint="eastAsia" w:cs="宋体" w:asciiTheme="minorEastAsia" w:hAnsiTheme="minorEastAsia"/>
          <w:b/>
          <w:kern w:val="0"/>
          <w:sz w:val="24"/>
          <w:szCs w:val="24"/>
        </w:rPr>
        <w:t>查询渠道为：</w:t>
      </w:r>
      <w:r>
        <w:rPr>
          <w:rFonts w:hint="eastAsia" w:cs="宋体" w:asciiTheme="minorEastAsia" w:hAnsiTheme="minorEastAsia"/>
          <w:kern w:val="0"/>
          <w:sz w:val="24"/>
          <w:szCs w:val="24"/>
        </w:rPr>
        <w:t>“信用中国”网站（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）查询时间为自公告发布之日起至投标文件递交截止时间止（该时间段内任一时间）。</w:t>
      </w:r>
    </w:p>
    <w:p>
      <w:pPr>
        <w:pStyle w:val="14"/>
        <w:spacing w:line="360" w:lineRule="auto"/>
        <w:jc w:val="center"/>
        <w:rPr>
          <w:rFonts w:cs="宋体" w:asciiTheme="minorEastAsia" w:hAnsiTheme="minorEastAsia" w:eastAsiaTheme="minorEastAsia"/>
          <w:kern w:val="0"/>
          <w:sz w:val="24"/>
          <w:szCs w:val="24"/>
        </w:rPr>
      </w:pPr>
    </w:p>
    <w:p>
      <w:pPr>
        <w:pStyle w:val="14"/>
        <w:spacing w:line="360" w:lineRule="auto"/>
        <w:jc w:val="center"/>
        <w:rPr>
          <w:rFonts w:cs="宋体" w:asciiTheme="minorEastAsia" w:hAnsiTheme="minorEastAsia" w:eastAsiaTheme="minorEastAsia"/>
          <w:kern w:val="0"/>
          <w:sz w:val="24"/>
          <w:szCs w:val="24"/>
        </w:rPr>
      </w:pPr>
    </w:p>
    <w:p>
      <w:pPr>
        <w:pStyle w:val="14"/>
        <w:spacing w:line="360" w:lineRule="auto"/>
        <w:jc w:val="center"/>
        <w:rPr>
          <w:rFonts w:cs="宋体" w:asciiTheme="minorEastAsia" w:hAnsiTheme="minorEastAsia" w:eastAsiaTheme="minorEastAsia"/>
          <w:color w:val="auto"/>
          <w:kern w:val="0"/>
          <w:sz w:val="24"/>
          <w:szCs w:val="24"/>
        </w:rPr>
      </w:pPr>
    </w:p>
    <w:p>
      <w:pPr>
        <w:pStyle w:val="14"/>
        <w:spacing w:line="360" w:lineRule="auto"/>
        <w:jc w:val="center"/>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4.3无行贿犯罪</w:t>
      </w:r>
    </w:p>
    <w:p>
      <w:pPr>
        <w:rPr>
          <w:rFonts w:cs="宋体" w:asciiTheme="minorEastAsia" w:hAnsiTheme="minorEastAsia"/>
          <w:color w:val="auto"/>
          <w:kern w:val="0"/>
          <w:sz w:val="24"/>
          <w:szCs w:val="24"/>
        </w:rPr>
      </w:pPr>
    </w:p>
    <w:p>
      <w:pPr>
        <w:pStyle w:val="10"/>
        <w:ind w:firstLine="482"/>
        <w:rPr>
          <w:color w:val="auto"/>
        </w:rPr>
      </w:pPr>
    </w:p>
    <w:p>
      <w:pPr>
        <w:autoSpaceDE w:val="0"/>
        <w:autoSpaceDN w:val="0"/>
        <w:adjustRightInd w:val="0"/>
        <w:spacing w:line="360" w:lineRule="auto"/>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注：附网页查询后的截图证明</w:t>
      </w:r>
    </w:p>
    <w:p>
      <w:pPr>
        <w:pStyle w:val="10"/>
        <w:ind w:firstLine="482"/>
      </w:pPr>
      <w:r>
        <w:rPr>
          <w:rFonts w:hint="eastAsia"/>
        </w:rPr>
        <w:t>查询渠道为：</w:t>
      </w:r>
      <w:r>
        <w:rPr>
          <w:rFonts w:hint="eastAsia"/>
          <w:bCs/>
        </w:rPr>
        <w:t>“中国裁判文书网”</w:t>
      </w:r>
      <w:r>
        <w:rPr>
          <w:rFonts w:hint="eastAsia"/>
        </w:rPr>
        <w:t>（http://wenshu.court.gov.cn）查询时间为自公告发布之日起至投标文件递交截止时间止（该时间段内任一时间）。</w:t>
      </w:r>
    </w:p>
    <w:p>
      <w:pPr>
        <w:rPr>
          <w:rFonts w:cs="Arial" w:asciiTheme="minorEastAsia" w:hAnsiTheme="minorEastAsia"/>
          <w:kern w:val="0"/>
          <w:sz w:val="24"/>
          <w:szCs w:val="24"/>
        </w:rPr>
      </w:pPr>
    </w:p>
    <w:p>
      <w:pPr>
        <w:ind w:firstLine="482"/>
        <w:rPr>
          <w:rFonts w:cs="宋体" w:asciiTheme="minorEastAsia" w:hAnsiTheme="minorEastAsia"/>
          <w:b/>
          <w:sz w:val="24"/>
          <w:szCs w:val="24"/>
        </w:rPr>
      </w:pPr>
      <w:bookmarkStart w:id="97" w:name="_Toc504493189"/>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98" w:name="_Toc16085"/>
      <w:r>
        <w:rPr>
          <w:rFonts w:hint="eastAsia" w:cs="宋体" w:asciiTheme="minorEastAsia" w:hAnsiTheme="minorEastAsia"/>
          <w:b/>
          <w:sz w:val="24"/>
          <w:szCs w:val="24"/>
        </w:rPr>
        <w:t>九、</w:t>
      </w:r>
      <w:bookmarkEnd w:id="97"/>
      <w:r>
        <w:rPr>
          <w:rFonts w:hint="eastAsia" w:cs="宋体" w:asciiTheme="minorEastAsia" w:hAnsiTheme="minorEastAsia"/>
          <w:b/>
          <w:sz w:val="24"/>
          <w:szCs w:val="24"/>
        </w:rPr>
        <w:t>投标人近年类似项目情况表</w:t>
      </w:r>
      <w:bookmarkEnd w:id="98"/>
    </w:p>
    <w:tbl>
      <w:tblPr>
        <w:tblStyle w:val="34"/>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32"/>
        <w:gridCol w:w="61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项目名称</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采购人名称</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采购人地址</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采购人联系人及电话</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绿化养护面积</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养护周期</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签约日期</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合同价格</w:t>
            </w:r>
          </w:p>
        </w:tc>
        <w:tc>
          <w:tcPr>
            <w:tcW w:w="6148" w:type="dxa"/>
            <w:vAlign w:val="center"/>
          </w:tcPr>
          <w:p>
            <w:pPr>
              <w:jc w:val="center"/>
              <w:rPr>
                <w:rFonts w:cs="Times New Roman" w:asciiTheme="minorEastAsia"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032"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备注</w:t>
            </w:r>
          </w:p>
        </w:tc>
        <w:tc>
          <w:tcPr>
            <w:tcW w:w="6148" w:type="dxa"/>
            <w:vAlign w:val="center"/>
          </w:tcPr>
          <w:p>
            <w:pPr>
              <w:jc w:val="center"/>
              <w:rPr>
                <w:rFonts w:cs="Times New Roman" w:asciiTheme="minorEastAsia" w:hAnsiTheme="minorEastAsia"/>
                <w:sz w:val="24"/>
                <w:szCs w:val="24"/>
              </w:rPr>
            </w:pPr>
          </w:p>
        </w:tc>
      </w:tr>
    </w:tbl>
    <w:p>
      <w:pPr>
        <w:spacing w:line="360" w:lineRule="auto"/>
        <w:jc w:val="left"/>
        <w:rPr>
          <w:rFonts w:cs="Times New Roman" w:asciiTheme="minorEastAsia" w:hAnsiTheme="minorEastAsia"/>
          <w:sz w:val="24"/>
          <w:szCs w:val="24"/>
        </w:rPr>
      </w:pPr>
      <w:r>
        <w:rPr>
          <w:rFonts w:hint="eastAsia" w:cs="Times New Roman" w:asciiTheme="minorEastAsia" w:hAnsiTheme="minorEastAsia"/>
          <w:sz w:val="24"/>
          <w:szCs w:val="24"/>
        </w:rPr>
        <w:t>备注：</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1、本表后须附类似业绩的证明资料（中标通知书或合同复印件）</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2、具体年份要求： 2020年1月1日至今</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3、每张表格只填写一个项目的信息，并注明序号。</w:t>
      </w:r>
    </w:p>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br w:type="page"/>
      </w:r>
    </w:p>
    <w:p>
      <w:pPr>
        <w:widowControl/>
        <w:ind w:firstLine="482"/>
        <w:jc w:val="center"/>
        <w:outlineLvl w:val="1"/>
        <w:rPr>
          <w:rFonts w:cs="宋体" w:asciiTheme="minorEastAsia" w:hAnsiTheme="minorEastAsia"/>
          <w:color w:val="000000" w:themeColor="text1"/>
          <w:kern w:val="0"/>
          <w:sz w:val="24"/>
          <w:szCs w:val="24"/>
          <w14:textFill>
            <w14:solidFill>
              <w14:schemeClr w14:val="tx1"/>
            </w14:solidFill>
          </w14:textFill>
        </w:rPr>
      </w:pPr>
      <w:bookmarkStart w:id="99" w:name="_Toc19094"/>
      <w:bookmarkStart w:id="100" w:name="_Toc5810"/>
      <w:bookmarkStart w:id="101" w:name="_Toc24562"/>
      <w:bookmarkStart w:id="102" w:name="_Toc19134"/>
      <w:r>
        <w:rPr>
          <w:rFonts w:hint="eastAsia" w:cs="宋体" w:asciiTheme="minorEastAsia" w:hAnsiTheme="minorEastAsia"/>
          <w:b/>
          <w:bCs/>
          <w:color w:val="000000" w:themeColor="text1"/>
          <w:sz w:val="24"/>
          <w:szCs w:val="24"/>
          <w14:textFill>
            <w14:solidFill>
              <w14:schemeClr w14:val="tx1"/>
            </w14:solidFill>
          </w14:textFill>
        </w:rPr>
        <w:t>十、拟投入本项目主要</w:t>
      </w:r>
      <w:bookmarkEnd w:id="99"/>
      <w:bookmarkEnd w:id="100"/>
      <w:bookmarkEnd w:id="101"/>
      <w:r>
        <w:rPr>
          <w:rFonts w:hint="eastAsia" w:cs="宋体" w:asciiTheme="minorEastAsia" w:hAnsiTheme="minorEastAsia"/>
          <w:b/>
          <w:bCs/>
          <w:color w:val="000000" w:themeColor="text1"/>
          <w:sz w:val="24"/>
          <w:szCs w:val="24"/>
          <w14:textFill>
            <w14:solidFill>
              <w14:schemeClr w14:val="tx1"/>
            </w14:solidFill>
          </w14:textFill>
        </w:rPr>
        <w:t>机械设备</w:t>
      </w:r>
      <w:bookmarkEnd w:id="102"/>
    </w:p>
    <w:p>
      <w:pPr>
        <w:spacing w:line="440" w:lineRule="exact"/>
        <w:ind w:firstLine="482" w:firstLineChars="200"/>
        <w:rPr>
          <w:rFonts w:asciiTheme="minorEastAsia" w:hAnsiTheme="minorEastAsia"/>
          <w:b/>
          <w:bCs/>
          <w:sz w:val="24"/>
        </w:rPr>
      </w:pP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59"/>
        <w:gridCol w:w="2160"/>
        <w:gridCol w:w="2159"/>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r>
              <w:rPr>
                <w:rFonts w:hint="eastAsia" w:asciiTheme="minorEastAsia" w:hAnsiTheme="minorEastAsia"/>
                <w:sz w:val="24"/>
              </w:rPr>
              <w:t>序号</w:t>
            </w:r>
          </w:p>
        </w:tc>
        <w:tc>
          <w:tcPr>
            <w:tcW w:w="2159" w:type="dxa"/>
          </w:tcPr>
          <w:p>
            <w:pPr>
              <w:spacing w:line="440" w:lineRule="exact"/>
              <w:jc w:val="center"/>
              <w:rPr>
                <w:rFonts w:asciiTheme="minorEastAsia" w:hAnsiTheme="minorEastAsia"/>
                <w:sz w:val="24"/>
              </w:rPr>
            </w:pPr>
            <w:r>
              <w:rPr>
                <w:rFonts w:hint="eastAsia" w:asciiTheme="minorEastAsia" w:hAnsiTheme="minorEastAsia"/>
                <w:sz w:val="24"/>
              </w:rPr>
              <w:t>机械/设备名称</w:t>
            </w:r>
          </w:p>
        </w:tc>
        <w:tc>
          <w:tcPr>
            <w:tcW w:w="2160" w:type="dxa"/>
          </w:tcPr>
          <w:p>
            <w:pPr>
              <w:spacing w:line="440" w:lineRule="exact"/>
              <w:jc w:val="center"/>
              <w:rPr>
                <w:rFonts w:asciiTheme="minorEastAsia" w:hAnsiTheme="minorEastAsia"/>
                <w:sz w:val="24"/>
              </w:rPr>
            </w:pPr>
            <w:r>
              <w:rPr>
                <w:rFonts w:hint="eastAsia" w:asciiTheme="minorEastAsia" w:hAnsiTheme="minorEastAsia"/>
                <w:sz w:val="24"/>
              </w:rPr>
              <w:t>型号</w:t>
            </w:r>
          </w:p>
        </w:tc>
        <w:tc>
          <w:tcPr>
            <w:tcW w:w="2159" w:type="dxa"/>
          </w:tcPr>
          <w:p>
            <w:pPr>
              <w:spacing w:line="440" w:lineRule="exact"/>
              <w:jc w:val="center"/>
              <w:rPr>
                <w:rFonts w:asciiTheme="minorEastAsia" w:hAnsiTheme="minorEastAsia"/>
                <w:sz w:val="24"/>
              </w:rPr>
            </w:pPr>
            <w:r>
              <w:rPr>
                <w:rFonts w:hint="eastAsia" w:asciiTheme="minorEastAsia" w:hAnsiTheme="minorEastAsia"/>
                <w:sz w:val="24"/>
              </w:rPr>
              <w:t>数量</w:t>
            </w:r>
          </w:p>
        </w:tc>
        <w:tc>
          <w:tcPr>
            <w:tcW w:w="2160" w:type="dxa"/>
          </w:tcPr>
          <w:p>
            <w:pPr>
              <w:spacing w:line="440" w:lineRule="exact"/>
              <w:jc w:val="center"/>
              <w:rPr>
                <w:rFonts w:asciiTheme="minorEastAsia" w:hAnsiTheme="minorEastAsia"/>
                <w:sz w:val="24"/>
              </w:rPr>
            </w:pPr>
            <w:r>
              <w:rPr>
                <w:rFonts w:hint="eastAsia" w:asciiTheme="minorEastAsia" w:hAnsiTheme="minorEastAsia"/>
                <w:sz w:val="24"/>
              </w:rPr>
              <w:t>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c>
          <w:tcPr>
            <w:tcW w:w="2159" w:type="dxa"/>
          </w:tcPr>
          <w:p>
            <w:pPr>
              <w:spacing w:line="440" w:lineRule="exact"/>
              <w:rPr>
                <w:rFonts w:asciiTheme="minorEastAsia" w:hAnsiTheme="minorEastAsia"/>
                <w:sz w:val="24"/>
              </w:rPr>
            </w:pPr>
          </w:p>
        </w:tc>
        <w:tc>
          <w:tcPr>
            <w:tcW w:w="2160" w:type="dxa"/>
          </w:tcPr>
          <w:p>
            <w:pPr>
              <w:spacing w:line="440" w:lineRule="exact"/>
              <w:rPr>
                <w:rFonts w:asciiTheme="minorEastAsia" w:hAnsiTheme="minorEastAsia"/>
                <w:sz w:val="24"/>
              </w:rPr>
            </w:pPr>
          </w:p>
        </w:tc>
      </w:tr>
    </w:tbl>
    <w:p>
      <w:pPr>
        <w:ind w:firstLine="482"/>
        <w:rPr>
          <w:rFonts w:cs="宋体" w:asciiTheme="minorEastAsia" w:hAnsiTheme="minorEastAsia"/>
          <w:b/>
          <w:sz w:val="24"/>
          <w:szCs w:val="24"/>
        </w:rPr>
      </w:pPr>
      <w:r>
        <w:rPr>
          <w:rFonts w:hint="eastAsia" w:cs="宋体" w:asciiTheme="minorEastAsia" w:hAnsiTheme="minorEastAsia"/>
          <w:b/>
          <w:sz w:val="24"/>
          <w:szCs w:val="24"/>
        </w:rPr>
        <w:t>备注：作业车辆证明需提供自有发票或租赁合同、行驶证及车辆实物照（附牌照号）复印件。</w:t>
      </w: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Arial" w:asciiTheme="minorEastAsia" w:hAnsiTheme="minorEastAsia"/>
          <w:kern w:val="0"/>
          <w:sz w:val="24"/>
          <w:szCs w:val="24"/>
        </w:rPr>
      </w:pPr>
      <w:bookmarkStart w:id="103" w:name="_Toc326"/>
      <w:r>
        <w:rPr>
          <w:rFonts w:hint="eastAsia" w:cs="宋体" w:asciiTheme="minorEastAsia" w:hAnsiTheme="minorEastAsia"/>
          <w:b/>
          <w:sz w:val="24"/>
          <w:szCs w:val="24"/>
        </w:rPr>
        <w:t>十一、项目负责人简历表</w:t>
      </w:r>
      <w:bookmarkEnd w:id="103"/>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568"/>
        <w:gridCol w:w="1230"/>
        <w:gridCol w:w="353"/>
        <w:gridCol w:w="1582"/>
        <w:gridCol w:w="1583"/>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姓名</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性别</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职称</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学历</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sz w:val="24"/>
                <w:szCs w:val="24"/>
              </w:rPr>
            </w:pPr>
            <w:r>
              <w:rPr>
                <w:rFonts w:hint="eastAsia" w:cs="宋体" w:asciiTheme="minorEastAsia" w:hAnsiTheme="minorEastAsia"/>
                <w:sz w:val="24"/>
                <w:szCs w:val="24"/>
              </w:rPr>
              <w:t>参加工作时间</w:t>
            </w:r>
          </w:p>
        </w:tc>
        <w:tc>
          <w:tcPr>
            <w:tcW w:w="2798" w:type="dxa"/>
            <w:gridSpan w:val="2"/>
            <w:vAlign w:val="center"/>
          </w:tcPr>
          <w:p>
            <w:pPr>
              <w:rPr>
                <w:rFonts w:cs="宋体" w:asciiTheme="minorEastAsia" w:hAnsiTheme="minorEastAsia"/>
                <w:sz w:val="24"/>
                <w:szCs w:val="24"/>
              </w:rPr>
            </w:pPr>
          </w:p>
        </w:tc>
        <w:tc>
          <w:tcPr>
            <w:tcW w:w="1935" w:type="dxa"/>
            <w:gridSpan w:val="2"/>
            <w:vAlign w:val="center"/>
          </w:tcPr>
          <w:p>
            <w:pPr>
              <w:rPr>
                <w:rFonts w:cs="宋体" w:asciiTheme="minorEastAsia" w:hAnsiTheme="minorEastAsia"/>
                <w:sz w:val="24"/>
                <w:szCs w:val="24"/>
              </w:rPr>
            </w:pPr>
            <w:r>
              <w:rPr>
                <w:rFonts w:hint="eastAsia" w:cs="宋体" w:asciiTheme="minorEastAsia" w:hAnsiTheme="minorEastAsia"/>
                <w:sz w:val="24"/>
                <w:szCs w:val="24"/>
              </w:rPr>
              <w:t>从事项目管理工作年限</w:t>
            </w:r>
          </w:p>
        </w:tc>
        <w:tc>
          <w:tcPr>
            <w:tcW w:w="2639" w:type="dxa"/>
            <w:gridSpan w:val="2"/>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专业</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毕业学校</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身份证号码</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在公司担任职务</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执业资格</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证书编号</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80" w:type="dxa"/>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固定电话</w:t>
            </w:r>
          </w:p>
        </w:tc>
        <w:tc>
          <w:tcPr>
            <w:tcW w:w="2798" w:type="dxa"/>
            <w:gridSpan w:val="2"/>
            <w:vAlign w:val="center"/>
          </w:tcPr>
          <w:p>
            <w:pPr>
              <w:rPr>
                <w:rFonts w:cs="宋体" w:asciiTheme="minorEastAsia" w:hAnsiTheme="minorEastAsia"/>
                <w:color w:val="000000"/>
                <w:sz w:val="24"/>
                <w:szCs w:val="24"/>
              </w:rPr>
            </w:pPr>
          </w:p>
        </w:tc>
        <w:tc>
          <w:tcPr>
            <w:tcW w:w="1935" w:type="dxa"/>
            <w:gridSpan w:val="2"/>
            <w:vAlign w:val="center"/>
          </w:tcPr>
          <w:p>
            <w:pPr>
              <w:rPr>
                <w:rFonts w:cs="宋体" w:asciiTheme="minorEastAsia" w:hAnsiTheme="minorEastAsia"/>
                <w:color w:val="000000"/>
                <w:sz w:val="24"/>
                <w:szCs w:val="24"/>
              </w:rPr>
            </w:pPr>
            <w:r>
              <w:rPr>
                <w:rFonts w:hint="eastAsia" w:cs="宋体" w:asciiTheme="minorEastAsia" w:hAnsiTheme="minorEastAsia"/>
                <w:color w:val="000000"/>
                <w:sz w:val="24"/>
                <w:szCs w:val="24"/>
              </w:rPr>
              <w:t>手机号码</w:t>
            </w:r>
          </w:p>
        </w:tc>
        <w:tc>
          <w:tcPr>
            <w:tcW w:w="2639" w:type="dxa"/>
            <w:gridSpan w:val="2"/>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880" w:type="dxa"/>
            <w:vMerge w:val="restart"/>
            <w:vAlign w:val="center"/>
          </w:tcPr>
          <w:p>
            <w:pPr>
              <w:jc w:val="center"/>
              <w:rPr>
                <w:rFonts w:cs="宋体" w:asciiTheme="minorEastAsia" w:hAnsiTheme="minorEastAsia"/>
                <w:color w:val="000000"/>
                <w:sz w:val="24"/>
                <w:szCs w:val="24"/>
              </w:rPr>
            </w:pPr>
            <w:r>
              <w:rPr>
                <w:rFonts w:hint="eastAsia" w:asciiTheme="minorEastAsia" w:hAnsiTheme="minorEastAsia"/>
                <w:sz w:val="24"/>
                <w:szCs w:val="24"/>
              </w:rPr>
              <w:t>近三年</w:t>
            </w:r>
            <w:r>
              <w:rPr>
                <w:rFonts w:hint="eastAsia" w:cs="宋体" w:asciiTheme="minorEastAsia" w:hAnsiTheme="minorEastAsia"/>
                <w:color w:val="000000"/>
                <w:sz w:val="24"/>
                <w:szCs w:val="24"/>
              </w:rPr>
              <w:t>类似业绩</w:t>
            </w:r>
          </w:p>
        </w:tc>
        <w:tc>
          <w:tcPr>
            <w:tcW w:w="1568"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业主单位</w:t>
            </w:r>
          </w:p>
        </w:tc>
        <w:tc>
          <w:tcPr>
            <w:tcW w:w="1583" w:type="dxa"/>
            <w:gridSpan w:val="2"/>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项目名称</w:t>
            </w:r>
          </w:p>
        </w:tc>
        <w:tc>
          <w:tcPr>
            <w:tcW w:w="1582"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项目规模</w:t>
            </w:r>
          </w:p>
        </w:tc>
        <w:tc>
          <w:tcPr>
            <w:tcW w:w="1583"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履约时间</w:t>
            </w:r>
          </w:p>
        </w:tc>
        <w:tc>
          <w:tcPr>
            <w:tcW w:w="1056"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880" w:type="dxa"/>
            <w:vMerge w:val="continue"/>
            <w:vAlign w:val="center"/>
          </w:tcPr>
          <w:p>
            <w:pPr>
              <w:rPr>
                <w:rFonts w:cs="宋体" w:asciiTheme="minorEastAsia" w:hAnsiTheme="minorEastAsia"/>
                <w:color w:val="000000"/>
                <w:sz w:val="24"/>
                <w:szCs w:val="24"/>
              </w:rPr>
            </w:pPr>
          </w:p>
        </w:tc>
        <w:tc>
          <w:tcPr>
            <w:tcW w:w="1568" w:type="dxa"/>
            <w:vAlign w:val="center"/>
          </w:tcPr>
          <w:p>
            <w:pPr>
              <w:rPr>
                <w:rFonts w:cs="宋体" w:asciiTheme="minorEastAsia" w:hAnsiTheme="minorEastAsia"/>
                <w:color w:val="000000"/>
                <w:sz w:val="24"/>
                <w:szCs w:val="24"/>
              </w:rPr>
            </w:pPr>
          </w:p>
        </w:tc>
        <w:tc>
          <w:tcPr>
            <w:tcW w:w="1583" w:type="dxa"/>
            <w:gridSpan w:val="2"/>
            <w:vAlign w:val="center"/>
          </w:tcPr>
          <w:p>
            <w:pPr>
              <w:rPr>
                <w:rFonts w:cs="宋体" w:asciiTheme="minorEastAsia" w:hAnsiTheme="minorEastAsia"/>
                <w:color w:val="000000"/>
                <w:sz w:val="24"/>
                <w:szCs w:val="24"/>
              </w:rPr>
            </w:pPr>
          </w:p>
        </w:tc>
        <w:tc>
          <w:tcPr>
            <w:tcW w:w="1582" w:type="dxa"/>
            <w:vAlign w:val="center"/>
          </w:tcPr>
          <w:p>
            <w:pPr>
              <w:rPr>
                <w:rFonts w:cs="宋体" w:asciiTheme="minorEastAsia" w:hAnsiTheme="minorEastAsia"/>
                <w:color w:val="000000"/>
                <w:sz w:val="24"/>
                <w:szCs w:val="24"/>
              </w:rPr>
            </w:pPr>
          </w:p>
        </w:tc>
        <w:tc>
          <w:tcPr>
            <w:tcW w:w="1583" w:type="dxa"/>
            <w:vAlign w:val="center"/>
          </w:tcPr>
          <w:p>
            <w:pPr>
              <w:rPr>
                <w:rFonts w:cs="宋体" w:asciiTheme="minorEastAsia" w:hAnsiTheme="minorEastAsia"/>
                <w:color w:val="000000"/>
                <w:sz w:val="24"/>
                <w:szCs w:val="24"/>
              </w:rPr>
            </w:pPr>
          </w:p>
        </w:tc>
        <w:tc>
          <w:tcPr>
            <w:tcW w:w="1056" w:type="dxa"/>
            <w:vAlign w:val="center"/>
          </w:tcPr>
          <w:p>
            <w:pPr>
              <w:rPr>
                <w:rFonts w:cs="宋体" w:asciiTheme="minorEastAsia" w:hAnsiTheme="minorEastAsia"/>
                <w:color w:val="000000"/>
                <w:sz w:val="24"/>
                <w:szCs w:val="24"/>
              </w:rPr>
            </w:pPr>
          </w:p>
        </w:tc>
      </w:tr>
    </w:tbl>
    <w:p>
      <w:pPr>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w:t>
      </w:r>
      <w:r>
        <w:rPr>
          <w:rFonts w:hint="eastAsia" w:asciiTheme="minorEastAsia" w:hAnsiTheme="minorEastAsia"/>
          <w:bCs/>
          <w:sz w:val="24"/>
          <w:szCs w:val="24"/>
        </w:rPr>
        <w:t>项目负责人应附</w:t>
      </w:r>
      <w:r>
        <w:rPr>
          <w:rFonts w:hint="eastAsia" w:asciiTheme="minorEastAsia" w:hAnsiTheme="minorEastAsia" w:cstheme="minorEastAsia"/>
          <w:sz w:val="24"/>
          <w:szCs w:val="24"/>
        </w:rPr>
        <w:t>聘用合同、身份证复印件扫描件等</w:t>
      </w:r>
    </w:p>
    <w:p>
      <w:pPr>
        <w:widowControl/>
        <w:shd w:val="clear" w:color="auto" w:fill="FFFFFF"/>
        <w:snapToGrid w:val="0"/>
        <w:ind w:firstLine="480" w:firstLineChars="200"/>
        <w:jc w:val="left"/>
        <w:rPr>
          <w:rFonts w:cs="Arial" w:asciiTheme="minorEastAsia" w:hAnsiTheme="minorEastAsia"/>
          <w:kern w:val="0"/>
          <w:sz w:val="24"/>
          <w:szCs w:val="24"/>
        </w:rPr>
      </w:pPr>
      <w:r>
        <w:rPr>
          <w:rFonts w:hint="eastAsia" w:asciiTheme="minorEastAsia" w:hAnsiTheme="minorEastAsia"/>
          <w:color w:val="000000"/>
          <w:sz w:val="24"/>
          <w:szCs w:val="24"/>
        </w:rPr>
        <w:t>2、项目负责人近3年类似业绩应</w:t>
      </w:r>
      <w:r>
        <w:rPr>
          <w:rFonts w:hint="eastAsia" w:cs="宋体" w:asciiTheme="minorEastAsia" w:hAnsiTheme="minorEastAsia"/>
          <w:sz w:val="24"/>
          <w:szCs w:val="24"/>
        </w:rPr>
        <w:t>附</w:t>
      </w:r>
      <w:r>
        <w:rPr>
          <w:rFonts w:hint="eastAsia" w:asciiTheme="minorEastAsia" w:hAnsiTheme="minorEastAsia"/>
          <w:color w:val="000000"/>
          <w:sz w:val="24"/>
          <w:szCs w:val="24"/>
        </w:rPr>
        <w:t>中标通知书或合同复印件。</w:t>
      </w: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widowControl/>
        <w:shd w:val="clear" w:color="auto" w:fill="FFFFFF"/>
        <w:snapToGrid w:val="0"/>
        <w:jc w:val="right"/>
        <w:rPr>
          <w:rFonts w:cs="Arial" w:asciiTheme="minorEastAsia" w:hAnsiTheme="minorEastAsia"/>
          <w:kern w:val="0"/>
          <w:sz w:val="24"/>
          <w:szCs w:val="24"/>
        </w:rPr>
      </w:pPr>
    </w:p>
    <w:p>
      <w:pPr>
        <w:tabs>
          <w:tab w:val="center" w:pos="4832"/>
          <w:tab w:val="left" w:pos="7140"/>
        </w:tabs>
        <w:ind w:firstLine="482"/>
        <w:jc w:val="center"/>
        <w:outlineLvl w:val="1"/>
        <w:rPr>
          <w:rFonts w:cs="Arial" w:asciiTheme="minorEastAsia" w:hAnsiTheme="minorEastAsia"/>
          <w:kern w:val="0"/>
          <w:sz w:val="24"/>
          <w:szCs w:val="24"/>
        </w:rPr>
      </w:pPr>
      <w:r>
        <w:rPr>
          <w:rFonts w:cs="Arial" w:asciiTheme="minorEastAsia" w:hAnsiTheme="minorEastAsia"/>
          <w:b/>
          <w:bCs/>
          <w:kern w:val="0"/>
          <w:sz w:val="24"/>
          <w:szCs w:val="24"/>
        </w:rPr>
        <w:br w:type="page"/>
      </w:r>
      <w:bookmarkStart w:id="104" w:name="_Toc6227"/>
      <w:r>
        <w:rPr>
          <w:rFonts w:hint="eastAsia" w:cs="Arial" w:asciiTheme="minorEastAsia" w:hAnsiTheme="minorEastAsia"/>
          <w:b/>
          <w:bCs/>
          <w:kern w:val="0"/>
          <w:sz w:val="24"/>
          <w:szCs w:val="24"/>
        </w:rPr>
        <w:t>十二</w:t>
      </w:r>
      <w:r>
        <w:rPr>
          <w:rFonts w:hint="eastAsia" w:cs="宋体" w:asciiTheme="minorEastAsia" w:hAnsiTheme="minorEastAsia"/>
          <w:b/>
          <w:sz w:val="24"/>
          <w:szCs w:val="24"/>
        </w:rPr>
        <w:t>、拟投入人员配置表</w:t>
      </w:r>
      <w:bookmarkEnd w:id="104"/>
    </w:p>
    <w:tbl>
      <w:tblPr>
        <w:tblStyle w:val="34"/>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167"/>
        <w:gridCol w:w="1140"/>
        <w:gridCol w:w="1168"/>
        <w:gridCol w:w="1168"/>
        <w:gridCol w:w="1142"/>
        <w:gridCol w:w="116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165"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姓名</w:t>
            </w:r>
          </w:p>
        </w:tc>
        <w:tc>
          <w:tcPr>
            <w:tcW w:w="1167"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身份证号码</w:t>
            </w:r>
          </w:p>
        </w:tc>
        <w:tc>
          <w:tcPr>
            <w:tcW w:w="114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性别</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职称</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学历</w:t>
            </w:r>
          </w:p>
        </w:tc>
        <w:tc>
          <w:tcPr>
            <w:tcW w:w="1142"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专业</w:t>
            </w:r>
          </w:p>
        </w:tc>
        <w:tc>
          <w:tcPr>
            <w:tcW w:w="1168"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从事该岗位年限</w:t>
            </w:r>
          </w:p>
        </w:tc>
        <w:tc>
          <w:tcPr>
            <w:tcW w:w="1136"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65" w:type="dxa"/>
          </w:tcPr>
          <w:p>
            <w:pPr>
              <w:rPr>
                <w:rFonts w:cs="宋体" w:asciiTheme="minorEastAsia" w:hAnsiTheme="minorEastAsia"/>
                <w:sz w:val="24"/>
                <w:szCs w:val="24"/>
              </w:rPr>
            </w:pPr>
          </w:p>
        </w:tc>
        <w:tc>
          <w:tcPr>
            <w:tcW w:w="1167" w:type="dxa"/>
          </w:tcPr>
          <w:p>
            <w:pPr>
              <w:rPr>
                <w:rFonts w:cs="宋体" w:asciiTheme="minorEastAsia" w:hAnsiTheme="minorEastAsia"/>
                <w:sz w:val="24"/>
                <w:szCs w:val="24"/>
              </w:rPr>
            </w:pPr>
          </w:p>
        </w:tc>
        <w:tc>
          <w:tcPr>
            <w:tcW w:w="1140"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42" w:type="dxa"/>
          </w:tcPr>
          <w:p>
            <w:pPr>
              <w:rPr>
                <w:rFonts w:cs="宋体" w:asciiTheme="minorEastAsia" w:hAnsiTheme="minorEastAsia"/>
                <w:sz w:val="24"/>
                <w:szCs w:val="24"/>
              </w:rPr>
            </w:pPr>
          </w:p>
        </w:tc>
        <w:tc>
          <w:tcPr>
            <w:tcW w:w="1168" w:type="dxa"/>
          </w:tcPr>
          <w:p>
            <w:pPr>
              <w:rPr>
                <w:rFonts w:cs="宋体" w:asciiTheme="minorEastAsia" w:hAnsiTheme="minorEastAsia"/>
                <w:sz w:val="24"/>
                <w:szCs w:val="24"/>
              </w:rPr>
            </w:pPr>
          </w:p>
        </w:tc>
        <w:tc>
          <w:tcPr>
            <w:tcW w:w="1136" w:type="dxa"/>
          </w:tcPr>
          <w:p>
            <w:pPr>
              <w:rPr>
                <w:rFonts w:cs="宋体" w:asciiTheme="minorEastAsia" w:hAnsiTheme="minorEastAsia"/>
                <w:sz w:val="24"/>
                <w:szCs w:val="24"/>
              </w:rPr>
            </w:pPr>
          </w:p>
        </w:tc>
      </w:tr>
    </w:tbl>
    <w:p>
      <w:pPr>
        <w:widowControl/>
        <w:shd w:val="clear" w:color="auto" w:fill="FFFFFF"/>
        <w:wordWrap w:val="0"/>
        <w:snapToGrid w:val="0"/>
        <w:spacing w:line="384" w:lineRule="auto"/>
        <w:ind w:firstLine="480"/>
        <w:jc w:val="left"/>
        <w:rPr>
          <w:rFonts w:cs="Arial" w:asciiTheme="minorEastAsia" w:hAnsiTheme="minorEastAsia"/>
          <w:kern w:val="0"/>
          <w:sz w:val="24"/>
          <w:szCs w:val="24"/>
        </w:rPr>
      </w:pPr>
      <w:r>
        <w:rPr>
          <w:rFonts w:hint="eastAsia" w:asciiTheme="minorEastAsia" w:hAnsiTheme="minorEastAsia"/>
          <w:sz w:val="24"/>
          <w:szCs w:val="24"/>
        </w:rPr>
        <w:t>注：</w:t>
      </w:r>
      <w:r>
        <w:rPr>
          <w:rFonts w:hint="eastAsia" w:cs="宋体" w:asciiTheme="minorEastAsia" w:hAnsiTheme="minorEastAsia"/>
          <w:sz w:val="24"/>
          <w:szCs w:val="24"/>
        </w:rPr>
        <w:t>上述人员应附聘用合同、身份证复印件（退休人员应附聘用合同及退休证明）扫描件等。</w:t>
      </w:r>
    </w:p>
    <w:p>
      <w:pPr>
        <w:widowControl/>
        <w:shd w:val="clear" w:color="auto" w:fill="FFFFFF"/>
        <w:snapToGrid w:val="0"/>
        <w:spacing w:line="384" w:lineRule="auto"/>
        <w:jc w:val="left"/>
        <w:rPr>
          <w:rFonts w:cs="Arial" w:asciiTheme="minorEastAsia" w:hAnsiTheme="minorEastAsia"/>
          <w:kern w:val="0"/>
          <w:sz w:val="24"/>
          <w:szCs w:val="24"/>
        </w:rPr>
      </w:pPr>
    </w:p>
    <w:p>
      <w:pPr>
        <w:widowControl/>
        <w:shd w:val="clear" w:color="auto" w:fill="FFFFFF"/>
        <w:snapToGrid w:val="0"/>
        <w:spacing w:line="384" w:lineRule="auto"/>
        <w:jc w:val="left"/>
        <w:rPr>
          <w:rFonts w:cs="Arial" w:asciiTheme="minorEastAsia" w:hAnsiTheme="minorEastAsia"/>
          <w:kern w:val="0"/>
          <w:sz w:val="24"/>
          <w:szCs w:val="24"/>
        </w:rPr>
      </w:pPr>
    </w:p>
    <w:p>
      <w:pPr>
        <w:tabs>
          <w:tab w:val="center" w:pos="4832"/>
          <w:tab w:val="left" w:pos="7140"/>
        </w:tabs>
        <w:jc w:val="center"/>
        <w:outlineLvl w:val="1"/>
        <w:rPr>
          <w:rFonts w:cs="宋体" w:asciiTheme="minorEastAsia" w:hAnsiTheme="minorEastAsia"/>
          <w:b/>
          <w:sz w:val="24"/>
          <w:szCs w:val="24"/>
        </w:rPr>
      </w:pPr>
      <w:r>
        <w:rPr>
          <w:rFonts w:cs="Arial" w:asciiTheme="minorEastAsia" w:hAnsiTheme="minorEastAsia"/>
          <w:kern w:val="0"/>
          <w:sz w:val="24"/>
          <w:szCs w:val="24"/>
        </w:rPr>
        <w:br w:type="page"/>
      </w:r>
      <w:bookmarkStart w:id="105" w:name="_Toc1774"/>
      <w:r>
        <w:rPr>
          <w:rFonts w:hint="eastAsia" w:cs="宋体" w:asciiTheme="minorEastAsia" w:hAnsiTheme="minorEastAsia"/>
          <w:b/>
          <w:sz w:val="24"/>
          <w:szCs w:val="24"/>
        </w:rPr>
        <w:t>十三、合理化建议</w:t>
      </w:r>
      <w:bookmarkEnd w:id="105"/>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6" w:name="_Toc13516"/>
      <w:r>
        <w:rPr>
          <w:rFonts w:hint="eastAsia" w:cs="宋体" w:asciiTheme="minorEastAsia" w:hAnsiTheme="minorEastAsia"/>
          <w:b/>
          <w:sz w:val="24"/>
          <w:szCs w:val="24"/>
        </w:rPr>
        <w:t>十四、养护作业方案</w:t>
      </w:r>
      <w:bookmarkEnd w:id="106"/>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7" w:name="_Toc16213"/>
      <w:r>
        <w:rPr>
          <w:rFonts w:hint="eastAsia" w:cs="宋体" w:asciiTheme="minorEastAsia" w:hAnsiTheme="minorEastAsia"/>
          <w:b/>
          <w:sz w:val="24"/>
          <w:szCs w:val="24"/>
        </w:rPr>
        <w:t>十五、质量管理方案</w:t>
      </w:r>
      <w:bookmarkEnd w:id="107"/>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8" w:name="_Toc8126"/>
      <w:r>
        <w:rPr>
          <w:rFonts w:hint="eastAsia" w:cs="宋体" w:asciiTheme="minorEastAsia" w:hAnsiTheme="minorEastAsia"/>
          <w:b/>
          <w:sz w:val="24"/>
          <w:szCs w:val="24"/>
        </w:rPr>
        <w:t>十六、应急抢险方案</w:t>
      </w:r>
      <w:bookmarkEnd w:id="108"/>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09" w:name="_Toc2345"/>
      <w:r>
        <w:rPr>
          <w:rFonts w:hint="eastAsia" w:cs="宋体" w:asciiTheme="minorEastAsia" w:hAnsiTheme="minorEastAsia"/>
          <w:b/>
          <w:sz w:val="24"/>
          <w:szCs w:val="24"/>
        </w:rPr>
        <w:t>十七、安全服务方案</w:t>
      </w:r>
      <w:bookmarkEnd w:id="109"/>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tabs>
          <w:tab w:val="center" w:pos="4832"/>
          <w:tab w:val="left" w:pos="7140"/>
        </w:tabs>
        <w:ind w:firstLine="482"/>
        <w:jc w:val="center"/>
        <w:outlineLvl w:val="1"/>
        <w:rPr>
          <w:rFonts w:cs="宋体" w:asciiTheme="minorEastAsia" w:hAnsiTheme="minorEastAsia"/>
          <w:b/>
          <w:sz w:val="24"/>
          <w:szCs w:val="24"/>
        </w:rPr>
      </w:pPr>
      <w:bookmarkStart w:id="110" w:name="_Toc19684"/>
      <w:r>
        <w:rPr>
          <w:rFonts w:hint="eastAsia" w:cs="宋体" w:asciiTheme="minorEastAsia" w:hAnsiTheme="minorEastAsia"/>
          <w:b/>
          <w:sz w:val="24"/>
          <w:szCs w:val="24"/>
        </w:rPr>
        <w:t>十八、文明作业方案</w:t>
      </w:r>
      <w:bookmarkEnd w:id="110"/>
    </w:p>
    <w:p>
      <w:pPr>
        <w:jc w:val="center"/>
        <w:rPr>
          <w:rFonts w:asciiTheme="minorEastAsia" w:hAnsiTheme="minorEastAsia"/>
          <w:sz w:val="24"/>
          <w:szCs w:val="24"/>
        </w:rPr>
      </w:pPr>
      <w:r>
        <w:rPr>
          <w:rFonts w:hint="eastAsia" w:asciiTheme="minorEastAsia" w:hAnsiTheme="minorEastAsia"/>
          <w:sz w:val="24"/>
          <w:szCs w:val="24"/>
        </w:rPr>
        <w:t>内容由投标单位内编制，格式自拟</w:t>
      </w:r>
    </w:p>
    <w:p>
      <w:pPr>
        <w:ind w:firstLine="482"/>
        <w:rPr>
          <w:rFonts w:cs="宋体" w:asciiTheme="minorEastAsia" w:hAnsiTheme="minorEastAsia"/>
          <w:b/>
          <w:sz w:val="24"/>
          <w:szCs w:val="24"/>
        </w:rPr>
      </w:pPr>
      <w:r>
        <w:rPr>
          <w:rFonts w:hint="eastAsia" w:cs="宋体" w:asciiTheme="minorEastAsia" w:hAnsiTheme="minorEastAsia"/>
          <w:b/>
          <w:sz w:val="24"/>
          <w:szCs w:val="24"/>
        </w:rPr>
        <w:br w:type="page"/>
      </w:r>
    </w:p>
    <w:p>
      <w:pPr>
        <w:widowControl/>
        <w:ind w:firstLine="482"/>
        <w:jc w:val="center"/>
        <w:outlineLvl w:val="1"/>
        <w:rPr>
          <w:rFonts w:cs="宋体" w:asciiTheme="minorEastAsia" w:hAnsiTheme="minorEastAsia"/>
          <w:b/>
          <w:sz w:val="24"/>
          <w:szCs w:val="24"/>
        </w:rPr>
      </w:pPr>
      <w:bookmarkStart w:id="111" w:name="_Toc25075"/>
      <w:r>
        <w:rPr>
          <w:rFonts w:hint="eastAsia" w:cs="宋体" w:asciiTheme="minorEastAsia" w:hAnsiTheme="minorEastAsia"/>
          <w:b/>
          <w:sz w:val="24"/>
          <w:szCs w:val="24"/>
        </w:rPr>
        <w:t>十九、其他需要提交的资料</w:t>
      </w:r>
      <w:bookmarkEnd w:id="111"/>
    </w:p>
    <w:p>
      <w:pPr>
        <w:spacing w:line="360" w:lineRule="auto"/>
        <w:ind w:firstLine="480" w:firstLineChars="200"/>
        <w:jc w:val="center"/>
        <w:rPr>
          <w:rFonts w:cs="Times New Roman" w:asciiTheme="minorEastAsia" w:hAnsiTheme="minorEastAsia"/>
          <w:sz w:val="24"/>
          <w:szCs w:val="24"/>
        </w:rPr>
      </w:pPr>
      <w:r>
        <w:rPr>
          <w:rFonts w:hint="eastAsia" w:cs="Times New Roman" w:asciiTheme="minorEastAsia" w:hAnsiTheme="minorEastAsia"/>
          <w:sz w:val="24"/>
          <w:szCs w:val="24"/>
        </w:rPr>
        <w:t>根据招标文件的要求和投标人认为需要提供的资料</w:t>
      </w:r>
    </w:p>
    <w:p>
      <w:pPr>
        <w:spacing w:line="360" w:lineRule="auto"/>
        <w:ind w:firstLine="480" w:firstLineChars="200"/>
        <w:rPr>
          <w:rFonts w:cs="Times New Roman" w:asciiTheme="minorEastAsia" w:hAnsiTheme="minorEastAsia"/>
          <w:sz w:val="24"/>
          <w:szCs w:val="24"/>
        </w:rPr>
      </w:pPr>
    </w:p>
    <w:p>
      <w:pPr>
        <w:rPr>
          <w:rFonts w:cs="Times New Roman" w:asciiTheme="minorEastAsia" w:hAnsiTheme="minorEastAsia"/>
        </w:rPr>
      </w:pPr>
    </w:p>
    <w:p>
      <w:pPr>
        <w:spacing w:line="440" w:lineRule="exact"/>
        <w:jc w:val="center"/>
        <w:outlineLvl w:val="0"/>
        <w:rPr>
          <w:rFonts w:cs="宋体" w:asciiTheme="minorEastAsia" w:hAnsiTheme="minorEastAsia"/>
          <w:b/>
          <w:sz w:val="24"/>
          <w:szCs w:val="24"/>
        </w:rPr>
      </w:pPr>
      <w:r>
        <w:rPr>
          <w:rFonts w:cs="Times New Roman" w:asciiTheme="minorEastAsia" w:hAnsiTheme="minorEastAsia"/>
        </w:rPr>
        <w:br w:type="page"/>
      </w:r>
      <w:bookmarkStart w:id="112" w:name="_Toc8564"/>
      <w:r>
        <w:rPr>
          <w:rFonts w:hint="eastAsia" w:cs="宋体" w:asciiTheme="minorEastAsia" w:hAnsiTheme="minorEastAsia"/>
          <w:b/>
          <w:sz w:val="24"/>
          <w:szCs w:val="24"/>
        </w:rPr>
        <w:t>第六章补充条款</w:t>
      </w:r>
      <w:bookmarkEnd w:id="112"/>
    </w:p>
    <w:p>
      <w:pPr>
        <w:spacing w:line="440" w:lineRule="exact"/>
        <w:ind w:firstLine="482"/>
        <w:jc w:val="center"/>
        <w:outlineLvl w:val="0"/>
        <w:rPr>
          <w:rFonts w:cs="宋体" w:asciiTheme="minorEastAsia" w:hAnsiTheme="minorEastAsia"/>
          <w:b/>
          <w:sz w:val="24"/>
          <w:szCs w:val="24"/>
        </w:rPr>
      </w:pPr>
    </w:p>
    <w:p>
      <w:pPr>
        <w:spacing w:line="440" w:lineRule="exact"/>
        <w:ind w:firstLine="482"/>
        <w:jc w:val="center"/>
        <w:outlineLvl w:val="0"/>
        <w:rPr>
          <w:rFonts w:cs="宋体" w:asciiTheme="minorEastAsia" w:hAnsiTheme="minorEastAsia"/>
          <w:b/>
          <w:sz w:val="24"/>
          <w:szCs w:val="24"/>
        </w:rPr>
      </w:pPr>
    </w:p>
    <w:p>
      <w:pPr>
        <w:rPr>
          <w:rFonts w:asciiTheme="minorEastAsia" w:hAnsiTheme="minorEastAsia"/>
        </w:rPr>
      </w:pPr>
    </w:p>
    <w:p>
      <w:pPr>
        <w:widowControl/>
        <w:jc w:val="left"/>
        <w:rPr>
          <w:rFonts w:asciiTheme="minorEastAsia" w:hAnsiTheme="minorEastAsia"/>
        </w:rPr>
      </w:pPr>
    </w:p>
    <w:sectPr>
      <w:pgSz w:w="11906" w:h="16838"/>
      <w:pgMar w:top="1134" w:right="1417" w:bottom="1134" w:left="141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Trebuchet MS">
    <w:panose1 w:val="020B0603020202020204"/>
    <w:charset w:val="00"/>
    <w:family w:val="swiss"/>
    <w:pitch w:val="default"/>
    <w:sig w:usb0="00000287" w:usb1="00000000" w:usb2="00000000" w:usb3="00000000" w:csb0="2000009F"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90"/>
      <w:jc w:val="right"/>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68</w:t>
    </w:r>
    <w:r>
      <w:rPr>
        <w:rStyle w:val="38"/>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012019"/>
    </w:sdtPr>
    <w:sdtEndPr>
      <w:rPr>
        <w:rFonts w:asciiTheme="minorEastAsia" w:hAnsiTheme="minorEastAsia" w:eastAsiaTheme="minorEastAsia"/>
        <w:sz w:val="30"/>
        <w:szCs w:val="30"/>
      </w:rPr>
    </w:sdtEndPr>
    <w:sdtContent>
      <w:p>
        <w:pPr>
          <w:pStyle w:val="19"/>
          <w:jc w:val="right"/>
          <w:rPr>
            <w:rFonts w:asciiTheme="minorEastAsia" w:hAnsiTheme="minorEastAsia" w:eastAsiaTheme="minorEastAsia"/>
            <w:sz w:val="30"/>
            <w:szCs w:val="30"/>
          </w:rPr>
        </w:pP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PAGE   \* MERGEFORMAT</w:instrText>
        </w:r>
        <w:r>
          <w:rPr>
            <w:rFonts w:asciiTheme="minorEastAsia" w:hAnsiTheme="minorEastAsia" w:eastAsiaTheme="minorEastAsia"/>
            <w:sz w:val="30"/>
            <w:szCs w:val="30"/>
          </w:rPr>
          <w:fldChar w:fldCharType="separate"/>
        </w:r>
        <w:r>
          <w:rPr>
            <w:rFonts w:asciiTheme="minorEastAsia" w:hAnsiTheme="minorEastAsia" w:eastAsiaTheme="minorEastAsia"/>
            <w:sz w:val="30"/>
            <w:szCs w:val="30"/>
            <w:lang w:val="zh-CN"/>
          </w:rPr>
          <w:t>144</w:t>
        </w:r>
        <w:r>
          <w:rPr>
            <w:rFonts w:asciiTheme="minorEastAsia" w:hAnsiTheme="minorEastAsia" w:eastAsiaTheme="minorEastAsia"/>
            <w:sz w:val="30"/>
            <w:szCs w:val="30"/>
          </w:rP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F134B"/>
    <w:multiLevelType w:val="singleLevel"/>
    <w:tmpl w:val="C9FF134B"/>
    <w:lvl w:ilvl="0" w:tentative="0">
      <w:start w:val="8"/>
      <w:numFmt w:val="chineseCounting"/>
      <w:suff w:val="nothing"/>
      <w:lvlText w:val="%1、"/>
      <w:lvlJc w:val="left"/>
      <w:rPr>
        <w:rFonts w:hint="eastAsia"/>
      </w:rPr>
    </w:lvl>
  </w:abstractNum>
  <w:abstractNum w:abstractNumId="1">
    <w:nsid w:val="03C5D12A"/>
    <w:multiLevelType w:val="singleLevel"/>
    <w:tmpl w:val="03C5D12A"/>
    <w:lvl w:ilvl="0" w:tentative="0">
      <w:start w:val="1"/>
      <w:numFmt w:val="decimal"/>
      <w:suff w:val="nothing"/>
      <w:lvlText w:val="%1、"/>
      <w:lvlJc w:val="left"/>
    </w:lvl>
  </w:abstractNum>
  <w:abstractNum w:abstractNumId="2">
    <w:nsid w:val="644E5166"/>
    <w:multiLevelType w:val="multilevel"/>
    <w:tmpl w:val="644E5166"/>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NDAzNTdiODgxMGNlZDYyOWVjNjExOWU2NGY1MDEifQ=="/>
  </w:docVars>
  <w:rsids>
    <w:rsidRoot w:val="00101AA4"/>
    <w:rsid w:val="00001340"/>
    <w:rsid w:val="000014B8"/>
    <w:rsid w:val="00004DAA"/>
    <w:rsid w:val="00006BD9"/>
    <w:rsid w:val="00007BA8"/>
    <w:rsid w:val="00014F7D"/>
    <w:rsid w:val="000162FE"/>
    <w:rsid w:val="000244CA"/>
    <w:rsid w:val="00030171"/>
    <w:rsid w:val="00033566"/>
    <w:rsid w:val="00036B12"/>
    <w:rsid w:val="000400E8"/>
    <w:rsid w:val="000406B4"/>
    <w:rsid w:val="00046152"/>
    <w:rsid w:val="0005003E"/>
    <w:rsid w:val="000604DE"/>
    <w:rsid w:val="000641A9"/>
    <w:rsid w:val="00070AF5"/>
    <w:rsid w:val="00073D96"/>
    <w:rsid w:val="000762D4"/>
    <w:rsid w:val="0008025F"/>
    <w:rsid w:val="00080E16"/>
    <w:rsid w:val="00082FC4"/>
    <w:rsid w:val="000904A3"/>
    <w:rsid w:val="000916AB"/>
    <w:rsid w:val="000923E8"/>
    <w:rsid w:val="00094989"/>
    <w:rsid w:val="000A02F9"/>
    <w:rsid w:val="000A32B9"/>
    <w:rsid w:val="000A3552"/>
    <w:rsid w:val="000B210F"/>
    <w:rsid w:val="000B331B"/>
    <w:rsid w:val="000D171A"/>
    <w:rsid w:val="000D7CE7"/>
    <w:rsid w:val="000E5B9C"/>
    <w:rsid w:val="000E7461"/>
    <w:rsid w:val="000F5328"/>
    <w:rsid w:val="00101AA4"/>
    <w:rsid w:val="001063D0"/>
    <w:rsid w:val="0010650C"/>
    <w:rsid w:val="00124517"/>
    <w:rsid w:val="00127B38"/>
    <w:rsid w:val="0013312B"/>
    <w:rsid w:val="00134F82"/>
    <w:rsid w:val="001355E3"/>
    <w:rsid w:val="0013743D"/>
    <w:rsid w:val="0014066A"/>
    <w:rsid w:val="00146E26"/>
    <w:rsid w:val="00147C03"/>
    <w:rsid w:val="00150F22"/>
    <w:rsid w:val="0015794E"/>
    <w:rsid w:val="0016517F"/>
    <w:rsid w:val="001733AF"/>
    <w:rsid w:val="00176FAD"/>
    <w:rsid w:val="0018505E"/>
    <w:rsid w:val="001A2117"/>
    <w:rsid w:val="001A45DD"/>
    <w:rsid w:val="001A4E5A"/>
    <w:rsid w:val="001B1748"/>
    <w:rsid w:val="001D50A5"/>
    <w:rsid w:val="001E33A7"/>
    <w:rsid w:val="001E3D69"/>
    <w:rsid w:val="001E4755"/>
    <w:rsid w:val="001E6E8F"/>
    <w:rsid w:val="001F3A08"/>
    <w:rsid w:val="001F610A"/>
    <w:rsid w:val="001F7556"/>
    <w:rsid w:val="00200BA8"/>
    <w:rsid w:val="002055DD"/>
    <w:rsid w:val="00205DF6"/>
    <w:rsid w:val="0022177D"/>
    <w:rsid w:val="00226DEC"/>
    <w:rsid w:val="00236D43"/>
    <w:rsid w:val="002472C0"/>
    <w:rsid w:val="002508FA"/>
    <w:rsid w:val="00253DC3"/>
    <w:rsid w:val="002541CE"/>
    <w:rsid w:val="00257F22"/>
    <w:rsid w:val="002604A7"/>
    <w:rsid w:val="00260910"/>
    <w:rsid w:val="00266F04"/>
    <w:rsid w:val="00267801"/>
    <w:rsid w:val="00276908"/>
    <w:rsid w:val="002831CB"/>
    <w:rsid w:val="00283732"/>
    <w:rsid w:val="002967DA"/>
    <w:rsid w:val="002A69CC"/>
    <w:rsid w:val="002B0041"/>
    <w:rsid w:val="002C2DD2"/>
    <w:rsid w:val="002C62E9"/>
    <w:rsid w:val="002D3439"/>
    <w:rsid w:val="002D6CF2"/>
    <w:rsid w:val="002E5AAD"/>
    <w:rsid w:val="002F10F5"/>
    <w:rsid w:val="002F2283"/>
    <w:rsid w:val="002F2528"/>
    <w:rsid w:val="00300C92"/>
    <w:rsid w:val="003011C0"/>
    <w:rsid w:val="00304D2D"/>
    <w:rsid w:val="00305A20"/>
    <w:rsid w:val="00313F13"/>
    <w:rsid w:val="00315623"/>
    <w:rsid w:val="00315D4B"/>
    <w:rsid w:val="00315D59"/>
    <w:rsid w:val="00316DBA"/>
    <w:rsid w:val="00331C14"/>
    <w:rsid w:val="00360D30"/>
    <w:rsid w:val="00361C9D"/>
    <w:rsid w:val="00363991"/>
    <w:rsid w:val="00364473"/>
    <w:rsid w:val="00370F25"/>
    <w:rsid w:val="00376E83"/>
    <w:rsid w:val="003915AF"/>
    <w:rsid w:val="003A5B50"/>
    <w:rsid w:val="003B70AD"/>
    <w:rsid w:val="003C0B9E"/>
    <w:rsid w:val="003D01BB"/>
    <w:rsid w:val="003D05EA"/>
    <w:rsid w:val="003D4211"/>
    <w:rsid w:val="003E4A7A"/>
    <w:rsid w:val="003E7EF1"/>
    <w:rsid w:val="0040310D"/>
    <w:rsid w:val="004052A4"/>
    <w:rsid w:val="004220B6"/>
    <w:rsid w:val="00432C0C"/>
    <w:rsid w:val="00433EED"/>
    <w:rsid w:val="00435B53"/>
    <w:rsid w:val="00444EE1"/>
    <w:rsid w:val="0044799D"/>
    <w:rsid w:val="0045091A"/>
    <w:rsid w:val="00452BB8"/>
    <w:rsid w:val="004640C1"/>
    <w:rsid w:val="004A010F"/>
    <w:rsid w:val="004A266D"/>
    <w:rsid w:val="004A4981"/>
    <w:rsid w:val="004A5376"/>
    <w:rsid w:val="004A6517"/>
    <w:rsid w:val="004A68AF"/>
    <w:rsid w:val="004A7D7E"/>
    <w:rsid w:val="004B0537"/>
    <w:rsid w:val="004B10F1"/>
    <w:rsid w:val="004C4F38"/>
    <w:rsid w:val="004D11B3"/>
    <w:rsid w:val="004D75D5"/>
    <w:rsid w:val="004E2088"/>
    <w:rsid w:val="004E419C"/>
    <w:rsid w:val="004E7786"/>
    <w:rsid w:val="004F0D23"/>
    <w:rsid w:val="00501303"/>
    <w:rsid w:val="00507DCF"/>
    <w:rsid w:val="00520FE8"/>
    <w:rsid w:val="00526F0E"/>
    <w:rsid w:val="005307A5"/>
    <w:rsid w:val="0053132A"/>
    <w:rsid w:val="00535245"/>
    <w:rsid w:val="0054181E"/>
    <w:rsid w:val="0055435D"/>
    <w:rsid w:val="00566F28"/>
    <w:rsid w:val="00577ECB"/>
    <w:rsid w:val="00577FFA"/>
    <w:rsid w:val="00582F95"/>
    <w:rsid w:val="005879D1"/>
    <w:rsid w:val="005A215C"/>
    <w:rsid w:val="005A3E3A"/>
    <w:rsid w:val="005A69CA"/>
    <w:rsid w:val="005C3710"/>
    <w:rsid w:val="005C53A8"/>
    <w:rsid w:val="005D651D"/>
    <w:rsid w:val="005E3C18"/>
    <w:rsid w:val="005E617A"/>
    <w:rsid w:val="005F41B4"/>
    <w:rsid w:val="005F6E39"/>
    <w:rsid w:val="0060072E"/>
    <w:rsid w:val="00600C9C"/>
    <w:rsid w:val="006046A9"/>
    <w:rsid w:val="00621EF9"/>
    <w:rsid w:val="00622699"/>
    <w:rsid w:val="00630AAC"/>
    <w:rsid w:val="006314C2"/>
    <w:rsid w:val="00631C5A"/>
    <w:rsid w:val="00632F36"/>
    <w:rsid w:val="00635EE6"/>
    <w:rsid w:val="0063610A"/>
    <w:rsid w:val="006367D4"/>
    <w:rsid w:val="00644CAA"/>
    <w:rsid w:val="0064722F"/>
    <w:rsid w:val="00647D58"/>
    <w:rsid w:val="00652A1B"/>
    <w:rsid w:val="00652A7E"/>
    <w:rsid w:val="00657AD0"/>
    <w:rsid w:val="00661E10"/>
    <w:rsid w:val="0066681E"/>
    <w:rsid w:val="006728AB"/>
    <w:rsid w:val="00674A1B"/>
    <w:rsid w:val="006804BB"/>
    <w:rsid w:val="00691151"/>
    <w:rsid w:val="0069486A"/>
    <w:rsid w:val="006A4AC4"/>
    <w:rsid w:val="006A5498"/>
    <w:rsid w:val="006A74F0"/>
    <w:rsid w:val="006B014A"/>
    <w:rsid w:val="006B2DDD"/>
    <w:rsid w:val="006B6739"/>
    <w:rsid w:val="006C06C9"/>
    <w:rsid w:val="006C08F0"/>
    <w:rsid w:val="006C214D"/>
    <w:rsid w:val="006C551A"/>
    <w:rsid w:val="006E10BD"/>
    <w:rsid w:val="006E249F"/>
    <w:rsid w:val="006E344D"/>
    <w:rsid w:val="006E51CF"/>
    <w:rsid w:val="006F2A4E"/>
    <w:rsid w:val="006F6DB0"/>
    <w:rsid w:val="006F7BBE"/>
    <w:rsid w:val="00704AEC"/>
    <w:rsid w:val="00711806"/>
    <w:rsid w:val="00711DFE"/>
    <w:rsid w:val="007137F1"/>
    <w:rsid w:val="007156D2"/>
    <w:rsid w:val="007165FF"/>
    <w:rsid w:val="0072037A"/>
    <w:rsid w:val="00734ABC"/>
    <w:rsid w:val="007404E3"/>
    <w:rsid w:val="0075151D"/>
    <w:rsid w:val="00754459"/>
    <w:rsid w:val="0075556E"/>
    <w:rsid w:val="00767044"/>
    <w:rsid w:val="00784173"/>
    <w:rsid w:val="00787D19"/>
    <w:rsid w:val="007920FE"/>
    <w:rsid w:val="00796034"/>
    <w:rsid w:val="007A0E43"/>
    <w:rsid w:val="007A5319"/>
    <w:rsid w:val="007A7EF1"/>
    <w:rsid w:val="007B2A84"/>
    <w:rsid w:val="007C66D2"/>
    <w:rsid w:val="007D2A30"/>
    <w:rsid w:val="007D45D4"/>
    <w:rsid w:val="007D68A5"/>
    <w:rsid w:val="007F2D7C"/>
    <w:rsid w:val="007F6C55"/>
    <w:rsid w:val="0080672E"/>
    <w:rsid w:val="008068DA"/>
    <w:rsid w:val="008068EC"/>
    <w:rsid w:val="00813D04"/>
    <w:rsid w:val="0081414C"/>
    <w:rsid w:val="00820914"/>
    <w:rsid w:val="008247D9"/>
    <w:rsid w:val="00826C3A"/>
    <w:rsid w:val="00843C8F"/>
    <w:rsid w:val="00846F1B"/>
    <w:rsid w:val="00857654"/>
    <w:rsid w:val="00857B62"/>
    <w:rsid w:val="00862EBB"/>
    <w:rsid w:val="008631DD"/>
    <w:rsid w:val="008703DB"/>
    <w:rsid w:val="00872CE4"/>
    <w:rsid w:val="00877E4D"/>
    <w:rsid w:val="00884BA6"/>
    <w:rsid w:val="008858F6"/>
    <w:rsid w:val="00892DE8"/>
    <w:rsid w:val="008A6628"/>
    <w:rsid w:val="008B044A"/>
    <w:rsid w:val="008B1D39"/>
    <w:rsid w:val="008B5573"/>
    <w:rsid w:val="008C6135"/>
    <w:rsid w:val="008D5387"/>
    <w:rsid w:val="008F1D6D"/>
    <w:rsid w:val="008F6AA2"/>
    <w:rsid w:val="00900116"/>
    <w:rsid w:val="00910B36"/>
    <w:rsid w:val="0091776B"/>
    <w:rsid w:val="00920867"/>
    <w:rsid w:val="00922592"/>
    <w:rsid w:val="00926EE7"/>
    <w:rsid w:val="009324FE"/>
    <w:rsid w:val="0094041C"/>
    <w:rsid w:val="0094055B"/>
    <w:rsid w:val="00941545"/>
    <w:rsid w:val="009437A7"/>
    <w:rsid w:val="00946789"/>
    <w:rsid w:val="00955047"/>
    <w:rsid w:val="009613A3"/>
    <w:rsid w:val="0096147D"/>
    <w:rsid w:val="00965552"/>
    <w:rsid w:val="0096574A"/>
    <w:rsid w:val="00965D93"/>
    <w:rsid w:val="0096617A"/>
    <w:rsid w:val="009700E7"/>
    <w:rsid w:val="00975775"/>
    <w:rsid w:val="00981749"/>
    <w:rsid w:val="009840B0"/>
    <w:rsid w:val="009869E5"/>
    <w:rsid w:val="009930AE"/>
    <w:rsid w:val="009A456E"/>
    <w:rsid w:val="009A6799"/>
    <w:rsid w:val="009A693B"/>
    <w:rsid w:val="009A7284"/>
    <w:rsid w:val="009B074B"/>
    <w:rsid w:val="009B0A3E"/>
    <w:rsid w:val="009B353F"/>
    <w:rsid w:val="009B5E2B"/>
    <w:rsid w:val="009C598B"/>
    <w:rsid w:val="009C7FD8"/>
    <w:rsid w:val="009D05BF"/>
    <w:rsid w:val="009D0D96"/>
    <w:rsid w:val="009D2432"/>
    <w:rsid w:val="009D5201"/>
    <w:rsid w:val="009E22E8"/>
    <w:rsid w:val="009F064F"/>
    <w:rsid w:val="009F15EF"/>
    <w:rsid w:val="009F24D1"/>
    <w:rsid w:val="00A01EFD"/>
    <w:rsid w:val="00A0318F"/>
    <w:rsid w:val="00A04B51"/>
    <w:rsid w:val="00A068B7"/>
    <w:rsid w:val="00A13FDE"/>
    <w:rsid w:val="00A17158"/>
    <w:rsid w:val="00A20856"/>
    <w:rsid w:val="00A320D2"/>
    <w:rsid w:val="00A33E52"/>
    <w:rsid w:val="00A377F1"/>
    <w:rsid w:val="00A41CA5"/>
    <w:rsid w:val="00A46BC3"/>
    <w:rsid w:val="00A56EFA"/>
    <w:rsid w:val="00A57C84"/>
    <w:rsid w:val="00A648D2"/>
    <w:rsid w:val="00A648FB"/>
    <w:rsid w:val="00A665B8"/>
    <w:rsid w:val="00A841E3"/>
    <w:rsid w:val="00A920ED"/>
    <w:rsid w:val="00A96813"/>
    <w:rsid w:val="00A97447"/>
    <w:rsid w:val="00AA0874"/>
    <w:rsid w:val="00AA0C7F"/>
    <w:rsid w:val="00AA1E25"/>
    <w:rsid w:val="00AA3DE1"/>
    <w:rsid w:val="00AA65EF"/>
    <w:rsid w:val="00AB07FC"/>
    <w:rsid w:val="00AB0BCB"/>
    <w:rsid w:val="00AB3FFC"/>
    <w:rsid w:val="00AB706C"/>
    <w:rsid w:val="00AB7635"/>
    <w:rsid w:val="00AB7D40"/>
    <w:rsid w:val="00AC169A"/>
    <w:rsid w:val="00AC17BD"/>
    <w:rsid w:val="00AD0858"/>
    <w:rsid w:val="00AD159E"/>
    <w:rsid w:val="00AD3FA3"/>
    <w:rsid w:val="00AE2F7F"/>
    <w:rsid w:val="00AF35AE"/>
    <w:rsid w:val="00B20979"/>
    <w:rsid w:val="00B3004A"/>
    <w:rsid w:val="00B3066F"/>
    <w:rsid w:val="00B32FDE"/>
    <w:rsid w:val="00B3485C"/>
    <w:rsid w:val="00B3551C"/>
    <w:rsid w:val="00B455A2"/>
    <w:rsid w:val="00B51751"/>
    <w:rsid w:val="00B55DD4"/>
    <w:rsid w:val="00B628A3"/>
    <w:rsid w:val="00B65DD7"/>
    <w:rsid w:val="00B66DAD"/>
    <w:rsid w:val="00B76B5B"/>
    <w:rsid w:val="00B836E8"/>
    <w:rsid w:val="00B841A4"/>
    <w:rsid w:val="00B871DD"/>
    <w:rsid w:val="00BA1954"/>
    <w:rsid w:val="00BB33FE"/>
    <w:rsid w:val="00BB5C5F"/>
    <w:rsid w:val="00BB612A"/>
    <w:rsid w:val="00BC4B9D"/>
    <w:rsid w:val="00BC6F1B"/>
    <w:rsid w:val="00BC7668"/>
    <w:rsid w:val="00BD1FA5"/>
    <w:rsid w:val="00BD2812"/>
    <w:rsid w:val="00BD6949"/>
    <w:rsid w:val="00BE121A"/>
    <w:rsid w:val="00BE4B8D"/>
    <w:rsid w:val="00BE5EB9"/>
    <w:rsid w:val="00BF28EC"/>
    <w:rsid w:val="00BF51F6"/>
    <w:rsid w:val="00C02D9A"/>
    <w:rsid w:val="00C12240"/>
    <w:rsid w:val="00C13F57"/>
    <w:rsid w:val="00C21672"/>
    <w:rsid w:val="00C32472"/>
    <w:rsid w:val="00C34FE2"/>
    <w:rsid w:val="00C41BF8"/>
    <w:rsid w:val="00C42211"/>
    <w:rsid w:val="00C466A2"/>
    <w:rsid w:val="00C479FE"/>
    <w:rsid w:val="00C47EB3"/>
    <w:rsid w:val="00C53ADD"/>
    <w:rsid w:val="00C62E07"/>
    <w:rsid w:val="00C70F4F"/>
    <w:rsid w:val="00C840F2"/>
    <w:rsid w:val="00C9122B"/>
    <w:rsid w:val="00C9683B"/>
    <w:rsid w:val="00CA0EF6"/>
    <w:rsid w:val="00CA31DB"/>
    <w:rsid w:val="00CB03C9"/>
    <w:rsid w:val="00CB7C96"/>
    <w:rsid w:val="00CD33AB"/>
    <w:rsid w:val="00CD5E71"/>
    <w:rsid w:val="00CF1C70"/>
    <w:rsid w:val="00CF291C"/>
    <w:rsid w:val="00CF4B54"/>
    <w:rsid w:val="00D060F5"/>
    <w:rsid w:val="00D06613"/>
    <w:rsid w:val="00D119E0"/>
    <w:rsid w:val="00D12679"/>
    <w:rsid w:val="00D13FCC"/>
    <w:rsid w:val="00D15B9A"/>
    <w:rsid w:val="00D15D80"/>
    <w:rsid w:val="00D17D8C"/>
    <w:rsid w:val="00D26793"/>
    <w:rsid w:val="00D27953"/>
    <w:rsid w:val="00D334C0"/>
    <w:rsid w:val="00D36619"/>
    <w:rsid w:val="00D450F4"/>
    <w:rsid w:val="00D45431"/>
    <w:rsid w:val="00D50E97"/>
    <w:rsid w:val="00D66F88"/>
    <w:rsid w:val="00D85475"/>
    <w:rsid w:val="00D87DC8"/>
    <w:rsid w:val="00D9044D"/>
    <w:rsid w:val="00DA2563"/>
    <w:rsid w:val="00DA380B"/>
    <w:rsid w:val="00DB133C"/>
    <w:rsid w:val="00DB7459"/>
    <w:rsid w:val="00DC499D"/>
    <w:rsid w:val="00DC7034"/>
    <w:rsid w:val="00DD5A57"/>
    <w:rsid w:val="00DF29E0"/>
    <w:rsid w:val="00DF7FC9"/>
    <w:rsid w:val="00E0297A"/>
    <w:rsid w:val="00E05CD7"/>
    <w:rsid w:val="00E121FC"/>
    <w:rsid w:val="00E311A1"/>
    <w:rsid w:val="00E31BBA"/>
    <w:rsid w:val="00E34833"/>
    <w:rsid w:val="00E34FF9"/>
    <w:rsid w:val="00E40272"/>
    <w:rsid w:val="00E41690"/>
    <w:rsid w:val="00E4229F"/>
    <w:rsid w:val="00E45AB6"/>
    <w:rsid w:val="00E50150"/>
    <w:rsid w:val="00E53FDA"/>
    <w:rsid w:val="00E56EAE"/>
    <w:rsid w:val="00E638D4"/>
    <w:rsid w:val="00E656AA"/>
    <w:rsid w:val="00E6785B"/>
    <w:rsid w:val="00E67BB4"/>
    <w:rsid w:val="00E705A5"/>
    <w:rsid w:val="00E715AA"/>
    <w:rsid w:val="00E75265"/>
    <w:rsid w:val="00E761CC"/>
    <w:rsid w:val="00E76A25"/>
    <w:rsid w:val="00E8351B"/>
    <w:rsid w:val="00E847F7"/>
    <w:rsid w:val="00E87230"/>
    <w:rsid w:val="00E872AD"/>
    <w:rsid w:val="00E87666"/>
    <w:rsid w:val="00E9078D"/>
    <w:rsid w:val="00E912E2"/>
    <w:rsid w:val="00E92B97"/>
    <w:rsid w:val="00E96D5C"/>
    <w:rsid w:val="00EC22AB"/>
    <w:rsid w:val="00ED7DB6"/>
    <w:rsid w:val="00EE1040"/>
    <w:rsid w:val="00EE2F7B"/>
    <w:rsid w:val="00EF7BEC"/>
    <w:rsid w:val="00F00A1D"/>
    <w:rsid w:val="00F02FAE"/>
    <w:rsid w:val="00F10359"/>
    <w:rsid w:val="00F141A0"/>
    <w:rsid w:val="00F1438C"/>
    <w:rsid w:val="00F2452B"/>
    <w:rsid w:val="00F26609"/>
    <w:rsid w:val="00F3403B"/>
    <w:rsid w:val="00F37DC2"/>
    <w:rsid w:val="00F41097"/>
    <w:rsid w:val="00F42B8A"/>
    <w:rsid w:val="00F5283D"/>
    <w:rsid w:val="00F61283"/>
    <w:rsid w:val="00F65CFD"/>
    <w:rsid w:val="00F9122C"/>
    <w:rsid w:val="00F94DA0"/>
    <w:rsid w:val="00FA6BE0"/>
    <w:rsid w:val="00FA72A6"/>
    <w:rsid w:val="00FB5939"/>
    <w:rsid w:val="00FD3CEF"/>
    <w:rsid w:val="00FF2520"/>
    <w:rsid w:val="00FF4215"/>
    <w:rsid w:val="00FF4C85"/>
    <w:rsid w:val="00FF7BA0"/>
    <w:rsid w:val="01AA53CD"/>
    <w:rsid w:val="027E4865"/>
    <w:rsid w:val="038061AD"/>
    <w:rsid w:val="04547320"/>
    <w:rsid w:val="05F76F31"/>
    <w:rsid w:val="07647851"/>
    <w:rsid w:val="0B14133A"/>
    <w:rsid w:val="0B526B23"/>
    <w:rsid w:val="0BB84DE3"/>
    <w:rsid w:val="0C7A56D7"/>
    <w:rsid w:val="0CD66DD1"/>
    <w:rsid w:val="0CE2480D"/>
    <w:rsid w:val="0CEF36E3"/>
    <w:rsid w:val="0E751200"/>
    <w:rsid w:val="10AB2B9D"/>
    <w:rsid w:val="117B0C7B"/>
    <w:rsid w:val="11B31184"/>
    <w:rsid w:val="12C375AC"/>
    <w:rsid w:val="12D6271E"/>
    <w:rsid w:val="143017A1"/>
    <w:rsid w:val="171D2280"/>
    <w:rsid w:val="17321EED"/>
    <w:rsid w:val="17FA6EAF"/>
    <w:rsid w:val="18D563D0"/>
    <w:rsid w:val="1C0D6C7E"/>
    <w:rsid w:val="1C6320DF"/>
    <w:rsid w:val="1C6A484E"/>
    <w:rsid w:val="1CF2060C"/>
    <w:rsid w:val="1E805C34"/>
    <w:rsid w:val="21C4408A"/>
    <w:rsid w:val="21ED1832"/>
    <w:rsid w:val="226C09A9"/>
    <w:rsid w:val="23144B9D"/>
    <w:rsid w:val="24567E46"/>
    <w:rsid w:val="263C781B"/>
    <w:rsid w:val="264E038E"/>
    <w:rsid w:val="274F0899"/>
    <w:rsid w:val="2B773C5E"/>
    <w:rsid w:val="2BAA0794"/>
    <w:rsid w:val="2BC1541B"/>
    <w:rsid w:val="2E5D4C41"/>
    <w:rsid w:val="2E951288"/>
    <w:rsid w:val="2F503401"/>
    <w:rsid w:val="2FD32684"/>
    <w:rsid w:val="316B201F"/>
    <w:rsid w:val="31DE6AA2"/>
    <w:rsid w:val="32FD4461"/>
    <w:rsid w:val="33FA48FD"/>
    <w:rsid w:val="348C4EDB"/>
    <w:rsid w:val="358B3002"/>
    <w:rsid w:val="38740160"/>
    <w:rsid w:val="399F4FFA"/>
    <w:rsid w:val="39BD7A1D"/>
    <w:rsid w:val="39D13722"/>
    <w:rsid w:val="3A7A77C8"/>
    <w:rsid w:val="3AE72E6B"/>
    <w:rsid w:val="3B6958A3"/>
    <w:rsid w:val="3D9756A5"/>
    <w:rsid w:val="3DC93F58"/>
    <w:rsid w:val="3E580B9B"/>
    <w:rsid w:val="3E5B7AE8"/>
    <w:rsid w:val="3EB14E36"/>
    <w:rsid w:val="3F453ADA"/>
    <w:rsid w:val="413A2358"/>
    <w:rsid w:val="41BB3F1A"/>
    <w:rsid w:val="41E77C8C"/>
    <w:rsid w:val="4216154E"/>
    <w:rsid w:val="42FE2D71"/>
    <w:rsid w:val="43641D51"/>
    <w:rsid w:val="475F3D89"/>
    <w:rsid w:val="47FC1909"/>
    <w:rsid w:val="4828256E"/>
    <w:rsid w:val="48C8645F"/>
    <w:rsid w:val="4A737F1A"/>
    <w:rsid w:val="4C226976"/>
    <w:rsid w:val="4C465518"/>
    <w:rsid w:val="4D285982"/>
    <w:rsid w:val="4DF27E89"/>
    <w:rsid w:val="4E773F04"/>
    <w:rsid w:val="51A93339"/>
    <w:rsid w:val="530F7BB2"/>
    <w:rsid w:val="53D12B98"/>
    <w:rsid w:val="555F6A99"/>
    <w:rsid w:val="564035EA"/>
    <w:rsid w:val="564156CE"/>
    <w:rsid w:val="564D601C"/>
    <w:rsid w:val="56753913"/>
    <w:rsid w:val="5A422C67"/>
    <w:rsid w:val="5BF926C6"/>
    <w:rsid w:val="5C2A2760"/>
    <w:rsid w:val="5C3D4368"/>
    <w:rsid w:val="5C607E15"/>
    <w:rsid w:val="5C9A13C5"/>
    <w:rsid w:val="5DF9063C"/>
    <w:rsid w:val="60E53887"/>
    <w:rsid w:val="612358EA"/>
    <w:rsid w:val="61D62B3B"/>
    <w:rsid w:val="63A43008"/>
    <w:rsid w:val="653509E5"/>
    <w:rsid w:val="657874A5"/>
    <w:rsid w:val="657A6D97"/>
    <w:rsid w:val="6616058A"/>
    <w:rsid w:val="67393F00"/>
    <w:rsid w:val="6751773B"/>
    <w:rsid w:val="6817003C"/>
    <w:rsid w:val="682C4391"/>
    <w:rsid w:val="69160B2D"/>
    <w:rsid w:val="696C2B8A"/>
    <w:rsid w:val="69B30239"/>
    <w:rsid w:val="6B0317E1"/>
    <w:rsid w:val="6B3929BF"/>
    <w:rsid w:val="6C4A3A24"/>
    <w:rsid w:val="703D260A"/>
    <w:rsid w:val="7041132E"/>
    <w:rsid w:val="71033839"/>
    <w:rsid w:val="71E865AC"/>
    <w:rsid w:val="72842772"/>
    <w:rsid w:val="752F3921"/>
    <w:rsid w:val="76112389"/>
    <w:rsid w:val="7701121A"/>
    <w:rsid w:val="777074AF"/>
    <w:rsid w:val="77751065"/>
    <w:rsid w:val="79084367"/>
    <w:rsid w:val="7AAF2754"/>
    <w:rsid w:val="7B49061E"/>
    <w:rsid w:val="7CD40D8A"/>
    <w:rsid w:val="7D0502B1"/>
    <w:rsid w:val="7DBC5A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99"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1"/>
    <w:autoRedefine/>
    <w:qFormat/>
    <w:uiPriority w:val="9"/>
    <w:pPr>
      <w:keepNext/>
      <w:widowControl/>
      <w:spacing w:before="340" w:after="330" w:line="576" w:lineRule="auto"/>
      <w:jc w:val="center"/>
      <w:outlineLvl w:val="0"/>
    </w:pPr>
    <w:rPr>
      <w:rFonts w:ascii="???" w:hAnsi="???" w:eastAsia="宋体" w:cs="Arial"/>
      <w:b/>
      <w:bCs/>
      <w:color w:val="020000"/>
      <w:kern w:val="36"/>
      <w:sz w:val="44"/>
      <w:szCs w:val="44"/>
    </w:rPr>
  </w:style>
  <w:style w:type="paragraph" w:styleId="3">
    <w:name w:val="heading 2"/>
    <w:basedOn w:val="1"/>
    <w:next w:val="1"/>
    <w:link w:val="52"/>
    <w:autoRedefine/>
    <w:qFormat/>
    <w:uiPriority w:val="0"/>
    <w:pPr>
      <w:keepNext/>
      <w:widowControl/>
      <w:spacing w:before="260" w:after="260" w:line="412" w:lineRule="auto"/>
      <w:outlineLvl w:val="1"/>
    </w:pPr>
    <w:rPr>
      <w:rFonts w:ascii="???" w:hAnsi="???" w:eastAsia="宋体" w:cs="Arial"/>
      <w:b/>
      <w:bCs/>
      <w:color w:val="020000"/>
      <w:kern w:val="0"/>
      <w:sz w:val="32"/>
      <w:szCs w:val="32"/>
    </w:rPr>
  </w:style>
  <w:style w:type="paragraph" w:styleId="4">
    <w:name w:val="heading 3"/>
    <w:basedOn w:val="1"/>
    <w:next w:val="1"/>
    <w:link w:val="53"/>
    <w:autoRedefine/>
    <w:qFormat/>
    <w:uiPriority w:val="99"/>
    <w:pPr>
      <w:keepNext/>
      <w:widowControl/>
      <w:spacing w:before="260" w:after="260" w:line="412" w:lineRule="auto"/>
      <w:outlineLvl w:val="2"/>
    </w:pPr>
    <w:rPr>
      <w:rFonts w:ascii="??" w:hAnsi="??" w:eastAsia="宋体" w:cs="Arial"/>
      <w:b/>
      <w:bCs/>
      <w:color w:val="000000"/>
      <w:kern w:val="0"/>
      <w:sz w:val="32"/>
      <w:szCs w:val="32"/>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qFormat/>
    <w:uiPriority w:val="0"/>
    <w:pPr>
      <w:ind w:left="2520" w:leftChars="1200"/>
    </w:pPr>
    <w:rPr>
      <w:rFonts w:ascii="Times New Roman" w:hAnsi="Times New Roman" w:eastAsia="宋体" w:cs="Times New Roman"/>
      <w:szCs w:val="24"/>
    </w:rPr>
  </w:style>
  <w:style w:type="paragraph" w:styleId="6">
    <w:name w:val="List Number"/>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Normal Indent"/>
    <w:basedOn w:val="1"/>
    <w:link w:val="104"/>
    <w:autoRedefine/>
    <w:qFormat/>
    <w:uiPriority w:val="99"/>
    <w:pPr>
      <w:ind w:firstLine="420" w:firstLineChars="200"/>
    </w:pPr>
    <w:rPr>
      <w:rFonts w:ascii="Times New Roman" w:hAnsi="Times New Roman" w:eastAsia="宋体" w:cs="Times New Roman"/>
      <w:kern w:val="0"/>
      <w:sz w:val="24"/>
      <w:szCs w:val="20"/>
    </w:rPr>
  </w:style>
  <w:style w:type="paragraph" w:styleId="8">
    <w:name w:val="Document Map"/>
    <w:basedOn w:val="1"/>
    <w:link w:val="122"/>
    <w:autoRedefine/>
    <w:qFormat/>
    <w:uiPriority w:val="0"/>
    <w:rPr>
      <w:rFonts w:ascii="宋体" w:hAnsi="Calibri" w:eastAsia="宋体" w:cs="Times New Roman"/>
      <w:kern w:val="0"/>
      <w:sz w:val="18"/>
      <w:szCs w:val="20"/>
    </w:rPr>
  </w:style>
  <w:style w:type="paragraph" w:styleId="9">
    <w:name w:val="annotation text"/>
    <w:basedOn w:val="1"/>
    <w:link w:val="150"/>
    <w:autoRedefine/>
    <w:qFormat/>
    <w:uiPriority w:val="0"/>
    <w:pPr>
      <w:jc w:val="left"/>
    </w:pPr>
  </w:style>
  <w:style w:type="paragraph" w:styleId="10">
    <w:name w:val="Body Text"/>
    <w:basedOn w:val="1"/>
    <w:link w:val="125"/>
    <w:autoRedefine/>
    <w:qFormat/>
    <w:uiPriority w:val="99"/>
    <w:pPr>
      <w:spacing w:after="120"/>
    </w:pPr>
    <w:rPr>
      <w:rFonts w:cs="Times New Roman" w:asciiTheme="minorEastAsia" w:hAnsiTheme="minorEastAsia"/>
      <w:b/>
      <w:kern w:val="0"/>
      <w:sz w:val="24"/>
      <w:szCs w:val="21"/>
    </w:rPr>
  </w:style>
  <w:style w:type="paragraph" w:styleId="11">
    <w:name w:val="Body Text Indent"/>
    <w:basedOn w:val="1"/>
    <w:link w:val="56"/>
    <w:autoRedefine/>
    <w:qFormat/>
    <w:uiPriority w:val="0"/>
    <w:pPr>
      <w:widowControl/>
      <w:spacing w:after="120"/>
      <w:ind w:left="420"/>
    </w:pPr>
    <w:rPr>
      <w:rFonts w:ascii="??" w:hAnsi="??" w:eastAsia="宋体" w:cs="Arial"/>
      <w:kern w:val="0"/>
      <w:sz w:val="24"/>
      <w:szCs w:val="24"/>
    </w:rPr>
  </w:style>
  <w:style w:type="paragraph" w:styleId="12">
    <w:name w:val="toc 5"/>
    <w:basedOn w:val="1"/>
    <w:next w:val="1"/>
    <w:autoRedefine/>
    <w:qFormat/>
    <w:uiPriority w:val="0"/>
    <w:pPr>
      <w:ind w:left="1680" w:leftChars="800"/>
    </w:pPr>
    <w:rPr>
      <w:rFonts w:ascii="Times New Roman" w:hAnsi="Times New Roman" w:eastAsia="宋体" w:cs="Times New Roman"/>
      <w:szCs w:val="24"/>
    </w:rPr>
  </w:style>
  <w:style w:type="paragraph" w:styleId="13">
    <w:name w:val="toc 3"/>
    <w:basedOn w:val="1"/>
    <w:next w:val="1"/>
    <w:autoRedefine/>
    <w:qFormat/>
    <w:uiPriority w:val="39"/>
    <w:pPr>
      <w:ind w:left="840" w:leftChars="400"/>
    </w:pPr>
    <w:rPr>
      <w:rFonts w:ascii="Times New Roman" w:hAnsi="Times New Roman" w:eastAsia="宋体" w:cs="Times New Roman"/>
      <w:szCs w:val="24"/>
    </w:rPr>
  </w:style>
  <w:style w:type="paragraph" w:styleId="14">
    <w:name w:val="Plain Text"/>
    <w:basedOn w:val="1"/>
    <w:link w:val="193"/>
    <w:autoRedefine/>
    <w:qFormat/>
    <w:uiPriority w:val="0"/>
    <w:rPr>
      <w:rFonts w:ascii="宋体" w:hAnsi="Courier New" w:eastAsia="宋体"/>
      <w:szCs w:val="21"/>
    </w:rPr>
  </w:style>
  <w:style w:type="paragraph" w:styleId="15">
    <w:name w:val="toc 8"/>
    <w:basedOn w:val="1"/>
    <w:next w:val="1"/>
    <w:autoRedefine/>
    <w:qFormat/>
    <w:uiPriority w:val="0"/>
    <w:pPr>
      <w:ind w:left="2940" w:leftChars="1400"/>
    </w:pPr>
    <w:rPr>
      <w:rFonts w:ascii="Times New Roman" w:hAnsi="Times New Roman" w:eastAsia="宋体" w:cs="Times New Roman"/>
      <w:szCs w:val="24"/>
    </w:rPr>
  </w:style>
  <w:style w:type="paragraph" w:styleId="16">
    <w:name w:val="Date"/>
    <w:basedOn w:val="1"/>
    <w:next w:val="1"/>
    <w:link w:val="145"/>
    <w:autoRedefine/>
    <w:qFormat/>
    <w:uiPriority w:val="0"/>
    <w:rPr>
      <w:szCs w:val="21"/>
    </w:rPr>
  </w:style>
  <w:style w:type="paragraph" w:styleId="17">
    <w:name w:val="Body Text Indent 2"/>
    <w:basedOn w:val="1"/>
    <w:link w:val="118"/>
    <w:autoRedefine/>
    <w:qFormat/>
    <w:uiPriority w:val="99"/>
    <w:pPr>
      <w:spacing w:before="100" w:beforeAutospacing="1" w:after="100" w:afterAutospacing="1" w:line="360" w:lineRule="auto"/>
      <w:ind w:firstLine="420"/>
    </w:pPr>
    <w:rPr>
      <w:rFonts w:ascii="宋体" w:hAnsi="Calibri" w:eastAsia="宋体" w:cs="Times New Roman"/>
      <w:kern w:val="0"/>
      <w:sz w:val="24"/>
      <w:szCs w:val="20"/>
    </w:rPr>
  </w:style>
  <w:style w:type="paragraph" w:styleId="18">
    <w:name w:val="Balloon Text"/>
    <w:basedOn w:val="1"/>
    <w:link w:val="68"/>
    <w:autoRedefine/>
    <w:qFormat/>
    <w:uiPriority w:val="99"/>
    <w:rPr>
      <w:rFonts w:ascii="Calibri" w:hAnsi="Calibri" w:eastAsia="宋体" w:cs="Times New Roman"/>
      <w:sz w:val="18"/>
      <w:szCs w:val="18"/>
    </w:rPr>
  </w:style>
  <w:style w:type="paragraph" w:styleId="19">
    <w:name w:val="footer"/>
    <w:basedOn w:val="1"/>
    <w:link w:val="55"/>
    <w:autoRedefine/>
    <w:qFormat/>
    <w:uiPriority w:val="99"/>
    <w:pPr>
      <w:tabs>
        <w:tab w:val="center" w:pos="4153"/>
        <w:tab w:val="right" w:pos="8306"/>
      </w:tabs>
      <w:snapToGrid w:val="0"/>
      <w:jc w:val="left"/>
    </w:pPr>
    <w:rPr>
      <w:rFonts w:ascii="Calibri" w:hAnsi="Calibri" w:eastAsia="宋体" w:cs="Times New Roman"/>
      <w:sz w:val="18"/>
      <w:szCs w:val="18"/>
    </w:rPr>
  </w:style>
  <w:style w:type="paragraph" w:styleId="20">
    <w:name w:val="header"/>
    <w:basedOn w:val="1"/>
    <w:link w:val="54"/>
    <w:autoRedefine/>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21">
    <w:name w:val="toc 1"/>
    <w:basedOn w:val="1"/>
    <w:next w:val="1"/>
    <w:autoRedefine/>
    <w:qFormat/>
    <w:uiPriority w:val="39"/>
    <w:rPr>
      <w:rFonts w:ascii="Times New Roman" w:hAnsi="Times New Roman" w:eastAsia="宋体" w:cs="Times New Roman"/>
      <w:szCs w:val="24"/>
    </w:rPr>
  </w:style>
  <w:style w:type="paragraph" w:styleId="22">
    <w:name w:val="toc 4"/>
    <w:basedOn w:val="1"/>
    <w:next w:val="1"/>
    <w:autoRedefine/>
    <w:qFormat/>
    <w:uiPriority w:val="0"/>
    <w:pPr>
      <w:ind w:left="1260" w:leftChars="600"/>
    </w:pPr>
    <w:rPr>
      <w:rFonts w:ascii="Times New Roman" w:hAnsi="Times New Roman" w:eastAsia="宋体" w:cs="Times New Roman"/>
      <w:szCs w:val="24"/>
    </w:rPr>
  </w:style>
  <w:style w:type="paragraph" w:styleId="23">
    <w:name w:val="footnote text"/>
    <w:basedOn w:val="1"/>
    <w:link w:val="162"/>
    <w:autoRedefine/>
    <w:semiHidden/>
    <w:qFormat/>
    <w:uiPriority w:val="0"/>
    <w:pPr>
      <w:snapToGrid w:val="0"/>
      <w:jc w:val="left"/>
    </w:pPr>
    <w:rPr>
      <w:rFonts w:ascii="Times New Roman" w:hAnsi="Times New Roman" w:eastAsia="宋体" w:cs="Times New Roman"/>
      <w:sz w:val="18"/>
      <w:szCs w:val="18"/>
    </w:rPr>
  </w:style>
  <w:style w:type="paragraph" w:styleId="24">
    <w:name w:val="toc 6"/>
    <w:basedOn w:val="1"/>
    <w:next w:val="1"/>
    <w:autoRedefine/>
    <w:qFormat/>
    <w:uiPriority w:val="0"/>
    <w:pPr>
      <w:ind w:left="2100" w:leftChars="1000"/>
    </w:pPr>
    <w:rPr>
      <w:rFonts w:ascii="Times New Roman" w:hAnsi="Times New Roman" w:eastAsia="宋体" w:cs="Times New Roman"/>
      <w:szCs w:val="24"/>
    </w:rPr>
  </w:style>
  <w:style w:type="paragraph" w:styleId="25">
    <w:name w:val="Body Text Indent 3"/>
    <w:basedOn w:val="1"/>
    <w:link w:val="120"/>
    <w:autoRedefine/>
    <w:qFormat/>
    <w:uiPriority w:val="99"/>
    <w:pPr>
      <w:spacing w:line="440" w:lineRule="exact"/>
      <w:ind w:firstLine="412" w:firstLineChars="200"/>
    </w:pPr>
    <w:rPr>
      <w:rFonts w:ascii="宋体" w:hAnsi="Calibri" w:eastAsia="宋体" w:cs="Times New Roman"/>
      <w:kern w:val="0"/>
      <w:sz w:val="20"/>
      <w:szCs w:val="20"/>
    </w:rPr>
  </w:style>
  <w:style w:type="paragraph" w:styleId="26">
    <w:name w:val="table of figures"/>
    <w:basedOn w:val="1"/>
    <w:next w:val="1"/>
    <w:autoRedefine/>
    <w:qFormat/>
    <w:uiPriority w:val="0"/>
    <w:pPr>
      <w:ind w:left="200" w:leftChars="200" w:hanging="200" w:hangingChars="200"/>
    </w:pPr>
    <w:rPr>
      <w:rFonts w:ascii="Times New Roman" w:hAnsi="Times New Roman" w:eastAsia="宋体" w:cs="Times New Roman"/>
      <w:szCs w:val="20"/>
    </w:rPr>
  </w:style>
  <w:style w:type="paragraph" w:styleId="27">
    <w:name w:val="toc 2"/>
    <w:basedOn w:val="1"/>
    <w:next w:val="1"/>
    <w:autoRedefine/>
    <w:qFormat/>
    <w:uiPriority w:val="39"/>
    <w:pPr>
      <w:ind w:left="420" w:leftChars="200"/>
    </w:pPr>
    <w:rPr>
      <w:rFonts w:ascii="Times New Roman" w:hAnsi="Times New Roman" w:eastAsia="宋体" w:cs="Times New Roman"/>
      <w:szCs w:val="24"/>
    </w:rPr>
  </w:style>
  <w:style w:type="paragraph" w:styleId="28">
    <w:name w:val="toc 9"/>
    <w:basedOn w:val="1"/>
    <w:next w:val="1"/>
    <w:autoRedefine/>
    <w:qFormat/>
    <w:uiPriority w:val="0"/>
    <w:pPr>
      <w:ind w:left="3360" w:leftChars="1600"/>
    </w:pPr>
    <w:rPr>
      <w:rFonts w:ascii="Times New Roman" w:hAnsi="Times New Roman" w:eastAsia="宋体" w:cs="Times New Roman"/>
      <w:szCs w:val="24"/>
    </w:rPr>
  </w:style>
  <w:style w:type="paragraph" w:styleId="29">
    <w:name w:val="List Continue 2"/>
    <w:basedOn w:val="1"/>
    <w:autoRedefine/>
    <w:qFormat/>
    <w:uiPriority w:val="99"/>
    <w:pPr>
      <w:spacing w:after="120"/>
      <w:ind w:left="840" w:leftChars="400"/>
    </w:pPr>
    <w:rPr>
      <w:rFonts w:ascii="Times New Roman" w:hAnsi="Times New Roman" w:eastAsia="宋体" w:cs="Times New Roman"/>
      <w:szCs w:val="24"/>
    </w:rPr>
  </w:style>
  <w:style w:type="paragraph" w:styleId="30">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31">
    <w:name w:val="index 1"/>
    <w:basedOn w:val="1"/>
    <w:next w:val="1"/>
    <w:autoRedefine/>
    <w:semiHidden/>
    <w:qFormat/>
    <w:uiPriority w:val="0"/>
    <w:pPr>
      <w:adjustRightInd w:val="0"/>
      <w:snapToGrid w:val="0"/>
      <w:spacing w:line="300" w:lineRule="exact"/>
    </w:pPr>
    <w:rPr>
      <w:rFonts w:ascii="宋体" w:hAnsi="宋体" w:eastAsia="宋体" w:cs="Times New Roman"/>
      <w:bCs/>
      <w:sz w:val="20"/>
      <w:szCs w:val="21"/>
    </w:rPr>
  </w:style>
  <w:style w:type="paragraph" w:styleId="32">
    <w:name w:val="Title"/>
    <w:basedOn w:val="1"/>
    <w:next w:val="1"/>
    <w:link w:val="148"/>
    <w:autoRedefine/>
    <w:qFormat/>
    <w:uiPriority w:val="0"/>
    <w:pPr>
      <w:spacing w:before="240" w:after="60"/>
      <w:jc w:val="center"/>
      <w:outlineLvl w:val="0"/>
    </w:pPr>
    <w:rPr>
      <w:rFonts w:ascii="Cambria" w:hAnsi="Cambria" w:cs="Times New Roman"/>
      <w:b/>
      <w:bCs/>
      <w:sz w:val="32"/>
      <w:szCs w:val="32"/>
    </w:rPr>
  </w:style>
  <w:style w:type="paragraph" w:styleId="33">
    <w:name w:val="annotation subject"/>
    <w:basedOn w:val="9"/>
    <w:next w:val="9"/>
    <w:link w:val="155"/>
    <w:autoRedefine/>
    <w:qFormat/>
    <w:uiPriority w:val="0"/>
    <w:rPr>
      <w:b/>
      <w:bCs/>
    </w:rPr>
  </w:style>
  <w:style w:type="table" w:styleId="35">
    <w:name w:val="Table Grid"/>
    <w:basedOn w:val="34"/>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basedOn w:val="36"/>
    <w:autoRedefine/>
    <w:qFormat/>
    <w:uiPriority w:val="22"/>
    <w:rPr>
      <w:rFonts w:cs="Times New Roman"/>
      <w:b/>
    </w:rPr>
  </w:style>
  <w:style w:type="character" w:styleId="38">
    <w:name w:val="page number"/>
    <w:basedOn w:val="36"/>
    <w:autoRedefine/>
    <w:qFormat/>
    <w:uiPriority w:val="0"/>
    <w:rPr>
      <w:rFonts w:cs="Times New Roman"/>
    </w:rPr>
  </w:style>
  <w:style w:type="character" w:styleId="39">
    <w:name w:val="FollowedHyperlink"/>
    <w:basedOn w:val="36"/>
    <w:autoRedefine/>
    <w:qFormat/>
    <w:uiPriority w:val="99"/>
    <w:rPr>
      <w:rFonts w:cs="Times New Roman"/>
      <w:color w:val="555555"/>
      <w:u w:val="none"/>
    </w:rPr>
  </w:style>
  <w:style w:type="character" w:styleId="40">
    <w:name w:val="Emphasis"/>
    <w:basedOn w:val="36"/>
    <w:autoRedefine/>
    <w:qFormat/>
    <w:uiPriority w:val="0"/>
    <w:rPr>
      <w:rFonts w:cs="Times New Roman"/>
      <w:i/>
    </w:rPr>
  </w:style>
  <w:style w:type="character" w:styleId="41">
    <w:name w:val="HTML Definition"/>
    <w:basedOn w:val="36"/>
    <w:autoRedefine/>
    <w:qFormat/>
    <w:uiPriority w:val="99"/>
    <w:rPr>
      <w:rFonts w:cs="Times New Roman"/>
    </w:rPr>
  </w:style>
  <w:style w:type="character" w:styleId="42">
    <w:name w:val="HTML Acronym"/>
    <w:basedOn w:val="36"/>
    <w:autoRedefine/>
    <w:qFormat/>
    <w:uiPriority w:val="99"/>
    <w:rPr>
      <w:rFonts w:cs="Times New Roman"/>
    </w:rPr>
  </w:style>
  <w:style w:type="character" w:styleId="43">
    <w:name w:val="HTML Variable"/>
    <w:basedOn w:val="36"/>
    <w:autoRedefine/>
    <w:qFormat/>
    <w:uiPriority w:val="99"/>
    <w:rPr>
      <w:rFonts w:cs="Times New Roman"/>
    </w:rPr>
  </w:style>
  <w:style w:type="character" w:styleId="44">
    <w:name w:val="Hyperlink"/>
    <w:basedOn w:val="36"/>
    <w:autoRedefine/>
    <w:qFormat/>
    <w:uiPriority w:val="99"/>
    <w:rPr>
      <w:rFonts w:cs="Times New Roman"/>
      <w:color w:val="555555"/>
      <w:u w:val="none"/>
    </w:rPr>
  </w:style>
  <w:style w:type="character" w:styleId="45">
    <w:name w:val="HTML Code"/>
    <w:basedOn w:val="36"/>
    <w:autoRedefine/>
    <w:qFormat/>
    <w:uiPriority w:val="99"/>
    <w:rPr>
      <w:rFonts w:ascii="monospace" w:hAnsi="monospace" w:cs="Times New Roman"/>
      <w:sz w:val="24"/>
    </w:rPr>
  </w:style>
  <w:style w:type="character" w:styleId="46">
    <w:name w:val="annotation reference"/>
    <w:autoRedefine/>
    <w:qFormat/>
    <w:uiPriority w:val="0"/>
    <w:rPr>
      <w:sz w:val="21"/>
      <w:szCs w:val="21"/>
    </w:rPr>
  </w:style>
  <w:style w:type="character" w:styleId="47">
    <w:name w:val="HTML Cite"/>
    <w:basedOn w:val="36"/>
    <w:autoRedefine/>
    <w:qFormat/>
    <w:uiPriority w:val="99"/>
    <w:rPr>
      <w:rFonts w:cs="Times New Roman"/>
    </w:rPr>
  </w:style>
  <w:style w:type="character" w:styleId="48">
    <w:name w:val="footnote reference"/>
    <w:autoRedefine/>
    <w:semiHidden/>
    <w:qFormat/>
    <w:uiPriority w:val="0"/>
    <w:rPr>
      <w:vertAlign w:val="superscript"/>
    </w:rPr>
  </w:style>
  <w:style w:type="character" w:styleId="49">
    <w:name w:val="HTML Keyboard"/>
    <w:basedOn w:val="36"/>
    <w:autoRedefine/>
    <w:qFormat/>
    <w:uiPriority w:val="99"/>
    <w:rPr>
      <w:rFonts w:ascii="monospace" w:hAnsi="monospace" w:cs="Times New Roman"/>
      <w:sz w:val="24"/>
    </w:rPr>
  </w:style>
  <w:style w:type="character" w:styleId="50">
    <w:name w:val="HTML Sample"/>
    <w:basedOn w:val="36"/>
    <w:autoRedefine/>
    <w:qFormat/>
    <w:uiPriority w:val="99"/>
    <w:rPr>
      <w:rFonts w:ascii="monospace" w:hAnsi="monospace" w:cs="Times New Roman"/>
      <w:sz w:val="24"/>
    </w:rPr>
  </w:style>
  <w:style w:type="character" w:customStyle="1" w:styleId="51">
    <w:name w:val="标题 1 Char"/>
    <w:basedOn w:val="36"/>
    <w:link w:val="2"/>
    <w:autoRedefine/>
    <w:qFormat/>
    <w:uiPriority w:val="9"/>
    <w:rPr>
      <w:rFonts w:ascii="???" w:hAnsi="???" w:eastAsia="宋体" w:cs="Arial"/>
      <w:b/>
      <w:bCs/>
      <w:color w:val="020000"/>
      <w:kern w:val="36"/>
      <w:sz w:val="44"/>
      <w:szCs w:val="44"/>
    </w:rPr>
  </w:style>
  <w:style w:type="character" w:customStyle="1" w:styleId="52">
    <w:name w:val="标题 2 Char"/>
    <w:basedOn w:val="36"/>
    <w:link w:val="3"/>
    <w:autoRedefine/>
    <w:qFormat/>
    <w:uiPriority w:val="99"/>
    <w:rPr>
      <w:rFonts w:ascii="???" w:hAnsi="???" w:eastAsia="宋体" w:cs="Arial"/>
      <w:b/>
      <w:bCs/>
      <w:color w:val="020000"/>
      <w:kern w:val="0"/>
      <w:sz w:val="32"/>
      <w:szCs w:val="32"/>
    </w:rPr>
  </w:style>
  <w:style w:type="character" w:customStyle="1" w:styleId="53">
    <w:name w:val="标题 3 Char"/>
    <w:basedOn w:val="36"/>
    <w:link w:val="4"/>
    <w:autoRedefine/>
    <w:qFormat/>
    <w:uiPriority w:val="99"/>
    <w:rPr>
      <w:rFonts w:ascii="??" w:hAnsi="??" w:eastAsia="宋体" w:cs="Arial"/>
      <w:b/>
      <w:bCs/>
      <w:color w:val="000000"/>
      <w:kern w:val="0"/>
      <w:sz w:val="32"/>
      <w:szCs w:val="32"/>
    </w:rPr>
  </w:style>
  <w:style w:type="character" w:customStyle="1" w:styleId="54">
    <w:name w:val="页眉 Char"/>
    <w:basedOn w:val="36"/>
    <w:link w:val="20"/>
    <w:autoRedefine/>
    <w:qFormat/>
    <w:uiPriority w:val="99"/>
    <w:rPr>
      <w:rFonts w:ascii="Calibri" w:hAnsi="Calibri" w:eastAsia="宋体" w:cs="Times New Roman"/>
      <w:sz w:val="18"/>
      <w:szCs w:val="18"/>
    </w:rPr>
  </w:style>
  <w:style w:type="character" w:customStyle="1" w:styleId="55">
    <w:name w:val="页脚 Char"/>
    <w:basedOn w:val="36"/>
    <w:link w:val="19"/>
    <w:autoRedefine/>
    <w:qFormat/>
    <w:uiPriority w:val="99"/>
    <w:rPr>
      <w:rFonts w:ascii="Calibri" w:hAnsi="Calibri" w:eastAsia="宋体" w:cs="Times New Roman"/>
      <w:sz w:val="18"/>
      <w:szCs w:val="18"/>
    </w:rPr>
  </w:style>
  <w:style w:type="character" w:customStyle="1" w:styleId="56">
    <w:name w:val="正文文本缩进 Char"/>
    <w:basedOn w:val="36"/>
    <w:link w:val="11"/>
    <w:autoRedefine/>
    <w:qFormat/>
    <w:uiPriority w:val="0"/>
    <w:rPr>
      <w:rFonts w:ascii="??" w:hAnsi="??" w:eastAsia="宋体" w:cs="Arial"/>
      <w:kern w:val="0"/>
      <w:sz w:val="24"/>
      <w:szCs w:val="24"/>
    </w:rPr>
  </w:style>
  <w:style w:type="paragraph" w:styleId="57">
    <w:name w:val="List Paragraph"/>
    <w:basedOn w:val="1"/>
    <w:autoRedefine/>
    <w:qFormat/>
    <w:uiPriority w:val="34"/>
    <w:pPr>
      <w:ind w:firstLine="420" w:firstLineChars="200"/>
    </w:pPr>
    <w:rPr>
      <w:rFonts w:ascii="Calibri" w:hAnsi="Calibri" w:eastAsia="宋体" w:cs="Times New Roman"/>
    </w:rPr>
  </w:style>
  <w:style w:type="character" w:customStyle="1" w:styleId="58">
    <w:name w:val="标题 2 Char Char"/>
    <w:autoRedefine/>
    <w:qFormat/>
    <w:uiPriority w:val="99"/>
    <w:rPr>
      <w:rFonts w:ascii="Arial" w:hAnsi="Arial" w:eastAsia="黑体"/>
      <w:b/>
      <w:kern w:val="2"/>
      <w:sz w:val="32"/>
      <w:lang w:val="en-US" w:eastAsia="zh-CN"/>
    </w:rPr>
  </w:style>
  <w:style w:type="character" w:customStyle="1" w:styleId="59">
    <w:name w:val="2charchar"/>
    <w:basedOn w:val="36"/>
    <w:autoRedefine/>
    <w:qFormat/>
    <w:uiPriority w:val="99"/>
    <w:rPr>
      <w:rFonts w:cs="Times New Roman"/>
    </w:rPr>
  </w:style>
  <w:style w:type="paragraph" w:customStyle="1" w:styleId="60">
    <w:name w:val="表格文字"/>
    <w:basedOn w:val="1"/>
    <w:autoRedefine/>
    <w:qFormat/>
    <w:uiPriority w:val="99"/>
    <w:pPr>
      <w:adjustRightInd w:val="0"/>
      <w:spacing w:line="420" w:lineRule="atLeast"/>
      <w:jc w:val="left"/>
    </w:pPr>
    <w:rPr>
      <w:rFonts w:ascii="Times New Roman" w:hAnsi="Times New Roman" w:eastAsia="宋体" w:cs="Times New Roman"/>
      <w:kern w:val="0"/>
      <w:szCs w:val="20"/>
    </w:rPr>
  </w:style>
  <w:style w:type="paragraph" w:customStyle="1" w:styleId="61">
    <w:name w:val="z-窗体顶端1"/>
    <w:basedOn w:val="1"/>
    <w:next w:val="1"/>
    <w:link w:val="62"/>
    <w:autoRedefine/>
    <w:semiHidden/>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62">
    <w:name w:val="z-窗体顶端 Char"/>
    <w:basedOn w:val="36"/>
    <w:link w:val="61"/>
    <w:autoRedefine/>
    <w:semiHidden/>
    <w:qFormat/>
    <w:uiPriority w:val="99"/>
    <w:rPr>
      <w:rFonts w:ascii="Arial" w:hAnsi="Arial" w:eastAsia="宋体" w:cs="Arial"/>
      <w:vanish/>
      <w:kern w:val="0"/>
      <w:sz w:val="16"/>
      <w:szCs w:val="16"/>
    </w:rPr>
  </w:style>
  <w:style w:type="paragraph" w:customStyle="1" w:styleId="63">
    <w:name w:val="z-窗体底端1"/>
    <w:basedOn w:val="1"/>
    <w:next w:val="1"/>
    <w:link w:val="64"/>
    <w:autoRedefine/>
    <w:semiHidden/>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64">
    <w:name w:val="z-窗体底端 Char"/>
    <w:basedOn w:val="36"/>
    <w:link w:val="63"/>
    <w:autoRedefine/>
    <w:semiHidden/>
    <w:qFormat/>
    <w:uiPriority w:val="99"/>
    <w:rPr>
      <w:rFonts w:ascii="Arial" w:hAnsi="Arial" w:eastAsia="宋体" w:cs="Arial"/>
      <w:vanish/>
      <w:kern w:val="0"/>
      <w:sz w:val="16"/>
      <w:szCs w:val="16"/>
    </w:rPr>
  </w:style>
  <w:style w:type="paragraph" w:customStyle="1" w:styleId="65">
    <w:name w:val="hu正文"/>
    <w:basedOn w:val="1"/>
    <w:link w:val="66"/>
    <w:autoRedefine/>
    <w:qFormat/>
    <w:uiPriority w:val="99"/>
    <w:pPr>
      <w:spacing w:before="156" w:after="156" w:line="300" w:lineRule="auto"/>
      <w:ind w:firstLine="480" w:firstLineChars="200"/>
    </w:pPr>
    <w:rPr>
      <w:rFonts w:ascii="Times New Roman" w:hAnsi="Times New Roman" w:eastAsia="宋体" w:cs="Times New Roman"/>
      <w:kern w:val="0"/>
      <w:sz w:val="24"/>
      <w:szCs w:val="20"/>
    </w:rPr>
  </w:style>
  <w:style w:type="character" w:customStyle="1" w:styleId="66">
    <w:name w:val="hu正文 Char"/>
    <w:link w:val="65"/>
    <w:autoRedefine/>
    <w:qFormat/>
    <w:locked/>
    <w:uiPriority w:val="99"/>
    <w:rPr>
      <w:rFonts w:ascii="Times New Roman" w:hAnsi="Times New Roman" w:eastAsia="宋体" w:cs="Times New Roman"/>
      <w:kern w:val="0"/>
      <w:sz w:val="24"/>
      <w:szCs w:val="20"/>
    </w:rPr>
  </w:style>
  <w:style w:type="paragraph" w:styleId="67">
    <w:name w:val="No Spacing"/>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8">
    <w:name w:val="批注框文本 Char"/>
    <w:basedOn w:val="36"/>
    <w:link w:val="18"/>
    <w:autoRedefine/>
    <w:qFormat/>
    <w:uiPriority w:val="99"/>
    <w:rPr>
      <w:rFonts w:ascii="Calibri" w:hAnsi="Calibri" w:eastAsia="宋体" w:cs="Times New Roman"/>
      <w:sz w:val="18"/>
      <w:szCs w:val="18"/>
    </w:rPr>
  </w:style>
  <w:style w:type="character" w:customStyle="1" w:styleId="69">
    <w:name w:val="ui-bz-bg-hover1"/>
    <w:basedOn w:val="36"/>
    <w:autoRedefine/>
    <w:qFormat/>
    <w:uiPriority w:val="99"/>
    <w:rPr>
      <w:rFonts w:cs="Times New Roman"/>
    </w:rPr>
  </w:style>
  <w:style w:type="character" w:customStyle="1" w:styleId="70">
    <w:name w:val="批注框文本 Char1"/>
    <w:autoRedefine/>
    <w:qFormat/>
    <w:uiPriority w:val="99"/>
    <w:rPr>
      <w:rFonts w:ascii="Times New Roman" w:hAnsi="Times New Roman" w:eastAsia="宋体"/>
      <w:sz w:val="18"/>
    </w:rPr>
  </w:style>
  <w:style w:type="character" w:customStyle="1" w:styleId="71">
    <w:name w:val="bds_nopic"/>
    <w:basedOn w:val="36"/>
    <w:autoRedefine/>
    <w:qFormat/>
    <w:uiPriority w:val="99"/>
    <w:rPr>
      <w:rFonts w:cs="Times New Roman"/>
    </w:rPr>
  </w:style>
  <w:style w:type="character" w:customStyle="1" w:styleId="72">
    <w:name w:val="tip12"/>
    <w:autoRedefine/>
    <w:qFormat/>
    <w:uiPriority w:val="99"/>
    <w:rPr>
      <w:vanish/>
      <w:color w:val="FF0000"/>
      <w:sz w:val="18"/>
    </w:rPr>
  </w:style>
  <w:style w:type="character" w:customStyle="1" w:styleId="73">
    <w:name w:val="Body Text Indent 3 Char"/>
    <w:autoRedefine/>
    <w:qFormat/>
    <w:locked/>
    <w:uiPriority w:val="99"/>
    <w:rPr>
      <w:rFonts w:ascii="宋体" w:eastAsia="宋体"/>
    </w:rPr>
  </w:style>
  <w:style w:type="character" w:customStyle="1" w:styleId="74">
    <w:name w:val="HTML Markup"/>
    <w:autoRedefine/>
    <w:qFormat/>
    <w:uiPriority w:val="99"/>
    <w:rPr>
      <w:vanish/>
      <w:color w:val="FF0000"/>
    </w:rPr>
  </w:style>
  <w:style w:type="character" w:customStyle="1" w:styleId="75">
    <w:name w:val="tip7"/>
    <w:autoRedefine/>
    <w:qFormat/>
    <w:uiPriority w:val="99"/>
    <w:rPr>
      <w:vanish/>
      <w:color w:val="FF0000"/>
      <w:sz w:val="18"/>
    </w:rPr>
  </w:style>
  <w:style w:type="character" w:customStyle="1" w:styleId="76">
    <w:name w:val="f-star"/>
    <w:autoRedefine/>
    <w:qFormat/>
    <w:uiPriority w:val="99"/>
    <w:rPr>
      <w:color w:val="999999"/>
      <w:sz w:val="21"/>
    </w:rPr>
  </w:style>
  <w:style w:type="character" w:customStyle="1" w:styleId="77">
    <w:name w:val="Document Map Char1"/>
    <w:autoRedefine/>
    <w:qFormat/>
    <w:uiPriority w:val="99"/>
    <w:rPr>
      <w:rFonts w:ascii="Times New Roman" w:hAnsi="Times New Roman"/>
      <w:kern w:val="2"/>
      <w:sz w:val="2"/>
    </w:rPr>
  </w:style>
  <w:style w:type="character" w:customStyle="1" w:styleId="78">
    <w:name w:val="my-class2"/>
    <w:basedOn w:val="36"/>
    <w:autoRedefine/>
    <w:qFormat/>
    <w:uiPriority w:val="99"/>
    <w:rPr>
      <w:rFonts w:cs="Times New Roman"/>
    </w:rPr>
  </w:style>
  <w:style w:type="character" w:customStyle="1" w:styleId="79">
    <w:name w:val="no52"/>
    <w:basedOn w:val="36"/>
    <w:autoRedefine/>
    <w:qFormat/>
    <w:uiPriority w:val="99"/>
    <w:rPr>
      <w:rFonts w:cs="Times New Roman"/>
    </w:rPr>
  </w:style>
  <w:style w:type="character" w:customStyle="1" w:styleId="80">
    <w:name w:val="no4"/>
    <w:basedOn w:val="36"/>
    <w:autoRedefine/>
    <w:qFormat/>
    <w:uiPriority w:val="99"/>
    <w:rPr>
      <w:rFonts w:cs="Times New Roman"/>
    </w:rPr>
  </w:style>
  <w:style w:type="character" w:customStyle="1" w:styleId="81">
    <w:name w:val="my-notice"/>
    <w:basedOn w:val="36"/>
    <w:autoRedefine/>
    <w:qFormat/>
    <w:uiPriority w:val="99"/>
    <w:rPr>
      <w:rFonts w:cs="Times New Roman"/>
    </w:rPr>
  </w:style>
  <w:style w:type="character" w:customStyle="1" w:styleId="82">
    <w:name w:val="ico-jiang"/>
    <w:basedOn w:val="36"/>
    <w:autoRedefine/>
    <w:qFormat/>
    <w:uiPriority w:val="99"/>
    <w:rPr>
      <w:rFonts w:cs="Times New Roman"/>
    </w:rPr>
  </w:style>
  <w:style w:type="character" w:customStyle="1" w:styleId="83">
    <w:name w:val="ico-jiang2"/>
    <w:basedOn w:val="36"/>
    <w:autoRedefine/>
    <w:qFormat/>
    <w:uiPriority w:val="99"/>
    <w:rPr>
      <w:rFonts w:cs="Times New Roman"/>
    </w:rPr>
  </w:style>
  <w:style w:type="character" w:customStyle="1" w:styleId="84">
    <w:name w:val="bds_more1"/>
    <w:autoRedefine/>
    <w:qFormat/>
    <w:uiPriority w:val="99"/>
    <w:rPr>
      <w:rFonts w:ascii="宋体" w:hAnsi="宋体" w:eastAsia="宋体"/>
    </w:rPr>
  </w:style>
  <w:style w:type="character" w:customStyle="1" w:styleId="85">
    <w:name w:val="Body Text Indent 2 Char"/>
    <w:autoRedefine/>
    <w:qFormat/>
    <w:locked/>
    <w:uiPriority w:val="99"/>
    <w:rPr>
      <w:rFonts w:ascii="宋体" w:eastAsia="宋体"/>
      <w:sz w:val="24"/>
    </w:rPr>
  </w:style>
  <w:style w:type="character" w:customStyle="1" w:styleId="86">
    <w:name w:val="org_name"/>
    <w:basedOn w:val="36"/>
    <w:autoRedefine/>
    <w:qFormat/>
    <w:uiPriority w:val="99"/>
    <w:rPr>
      <w:rFonts w:cs="Times New Roman"/>
    </w:rPr>
  </w:style>
  <w:style w:type="character" w:customStyle="1" w:styleId="87">
    <w:name w:val="org_name2"/>
    <w:basedOn w:val="36"/>
    <w:autoRedefine/>
    <w:qFormat/>
    <w:uiPriority w:val="99"/>
    <w:rPr>
      <w:rFonts w:cs="Times New Roman"/>
    </w:rPr>
  </w:style>
  <w:style w:type="character" w:customStyle="1" w:styleId="88">
    <w:name w:val="tip10"/>
    <w:autoRedefine/>
    <w:qFormat/>
    <w:uiPriority w:val="99"/>
    <w:rPr>
      <w:vanish/>
      <w:color w:val="FF0000"/>
      <w:sz w:val="18"/>
    </w:rPr>
  </w:style>
  <w:style w:type="character" w:customStyle="1" w:styleId="89">
    <w:name w:val="orange"/>
    <w:autoRedefine/>
    <w:qFormat/>
    <w:uiPriority w:val="99"/>
    <w:rPr>
      <w:color w:val="3FB58F"/>
    </w:rPr>
  </w:style>
  <w:style w:type="character" w:customStyle="1" w:styleId="90">
    <w:name w:val="bds_more"/>
    <w:basedOn w:val="36"/>
    <w:autoRedefine/>
    <w:qFormat/>
    <w:uiPriority w:val="99"/>
    <w:rPr>
      <w:rFonts w:cs="Times New Roman"/>
    </w:rPr>
  </w:style>
  <w:style w:type="character" w:customStyle="1" w:styleId="91">
    <w:name w:val="t-tag"/>
    <w:autoRedefine/>
    <w:qFormat/>
    <w:uiPriority w:val="99"/>
    <w:rPr>
      <w:color w:val="FFFFFF"/>
      <w:sz w:val="18"/>
      <w:shd w:val="clear" w:color="auto" w:fill="FE8833"/>
    </w:rPr>
  </w:style>
  <w:style w:type="character" w:customStyle="1" w:styleId="92">
    <w:name w:val="top-icon"/>
    <w:basedOn w:val="36"/>
    <w:autoRedefine/>
    <w:qFormat/>
    <w:uiPriority w:val="99"/>
    <w:rPr>
      <w:rFonts w:cs="Times New Roman"/>
    </w:rPr>
  </w:style>
  <w:style w:type="character" w:customStyle="1" w:styleId="93">
    <w:name w:val="Body Text Char"/>
    <w:autoRedefine/>
    <w:qFormat/>
    <w:locked/>
    <w:uiPriority w:val="99"/>
    <w:rPr>
      <w:sz w:val="24"/>
    </w:rPr>
  </w:style>
  <w:style w:type="character" w:customStyle="1" w:styleId="94">
    <w:name w:val="no72"/>
    <w:basedOn w:val="36"/>
    <w:autoRedefine/>
    <w:qFormat/>
    <w:uiPriority w:val="99"/>
    <w:rPr>
      <w:rFonts w:cs="Times New Roman"/>
    </w:rPr>
  </w:style>
  <w:style w:type="character" w:customStyle="1" w:styleId="95">
    <w:name w:val="bds_nopic2"/>
    <w:basedOn w:val="36"/>
    <w:autoRedefine/>
    <w:qFormat/>
    <w:uiPriority w:val="99"/>
    <w:rPr>
      <w:rFonts w:cs="Times New Roman"/>
    </w:rPr>
  </w:style>
  <w:style w:type="character" w:customStyle="1" w:styleId="96">
    <w:name w:val="Document Map Char"/>
    <w:autoRedefine/>
    <w:qFormat/>
    <w:uiPriority w:val="99"/>
    <w:rPr>
      <w:rFonts w:ascii="宋体"/>
      <w:sz w:val="18"/>
    </w:rPr>
  </w:style>
  <w:style w:type="character" w:customStyle="1" w:styleId="97">
    <w:name w:val="no6"/>
    <w:basedOn w:val="36"/>
    <w:autoRedefine/>
    <w:qFormat/>
    <w:uiPriority w:val="99"/>
    <w:rPr>
      <w:rFonts w:cs="Times New Roman"/>
    </w:rPr>
  </w:style>
  <w:style w:type="character" w:customStyle="1" w:styleId="98">
    <w:name w:val="tip"/>
    <w:autoRedefine/>
    <w:qFormat/>
    <w:uiPriority w:val="99"/>
    <w:rPr>
      <w:vanish/>
      <w:color w:val="FF0000"/>
      <w:sz w:val="18"/>
    </w:rPr>
  </w:style>
  <w:style w:type="character" w:customStyle="1" w:styleId="99">
    <w:name w:val="apple-converted-space"/>
    <w:basedOn w:val="36"/>
    <w:autoRedefine/>
    <w:qFormat/>
    <w:uiPriority w:val="99"/>
    <w:rPr>
      <w:rFonts w:cs="Times New Roman"/>
    </w:rPr>
  </w:style>
  <w:style w:type="character" w:customStyle="1" w:styleId="100">
    <w:name w:val="bds_more2"/>
    <w:basedOn w:val="36"/>
    <w:autoRedefine/>
    <w:qFormat/>
    <w:uiPriority w:val="99"/>
    <w:rPr>
      <w:rFonts w:cs="Times New Roman"/>
    </w:rPr>
  </w:style>
  <w:style w:type="character" w:customStyle="1" w:styleId="101">
    <w:name w:val="my-class"/>
    <w:basedOn w:val="36"/>
    <w:autoRedefine/>
    <w:qFormat/>
    <w:uiPriority w:val="99"/>
    <w:rPr>
      <w:rFonts w:cs="Times New Roman"/>
    </w:rPr>
  </w:style>
  <w:style w:type="character" w:customStyle="1" w:styleId="102">
    <w:name w:val="ui-bz-bg-hover"/>
    <w:autoRedefine/>
    <w:qFormat/>
    <w:uiPriority w:val="99"/>
    <w:rPr>
      <w:shd w:val="clear" w:color="auto" w:fill="000000"/>
    </w:rPr>
  </w:style>
  <w:style w:type="character" w:customStyle="1" w:styleId="103">
    <w:name w:val="no7"/>
    <w:basedOn w:val="36"/>
    <w:autoRedefine/>
    <w:qFormat/>
    <w:uiPriority w:val="99"/>
    <w:rPr>
      <w:rFonts w:cs="Times New Roman"/>
    </w:rPr>
  </w:style>
  <w:style w:type="character" w:customStyle="1" w:styleId="104">
    <w:name w:val="正文缩进 Char"/>
    <w:link w:val="7"/>
    <w:autoRedefine/>
    <w:qFormat/>
    <w:locked/>
    <w:uiPriority w:val="99"/>
    <w:rPr>
      <w:rFonts w:ascii="Times New Roman" w:hAnsi="Times New Roman" w:eastAsia="宋体" w:cs="Times New Roman"/>
      <w:kern w:val="0"/>
      <w:sz w:val="24"/>
      <w:szCs w:val="20"/>
    </w:rPr>
  </w:style>
  <w:style w:type="character" w:customStyle="1" w:styleId="105">
    <w:name w:val="ico-jiang1"/>
    <w:basedOn w:val="36"/>
    <w:autoRedefine/>
    <w:qFormat/>
    <w:uiPriority w:val="99"/>
    <w:rPr>
      <w:rFonts w:cs="Times New Roman"/>
    </w:rPr>
  </w:style>
  <w:style w:type="character" w:customStyle="1" w:styleId="106">
    <w:name w:val="no62"/>
    <w:basedOn w:val="36"/>
    <w:autoRedefine/>
    <w:qFormat/>
    <w:uiPriority w:val="99"/>
    <w:rPr>
      <w:rFonts w:cs="Times New Roman"/>
    </w:rPr>
  </w:style>
  <w:style w:type="character" w:customStyle="1" w:styleId="107">
    <w:name w:val="orange5"/>
    <w:autoRedefine/>
    <w:qFormat/>
    <w:uiPriority w:val="99"/>
    <w:rPr>
      <w:color w:val="3FB58F"/>
    </w:rPr>
  </w:style>
  <w:style w:type="character" w:customStyle="1" w:styleId="108">
    <w:name w:val="bds_more4"/>
    <w:basedOn w:val="36"/>
    <w:autoRedefine/>
    <w:qFormat/>
    <w:uiPriority w:val="99"/>
    <w:rPr>
      <w:rFonts w:cs="Times New Roman"/>
    </w:rPr>
  </w:style>
  <w:style w:type="character" w:customStyle="1" w:styleId="109">
    <w:name w:val="no5"/>
    <w:basedOn w:val="36"/>
    <w:autoRedefine/>
    <w:qFormat/>
    <w:uiPriority w:val="99"/>
    <w:rPr>
      <w:rFonts w:cs="Times New Roman"/>
    </w:rPr>
  </w:style>
  <w:style w:type="character" w:customStyle="1" w:styleId="110">
    <w:name w:val="bds_more3"/>
    <w:basedOn w:val="36"/>
    <w:autoRedefine/>
    <w:qFormat/>
    <w:uiPriority w:val="99"/>
    <w:rPr>
      <w:rFonts w:cs="Times New Roman"/>
    </w:rPr>
  </w:style>
  <w:style w:type="character" w:customStyle="1" w:styleId="111">
    <w:name w:val="no42"/>
    <w:basedOn w:val="36"/>
    <w:autoRedefine/>
    <w:qFormat/>
    <w:uiPriority w:val="99"/>
    <w:rPr>
      <w:rFonts w:cs="Times New Roman"/>
    </w:rPr>
  </w:style>
  <w:style w:type="character" w:customStyle="1" w:styleId="112">
    <w:name w:val="bds_nopic1"/>
    <w:basedOn w:val="36"/>
    <w:autoRedefine/>
    <w:qFormat/>
    <w:uiPriority w:val="99"/>
    <w:rPr>
      <w:rFonts w:cs="Times New Roman"/>
    </w:rPr>
  </w:style>
  <w:style w:type="character" w:customStyle="1" w:styleId="113">
    <w:name w:val="my-notice1"/>
    <w:basedOn w:val="36"/>
    <w:autoRedefine/>
    <w:qFormat/>
    <w:uiPriority w:val="99"/>
    <w:rPr>
      <w:rFonts w:cs="Times New Roman"/>
    </w:rPr>
  </w:style>
  <w:style w:type="character" w:customStyle="1" w:styleId="114">
    <w:name w:val="orange6"/>
    <w:autoRedefine/>
    <w:qFormat/>
    <w:uiPriority w:val="99"/>
    <w:rPr>
      <w:color w:val="3FB58F"/>
    </w:rPr>
  </w:style>
  <w:style w:type="character" w:customStyle="1" w:styleId="115">
    <w:name w:val="Document Map Char2"/>
    <w:autoRedefine/>
    <w:qFormat/>
    <w:locked/>
    <w:uiPriority w:val="99"/>
    <w:rPr>
      <w:rFonts w:ascii="宋体"/>
      <w:sz w:val="18"/>
    </w:rPr>
  </w:style>
  <w:style w:type="character" w:customStyle="1" w:styleId="116">
    <w:name w:val="ico-jiang3"/>
    <w:basedOn w:val="36"/>
    <w:autoRedefine/>
    <w:qFormat/>
    <w:uiPriority w:val="99"/>
    <w:rPr>
      <w:rFonts w:cs="Times New Roman"/>
    </w:rPr>
  </w:style>
  <w:style w:type="character" w:customStyle="1" w:styleId="117">
    <w:name w:val="tip13"/>
    <w:autoRedefine/>
    <w:qFormat/>
    <w:uiPriority w:val="99"/>
    <w:rPr>
      <w:vanish/>
      <w:color w:val="FF0000"/>
      <w:sz w:val="18"/>
    </w:rPr>
  </w:style>
  <w:style w:type="character" w:customStyle="1" w:styleId="118">
    <w:name w:val="正文文本缩进 2 Char"/>
    <w:basedOn w:val="36"/>
    <w:link w:val="17"/>
    <w:autoRedefine/>
    <w:qFormat/>
    <w:uiPriority w:val="99"/>
    <w:rPr>
      <w:rFonts w:ascii="宋体" w:hAnsi="Calibri" w:eastAsia="宋体" w:cs="Times New Roman"/>
      <w:kern w:val="0"/>
      <w:sz w:val="24"/>
      <w:szCs w:val="20"/>
    </w:rPr>
  </w:style>
  <w:style w:type="character" w:customStyle="1" w:styleId="119">
    <w:name w:val="Body Text Indent 2 Char1"/>
    <w:basedOn w:val="36"/>
    <w:autoRedefine/>
    <w:semiHidden/>
    <w:qFormat/>
    <w:locked/>
    <w:uiPriority w:val="99"/>
    <w:rPr>
      <w:rFonts w:cs="Times New Roman"/>
    </w:rPr>
  </w:style>
  <w:style w:type="character" w:customStyle="1" w:styleId="120">
    <w:name w:val="正文文本缩进 3 Char"/>
    <w:basedOn w:val="36"/>
    <w:link w:val="25"/>
    <w:autoRedefine/>
    <w:qFormat/>
    <w:uiPriority w:val="99"/>
    <w:rPr>
      <w:rFonts w:ascii="宋体" w:hAnsi="Calibri" w:eastAsia="宋体" w:cs="Times New Roman"/>
      <w:kern w:val="0"/>
      <w:sz w:val="20"/>
      <w:szCs w:val="20"/>
    </w:rPr>
  </w:style>
  <w:style w:type="character" w:customStyle="1" w:styleId="121">
    <w:name w:val="Body Text Indent 3 Char1"/>
    <w:basedOn w:val="36"/>
    <w:autoRedefine/>
    <w:semiHidden/>
    <w:qFormat/>
    <w:locked/>
    <w:uiPriority w:val="99"/>
    <w:rPr>
      <w:rFonts w:cs="Times New Roman"/>
      <w:sz w:val="16"/>
      <w:szCs w:val="16"/>
    </w:rPr>
  </w:style>
  <w:style w:type="character" w:customStyle="1" w:styleId="122">
    <w:name w:val="文档结构图 Char"/>
    <w:basedOn w:val="36"/>
    <w:link w:val="8"/>
    <w:autoRedefine/>
    <w:qFormat/>
    <w:uiPriority w:val="99"/>
    <w:rPr>
      <w:rFonts w:ascii="宋体" w:hAnsi="Calibri" w:eastAsia="宋体" w:cs="Times New Roman"/>
      <w:kern w:val="0"/>
      <w:sz w:val="18"/>
      <w:szCs w:val="20"/>
    </w:rPr>
  </w:style>
  <w:style w:type="character" w:customStyle="1" w:styleId="123">
    <w:name w:val="Document Map Char3"/>
    <w:basedOn w:val="36"/>
    <w:autoRedefine/>
    <w:semiHidden/>
    <w:qFormat/>
    <w:locked/>
    <w:uiPriority w:val="99"/>
    <w:rPr>
      <w:rFonts w:ascii="Times New Roman" w:hAnsi="Times New Roman" w:cs="Times New Roman"/>
      <w:sz w:val="2"/>
    </w:rPr>
  </w:style>
  <w:style w:type="paragraph" w:customStyle="1" w:styleId="124">
    <w:name w:val="_Style 1"/>
    <w:basedOn w:val="1"/>
    <w:autoRedefine/>
    <w:qFormat/>
    <w:uiPriority w:val="99"/>
    <w:pPr>
      <w:ind w:firstLine="420" w:firstLineChars="200"/>
    </w:pPr>
    <w:rPr>
      <w:rFonts w:ascii="Times New Roman" w:hAnsi="Times New Roman" w:eastAsia="宋体" w:cs="Times New Roman"/>
      <w:szCs w:val="24"/>
    </w:rPr>
  </w:style>
  <w:style w:type="character" w:customStyle="1" w:styleId="125">
    <w:name w:val="正文文本 Char"/>
    <w:basedOn w:val="36"/>
    <w:link w:val="10"/>
    <w:autoRedefine/>
    <w:qFormat/>
    <w:uiPriority w:val="99"/>
    <w:rPr>
      <w:rFonts w:asciiTheme="minorEastAsia" w:hAnsiTheme="minorEastAsia" w:eastAsiaTheme="minorEastAsia"/>
      <w:b/>
      <w:sz w:val="24"/>
      <w:szCs w:val="21"/>
    </w:rPr>
  </w:style>
  <w:style w:type="character" w:customStyle="1" w:styleId="126">
    <w:name w:val="Body Text Char1"/>
    <w:basedOn w:val="36"/>
    <w:autoRedefine/>
    <w:semiHidden/>
    <w:qFormat/>
    <w:locked/>
    <w:uiPriority w:val="99"/>
    <w:rPr>
      <w:rFonts w:cs="Times New Roman"/>
    </w:rPr>
  </w:style>
  <w:style w:type="paragraph" w:customStyle="1" w:styleId="127">
    <w:name w:val="_Style 21"/>
    <w:basedOn w:val="1"/>
    <w:autoRedefine/>
    <w:qFormat/>
    <w:uiPriority w:val="99"/>
    <w:rPr>
      <w:rFonts w:ascii="Times New Roman" w:hAnsi="Times New Roman" w:eastAsia="宋体" w:cs="Times New Roman"/>
      <w:szCs w:val="20"/>
    </w:rPr>
  </w:style>
  <w:style w:type="paragraph" w:customStyle="1" w:styleId="128">
    <w:name w:val="p0"/>
    <w:basedOn w:val="1"/>
    <w:autoRedefine/>
    <w:qFormat/>
    <w:uiPriority w:val="99"/>
    <w:pPr>
      <w:widowControl/>
    </w:pPr>
    <w:rPr>
      <w:rFonts w:ascii="Times New Roman" w:hAnsi="Times New Roman" w:eastAsia="宋体" w:cs="Times New Roman"/>
      <w:kern w:val="0"/>
      <w:szCs w:val="21"/>
    </w:rPr>
  </w:style>
  <w:style w:type="paragraph" w:customStyle="1" w:styleId="129">
    <w:name w:val="xl37"/>
    <w:basedOn w:val="1"/>
    <w:autoRedefine/>
    <w:qFormat/>
    <w:uiPriority w:val="0"/>
    <w:pPr>
      <w:widowControl/>
      <w:pBdr>
        <w:left w:val="single" w:color="auto" w:sz="8" w:space="0"/>
        <w:right w:val="single" w:color="auto" w:sz="4" w:space="0"/>
      </w:pBdr>
      <w:spacing w:before="100" w:beforeAutospacing="1" w:after="100" w:afterAutospacing="1"/>
      <w:jc w:val="center"/>
      <w:textAlignment w:val="center"/>
    </w:pPr>
    <w:rPr>
      <w:rFonts w:ascii="宋体" w:hAnsi="宋体" w:eastAsia="宋体" w:cs="Times New Roman"/>
      <w:kern w:val="0"/>
      <w:sz w:val="18"/>
      <w:szCs w:val="18"/>
    </w:rPr>
  </w:style>
  <w:style w:type="paragraph" w:customStyle="1" w:styleId="130">
    <w:name w:val="xl25"/>
    <w:basedOn w:val="1"/>
    <w:autoRedefine/>
    <w:qFormat/>
    <w:uiPriority w:val="99"/>
    <w:pPr>
      <w:widowControl/>
      <w:spacing w:before="100" w:beforeAutospacing="1" w:after="100" w:afterAutospacing="1"/>
      <w:textAlignment w:val="center"/>
    </w:pPr>
    <w:rPr>
      <w:rFonts w:ascii="宋体" w:hAnsi="宋体" w:eastAsia="宋体" w:cs="Times New Roman"/>
      <w:kern w:val="0"/>
      <w:sz w:val="18"/>
      <w:szCs w:val="18"/>
    </w:rPr>
  </w:style>
  <w:style w:type="paragraph" w:customStyle="1" w:styleId="131">
    <w:name w:val="样式 样式 样式 样式 内容 + 首行缩进:  2 字符18 + 首行缩进:  5.71 厘米 + 首行缩进:  8.04 厘米..."/>
    <w:basedOn w:val="1"/>
    <w:autoRedefine/>
    <w:qFormat/>
    <w:uiPriority w:val="99"/>
    <w:pPr>
      <w:widowControl/>
      <w:spacing w:line="360" w:lineRule="auto"/>
      <w:ind w:firstLine="425" w:firstLineChars="177"/>
      <w:jc w:val="left"/>
    </w:pPr>
    <w:rPr>
      <w:rFonts w:ascii="Trebuchet MS" w:hAnsi="Trebuchet MS" w:eastAsia="宋体" w:cs="Times New Roman"/>
      <w:color w:val="404040"/>
      <w:kern w:val="0"/>
      <w:sz w:val="24"/>
      <w:szCs w:val="20"/>
      <w:lang w:eastAsia="en-US"/>
    </w:rPr>
  </w:style>
  <w:style w:type="paragraph" w:customStyle="1" w:styleId="132">
    <w:name w:val="无间隔1"/>
    <w:autoRedefine/>
    <w:qFormat/>
    <w:uiPriority w:val="99"/>
    <w:pPr>
      <w:widowControl w:val="0"/>
      <w:spacing w:line="360" w:lineRule="auto"/>
      <w:jc w:val="center"/>
    </w:pPr>
    <w:rPr>
      <w:rFonts w:ascii="Times New Roman" w:hAnsi="Times New Roman" w:eastAsia="宋体" w:cs="Times New Roman"/>
      <w:b/>
      <w:color w:val="000000"/>
      <w:kern w:val="2"/>
      <w:sz w:val="21"/>
      <w:szCs w:val="21"/>
      <w:lang w:val="zh-CN" w:eastAsia="zh-CN" w:bidi="ar-SA"/>
    </w:rPr>
  </w:style>
  <w:style w:type="paragraph" w:customStyle="1" w:styleId="133">
    <w:name w:val="列出段落11"/>
    <w:basedOn w:val="1"/>
    <w:autoRedefine/>
    <w:qFormat/>
    <w:uiPriority w:val="99"/>
    <w:pPr>
      <w:ind w:firstLine="420" w:firstLineChars="200"/>
    </w:pPr>
    <w:rPr>
      <w:rFonts w:ascii="Times New Roman" w:hAnsi="Times New Roman" w:eastAsia="宋体" w:cs="Times New Roman"/>
      <w:szCs w:val="24"/>
    </w:rPr>
  </w:style>
  <w:style w:type="paragraph" w:customStyle="1" w:styleId="134">
    <w:name w:val="_Style 2"/>
    <w:basedOn w:val="1"/>
    <w:autoRedefine/>
    <w:qFormat/>
    <w:uiPriority w:val="99"/>
    <w:pPr>
      <w:ind w:firstLine="420" w:firstLineChars="200"/>
    </w:pPr>
    <w:rPr>
      <w:rFonts w:ascii="Calibri" w:hAnsi="Calibri" w:eastAsia="宋体" w:cs="Times New Roman"/>
    </w:rPr>
  </w:style>
  <w:style w:type="paragraph" w:customStyle="1" w:styleId="135">
    <w:name w:val="txt14"/>
    <w:basedOn w:val="1"/>
    <w:autoRedefine/>
    <w:qFormat/>
    <w:uiPriority w:val="99"/>
    <w:pPr>
      <w:widowControl/>
      <w:spacing w:before="100" w:beforeAutospacing="1" w:after="100" w:afterAutospacing="1"/>
      <w:jc w:val="left"/>
    </w:pPr>
    <w:rPr>
      <w:rFonts w:ascii="宋体" w:hAnsi="宋体" w:eastAsia="宋体" w:cs="Times New Roman"/>
      <w:color w:val="000000"/>
      <w:kern w:val="0"/>
      <w:szCs w:val="21"/>
    </w:rPr>
  </w:style>
  <w:style w:type="paragraph" w:customStyle="1" w:styleId="136">
    <w:name w:val="_Style 11"/>
    <w:basedOn w:val="1"/>
    <w:autoRedefine/>
    <w:qFormat/>
    <w:uiPriority w:val="99"/>
    <w:rPr>
      <w:rFonts w:ascii="Times New Roman" w:hAnsi="Times New Roman" w:eastAsia="宋体" w:cs="Times New Roman"/>
      <w:szCs w:val="24"/>
    </w:rPr>
  </w:style>
  <w:style w:type="paragraph" w:customStyle="1" w:styleId="137">
    <w:name w:val="Char"/>
    <w:basedOn w:val="1"/>
    <w:autoRedefine/>
    <w:qFormat/>
    <w:uiPriority w:val="99"/>
    <w:rPr>
      <w:rFonts w:ascii="Times New Roman" w:hAnsi="Times New Roman" w:eastAsia="宋体" w:cs="Times New Roman"/>
      <w:szCs w:val="21"/>
    </w:rPr>
  </w:style>
  <w:style w:type="paragraph" w:customStyle="1" w:styleId="138">
    <w:name w:val="列出段落1"/>
    <w:basedOn w:val="1"/>
    <w:autoRedefine/>
    <w:qFormat/>
    <w:uiPriority w:val="99"/>
    <w:pPr>
      <w:ind w:firstLine="420" w:firstLineChars="200"/>
    </w:pPr>
    <w:rPr>
      <w:rFonts w:ascii="Times New Roman" w:hAnsi="Times New Roman" w:eastAsia="宋体" w:cs="Times New Roman"/>
      <w:szCs w:val="24"/>
    </w:rPr>
  </w:style>
  <w:style w:type="paragraph" w:customStyle="1" w:styleId="139">
    <w:name w:val="列出段落2"/>
    <w:basedOn w:val="1"/>
    <w:autoRedefine/>
    <w:qFormat/>
    <w:uiPriority w:val="99"/>
    <w:pPr>
      <w:ind w:firstLine="420" w:firstLineChars="200"/>
    </w:pPr>
    <w:rPr>
      <w:rFonts w:ascii="Times New Roman" w:hAnsi="Times New Roman" w:eastAsia="宋体" w:cs="Times New Roman"/>
      <w:szCs w:val="24"/>
    </w:rPr>
  </w:style>
  <w:style w:type="paragraph" w:customStyle="1" w:styleId="140">
    <w:name w:val="TOC 标题1"/>
    <w:basedOn w:val="2"/>
    <w:next w:val="1"/>
    <w:autoRedefine/>
    <w:qFormat/>
    <w:uiPriority w:val="39"/>
    <w:pPr>
      <w:keepLines/>
      <w:spacing w:before="480" w:after="0" w:line="276" w:lineRule="auto"/>
      <w:jc w:val="left"/>
      <w:outlineLvl w:val="9"/>
    </w:pPr>
    <w:rPr>
      <w:rFonts w:ascii="Cambria" w:hAnsi="Cambria" w:cs="Times New Roman"/>
      <w:color w:val="365F91"/>
      <w:kern w:val="0"/>
      <w:sz w:val="28"/>
      <w:szCs w:val="28"/>
    </w:rPr>
  </w:style>
  <w:style w:type="paragraph" w:customStyle="1" w:styleId="141">
    <w:name w:val="正文文本缩进 31"/>
    <w:basedOn w:val="1"/>
    <w:autoRedefine/>
    <w:qFormat/>
    <w:uiPriority w:val="99"/>
    <w:pPr>
      <w:spacing w:line="440" w:lineRule="exact"/>
      <w:ind w:firstLine="412" w:firstLineChars="200"/>
    </w:pPr>
    <w:rPr>
      <w:rFonts w:ascii="宋体" w:hAnsi="宋体" w:eastAsia="宋体" w:cs="Times New Roman"/>
      <w:kern w:val="0"/>
      <w:sz w:val="20"/>
      <w:szCs w:val="20"/>
    </w:rPr>
  </w:style>
  <w:style w:type="character" w:customStyle="1" w:styleId="142">
    <w:name w:val="font41"/>
    <w:autoRedefine/>
    <w:qFormat/>
    <w:uiPriority w:val="99"/>
    <w:rPr>
      <w:rFonts w:hint="eastAsia" w:ascii="宋体" w:hAnsi="宋体" w:eastAsia="宋体" w:cs="宋体"/>
      <w:b/>
      <w:color w:val="000000"/>
      <w:sz w:val="22"/>
      <w:szCs w:val="22"/>
      <w:u w:val="none"/>
    </w:rPr>
  </w:style>
  <w:style w:type="character" w:customStyle="1" w:styleId="143">
    <w:name w:val="font81"/>
    <w:autoRedefine/>
    <w:qFormat/>
    <w:uiPriority w:val="99"/>
    <w:rPr>
      <w:rFonts w:hint="eastAsia" w:ascii="宋体" w:hAnsi="宋体" w:eastAsia="宋体" w:cs="宋体"/>
      <w:b/>
      <w:color w:val="000000"/>
      <w:sz w:val="22"/>
      <w:szCs w:val="22"/>
      <w:u w:val="none"/>
    </w:rPr>
  </w:style>
  <w:style w:type="character" w:customStyle="1" w:styleId="144">
    <w:name w:val="font21"/>
    <w:autoRedefine/>
    <w:qFormat/>
    <w:uiPriority w:val="0"/>
    <w:rPr>
      <w:rFonts w:hint="eastAsia" w:ascii="宋体" w:hAnsi="宋体" w:eastAsia="宋体" w:cs="宋体"/>
      <w:color w:val="000000"/>
      <w:sz w:val="18"/>
      <w:szCs w:val="18"/>
      <w:u w:val="none"/>
    </w:rPr>
  </w:style>
  <w:style w:type="character" w:customStyle="1" w:styleId="145">
    <w:name w:val="日期 Char"/>
    <w:link w:val="16"/>
    <w:autoRedefine/>
    <w:qFormat/>
    <w:uiPriority w:val="0"/>
    <w:rPr>
      <w:szCs w:val="21"/>
    </w:rPr>
  </w:style>
  <w:style w:type="character" w:customStyle="1" w:styleId="146">
    <w:name w:val="font01"/>
    <w:autoRedefine/>
    <w:qFormat/>
    <w:uiPriority w:val="99"/>
    <w:rPr>
      <w:rFonts w:hint="eastAsia" w:ascii="宋体" w:hAnsi="宋体" w:eastAsia="宋体" w:cs="宋体"/>
      <w:color w:val="000000"/>
      <w:sz w:val="22"/>
      <w:szCs w:val="22"/>
      <w:u w:val="none"/>
    </w:rPr>
  </w:style>
  <w:style w:type="character" w:customStyle="1" w:styleId="147">
    <w:name w:val="Char Char1"/>
    <w:autoRedefine/>
    <w:qFormat/>
    <w:uiPriority w:val="0"/>
    <w:rPr>
      <w:rFonts w:eastAsia="宋体"/>
      <w:kern w:val="2"/>
      <w:sz w:val="18"/>
      <w:szCs w:val="18"/>
      <w:lang w:val="en-US" w:eastAsia="zh-CN" w:bidi="ar-SA"/>
    </w:rPr>
  </w:style>
  <w:style w:type="character" w:customStyle="1" w:styleId="148">
    <w:name w:val="标题 Char"/>
    <w:link w:val="32"/>
    <w:autoRedefine/>
    <w:qFormat/>
    <w:uiPriority w:val="0"/>
    <w:rPr>
      <w:rFonts w:ascii="Cambria" w:hAnsi="Cambria" w:cs="Times New Roman"/>
      <w:b/>
      <w:bCs/>
      <w:sz w:val="32"/>
      <w:szCs w:val="32"/>
    </w:rPr>
  </w:style>
  <w:style w:type="character" w:customStyle="1" w:styleId="149">
    <w:name w:val="hei141"/>
    <w:autoRedefine/>
    <w:qFormat/>
    <w:uiPriority w:val="0"/>
    <w:rPr>
      <w:rFonts w:hint="eastAsia" w:ascii="宋体" w:hAnsi="宋体" w:eastAsia="宋体"/>
      <w:color w:val="000000"/>
      <w:sz w:val="19"/>
      <w:szCs w:val="19"/>
      <w:u w:val="none"/>
    </w:rPr>
  </w:style>
  <w:style w:type="character" w:customStyle="1" w:styleId="150">
    <w:name w:val="批注文字 Char"/>
    <w:link w:val="9"/>
    <w:autoRedefine/>
    <w:qFormat/>
    <w:uiPriority w:val="0"/>
  </w:style>
  <w:style w:type="character" w:customStyle="1" w:styleId="151">
    <w:name w:val="apple-style-span"/>
    <w:basedOn w:val="36"/>
    <w:autoRedefine/>
    <w:qFormat/>
    <w:uiPriority w:val="0"/>
  </w:style>
  <w:style w:type="character" w:customStyle="1" w:styleId="152">
    <w:name w:val="param-value"/>
    <w:autoRedefine/>
    <w:qFormat/>
    <w:uiPriority w:val="99"/>
    <w:rPr>
      <w:rFonts w:cs="Times New Roman"/>
    </w:rPr>
  </w:style>
  <w:style w:type="character" w:customStyle="1" w:styleId="153">
    <w:name w:val="font61"/>
    <w:autoRedefine/>
    <w:qFormat/>
    <w:uiPriority w:val="0"/>
    <w:rPr>
      <w:rFonts w:hint="eastAsia" w:ascii="宋体" w:hAnsi="宋体" w:eastAsia="宋体" w:cs="宋体"/>
      <w:color w:val="000000"/>
      <w:sz w:val="22"/>
      <w:szCs w:val="22"/>
      <w:u w:val="none"/>
    </w:rPr>
  </w:style>
  <w:style w:type="character" w:customStyle="1" w:styleId="154">
    <w:name w:val="font11"/>
    <w:autoRedefine/>
    <w:qFormat/>
    <w:uiPriority w:val="0"/>
    <w:rPr>
      <w:rFonts w:hint="eastAsia" w:ascii="宋体" w:hAnsi="宋体" w:eastAsia="宋体" w:cs="宋体"/>
      <w:color w:val="FF0000"/>
      <w:sz w:val="22"/>
      <w:szCs w:val="22"/>
      <w:u w:val="none"/>
    </w:rPr>
  </w:style>
  <w:style w:type="character" w:customStyle="1" w:styleId="155">
    <w:name w:val="批注主题 Char"/>
    <w:link w:val="33"/>
    <w:autoRedefine/>
    <w:qFormat/>
    <w:uiPriority w:val="0"/>
    <w:rPr>
      <w:b/>
      <w:bCs/>
    </w:rPr>
  </w:style>
  <w:style w:type="character" w:customStyle="1" w:styleId="156">
    <w:name w:val="批注文字 Char1"/>
    <w:basedOn w:val="36"/>
    <w:autoRedefine/>
    <w:semiHidden/>
    <w:qFormat/>
    <w:uiPriority w:val="99"/>
  </w:style>
  <w:style w:type="paragraph" w:customStyle="1" w:styleId="157">
    <w:name w:val="内文"/>
    <w:basedOn w:val="1"/>
    <w:autoRedefine/>
    <w:qFormat/>
    <w:uiPriority w:val="0"/>
    <w:pPr>
      <w:spacing w:line="500" w:lineRule="exact"/>
      <w:ind w:firstLine="560" w:firstLineChars="200"/>
    </w:pPr>
    <w:rPr>
      <w:rFonts w:ascii="方正仿宋简体" w:hAnsi="宋体" w:eastAsia="方正仿宋简体" w:cs="Times New Roman"/>
      <w:sz w:val="28"/>
      <w:szCs w:val="28"/>
    </w:rPr>
  </w:style>
  <w:style w:type="character" w:customStyle="1" w:styleId="158">
    <w:name w:val="批注主题 Char1"/>
    <w:basedOn w:val="156"/>
    <w:autoRedefine/>
    <w:semiHidden/>
    <w:qFormat/>
    <w:uiPriority w:val="99"/>
    <w:rPr>
      <w:b/>
      <w:bCs/>
    </w:rPr>
  </w:style>
  <w:style w:type="paragraph" w:customStyle="1" w:styleId="159">
    <w:name w:val="reader-word-layer reader-word-s1-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0">
    <w:name w:val="日期 Char1"/>
    <w:basedOn w:val="36"/>
    <w:autoRedefine/>
    <w:semiHidden/>
    <w:qFormat/>
    <w:uiPriority w:val="99"/>
  </w:style>
  <w:style w:type="paragraph" w:customStyle="1" w:styleId="161">
    <w:name w:val="reader-word-layer reader-word-s1-14"/>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2">
    <w:name w:val="脚注文本 Char"/>
    <w:basedOn w:val="36"/>
    <w:link w:val="23"/>
    <w:autoRedefine/>
    <w:semiHidden/>
    <w:qFormat/>
    <w:uiPriority w:val="0"/>
    <w:rPr>
      <w:rFonts w:ascii="Times New Roman" w:hAnsi="Times New Roman" w:eastAsia="宋体" w:cs="Times New Roman"/>
      <w:sz w:val="18"/>
      <w:szCs w:val="18"/>
    </w:rPr>
  </w:style>
  <w:style w:type="paragraph" w:customStyle="1" w:styleId="163">
    <w:name w:val="reader-word-layer reader-word-s1-16"/>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4">
    <w:name w:val="reader-word-layer reader-word-s1-15"/>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5">
    <w:name w:val="标题 Char1"/>
    <w:basedOn w:val="36"/>
    <w:autoRedefine/>
    <w:qFormat/>
    <w:uiPriority w:val="10"/>
    <w:rPr>
      <w:rFonts w:eastAsia="宋体" w:asciiTheme="majorHAnsi" w:hAnsiTheme="majorHAnsi" w:cstheme="majorBidi"/>
      <w:b/>
      <w:bCs/>
      <w:sz w:val="32"/>
      <w:szCs w:val="32"/>
    </w:rPr>
  </w:style>
  <w:style w:type="paragraph" w:customStyle="1" w:styleId="166">
    <w:name w:val="本文正文"/>
    <w:basedOn w:val="1"/>
    <w:autoRedefine/>
    <w:qFormat/>
    <w:uiPriority w:val="0"/>
    <w:pPr>
      <w:widowControl/>
      <w:spacing w:line="480" w:lineRule="exact"/>
      <w:ind w:firstLine="200" w:firstLineChars="200"/>
      <w:jc w:val="left"/>
    </w:pPr>
    <w:rPr>
      <w:rFonts w:ascii="宋体" w:hAnsi="宋体" w:eastAsia="宋体" w:cs="Times New Roman"/>
      <w:kern w:val="0"/>
      <w:sz w:val="24"/>
      <w:szCs w:val="24"/>
    </w:rPr>
  </w:style>
  <w:style w:type="paragraph" w:customStyle="1" w:styleId="167">
    <w:name w:val="reader-word-layer reader-word-s1-18"/>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8">
    <w:name w:val="Char Char Char1 Char Char Char Char"/>
    <w:basedOn w:val="1"/>
    <w:autoRedefine/>
    <w:qFormat/>
    <w:uiPriority w:val="99"/>
    <w:pPr>
      <w:spacing w:line="300" w:lineRule="auto"/>
    </w:pPr>
    <w:rPr>
      <w:rFonts w:ascii="Tahoma" w:hAnsi="Tahoma" w:eastAsia="宋体" w:cs="Times New Roman"/>
      <w:sz w:val="24"/>
      <w:szCs w:val="24"/>
    </w:rPr>
  </w:style>
  <w:style w:type="paragraph" w:customStyle="1" w:styleId="169">
    <w:name w:val="Default"/>
    <w:autoRedefine/>
    <w:qFormat/>
    <w:uiPriority w:val="0"/>
    <w:pPr>
      <w:widowControl w:val="0"/>
      <w:autoSpaceDE w:val="0"/>
      <w:autoSpaceDN w:val="0"/>
      <w:adjustRightInd w:val="0"/>
      <w:jc w:val="both"/>
    </w:pPr>
    <w:rPr>
      <w:rFonts w:ascii="黑体" w:hAnsi="黑体" w:eastAsia="宋体" w:cs="黑体"/>
      <w:color w:val="000000"/>
      <w:sz w:val="24"/>
      <w:szCs w:val="24"/>
      <w:lang w:val="en-US" w:eastAsia="zh-CN" w:bidi="ar-SA"/>
    </w:rPr>
  </w:style>
  <w:style w:type="paragraph" w:customStyle="1" w:styleId="170">
    <w:name w:val="List Paragraph1"/>
    <w:basedOn w:val="1"/>
    <w:autoRedefine/>
    <w:qFormat/>
    <w:uiPriority w:val="0"/>
    <w:pPr>
      <w:ind w:firstLine="420" w:firstLineChars="200"/>
    </w:pPr>
    <w:rPr>
      <w:rFonts w:ascii="Times New Roman" w:hAnsi="Times New Roman" w:eastAsia="宋体" w:cs="Times New Roman"/>
      <w:szCs w:val="24"/>
    </w:rPr>
  </w:style>
  <w:style w:type="paragraph" w:customStyle="1" w:styleId="171">
    <w:name w:val="reader-word-layer reader-word-s1-1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2">
    <w:name w:val="reader-word-layer reader-word-s1-19"/>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3">
    <w:name w:val="reader-word-layer reader-word-s1-1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4">
    <w:name w:val="Char Char4"/>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75">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
    <w:name w:val="Char Char4 Char Char"/>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77">
    <w:name w:val="列出段落3"/>
    <w:basedOn w:val="1"/>
    <w:autoRedefine/>
    <w:qFormat/>
    <w:uiPriority w:val="0"/>
    <w:pPr>
      <w:ind w:firstLine="420" w:firstLineChars="200"/>
    </w:pPr>
    <w:rPr>
      <w:rFonts w:ascii="Times New Roman" w:hAnsi="Times New Roman" w:eastAsia="宋体" w:cs="Times New Roman"/>
      <w:szCs w:val="24"/>
    </w:rPr>
  </w:style>
  <w:style w:type="character" w:customStyle="1" w:styleId="178">
    <w:name w:val="Char Char12"/>
    <w:autoRedefine/>
    <w:qFormat/>
    <w:uiPriority w:val="0"/>
    <w:rPr>
      <w:rFonts w:eastAsia="宋体"/>
      <w:kern w:val="2"/>
      <w:sz w:val="18"/>
      <w:szCs w:val="18"/>
      <w:lang w:val="en-US" w:eastAsia="zh-CN" w:bidi="ar-SA"/>
    </w:rPr>
  </w:style>
  <w:style w:type="paragraph" w:customStyle="1" w:styleId="179">
    <w:name w:val="Char Char42"/>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0">
    <w:name w:val="Char Char4 Char Char2"/>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1">
    <w:name w:val="列出段落4"/>
    <w:basedOn w:val="1"/>
    <w:autoRedefine/>
    <w:qFormat/>
    <w:uiPriority w:val="0"/>
    <w:pPr>
      <w:ind w:firstLine="420" w:firstLineChars="200"/>
    </w:pPr>
    <w:rPr>
      <w:rFonts w:ascii="Times New Roman" w:hAnsi="Times New Roman" w:eastAsia="宋体" w:cs="Times New Roman"/>
      <w:szCs w:val="24"/>
    </w:rPr>
  </w:style>
  <w:style w:type="character" w:customStyle="1" w:styleId="182">
    <w:name w:val="Char Char11"/>
    <w:autoRedefine/>
    <w:qFormat/>
    <w:uiPriority w:val="0"/>
    <w:rPr>
      <w:rFonts w:eastAsia="宋体"/>
      <w:kern w:val="2"/>
      <w:sz w:val="18"/>
      <w:szCs w:val="18"/>
      <w:lang w:val="en-US" w:eastAsia="zh-CN" w:bidi="ar-SA"/>
    </w:rPr>
  </w:style>
  <w:style w:type="paragraph" w:customStyle="1" w:styleId="183">
    <w:name w:val="Char Char4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4">
    <w:name w:val="Char Char4 Char Char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185">
    <w:name w:val="列出段落5"/>
    <w:basedOn w:val="1"/>
    <w:autoRedefine/>
    <w:qFormat/>
    <w:uiPriority w:val="0"/>
    <w:pPr>
      <w:ind w:firstLine="420" w:firstLineChars="200"/>
    </w:pPr>
    <w:rPr>
      <w:rFonts w:ascii="Times New Roman" w:hAnsi="Times New Roman" w:eastAsia="宋体" w:cs="Times New Roman"/>
      <w:szCs w:val="24"/>
    </w:rPr>
  </w:style>
  <w:style w:type="paragraph" w:customStyle="1" w:styleId="186">
    <w:name w:val="Table Paragraph"/>
    <w:basedOn w:val="1"/>
    <w:autoRedefine/>
    <w:qFormat/>
    <w:uiPriority w:val="1"/>
    <w:rPr>
      <w:rFonts w:ascii="宋体" w:hAnsi="宋体" w:eastAsia="宋体" w:cs="宋体"/>
      <w:lang w:val="zh-CN" w:bidi="zh-CN"/>
    </w:rPr>
  </w:style>
  <w:style w:type="character" w:customStyle="1" w:styleId="187">
    <w:name w:val="font51"/>
    <w:basedOn w:val="36"/>
    <w:autoRedefine/>
    <w:qFormat/>
    <w:uiPriority w:val="0"/>
    <w:rPr>
      <w:rFonts w:hint="eastAsia" w:ascii="宋体" w:hAnsi="宋体" w:eastAsia="宋体" w:cs="宋体"/>
      <w:b/>
      <w:color w:val="000000"/>
      <w:sz w:val="21"/>
      <w:szCs w:val="21"/>
      <w:u w:val="none"/>
    </w:rPr>
  </w:style>
  <w:style w:type="character" w:customStyle="1" w:styleId="188">
    <w:name w:val="bookmark-item"/>
    <w:basedOn w:val="36"/>
    <w:autoRedefine/>
    <w:qFormat/>
    <w:uiPriority w:val="0"/>
  </w:style>
  <w:style w:type="paragraph" w:customStyle="1" w:styleId="189">
    <w:name w:val="样式 样式 样式 左侧:  2 字符1 + 首行缩进:  2 字符1 + 首行缩进:  2 字符"/>
    <w:basedOn w:val="1"/>
    <w:autoRedefine/>
    <w:qFormat/>
    <w:uiPriority w:val="0"/>
    <w:pPr>
      <w:widowControl/>
      <w:adjustRightInd w:val="0"/>
      <w:spacing w:before="60" w:after="120" w:line="440" w:lineRule="atLeast"/>
      <w:ind w:firstLine="480"/>
      <w:textAlignment w:val="baseline"/>
    </w:pPr>
    <w:rPr>
      <w:rFonts w:ascii="Times New Roman" w:hAnsi="Times New Roman" w:eastAsia="宋体" w:cs="Times New Roman"/>
      <w:sz w:val="24"/>
    </w:rPr>
  </w:style>
  <w:style w:type="paragraph" w:customStyle="1" w:styleId="190">
    <w:name w:val="正文3"/>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191">
    <w:name w:val="样式 首行缩进:  2 字符"/>
    <w:basedOn w:val="1"/>
    <w:autoRedefine/>
    <w:qFormat/>
    <w:uiPriority w:val="99"/>
    <w:pPr>
      <w:ind w:firstLine="560"/>
    </w:pPr>
    <w:rPr>
      <w:szCs w:val="21"/>
    </w:rPr>
  </w:style>
  <w:style w:type="character" w:customStyle="1" w:styleId="192">
    <w:name w:val="font31"/>
    <w:basedOn w:val="36"/>
    <w:autoRedefine/>
    <w:qFormat/>
    <w:uiPriority w:val="0"/>
    <w:rPr>
      <w:rFonts w:hint="eastAsia" w:ascii="仿宋" w:hAnsi="仿宋" w:eastAsia="仿宋" w:cs="仿宋"/>
      <w:color w:val="FF0000"/>
      <w:sz w:val="22"/>
      <w:szCs w:val="22"/>
      <w:u w:val="none"/>
    </w:rPr>
  </w:style>
  <w:style w:type="character" w:customStyle="1" w:styleId="193">
    <w:name w:val="纯文本 Char"/>
    <w:link w:val="14"/>
    <w:autoRedefine/>
    <w:qFormat/>
    <w:uiPriority w:val="0"/>
    <w:rPr>
      <w:rFonts w:ascii="宋体" w:hAnsi="Courier New"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222E-E6CB-4C5C-8B85-AFF40580E6E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146</Pages>
  <Words>10996</Words>
  <Characters>62679</Characters>
  <Lines>522</Lines>
  <Paragraphs>147</Paragraphs>
  <TotalTime>7</TotalTime>
  <ScaleCrop>false</ScaleCrop>
  <LinksUpToDate>false</LinksUpToDate>
  <CharactersWithSpaces>73528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2023-12-22T07:19:00Z</dcterms:created>
  <dc:creator>WHB</dc:creator>
  <cp:lastModifiedBy>大大大朵朵</cp:lastModifiedBy>
  <cp:lastPrinted>2023-12-15T04:33:00Z</cp:lastPrinted>
  <dcterms:modified xsi:type="dcterms:W3CDTF">2023-12-23T10:31:36Z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EBE2603581284E59870B186227F34251_13</vt:lpwstr>
  </property>
</Properties>
</file>