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2"/>
        <w:rPr>
          <w:rFonts w:asciiTheme="minorEastAsia" w:hAnsiTheme="minorEastAsia"/>
          <w:b/>
          <w:bCs/>
        </w:rPr>
      </w:pPr>
    </w:p>
    <w:p>
      <w:pPr>
        <w:adjustRightInd w:val="0"/>
        <w:snapToGrid w:val="0"/>
        <w:jc w:val="right"/>
        <w:rPr>
          <w:rFonts w:hint="eastAsia" w:asciiTheme="minorEastAsia" w:hAnsiTheme="minorEastAsia" w:eastAsiaTheme="minorEastAsia"/>
          <w:lang w:eastAsia="zh-CN"/>
        </w:rPr>
      </w:pPr>
      <w:r>
        <w:rPr>
          <w:rFonts w:hint="eastAsia" w:asciiTheme="minorEastAsia" w:hAnsiTheme="minorEastAsia"/>
        </w:rPr>
        <w:drawing>
          <wp:anchor distT="0" distB="0" distL="114300" distR="114300" simplePos="0" relativeHeight="251659264" behindDoc="0" locked="0" layoutInCell="1" allowOverlap="1">
            <wp:simplePos x="0" y="0"/>
            <wp:positionH relativeFrom="column">
              <wp:posOffset>255905</wp:posOffset>
            </wp:positionH>
            <wp:positionV relativeFrom="paragraph">
              <wp:posOffset>77470</wp:posOffset>
            </wp:positionV>
            <wp:extent cx="746760" cy="786765"/>
            <wp:effectExtent l="0" t="0" r="15240" b="13335"/>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9"/>
                    <a:stretch>
                      <a:fillRect/>
                    </a:stretch>
                  </pic:blipFill>
                  <pic:spPr>
                    <a:xfrm>
                      <a:off x="0" y="0"/>
                      <a:ext cx="746494" cy="786810"/>
                    </a:xfrm>
                    <a:prstGeom prst="rect">
                      <a:avLst/>
                    </a:prstGeom>
                    <a:noFill/>
                    <a:ln>
                      <a:noFill/>
                    </a:ln>
                  </pic:spPr>
                </pic:pic>
              </a:graphicData>
            </a:graphic>
          </wp:anchor>
        </w:drawing>
      </w:r>
      <w:r>
        <w:rPr>
          <w:rFonts w:hint="eastAsia" w:asciiTheme="minorEastAsia" w:hAnsiTheme="minorEastAsia"/>
        </w:rPr>
        <w:t>标段编号：</w:t>
      </w:r>
      <w:r>
        <w:rPr>
          <w:rFonts w:hint="eastAsia" w:asciiTheme="minorEastAsia" w:hAnsiTheme="minorEastAsia"/>
          <w:lang w:eastAsia="zh-CN"/>
        </w:rPr>
        <w:t>2023-1213-153736009</w:t>
      </w:r>
    </w:p>
    <w:p>
      <w:pPr>
        <w:adjustRightInd w:val="0"/>
        <w:snapToGrid w:val="0"/>
        <w:jc w:val="right"/>
        <w:rPr>
          <w:rFonts w:asciiTheme="minorEastAsia" w:hAnsiTheme="minorEastAsia"/>
        </w:rPr>
      </w:pPr>
    </w:p>
    <w:p>
      <w:pPr>
        <w:adjustRightInd w:val="0"/>
        <w:snapToGrid w:val="0"/>
        <w:jc w:val="right"/>
        <w:rPr>
          <w:rFonts w:asciiTheme="minorEastAsia" w:hAnsiTheme="minorEastAsia"/>
        </w:rPr>
      </w:pPr>
    </w:p>
    <w:p>
      <w:pPr>
        <w:adjustRightInd w:val="0"/>
        <w:snapToGrid w:val="0"/>
        <w:spacing w:line="480" w:lineRule="exact"/>
        <w:ind w:firstLine="964"/>
        <w:jc w:val="center"/>
        <w:rPr>
          <w:rFonts w:asciiTheme="minorEastAsia" w:hAnsiTheme="minorEastAsia"/>
          <w:b/>
          <w:sz w:val="48"/>
          <w:szCs w:val="48"/>
        </w:rPr>
      </w:pPr>
      <w:r>
        <w:rPr>
          <w:rFonts w:hint="eastAsia" w:asciiTheme="minorEastAsia" w:hAnsiTheme="minorEastAsia"/>
          <w:b/>
          <w:sz w:val="48"/>
          <w:szCs w:val="48"/>
        </w:rPr>
        <w:t>招 标 文 件</w:t>
      </w:r>
    </w:p>
    <w:p>
      <w:pPr>
        <w:ind w:firstLine="640"/>
        <w:jc w:val="center"/>
        <w:rPr>
          <w:rFonts w:asciiTheme="minorEastAsia" w:hAnsiTheme="minorEastAsia"/>
          <w:bCs/>
          <w:color w:val="auto"/>
          <w:sz w:val="36"/>
          <w:szCs w:val="36"/>
        </w:rPr>
      </w:pPr>
      <w:r>
        <w:rPr>
          <w:rFonts w:hint="eastAsia" w:asciiTheme="minorEastAsia" w:hAnsiTheme="minorEastAsia"/>
          <w:bCs/>
          <w:color w:val="auto"/>
          <w:sz w:val="32"/>
        </w:rPr>
        <w:t>（政府采购服务）</w:t>
      </w:r>
    </w:p>
    <w:p>
      <w:pPr>
        <w:adjustRightInd w:val="0"/>
        <w:snapToGrid w:val="0"/>
        <w:spacing w:line="480" w:lineRule="exact"/>
        <w:rPr>
          <w:rFonts w:asciiTheme="minorEastAsia" w:hAnsiTheme="minorEastAsia"/>
          <w:bCs/>
          <w:sz w:val="32"/>
        </w:rPr>
      </w:pPr>
      <w:r>
        <w:rPr>
          <w:rFonts w:hint="eastAsia" w:asciiTheme="minorEastAsia" w:hAnsiTheme="minorEastAsia"/>
          <w:bCs/>
          <w:sz w:val="32"/>
        </w:rPr>
        <w:t>项目名称：2024年-2026年米东区公共绿地绿化养护项目</w:t>
      </w:r>
    </w:p>
    <w:p>
      <w:pPr>
        <w:adjustRightInd w:val="0"/>
        <w:snapToGrid w:val="0"/>
        <w:spacing w:line="480" w:lineRule="exact"/>
        <w:ind w:firstLine="640"/>
        <w:rPr>
          <w:rFonts w:asciiTheme="minorEastAsia" w:hAnsiTheme="minorEastAsia"/>
          <w:bCs/>
          <w:sz w:val="32"/>
        </w:rPr>
      </w:pPr>
    </w:p>
    <w:p>
      <w:pPr>
        <w:ind w:left="1574" w:right="-191" w:rightChars="-91" w:hanging="1574" w:hangingChars="492"/>
        <w:rPr>
          <w:rFonts w:hint="eastAsia" w:asciiTheme="minorEastAsia" w:hAnsiTheme="minorEastAsia" w:eastAsiaTheme="minorEastAsia"/>
          <w:bCs/>
          <w:sz w:val="32"/>
          <w:lang w:eastAsia="zh-CN"/>
        </w:rPr>
      </w:pPr>
      <w:r>
        <w:rPr>
          <w:rFonts w:hint="eastAsia" w:asciiTheme="minorEastAsia" w:hAnsiTheme="minorEastAsia"/>
          <w:bCs/>
          <w:sz w:val="32"/>
        </w:rPr>
        <w:t>标段名称</w:t>
      </w:r>
      <w:r>
        <w:rPr>
          <w:rFonts w:hint="eastAsia" w:asciiTheme="minorEastAsia" w:hAnsiTheme="minorEastAsia"/>
          <w:bCs/>
          <w:kern w:val="0"/>
          <w:sz w:val="32"/>
          <w:szCs w:val="32"/>
        </w:rPr>
        <w:t>：</w:t>
      </w:r>
      <w:r>
        <w:rPr>
          <w:rFonts w:hint="eastAsia" w:asciiTheme="minorEastAsia" w:hAnsiTheme="minorEastAsia"/>
          <w:bCs/>
          <w:sz w:val="32"/>
          <w:lang w:eastAsia="zh-CN"/>
        </w:rPr>
        <w:t>2024年-2026年米东区公共绿地绿化养护项目第9包</w:t>
      </w:r>
    </w:p>
    <w:p>
      <w:pPr>
        <w:adjustRightInd w:val="0"/>
        <w:snapToGrid w:val="0"/>
        <w:spacing w:line="480" w:lineRule="exact"/>
        <w:ind w:firstLine="640"/>
        <w:jc w:val="center"/>
        <w:rPr>
          <w:rFonts w:asciiTheme="minorEastAsia" w:hAnsiTheme="minorEastAsia"/>
          <w:bCs/>
          <w:sz w:val="32"/>
          <w:szCs w:val="32"/>
        </w:rPr>
      </w:pPr>
    </w:p>
    <w:p>
      <w:pPr>
        <w:adjustRightInd w:val="0"/>
        <w:snapToGrid w:val="0"/>
        <w:spacing w:line="480" w:lineRule="exact"/>
        <w:rPr>
          <w:rFonts w:asciiTheme="minorEastAsia" w:hAnsiTheme="minorEastAsia"/>
          <w:bCs/>
          <w:kern w:val="0"/>
          <w:sz w:val="32"/>
          <w:szCs w:val="32"/>
        </w:rPr>
      </w:pPr>
      <w:r>
        <w:rPr>
          <w:rFonts w:hint="eastAsia" w:asciiTheme="minorEastAsia" w:hAnsiTheme="minorEastAsia"/>
          <w:bCs/>
          <w:kern w:val="0"/>
          <w:sz w:val="32"/>
          <w:szCs w:val="32"/>
        </w:rPr>
        <w:t>采购人</w:t>
      </w:r>
      <w:r>
        <w:rPr>
          <w:rFonts w:asciiTheme="minorEastAsia" w:hAnsiTheme="minorEastAsia"/>
          <w:bCs/>
          <w:kern w:val="0"/>
          <w:sz w:val="32"/>
          <w:szCs w:val="32"/>
        </w:rPr>
        <w:t>(</w:t>
      </w:r>
      <w:r>
        <w:rPr>
          <w:rFonts w:hint="eastAsia" w:asciiTheme="minorEastAsia" w:hAnsiTheme="minorEastAsia"/>
          <w:bCs/>
          <w:kern w:val="0"/>
          <w:sz w:val="32"/>
          <w:szCs w:val="32"/>
        </w:rPr>
        <w:t>盖章</w:t>
      </w:r>
      <w:r>
        <w:rPr>
          <w:rFonts w:asciiTheme="minorEastAsia" w:hAnsiTheme="minorEastAsia"/>
          <w:bCs/>
          <w:kern w:val="0"/>
          <w:sz w:val="32"/>
          <w:szCs w:val="32"/>
        </w:rPr>
        <w:t>)</w:t>
      </w:r>
      <w:r>
        <w:rPr>
          <w:rFonts w:hint="eastAsia" w:asciiTheme="minorEastAsia" w:hAnsiTheme="minorEastAsia"/>
          <w:bCs/>
          <w:kern w:val="0"/>
          <w:sz w:val="32"/>
          <w:szCs w:val="32"/>
        </w:rPr>
        <w:t>：</w:t>
      </w:r>
      <w:r>
        <w:rPr>
          <w:rFonts w:hint="eastAsia" w:asciiTheme="minorEastAsia" w:hAnsiTheme="minorEastAsia"/>
          <w:bCs/>
          <w:sz w:val="32"/>
        </w:rPr>
        <w:t>乌鲁木齐市米东区园林管理局</w:t>
      </w:r>
    </w:p>
    <w:p>
      <w:pPr>
        <w:adjustRightInd w:val="0"/>
        <w:snapToGrid w:val="0"/>
        <w:spacing w:line="480" w:lineRule="exact"/>
        <w:ind w:firstLine="640"/>
        <w:jc w:val="center"/>
        <w:rPr>
          <w:rFonts w:asciiTheme="minorEastAsia" w:hAnsiTheme="minorEastAsia"/>
          <w:bCs/>
          <w:sz w:val="32"/>
          <w:szCs w:val="32"/>
        </w:rPr>
      </w:pPr>
    </w:p>
    <w:p>
      <w:pPr>
        <w:adjustRightInd w:val="0"/>
        <w:snapToGrid w:val="0"/>
        <w:spacing w:line="480" w:lineRule="exact"/>
        <w:rPr>
          <w:rFonts w:asciiTheme="minorEastAsia" w:hAnsiTheme="minorEastAsia"/>
          <w:bCs/>
          <w:sz w:val="32"/>
          <w:szCs w:val="32"/>
        </w:rPr>
      </w:pPr>
      <w:r>
        <w:rPr>
          <w:rFonts w:hint="eastAsia" w:asciiTheme="minorEastAsia" w:hAnsiTheme="minorEastAsia"/>
          <w:bCs/>
          <w:sz w:val="32"/>
          <w:szCs w:val="32"/>
        </w:rPr>
        <w:t>法定代表人</w:t>
      </w:r>
      <w:r>
        <w:rPr>
          <w:rFonts w:asciiTheme="minorEastAsia" w:hAnsiTheme="minorEastAsia"/>
          <w:bCs/>
          <w:sz w:val="32"/>
          <w:szCs w:val="32"/>
        </w:rPr>
        <w:t>(</w:t>
      </w:r>
      <w:r>
        <w:rPr>
          <w:rFonts w:hint="eastAsia" w:asciiTheme="minorEastAsia" w:hAnsiTheme="minorEastAsia"/>
          <w:bCs/>
          <w:sz w:val="32"/>
          <w:szCs w:val="32"/>
        </w:rPr>
        <w:t>盖章</w:t>
      </w:r>
      <w:r>
        <w:rPr>
          <w:rFonts w:asciiTheme="minorEastAsia" w:hAnsiTheme="minorEastAsia"/>
          <w:bCs/>
          <w:sz w:val="32"/>
          <w:szCs w:val="32"/>
        </w:rPr>
        <w:t>)</w:t>
      </w:r>
      <w:r>
        <w:rPr>
          <w:rFonts w:hint="eastAsia" w:asciiTheme="minorEastAsia" w:hAnsiTheme="minorEastAsia"/>
          <w:bCs/>
          <w:sz w:val="32"/>
          <w:szCs w:val="32"/>
        </w:rPr>
        <w:t>：</w:t>
      </w:r>
    </w:p>
    <w:p>
      <w:pPr>
        <w:adjustRightInd w:val="0"/>
        <w:snapToGrid w:val="0"/>
        <w:spacing w:line="480" w:lineRule="exact"/>
        <w:ind w:firstLine="640"/>
        <w:jc w:val="center"/>
        <w:rPr>
          <w:rFonts w:asciiTheme="minorEastAsia" w:hAnsiTheme="minorEastAsia"/>
          <w:bCs/>
          <w:sz w:val="32"/>
          <w:szCs w:val="32"/>
        </w:rPr>
      </w:pPr>
    </w:p>
    <w:p>
      <w:pPr>
        <w:tabs>
          <w:tab w:val="left" w:pos="8372"/>
        </w:tabs>
        <w:adjustRightInd w:val="0"/>
        <w:snapToGrid w:val="0"/>
        <w:spacing w:line="480" w:lineRule="exact"/>
        <w:rPr>
          <w:rFonts w:asciiTheme="minorEastAsia" w:hAnsiTheme="minorEastAsia"/>
          <w:bCs/>
          <w:sz w:val="32"/>
          <w:szCs w:val="32"/>
        </w:rPr>
      </w:pPr>
      <w:r>
        <w:rPr>
          <w:rFonts w:hint="eastAsia" w:asciiTheme="minorEastAsia" w:hAnsiTheme="minorEastAsia"/>
          <w:bCs/>
          <w:sz w:val="32"/>
          <w:szCs w:val="32"/>
        </w:rPr>
        <w:t>联系人：马国云</w:t>
      </w:r>
    </w:p>
    <w:p>
      <w:pPr>
        <w:adjustRightInd w:val="0"/>
        <w:snapToGrid w:val="0"/>
        <w:spacing w:line="480" w:lineRule="exact"/>
        <w:ind w:firstLine="640"/>
        <w:jc w:val="center"/>
        <w:rPr>
          <w:rFonts w:asciiTheme="minorEastAsia" w:hAnsiTheme="minorEastAsia"/>
          <w:bCs/>
          <w:sz w:val="32"/>
          <w:szCs w:val="32"/>
        </w:rPr>
      </w:pPr>
    </w:p>
    <w:p>
      <w:pPr>
        <w:adjustRightInd w:val="0"/>
        <w:snapToGrid w:val="0"/>
        <w:spacing w:line="480" w:lineRule="exact"/>
        <w:rPr>
          <w:rFonts w:asciiTheme="minorEastAsia" w:hAnsiTheme="minorEastAsia"/>
          <w:bCs/>
          <w:sz w:val="32"/>
          <w:szCs w:val="32"/>
        </w:rPr>
      </w:pPr>
      <w:r>
        <w:rPr>
          <w:rFonts w:hint="eastAsia" w:asciiTheme="minorEastAsia" w:hAnsiTheme="minorEastAsia"/>
          <w:bCs/>
          <w:kern w:val="0"/>
          <w:sz w:val="32"/>
          <w:szCs w:val="32"/>
        </w:rPr>
        <w:t>电话</w:t>
      </w:r>
      <w:r>
        <w:rPr>
          <w:rFonts w:hint="eastAsia" w:asciiTheme="minorEastAsia" w:hAnsiTheme="minorEastAsia"/>
          <w:bCs/>
          <w:sz w:val="32"/>
          <w:szCs w:val="32"/>
        </w:rPr>
        <w:t>：13619913728</w:t>
      </w:r>
    </w:p>
    <w:p>
      <w:pPr>
        <w:adjustRightInd w:val="0"/>
        <w:snapToGrid w:val="0"/>
        <w:spacing w:line="480" w:lineRule="exact"/>
        <w:rPr>
          <w:rFonts w:asciiTheme="minorEastAsia" w:hAnsiTheme="minorEastAsia"/>
          <w:bCs/>
          <w:sz w:val="32"/>
          <w:szCs w:val="32"/>
        </w:rPr>
      </w:pPr>
      <w:r>
        <w:rPr>
          <w:rFonts w:asciiTheme="minorEastAsia" w:hAnsiTheme="minorEastAsia"/>
          <w:bCs/>
          <w:kern w:val="0"/>
          <w:sz w:val="32"/>
          <w:szCs w:val="32"/>
        </w:rPr>
        <w:t>—————————————————————————————</w:t>
      </w:r>
    </w:p>
    <w:p>
      <w:pPr>
        <w:adjustRightInd w:val="0"/>
        <w:snapToGrid w:val="0"/>
        <w:spacing w:line="480" w:lineRule="exact"/>
        <w:rPr>
          <w:rFonts w:asciiTheme="minorEastAsia" w:hAnsiTheme="minorEastAsia"/>
          <w:bCs/>
          <w:sz w:val="32"/>
          <w:szCs w:val="32"/>
        </w:rPr>
      </w:pPr>
      <w:r>
        <w:rPr>
          <w:rFonts w:hint="eastAsia" w:asciiTheme="minorEastAsia" w:hAnsiTheme="minorEastAsia"/>
          <w:bCs/>
          <w:sz w:val="32"/>
          <w:szCs w:val="32"/>
        </w:rPr>
        <w:t>采购代理机构</w:t>
      </w:r>
      <w:r>
        <w:rPr>
          <w:rFonts w:asciiTheme="minorEastAsia" w:hAnsiTheme="minorEastAsia"/>
          <w:sz w:val="32"/>
          <w:szCs w:val="32"/>
        </w:rPr>
        <w:t>(</w:t>
      </w:r>
      <w:r>
        <w:rPr>
          <w:rFonts w:hint="eastAsia" w:asciiTheme="minorEastAsia" w:hAnsiTheme="minorEastAsia"/>
          <w:sz w:val="32"/>
          <w:szCs w:val="32"/>
        </w:rPr>
        <w:t>盖章</w:t>
      </w:r>
      <w:r>
        <w:rPr>
          <w:rFonts w:asciiTheme="minorEastAsia" w:hAnsiTheme="minorEastAsia"/>
          <w:sz w:val="32"/>
          <w:szCs w:val="32"/>
        </w:rPr>
        <w:t>)</w:t>
      </w:r>
      <w:r>
        <w:rPr>
          <w:rFonts w:hint="eastAsia" w:asciiTheme="minorEastAsia" w:hAnsiTheme="minorEastAsia"/>
          <w:bCs/>
          <w:sz w:val="32"/>
          <w:szCs w:val="32"/>
        </w:rPr>
        <w:t>：新疆锐智时代建设工程项目管理有限公司</w:t>
      </w:r>
    </w:p>
    <w:p>
      <w:pPr>
        <w:adjustRightInd w:val="0"/>
        <w:snapToGrid w:val="0"/>
        <w:spacing w:line="480" w:lineRule="exact"/>
        <w:ind w:firstLine="640"/>
        <w:jc w:val="center"/>
        <w:rPr>
          <w:rFonts w:asciiTheme="minorEastAsia" w:hAnsiTheme="minorEastAsia"/>
          <w:bCs/>
          <w:sz w:val="32"/>
          <w:szCs w:val="32"/>
        </w:rPr>
      </w:pPr>
    </w:p>
    <w:p>
      <w:pPr>
        <w:adjustRightInd w:val="0"/>
        <w:snapToGrid w:val="0"/>
        <w:spacing w:line="480" w:lineRule="exact"/>
        <w:rPr>
          <w:rFonts w:asciiTheme="minorEastAsia" w:hAnsiTheme="minorEastAsia"/>
          <w:bCs/>
          <w:sz w:val="32"/>
          <w:szCs w:val="32"/>
        </w:rPr>
      </w:pPr>
      <w:r>
        <w:rPr>
          <w:rFonts w:hint="eastAsia" w:asciiTheme="minorEastAsia" w:hAnsiTheme="minorEastAsia"/>
          <w:bCs/>
          <w:sz w:val="32"/>
          <w:szCs w:val="32"/>
        </w:rPr>
        <w:t>法定代表人</w:t>
      </w:r>
      <w:r>
        <w:rPr>
          <w:rFonts w:asciiTheme="minorEastAsia" w:hAnsiTheme="minorEastAsia"/>
          <w:bCs/>
          <w:sz w:val="32"/>
          <w:szCs w:val="32"/>
        </w:rPr>
        <w:t>(</w:t>
      </w:r>
      <w:r>
        <w:rPr>
          <w:rFonts w:hint="eastAsia" w:asciiTheme="minorEastAsia" w:hAnsiTheme="minorEastAsia"/>
          <w:bCs/>
          <w:sz w:val="32"/>
          <w:szCs w:val="32"/>
        </w:rPr>
        <w:t>盖章</w:t>
      </w:r>
      <w:r>
        <w:rPr>
          <w:rFonts w:asciiTheme="minorEastAsia" w:hAnsiTheme="minorEastAsia"/>
          <w:bCs/>
          <w:sz w:val="32"/>
          <w:szCs w:val="32"/>
        </w:rPr>
        <w:t>)</w:t>
      </w:r>
      <w:r>
        <w:rPr>
          <w:rFonts w:hint="eastAsia" w:asciiTheme="minorEastAsia" w:hAnsiTheme="minorEastAsia"/>
          <w:bCs/>
          <w:sz w:val="32"/>
          <w:szCs w:val="32"/>
        </w:rPr>
        <w:t>：吴巧珠</w:t>
      </w:r>
    </w:p>
    <w:p>
      <w:pPr>
        <w:adjustRightInd w:val="0"/>
        <w:snapToGrid w:val="0"/>
        <w:spacing w:line="480" w:lineRule="exact"/>
        <w:ind w:firstLine="640"/>
        <w:jc w:val="center"/>
        <w:rPr>
          <w:rFonts w:asciiTheme="minorEastAsia" w:hAnsiTheme="minorEastAsia"/>
          <w:bCs/>
          <w:sz w:val="32"/>
          <w:szCs w:val="32"/>
        </w:rPr>
      </w:pPr>
    </w:p>
    <w:p>
      <w:pPr>
        <w:adjustRightInd w:val="0"/>
        <w:snapToGrid w:val="0"/>
        <w:spacing w:line="480" w:lineRule="exact"/>
        <w:rPr>
          <w:rFonts w:asciiTheme="minorEastAsia" w:hAnsiTheme="minorEastAsia"/>
          <w:bCs/>
          <w:sz w:val="32"/>
          <w:szCs w:val="32"/>
        </w:rPr>
      </w:pPr>
      <w:r>
        <w:rPr>
          <w:rFonts w:hint="eastAsia" w:asciiTheme="minorEastAsia" w:hAnsiTheme="minorEastAsia"/>
          <w:bCs/>
          <w:sz w:val="32"/>
          <w:szCs w:val="32"/>
        </w:rPr>
        <w:t>联系人：王芳</w:t>
      </w:r>
    </w:p>
    <w:p>
      <w:pPr>
        <w:adjustRightInd w:val="0"/>
        <w:snapToGrid w:val="0"/>
        <w:spacing w:line="480" w:lineRule="exact"/>
        <w:ind w:firstLine="640"/>
        <w:jc w:val="center"/>
        <w:rPr>
          <w:rFonts w:asciiTheme="minorEastAsia" w:hAnsiTheme="minorEastAsia"/>
          <w:bCs/>
          <w:sz w:val="32"/>
          <w:szCs w:val="32"/>
        </w:rPr>
      </w:pPr>
    </w:p>
    <w:p>
      <w:pPr>
        <w:adjustRightInd w:val="0"/>
        <w:snapToGrid w:val="0"/>
        <w:spacing w:line="480" w:lineRule="exact"/>
        <w:rPr>
          <w:rFonts w:asciiTheme="minorEastAsia" w:hAnsiTheme="minorEastAsia"/>
          <w:bCs/>
          <w:sz w:val="32"/>
          <w:szCs w:val="32"/>
        </w:rPr>
      </w:pPr>
      <w:r>
        <w:rPr>
          <w:rFonts w:hint="eastAsia" w:asciiTheme="minorEastAsia" w:hAnsiTheme="minorEastAsia"/>
          <w:bCs/>
          <w:kern w:val="0"/>
          <w:sz w:val="32"/>
          <w:szCs w:val="32"/>
        </w:rPr>
        <w:t>电话</w:t>
      </w:r>
      <w:r>
        <w:rPr>
          <w:rFonts w:hint="eastAsia" w:asciiTheme="minorEastAsia" w:hAnsiTheme="minorEastAsia"/>
          <w:bCs/>
          <w:sz w:val="32"/>
          <w:szCs w:val="32"/>
        </w:rPr>
        <w:t xml:space="preserve">：17690920122          </w:t>
      </w:r>
    </w:p>
    <w:p>
      <w:pPr>
        <w:adjustRightInd w:val="0"/>
        <w:snapToGrid w:val="0"/>
        <w:spacing w:line="480" w:lineRule="exact"/>
        <w:ind w:firstLine="640"/>
        <w:jc w:val="center"/>
        <w:rPr>
          <w:rFonts w:asciiTheme="minorEastAsia" w:hAnsiTheme="minorEastAsia"/>
          <w:bCs/>
          <w:sz w:val="32"/>
          <w:szCs w:val="32"/>
        </w:rPr>
      </w:pPr>
    </w:p>
    <w:p>
      <w:pPr>
        <w:adjustRightInd w:val="0"/>
        <w:snapToGrid w:val="0"/>
        <w:spacing w:line="480" w:lineRule="exact"/>
        <w:rPr>
          <w:rFonts w:asciiTheme="minorEastAsia" w:hAnsiTheme="minorEastAsia"/>
          <w:bCs/>
          <w:sz w:val="32"/>
          <w:szCs w:val="32"/>
        </w:rPr>
      </w:pPr>
      <w:r>
        <w:rPr>
          <w:rFonts w:hint="eastAsia" w:asciiTheme="minorEastAsia" w:hAnsiTheme="minorEastAsia"/>
          <w:bCs/>
          <w:sz w:val="32"/>
          <w:szCs w:val="32"/>
        </w:rPr>
        <w:t>详细地址：乌鲁木齐市水磨沟区立井街198号丽景名都商住10号楼21楼</w:t>
      </w:r>
    </w:p>
    <w:p>
      <w:pPr>
        <w:widowControl/>
        <w:ind w:firstLine="482"/>
        <w:jc w:val="center"/>
        <w:rPr>
          <w:rFonts w:cs="宋体" w:asciiTheme="minorEastAsia" w:hAnsiTheme="minorEastAsia"/>
          <w:b/>
          <w:bCs/>
          <w:sz w:val="24"/>
          <w:szCs w:val="24"/>
        </w:rPr>
      </w:pPr>
      <w:r>
        <w:rPr>
          <w:rFonts w:cs="宋体" w:asciiTheme="minorEastAsia" w:hAnsiTheme="minorEastAsia"/>
          <w:b/>
          <w:bCs/>
        </w:rPr>
        <w:br w:type="page"/>
      </w:r>
      <w:r>
        <w:rPr>
          <w:rFonts w:hint="eastAsia" w:cs="宋体" w:asciiTheme="minorEastAsia" w:hAnsiTheme="minorEastAsia"/>
          <w:b/>
          <w:bCs/>
          <w:sz w:val="24"/>
          <w:szCs w:val="24"/>
        </w:rPr>
        <w:t>目录</w:t>
      </w:r>
    </w:p>
    <w:p>
      <w:pPr>
        <w:pStyle w:val="21"/>
        <w:tabs>
          <w:tab w:val="right" w:leader="dot" w:pos="9354"/>
        </w:tabs>
      </w:pPr>
      <w:r>
        <w:rPr>
          <w:rFonts w:cs="宋体" w:asciiTheme="minorEastAsia" w:hAnsiTheme="minorEastAsia" w:eastAsiaTheme="minorEastAsia"/>
          <w:b/>
          <w:bCs/>
          <w:sz w:val="24"/>
        </w:rPr>
        <w:fldChar w:fldCharType="begin"/>
      </w:r>
      <w:r>
        <w:rPr>
          <w:rFonts w:cs="宋体" w:asciiTheme="minorEastAsia" w:hAnsiTheme="minorEastAsia" w:eastAsiaTheme="minorEastAsia"/>
          <w:b/>
          <w:bCs/>
          <w:sz w:val="24"/>
        </w:rPr>
        <w:instrText xml:space="preserve">TOC \o "1-3" \h \u </w:instrText>
      </w:r>
      <w:r>
        <w:rPr>
          <w:rFonts w:cs="宋体" w:asciiTheme="minorEastAsia" w:hAnsiTheme="minorEastAsia" w:eastAsiaTheme="minorEastAsia"/>
          <w:b/>
          <w:bCs/>
          <w:sz w:val="24"/>
        </w:rPr>
        <w:fldChar w:fldCharType="separate"/>
      </w:r>
      <w:r>
        <w:rPr>
          <w:rFonts w:cs="宋体" w:asciiTheme="minorEastAsia" w:hAnsiTheme="minorEastAsia" w:eastAsiaTheme="minorEastAsia"/>
          <w:bCs/>
        </w:rPr>
        <w:fldChar w:fldCharType="begin"/>
      </w:r>
      <w:r>
        <w:rPr>
          <w:rFonts w:cs="宋体" w:asciiTheme="minorEastAsia" w:hAnsiTheme="minorEastAsia" w:eastAsiaTheme="minorEastAsia"/>
          <w:bCs/>
        </w:rPr>
        <w:instrText xml:space="preserve"> HYPERLINK \l _Toc26426 </w:instrText>
      </w:r>
      <w:r>
        <w:rPr>
          <w:rFonts w:cs="宋体" w:asciiTheme="minorEastAsia" w:hAnsiTheme="minorEastAsia" w:eastAsiaTheme="minorEastAsia"/>
          <w:bCs/>
        </w:rPr>
        <w:fldChar w:fldCharType="separate"/>
      </w:r>
      <w:r>
        <w:rPr>
          <w:rFonts w:hint="eastAsia" w:asciiTheme="minorEastAsia" w:hAnsiTheme="minorEastAsia"/>
        </w:rPr>
        <w:t>2024年-2026年米东区公共绿地绿化养护项目公开招标公告</w:t>
      </w:r>
      <w:r>
        <w:tab/>
      </w:r>
      <w:r>
        <w:fldChar w:fldCharType="begin"/>
      </w:r>
      <w:r>
        <w:instrText xml:space="preserve"> PAGEREF _Toc26426 \h </w:instrText>
      </w:r>
      <w:r>
        <w:fldChar w:fldCharType="separate"/>
      </w:r>
      <w:r>
        <w:t>1</w:t>
      </w:r>
      <w:r>
        <w:fldChar w:fldCharType="end"/>
      </w:r>
      <w:r>
        <w:rPr>
          <w:rFonts w:cs="宋体" w:asciiTheme="minorEastAsia" w:hAnsiTheme="minorEastAsia" w:eastAsiaTheme="minorEastAsia"/>
          <w:bCs/>
        </w:rPr>
        <w:fldChar w:fldCharType="end"/>
      </w:r>
    </w:p>
    <w:p>
      <w:pPr>
        <w:pStyle w:val="21"/>
        <w:tabs>
          <w:tab w:val="right" w:leader="dot" w:pos="9354"/>
        </w:tabs>
      </w:pPr>
      <w:r>
        <w:rPr>
          <w:rFonts w:cs="宋体" w:asciiTheme="minorEastAsia" w:hAnsiTheme="minorEastAsia"/>
          <w:bCs/>
        </w:rPr>
        <w:fldChar w:fldCharType="begin"/>
      </w:r>
      <w:r>
        <w:rPr>
          <w:rFonts w:cs="宋体" w:asciiTheme="minorEastAsia" w:hAnsiTheme="minorEastAsia"/>
          <w:bCs/>
        </w:rPr>
        <w:instrText xml:space="preserve"> HYPERLINK \l _Toc14276 </w:instrText>
      </w:r>
      <w:r>
        <w:rPr>
          <w:rFonts w:cs="宋体" w:asciiTheme="minorEastAsia" w:hAnsiTheme="minorEastAsia"/>
          <w:bCs/>
        </w:rPr>
        <w:fldChar w:fldCharType="separate"/>
      </w:r>
      <w:r>
        <w:rPr>
          <w:rFonts w:hint="eastAsia" w:cs="宋体" w:asciiTheme="minorEastAsia" w:hAnsiTheme="minorEastAsia"/>
          <w:szCs w:val="24"/>
        </w:rPr>
        <w:t>投标人须知前附表</w:t>
      </w:r>
      <w:r>
        <w:tab/>
      </w:r>
      <w:r>
        <w:fldChar w:fldCharType="begin"/>
      </w:r>
      <w:r>
        <w:instrText xml:space="preserve"> PAGEREF _Toc14276 \h </w:instrText>
      </w:r>
      <w:r>
        <w:fldChar w:fldCharType="separate"/>
      </w:r>
      <w:r>
        <w:t>5</w:t>
      </w:r>
      <w:r>
        <w:fldChar w:fldCharType="end"/>
      </w:r>
      <w:r>
        <w:rPr>
          <w:rFonts w:cs="宋体" w:asciiTheme="minorEastAsia" w:hAnsiTheme="minorEastAsia"/>
          <w:bCs/>
        </w:rPr>
        <w:fldChar w:fldCharType="end"/>
      </w:r>
    </w:p>
    <w:p>
      <w:pPr>
        <w:pStyle w:val="27"/>
        <w:tabs>
          <w:tab w:val="right" w:leader="dot" w:pos="9354"/>
        </w:tabs>
      </w:pPr>
      <w:r>
        <w:rPr>
          <w:rFonts w:cs="宋体" w:asciiTheme="minorEastAsia" w:hAnsiTheme="minorEastAsia"/>
          <w:bCs/>
        </w:rPr>
        <w:fldChar w:fldCharType="begin"/>
      </w:r>
      <w:r>
        <w:rPr>
          <w:rFonts w:cs="宋体" w:asciiTheme="minorEastAsia" w:hAnsiTheme="minorEastAsia"/>
          <w:bCs/>
        </w:rPr>
        <w:instrText xml:space="preserve"> HYPERLINK \l _Toc22437 </w:instrText>
      </w:r>
      <w:r>
        <w:rPr>
          <w:rFonts w:cs="宋体" w:asciiTheme="minorEastAsia" w:hAnsiTheme="minorEastAsia"/>
          <w:bCs/>
        </w:rPr>
        <w:fldChar w:fldCharType="separate"/>
      </w:r>
      <w:r>
        <w:rPr>
          <w:rFonts w:cs="宋体" w:asciiTheme="minorEastAsia" w:hAnsiTheme="minorEastAsia"/>
          <w:szCs w:val="24"/>
        </w:rPr>
        <w:t>1</w:t>
      </w:r>
      <w:r>
        <w:rPr>
          <w:rFonts w:hint="eastAsia" w:cs="宋体" w:asciiTheme="minorEastAsia" w:hAnsiTheme="minorEastAsia"/>
          <w:szCs w:val="24"/>
        </w:rPr>
        <w:t>．总则</w:t>
      </w:r>
      <w:r>
        <w:tab/>
      </w:r>
      <w:r>
        <w:fldChar w:fldCharType="begin"/>
      </w:r>
      <w:r>
        <w:instrText xml:space="preserve"> PAGEREF _Toc22437 \h </w:instrText>
      </w:r>
      <w:r>
        <w:fldChar w:fldCharType="separate"/>
      </w:r>
      <w:r>
        <w:t>10</w:t>
      </w:r>
      <w:r>
        <w:fldChar w:fldCharType="end"/>
      </w:r>
      <w:r>
        <w:rPr>
          <w:rFonts w:cs="宋体" w:asciiTheme="minorEastAsia" w:hAnsiTheme="minorEastAsia"/>
          <w:bCs/>
        </w:rPr>
        <w:fldChar w:fldCharType="end"/>
      </w:r>
    </w:p>
    <w:p>
      <w:pPr>
        <w:pStyle w:val="27"/>
        <w:tabs>
          <w:tab w:val="right" w:leader="dot" w:pos="9354"/>
        </w:tabs>
      </w:pPr>
      <w:r>
        <w:rPr>
          <w:rFonts w:cs="宋体" w:asciiTheme="minorEastAsia" w:hAnsiTheme="minorEastAsia"/>
          <w:bCs/>
        </w:rPr>
        <w:fldChar w:fldCharType="begin"/>
      </w:r>
      <w:r>
        <w:rPr>
          <w:rFonts w:cs="宋体" w:asciiTheme="minorEastAsia" w:hAnsiTheme="minorEastAsia"/>
          <w:bCs/>
        </w:rPr>
        <w:instrText xml:space="preserve"> HYPERLINK \l _Toc3248 </w:instrText>
      </w:r>
      <w:r>
        <w:rPr>
          <w:rFonts w:cs="宋体" w:asciiTheme="minorEastAsia" w:hAnsiTheme="minorEastAsia"/>
          <w:bCs/>
        </w:rPr>
        <w:fldChar w:fldCharType="separate"/>
      </w:r>
      <w:r>
        <w:rPr>
          <w:rFonts w:cs="宋体" w:asciiTheme="minorEastAsia" w:hAnsiTheme="minorEastAsia"/>
          <w:szCs w:val="24"/>
        </w:rPr>
        <w:t>2</w:t>
      </w:r>
      <w:r>
        <w:rPr>
          <w:rFonts w:hint="eastAsia" w:cs="宋体" w:asciiTheme="minorEastAsia" w:hAnsiTheme="minorEastAsia"/>
          <w:szCs w:val="24"/>
        </w:rPr>
        <w:t>．招标文件</w:t>
      </w:r>
      <w:r>
        <w:tab/>
      </w:r>
      <w:r>
        <w:fldChar w:fldCharType="begin"/>
      </w:r>
      <w:r>
        <w:instrText xml:space="preserve"> PAGEREF _Toc3248 \h </w:instrText>
      </w:r>
      <w:r>
        <w:fldChar w:fldCharType="separate"/>
      </w:r>
      <w:r>
        <w:t>12</w:t>
      </w:r>
      <w:r>
        <w:fldChar w:fldCharType="end"/>
      </w:r>
      <w:r>
        <w:rPr>
          <w:rFonts w:cs="宋体" w:asciiTheme="minorEastAsia" w:hAnsiTheme="minorEastAsia"/>
          <w:bCs/>
        </w:rPr>
        <w:fldChar w:fldCharType="end"/>
      </w:r>
    </w:p>
    <w:p>
      <w:pPr>
        <w:pStyle w:val="27"/>
        <w:tabs>
          <w:tab w:val="right" w:leader="dot" w:pos="9354"/>
        </w:tabs>
      </w:pPr>
      <w:r>
        <w:rPr>
          <w:rFonts w:cs="宋体" w:asciiTheme="minorEastAsia" w:hAnsiTheme="minorEastAsia"/>
          <w:bCs/>
        </w:rPr>
        <w:fldChar w:fldCharType="begin"/>
      </w:r>
      <w:r>
        <w:rPr>
          <w:rFonts w:cs="宋体" w:asciiTheme="minorEastAsia" w:hAnsiTheme="minorEastAsia"/>
          <w:bCs/>
        </w:rPr>
        <w:instrText xml:space="preserve"> HYPERLINK \l _Toc5109 </w:instrText>
      </w:r>
      <w:r>
        <w:rPr>
          <w:rFonts w:cs="宋体" w:asciiTheme="minorEastAsia" w:hAnsiTheme="minorEastAsia"/>
          <w:bCs/>
        </w:rPr>
        <w:fldChar w:fldCharType="separate"/>
      </w:r>
      <w:r>
        <w:rPr>
          <w:rFonts w:cs="宋体" w:asciiTheme="minorEastAsia" w:hAnsiTheme="minorEastAsia"/>
          <w:szCs w:val="24"/>
        </w:rPr>
        <w:t>3</w:t>
      </w:r>
      <w:r>
        <w:rPr>
          <w:rFonts w:hint="eastAsia" w:cs="宋体" w:asciiTheme="minorEastAsia" w:hAnsiTheme="minorEastAsia"/>
          <w:szCs w:val="24"/>
        </w:rPr>
        <w:t>．投标文件</w:t>
      </w:r>
      <w:r>
        <w:tab/>
      </w:r>
      <w:r>
        <w:fldChar w:fldCharType="begin"/>
      </w:r>
      <w:r>
        <w:instrText xml:space="preserve"> PAGEREF _Toc5109 \h </w:instrText>
      </w:r>
      <w:r>
        <w:fldChar w:fldCharType="separate"/>
      </w:r>
      <w:r>
        <w:t>13</w:t>
      </w:r>
      <w:r>
        <w:fldChar w:fldCharType="end"/>
      </w:r>
      <w:r>
        <w:rPr>
          <w:rFonts w:cs="宋体" w:asciiTheme="minorEastAsia" w:hAnsiTheme="minorEastAsia"/>
          <w:bCs/>
        </w:rPr>
        <w:fldChar w:fldCharType="end"/>
      </w:r>
    </w:p>
    <w:p>
      <w:pPr>
        <w:pStyle w:val="27"/>
        <w:tabs>
          <w:tab w:val="right" w:leader="dot" w:pos="9354"/>
        </w:tabs>
      </w:pPr>
      <w:r>
        <w:rPr>
          <w:rFonts w:cs="宋体" w:asciiTheme="minorEastAsia" w:hAnsiTheme="minorEastAsia"/>
          <w:bCs/>
        </w:rPr>
        <w:fldChar w:fldCharType="begin"/>
      </w:r>
      <w:r>
        <w:rPr>
          <w:rFonts w:cs="宋体" w:asciiTheme="minorEastAsia" w:hAnsiTheme="minorEastAsia"/>
          <w:bCs/>
        </w:rPr>
        <w:instrText xml:space="preserve"> HYPERLINK \l _Toc7591 </w:instrText>
      </w:r>
      <w:r>
        <w:rPr>
          <w:rFonts w:cs="宋体" w:asciiTheme="minorEastAsia" w:hAnsiTheme="minorEastAsia"/>
          <w:bCs/>
        </w:rPr>
        <w:fldChar w:fldCharType="separate"/>
      </w:r>
      <w:r>
        <w:rPr>
          <w:rFonts w:cs="宋体" w:asciiTheme="minorEastAsia" w:hAnsiTheme="minorEastAsia"/>
          <w:szCs w:val="24"/>
        </w:rPr>
        <w:t>4</w:t>
      </w:r>
      <w:r>
        <w:rPr>
          <w:rFonts w:hint="eastAsia" w:cs="宋体" w:asciiTheme="minorEastAsia" w:hAnsiTheme="minorEastAsia"/>
          <w:szCs w:val="24"/>
        </w:rPr>
        <w:t>．投标</w:t>
      </w:r>
      <w:r>
        <w:tab/>
      </w:r>
      <w:r>
        <w:fldChar w:fldCharType="begin"/>
      </w:r>
      <w:r>
        <w:instrText xml:space="preserve"> PAGEREF _Toc7591 \h </w:instrText>
      </w:r>
      <w:r>
        <w:fldChar w:fldCharType="separate"/>
      </w:r>
      <w:r>
        <w:t>15</w:t>
      </w:r>
      <w:r>
        <w:fldChar w:fldCharType="end"/>
      </w:r>
      <w:r>
        <w:rPr>
          <w:rFonts w:cs="宋体" w:asciiTheme="minorEastAsia" w:hAnsiTheme="minorEastAsia"/>
          <w:bCs/>
        </w:rPr>
        <w:fldChar w:fldCharType="end"/>
      </w:r>
    </w:p>
    <w:p>
      <w:pPr>
        <w:pStyle w:val="27"/>
        <w:tabs>
          <w:tab w:val="right" w:leader="dot" w:pos="9354"/>
        </w:tabs>
      </w:pPr>
      <w:r>
        <w:rPr>
          <w:rFonts w:cs="宋体" w:asciiTheme="minorEastAsia" w:hAnsiTheme="minorEastAsia"/>
          <w:bCs/>
        </w:rPr>
        <w:fldChar w:fldCharType="begin"/>
      </w:r>
      <w:r>
        <w:rPr>
          <w:rFonts w:cs="宋体" w:asciiTheme="minorEastAsia" w:hAnsiTheme="minorEastAsia"/>
          <w:bCs/>
        </w:rPr>
        <w:instrText xml:space="preserve"> HYPERLINK \l _Toc10750 </w:instrText>
      </w:r>
      <w:r>
        <w:rPr>
          <w:rFonts w:cs="宋体" w:asciiTheme="minorEastAsia" w:hAnsiTheme="minorEastAsia"/>
          <w:bCs/>
        </w:rPr>
        <w:fldChar w:fldCharType="separate"/>
      </w:r>
      <w:r>
        <w:rPr>
          <w:rFonts w:cs="宋体" w:asciiTheme="minorEastAsia" w:hAnsiTheme="minorEastAsia"/>
          <w:szCs w:val="24"/>
        </w:rPr>
        <w:t>5</w:t>
      </w:r>
      <w:r>
        <w:rPr>
          <w:rFonts w:hint="eastAsia" w:cs="宋体" w:asciiTheme="minorEastAsia" w:hAnsiTheme="minorEastAsia"/>
          <w:szCs w:val="24"/>
        </w:rPr>
        <w:t>．开标</w:t>
      </w:r>
      <w:r>
        <w:tab/>
      </w:r>
      <w:r>
        <w:fldChar w:fldCharType="begin"/>
      </w:r>
      <w:r>
        <w:instrText xml:space="preserve"> PAGEREF _Toc10750 \h </w:instrText>
      </w:r>
      <w:r>
        <w:fldChar w:fldCharType="separate"/>
      </w:r>
      <w:r>
        <w:t>16</w:t>
      </w:r>
      <w:r>
        <w:fldChar w:fldCharType="end"/>
      </w:r>
      <w:r>
        <w:rPr>
          <w:rFonts w:cs="宋体" w:asciiTheme="minorEastAsia" w:hAnsiTheme="minorEastAsia"/>
          <w:bCs/>
        </w:rPr>
        <w:fldChar w:fldCharType="end"/>
      </w:r>
    </w:p>
    <w:p>
      <w:pPr>
        <w:pStyle w:val="27"/>
        <w:tabs>
          <w:tab w:val="right" w:leader="dot" w:pos="9354"/>
        </w:tabs>
      </w:pPr>
      <w:r>
        <w:rPr>
          <w:rFonts w:cs="宋体" w:asciiTheme="minorEastAsia" w:hAnsiTheme="minorEastAsia"/>
          <w:bCs/>
        </w:rPr>
        <w:fldChar w:fldCharType="begin"/>
      </w:r>
      <w:r>
        <w:rPr>
          <w:rFonts w:cs="宋体" w:asciiTheme="minorEastAsia" w:hAnsiTheme="minorEastAsia"/>
          <w:bCs/>
        </w:rPr>
        <w:instrText xml:space="preserve"> HYPERLINK \l _Toc12517 </w:instrText>
      </w:r>
      <w:r>
        <w:rPr>
          <w:rFonts w:cs="宋体" w:asciiTheme="minorEastAsia" w:hAnsiTheme="minorEastAsia"/>
          <w:bCs/>
        </w:rPr>
        <w:fldChar w:fldCharType="separate"/>
      </w:r>
      <w:r>
        <w:rPr>
          <w:rFonts w:cs="宋体" w:asciiTheme="minorEastAsia" w:hAnsiTheme="minorEastAsia"/>
          <w:szCs w:val="24"/>
        </w:rPr>
        <w:t>6</w:t>
      </w:r>
      <w:r>
        <w:rPr>
          <w:rFonts w:hint="eastAsia" w:cs="宋体" w:asciiTheme="minorEastAsia" w:hAnsiTheme="minorEastAsia"/>
          <w:szCs w:val="24"/>
        </w:rPr>
        <w:t>．评标</w:t>
      </w:r>
      <w:r>
        <w:tab/>
      </w:r>
      <w:r>
        <w:fldChar w:fldCharType="begin"/>
      </w:r>
      <w:r>
        <w:instrText xml:space="preserve"> PAGEREF _Toc12517 \h </w:instrText>
      </w:r>
      <w:r>
        <w:fldChar w:fldCharType="separate"/>
      </w:r>
      <w:r>
        <w:t>16</w:t>
      </w:r>
      <w:r>
        <w:fldChar w:fldCharType="end"/>
      </w:r>
      <w:r>
        <w:rPr>
          <w:rFonts w:cs="宋体" w:asciiTheme="minorEastAsia" w:hAnsiTheme="minorEastAsia"/>
          <w:bCs/>
        </w:rPr>
        <w:fldChar w:fldCharType="end"/>
      </w:r>
    </w:p>
    <w:p>
      <w:pPr>
        <w:pStyle w:val="27"/>
        <w:tabs>
          <w:tab w:val="right" w:leader="dot" w:pos="9354"/>
        </w:tabs>
      </w:pPr>
      <w:r>
        <w:rPr>
          <w:rFonts w:cs="宋体" w:asciiTheme="minorEastAsia" w:hAnsiTheme="minorEastAsia"/>
          <w:bCs/>
        </w:rPr>
        <w:fldChar w:fldCharType="begin"/>
      </w:r>
      <w:r>
        <w:rPr>
          <w:rFonts w:cs="宋体" w:asciiTheme="minorEastAsia" w:hAnsiTheme="minorEastAsia"/>
          <w:bCs/>
        </w:rPr>
        <w:instrText xml:space="preserve"> HYPERLINK \l _Toc24540 </w:instrText>
      </w:r>
      <w:r>
        <w:rPr>
          <w:rFonts w:cs="宋体" w:asciiTheme="minorEastAsia" w:hAnsiTheme="minorEastAsia"/>
          <w:bCs/>
        </w:rPr>
        <w:fldChar w:fldCharType="separate"/>
      </w:r>
      <w:r>
        <w:rPr>
          <w:rFonts w:cs="宋体" w:asciiTheme="minorEastAsia" w:hAnsiTheme="minorEastAsia"/>
          <w:szCs w:val="24"/>
        </w:rPr>
        <w:t>7</w:t>
      </w:r>
      <w:r>
        <w:rPr>
          <w:rFonts w:hint="eastAsia" w:cs="宋体" w:asciiTheme="minorEastAsia" w:hAnsiTheme="minorEastAsia"/>
          <w:szCs w:val="24"/>
        </w:rPr>
        <w:t>．定标及合同授予</w:t>
      </w:r>
      <w:r>
        <w:tab/>
      </w:r>
      <w:r>
        <w:fldChar w:fldCharType="begin"/>
      </w:r>
      <w:r>
        <w:instrText xml:space="preserve"> PAGEREF _Toc24540 \h </w:instrText>
      </w:r>
      <w:r>
        <w:fldChar w:fldCharType="separate"/>
      </w:r>
      <w:r>
        <w:t>17</w:t>
      </w:r>
      <w:r>
        <w:fldChar w:fldCharType="end"/>
      </w:r>
      <w:r>
        <w:rPr>
          <w:rFonts w:cs="宋体" w:asciiTheme="minorEastAsia" w:hAnsiTheme="minorEastAsia"/>
          <w:bCs/>
        </w:rPr>
        <w:fldChar w:fldCharType="end"/>
      </w:r>
    </w:p>
    <w:p>
      <w:pPr>
        <w:pStyle w:val="27"/>
        <w:tabs>
          <w:tab w:val="right" w:leader="dot" w:pos="9354"/>
        </w:tabs>
      </w:pPr>
      <w:r>
        <w:rPr>
          <w:rFonts w:cs="宋体" w:asciiTheme="minorEastAsia" w:hAnsiTheme="minorEastAsia"/>
          <w:bCs/>
        </w:rPr>
        <w:fldChar w:fldCharType="begin"/>
      </w:r>
      <w:r>
        <w:rPr>
          <w:rFonts w:cs="宋体" w:asciiTheme="minorEastAsia" w:hAnsiTheme="minorEastAsia"/>
          <w:bCs/>
        </w:rPr>
        <w:instrText xml:space="preserve"> HYPERLINK \l _Toc29083 </w:instrText>
      </w:r>
      <w:r>
        <w:rPr>
          <w:rFonts w:cs="宋体" w:asciiTheme="minorEastAsia" w:hAnsiTheme="minorEastAsia"/>
          <w:bCs/>
        </w:rPr>
        <w:fldChar w:fldCharType="separate"/>
      </w:r>
      <w:r>
        <w:rPr>
          <w:rFonts w:cs="宋体" w:asciiTheme="minorEastAsia" w:hAnsiTheme="minorEastAsia"/>
          <w:szCs w:val="24"/>
        </w:rPr>
        <w:t>8</w:t>
      </w:r>
      <w:r>
        <w:rPr>
          <w:rFonts w:hint="eastAsia" w:cs="宋体" w:asciiTheme="minorEastAsia" w:hAnsiTheme="minorEastAsia"/>
          <w:szCs w:val="24"/>
        </w:rPr>
        <w:t>．纪律和监督</w:t>
      </w:r>
      <w:r>
        <w:tab/>
      </w:r>
      <w:r>
        <w:fldChar w:fldCharType="begin"/>
      </w:r>
      <w:r>
        <w:instrText xml:space="preserve"> PAGEREF _Toc29083 \h </w:instrText>
      </w:r>
      <w:r>
        <w:fldChar w:fldCharType="separate"/>
      </w:r>
      <w:r>
        <w:t>18</w:t>
      </w:r>
      <w:r>
        <w:fldChar w:fldCharType="end"/>
      </w:r>
      <w:r>
        <w:rPr>
          <w:rFonts w:cs="宋体" w:asciiTheme="minorEastAsia" w:hAnsiTheme="minorEastAsia"/>
          <w:bCs/>
        </w:rPr>
        <w:fldChar w:fldCharType="end"/>
      </w:r>
    </w:p>
    <w:p>
      <w:pPr>
        <w:pStyle w:val="21"/>
        <w:tabs>
          <w:tab w:val="right" w:leader="dot" w:pos="9354"/>
        </w:tabs>
      </w:pPr>
      <w:r>
        <w:rPr>
          <w:rFonts w:cs="宋体" w:asciiTheme="minorEastAsia" w:hAnsiTheme="minorEastAsia"/>
          <w:bCs/>
        </w:rPr>
        <w:fldChar w:fldCharType="begin"/>
      </w:r>
      <w:r>
        <w:rPr>
          <w:rFonts w:cs="宋体" w:asciiTheme="minorEastAsia" w:hAnsiTheme="minorEastAsia"/>
          <w:bCs/>
        </w:rPr>
        <w:instrText xml:space="preserve"> HYPERLINK \l _Toc25443 </w:instrText>
      </w:r>
      <w:r>
        <w:rPr>
          <w:rFonts w:cs="宋体" w:asciiTheme="minorEastAsia" w:hAnsiTheme="minorEastAsia"/>
          <w:bCs/>
        </w:rPr>
        <w:fldChar w:fldCharType="separate"/>
      </w:r>
      <w:r>
        <w:rPr>
          <w:rFonts w:hint="eastAsia" w:cs="宋体" w:asciiTheme="minorEastAsia" w:hAnsiTheme="minorEastAsia"/>
          <w:szCs w:val="24"/>
        </w:rPr>
        <w:t>第二章评标办法</w:t>
      </w:r>
      <w:r>
        <w:tab/>
      </w:r>
      <w:r>
        <w:fldChar w:fldCharType="begin"/>
      </w:r>
      <w:r>
        <w:instrText xml:space="preserve"> PAGEREF _Toc25443 \h </w:instrText>
      </w:r>
      <w:r>
        <w:fldChar w:fldCharType="separate"/>
      </w:r>
      <w:r>
        <w:t>20</w:t>
      </w:r>
      <w:r>
        <w:fldChar w:fldCharType="end"/>
      </w:r>
      <w:r>
        <w:rPr>
          <w:rFonts w:cs="宋体" w:asciiTheme="minorEastAsia" w:hAnsiTheme="minorEastAsia"/>
          <w:bCs/>
        </w:rPr>
        <w:fldChar w:fldCharType="end"/>
      </w:r>
    </w:p>
    <w:p>
      <w:pPr>
        <w:pStyle w:val="27"/>
        <w:tabs>
          <w:tab w:val="right" w:leader="dot" w:pos="9354"/>
        </w:tabs>
      </w:pPr>
      <w:r>
        <w:rPr>
          <w:rFonts w:cs="宋体" w:asciiTheme="minorEastAsia" w:hAnsiTheme="minorEastAsia"/>
          <w:bCs/>
        </w:rPr>
        <w:fldChar w:fldCharType="begin"/>
      </w:r>
      <w:r>
        <w:rPr>
          <w:rFonts w:cs="宋体" w:asciiTheme="minorEastAsia" w:hAnsiTheme="minorEastAsia"/>
          <w:bCs/>
        </w:rPr>
        <w:instrText xml:space="preserve"> HYPERLINK \l _Toc20529 </w:instrText>
      </w:r>
      <w:r>
        <w:rPr>
          <w:rFonts w:cs="宋体" w:asciiTheme="minorEastAsia" w:hAnsiTheme="minorEastAsia"/>
          <w:bCs/>
        </w:rPr>
        <w:fldChar w:fldCharType="separate"/>
      </w:r>
      <w:r>
        <w:rPr>
          <w:rFonts w:hint="eastAsia" w:cs="宋体" w:asciiTheme="minorEastAsia" w:hAnsiTheme="minorEastAsia"/>
          <w:szCs w:val="24"/>
        </w:rPr>
        <w:t>第一节 综合评分法</w:t>
      </w:r>
      <w:r>
        <w:tab/>
      </w:r>
      <w:r>
        <w:fldChar w:fldCharType="begin"/>
      </w:r>
      <w:r>
        <w:instrText xml:space="preserve"> PAGEREF _Toc20529 \h </w:instrText>
      </w:r>
      <w:r>
        <w:fldChar w:fldCharType="separate"/>
      </w:r>
      <w:r>
        <w:t>20</w:t>
      </w:r>
      <w:r>
        <w:fldChar w:fldCharType="end"/>
      </w:r>
      <w:r>
        <w:rPr>
          <w:rFonts w:cs="宋体" w:asciiTheme="minorEastAsia" w:hAnsiTheme="minorEastAsia"/>
          <w:bCs/>
        </w:rPr>
        <w:fldChar w:fldCharType="end"/>
      </w:r>
    </w:p>
    <w:p>
      <w:pPr>
        <w:pStyle w:val="13"/>
        <w:tabs>
          <w:tab w:val="right" w:leader="dot" w:pos="9354"/>
        </w:tabs>
      </w:pPr>
      <w:r>
        <w:rPr>
          <w:rFonts w:cs="宋体" w:asciiTheme="minorEastAsia" w:hAnsiTheme="minorEastAsia"/>
          <w:bCs/>
        </w:rPr>
        <w:fldChar w:fldCharType="begin"/>
      </w:r>
      <w:r>
        <w:rPr>
          <w:rFonts w:cs="宋体" w:asciiTheme="minorEastAsia" w:hAnsiTheme="minorEastAsia"/>
          <w:bCs/>
        </w:rPr>
        <w:instrText xml:space="preserve"> HYPERLINK \l _Toc10658 </w:instrText>
      </w:r>
      <w:r>
        <w:rPr>
          <w:rFonts w:cs="宋体" w:asciiTheme="minorEastAsia" w:hAnsiTheme="minorEastAsia"/>
          <w:bCs/>
        </w:rPr>
        <w:fldChar w:fldCharType="separate"/>
      </w:r>
      <w:r>
        <w:rPr>
          <w:rFonts w:hint="eastAsia" w:cs="宋体" w:asciiTheme="minorEastAsia" w:hAnsiTheme="minorEastAsia"/>
          <w:szCs w:val="24"/>
        </w:rPr>
        <w:t>评标办法前附表</w:t>
      </w:r>
      <w:r>
        <w:tab/>
      </w:r>
      <w:r>
        <w:fldChar w:fldCharType="begin"/>
      </w:r>
      <w:r>
        <w:instrText xml:space="preserve"> PAGEREF _Toc10658 \h </w:instrText>
      </w:r>
      <w:r>
        <w:fldChar w:fldCharType="separate"/>
      </w:r>
      <w:r>
        <w:t>20</w:t>
      </w:r>
      <w:r>
        <w:fldChar w:fldCharType="end"/>
      </w:r>
      <w:r>
        <w:rPr>
          <w:rFonts w:cs="宋体" w:asciiTheme="minorEastAsia" w:hAnsiTheme="minorEastAsia"/>
          <w:bCs/>
        </w:rPr>
        <w:fldChar w:fldCharType="end"/>
      </w:r>
    </w:p>
    <w:p>
      <w:pPr>
        <w:pStyle w:val="13"/>
        <w:tabs>
          <w:tab w:val="right" w:leader="dot" w:pos="9354"/>
        </w:tabs>
      </w:pPr>
      <w:r>
        <w:rPr>
          <w:rFonts w:cs="宋体" w:asciiTheme="minorEastAsia" w:hAnsiTheme="minorEastAsia"/>
          <w:bCs/>
        </w:rPr>
        <w:fldChar w:fldCharType="begin"/>
      </w:r>
      <w:r>
        <w:rPr>
          <w:rFonts w:cs="宋体" w:asciiTheme="minorEastAsia" w:hAnsiTheme="minorEastAsia"/>
          <w:bCs/>
        </w:rPr>
        <w:instrText xml:space="preserve"> HYPERLINK \l _Toc22050 </w:instrText>
      </w:r>
      <w:r>
        <w:rPr>
          <w:rFonts w:cs="宋体" w:asciiTheme="minorEastAsia" w:hAnsiTheme="minorEastAsia"/>
          <w:bCs/>
        </w:rPr>
        <w:fldChar w:fldCharType="separate"/>
      </w:r>
      <w:r>
        <w:rPr>
          <w:rFonts w:cs="宋体" w:asciiTheme="minorEastAsia" w:hAnsiTheme="minorEastAsia"/>
          <w:szCs w:val="24"/>
        </w:rPr>
        <w:t xml:space="preserve">1. </w:t>
      </w:r>
      <w:r>
        <w:rPr>
          <w:rFonts w:hint="eastAsia" w:cs="宋体" w:asciiTheme="minorEastAsia" w:hAnsiTheme="minorEastAsia"/>
          <w:szCs w:val="24"/>
        </w:rPr>
        <w:t>评标方法</w:t>
      </w:r>
      <w:r>
        <w:tab/>
      </w:r>
      <w:r>
        <w:fldChar w:fldCharType="begin"/>
      </w:r>
      <w:r>
        <w:instrText xml:space="preserve"> PAGEREF _Toc22050 \h </w:instrText>
      </w:r>
      <w:r>
        <w:fldChar w:fldCharType="separate"/>
      </w:r>
      <w:r>
        <w:t>22</w:t>
      </w:r>
      <w:r>
        <w:fldChar w:fldCharType="end"/>
      </w:r>
      <w:r>
        <w:rPr>
          <w:rFonts w:cs="宋体" w:asciiTheme="minorEastAsia" w:hAnsiTheme="minorEastAsia"/>
          <w:bCs/>
        </w:rPr>
        <w:fldChar w:fldCharType="end"/>
      </w:r>
    </w:p>
    <w:p>
      <w:pPr>
        <w:pStyle w:val="13"/>
        <w:tabs>
          <w:tab w:val="right" w:leader="dot" w:pos="9354"/>
        </w:tabs>
      </w:pPr>
      <w:r>
        <w:rPr>
          <w:rFonts w:cs="宋体" w:asciiTheme="minorEastAsia" w:hAnsiTheme="minorEastAsia"/>
          <w:bCs/>
        </w:rPr>
        <w:fldChar w:fldCharType="begin"/>
      </w:r>
      <w:r>
        <w:rPr>
          <w:rFonts w:cs="宋体" w:asciiTheme="minorEastAsia" w:hAnsiTheme="minorEastAsia"/>
          <w:bCs/>
        </w:rPr>
        <w:instrText xml:space="preserve"> HYPERLINK \l _Toc5818 </w:instrText>
      </w:r>
      <w:r>
        <w:rPr>
          <w:rFonts w:cs="宋体" w:asciiTheme="minorEastAsia" w:hAnsiTheme="minorEastAsia"/>
          <w:bCs/>
        </w:rPr>
        <w:fldChar w:fldCharType="separate"/>
      </w:r>
      <w:r>
        <w:rPr>
          <w:rFonts w:cs="宋体" w:asciiTheme="minorEastAsia" w:hAnsiTheme="minorEastAsia"/>
          <w:szCs w:val="24"/>
        </w:rPr>
        <w:t xml:space="preserve">2. </w:t>
      </w:r>
      <w:r>
        <w:rPr>
          <w:rFonts w:hint="eastAsia" w:cs="宋体" w:asciiTheme="minorEastAsia" w:hAnsiTheme="minorEastAsia"/>
          <w:szCs w:val="24"/>
        </w:rPr>
        <w:t>评审标准</w:t>
      </w:r>
      <w:r>
        <w:tab/>
      </w:r>
      <w:r>
        <w:fldChar w:fldCharType="begin"/>
      </w:r>
      <w:r>
        <w:instrText xml:space="preserve"> PAGEREF _Toc5818 \h </w:instrText>
      </w:r>
      <w:r>
        <w:fldChar w:fldCharType="separate"/>
      </w:r>
      <w:r>
        <w:t>22</w:t>
      </w:r>
      <w:r>
        <w:fldChar w:fldCharType="end"/>
      </w:r>
      <w:r>
        <w:rPr>
          <w:rFonts w:cs="宋体" w:asciiTheme="minorEastAsia" w:hAnsiTheme="minorEastAsia"/>
          <w:bCs/>
        </w:rPr>
        <w:fldChar w:fldCharType="end"/>
      </w:r>
    </w:p>
    <w:p>
      <w:pPr>
        <w:pStyle w:val="13"/>
        <w:tabs>
          <w:tab w:val="right" w:leader="dot" w:pos="9354"/>
        </w:tabs>
      </w:pPr>
      <w:r>
        <w:rPr>
          <w:rFonts w:cs="宋体" w:asciiTheme="minorEastAsia" w:hAnsiTheme="minorEastAsia"/>
          <w:bCs/>
        </w:rPr>
        <w:fldChar w:fldCharType="begin"/>
      </w:r>
      <w:r>
        <w:rPr>
          <w:rFonts w:cs="宋体" w:asciiTheme="minorEastAsia" w:hAnsiTheme="minorEastAsia"/>
          <w:bCs/>
        </w:rPr>
        <w:instrText xml:space="preserve"> HYPERLINK \l _Toc24599 </w:instrText>
      </w:r>
      <w:r>
        <w:rPr>
          <w:rFonts w:cs="宋体" w:asciiTheme="minorEastAsia" w:hAnsiTheme="minorEastAsia"/>
          <w:bCs/>
        </w:rPr>
        <w:fldChar w:fldCharType="separate"/>
      </w:r>
      <w:r>
        <w:rPr>
          <w:rFonts w:cs="宋体" w:asciiTheme="minorEastAsia" w:hAnsiTheme="minorEastAsia"/>
          <w:szCs w:val="24"/>
        </w:rPr>
        <w:t xml:space="preserve">3. </w:t>
      </w:r>
      <w:r>
        <w:rPr>
          <w:rFonts w:hint="eastAsia" w:cs="宋体" w:asciiTheme="minorEastAsia" w:hAnsiTheme="minorEastAsia"/>
          <w:szCs w:val="24"/>
        </w:rPr>
        <w:t>评标程序</w:t>
      </w:r>
      <w:r>
        <w:tab/>
      </w:r>
      <w:r>
        <w:fldChar w:fldCharType="begin"/>
      </w:r>
      <w:r>
        <w:instrText xml:space="preserve"> PAGEREF _Toc24599 \h </w:instrText>
      </w:r>
      <w:r>
        <w:fldChar w:fldCharType="separate"/>
      </w:r>
      <w:r>
        <w:t>23</w:t>
      </w:r>
      <w:r>
        <w:fldChar w:fldCharType="end"/>
      </w:r>
      <w:r>
        <w:rPr>
          <w:rFonts w:cs="宋体" w:asciiTheme="minorEastAsia" w:hAnsiTheme="minorEastAsia"/>
          <w:bCs/>
        </w:rPr>
        <w:fldChar w:fldCharType="end"/>
      </w:r>
    </w:p>
    <w:p>
      <w:pPr>
        <w:pStyle w:val="21"/>
        <w:tabs>
          <w:tab w:val="right" w:leader="dot" w:pos="9354"/>
        </w:tabs>
      </w:pPr>
      <w:r>
        <w:rPr>
          <w:rFonts w:cs="宋体" w:asciiTheme="minorEastAsia" w:hAnsiTheme="minorEastAsia"/>
          <w:bCs/>
        </w:rPr>
        <w:fldChar w:fldCharType="begin"/>
      </w:r>
      <w:r>
        <w:rPr>
          <w:rFonts w:cs="宋体" w:asciiTheme="minorEastAsia" w:hAnsiTheme="minorEastAsia"/>
          <w:bCs/>
        </w:rPr>
        <w:instrText xml:space="preserve"> HYPERLINK \l _Toc2622 </w:instrText>
      </w:r>
      <w:r>
        <w:rPr>
          <w:rFonts w:cs="宋体" w:asciiTheme="minorEastAsia" w:hAnsiTheme="minorEastAsia"/>
          <w:bCs/>
        </w:rPr>
        <w:fldChar w:fldCharType="separate"/>
      </w:r>
      <w:r>
        <w:rPr>
          <w:rFonts w:hint="eastAsia" w:cs="宋体" w:asciiTheme="minorEastAsia" w:hAnsiTheme="minorEastAsia"/>
          <w:szCs w:val="24"/>
        </w:rPr>
        <w:t>第三章合同</w:t>
      </w:r>
      <w:r>
        <w:tab/>
      </w:r>
      <w:r>
        <w:fldChar w:fldCharType="begin"/>
      </w:r>
      <w:r>
        <w:instrText xml:space="preserve"> PAGEREF _Toc2622 \h </w:instrText>
      </w:r>
      <w:r>
        <w:fldChar w:fldCharType="separate"/>
      </w:r>
      <w:r>
        <w:t>29</w:t>
      </w:r>
      <w:r>
        <w:fldChar w:fldCharType="end"/>
      </w:r>
      <w:r>
        <w:rPr>
          <w:rFonts w:cs="宋体" w:asciiTheme="minorEastAsia" w:hAnsiTheme="minorEastAsia"/>
          <w:bCs/>
        </w:rPr>
        <w:fldChar w:fldCharType="end"/>
      </w:r>
    </w:p>
    <w:p>
      <w:pPr>
        <w:pStyle w:val="21"/>
        <w:tabs>
          <w:tab w:val="right" w:leader="dot" w:pos="9354"/>
        </w:tabs>
      </w:pPr>
      <w:r>
        <w:rPr>
          <w:rFonts w:cs="宋体" w:asciiTheme="minorEastAsia" w:hAnsiTheme="minorEastAsia"/>
          <w:bCs/>
        </w:rPr>
        <w:fldChar w:fldCharType="begin"/>
      </w:r>
      <w:r>
        <w:rPr>
          <w:rFonts w:cs="宋体" w:asciiTheme="minorEastAsia" w:hAnsiTheme="minorEastAsia"/>
          <w:bCs/>
        </w:rPr>
        <w:instrText xml:space="preserve"> HYPERLINK \l _Toc16899 </w:instrText>
      </w:r>
      <w:r>
        <w:rPr>
          <w:rFonts w:cs="宋体" w:asciiTheme="minorEastAsia" w:hAnsiTheme="minorEastAsia"/>
          <w:bCs/>
        </w:rPr>
        <w:fldChar w:fldCharType="separate"/>
      </w:r>
      <w:r>
        <w:rPr>
          <w:rFonts w:hint="eastAsia" w:cs="宋体" w:asciiTheme="minorEastAsia" w:hAnsiTheme="minorEastAsia"/>
          <w:szCs w:val="24"/>
        </w:rPr>
        <w:t>第四章技术标准和要求</w:t>
      </w:r>
      <w:r>
        <w:tab/>
      </w:r>
      <w:r>
        <w:fldChar w:fldCharType="begin"/>
      </w:r>
      <w:r>
        <w:instrText xml:space="preserve"> PAGEREF _Toc16899 \h </w:instrText>
      </w:r>
      <w:r>
        <w:fldChar w:fldCharType="separate"/>
      </w:r>
      <w:r>
        <w:t>102</w:t>
      </w:r>
      <w:r>
        <w:fldChar w:fldCharType="end"/>
      </w:r>
      <w:r>
        <w:rPr>
          <w:rFonts w:cs="宋体" w:asciiTheme="minorEastAsia" w:hAnsiTheme="minorEastAsia"/>
          <w:bCs/>
        </w:rPr>
        <w:fldChar w:fldCharType="end"/>
      </w:r>
    </w:p>
    <w:p>
      <w:pPr>
        <w:pStyle w:val="21"/>
        <w:tabs>
          <w:tab w:val="right" w:leader="dot" w:pos="9354"/>
        </w:tabs>
      </w:pPr>
      <w:r>
        <w:rPr>
          <w:rFonts w:cs="宋体" w:asciiTheme="minorEastAsia" w:hAnsiTheme="minorEastAsia"/>
          <w:bCs/>
        </w:rPr>
        <w:fldChar w:fldCharType="begin"/>
      </w:r>
      <w:r>
        <w:rPr>
          <w:rFonts w:cs="宋体" w:asciiTheme="minorEastAsia" w:hAnsiTheme="minorEastAsia"/>
          <w:bCs/>
        </w:rPr>
        <w:instrText xml:space="preserve"> HYPERLINK \l _Toc23869 </w:instrText>
      </w:r>
      <w:r>
        <w:rPr>
          <w:rFonts w:cs="宋体" w:asciiTheme="minorEastAsia" w:hAnsiTheme="minorEastAsia"/>
          <w:bCs/>
        </w:rPr>
        <w:fldChar w:fldCharType="separate"/>
      </w:r>
      <w:r>
        <w:rPr>
          <w:rFonts w:hint="eastAsia" w:cs="宋体" w:asciiTheme="minorEastAsia" w:hAnsiTheme="minorEastAsia"/>
          <w:szCs w:val="24"/>
        </w:rPr>
        <w:t>第五章投标文件格式</w:t>
      </w:r>
      <w:r>
        <w:tab/>
      </w:r>
      <w:r>
        <w:fldChar w:fldCharType="begin"/>
      </w:r>
      <w:r>
        <w:instrText xml:space="preserve"> PAGEREF _Toc23869 \h </w:instrText>
      </w:r>
      <w:r>
        <w:fldChar w:fldCharType="separate"/>
      </w:r>
      <w:r>
        <w:t>106</w:t>
      </w:r>
      <w:r>
        <w:fldChar w:fldCharType="end"/>
      </w:r>
      <w:r>
        <w:rPr>
          <w:rFonts w:cs="宋体" w:asciiTheme="minorEastAsia" w:hAnsiTheme="minorEastAsia"/>
          <w:bCs/>
        </w:rPr>
        <w:fldChar w:fldCharType="end"/>
      </w:r>
    </w:p>
    <w:p>
      <w:pPr>
        <w:pStyle w:val="27"/>
        <w:tabs>
          <w:tab w:val="right" w:leader="dot" w:pos="9354"/>
        </w:tabs>
      </w:pPr>
      <w:r>
        <w:rPr>
          <w:rFonts w:cs="宋体" w:asciiTheme="minorEastAsia" w:hAnsiTheme="minorEastAsia"/>
          <w:bCs/>
        </w:rPr>
        <w:fldChar w:fldCharType="begin"/>
      </w:r>
      <w:r>
        <w:rPr>
          <w:rFonts w:cs="宋体" w:asciiTheme="minorEastAsia" w:hAnsiTheme="minorEastAsia"/>
          <w:bCs/>
        </w:rPr>
        <w:instrText xml:space="preserve"> HYPERLINK \l _Toc21602 </w:instrText>
      </w:r>
      <w:r>
        <w:rPr>
          <w:rFonts w:cs="宋体" w:asciiTheme="minorEastAsia" w:hAnsiTheme="minorEastAsia"/>
          <w:bCs/>
        </w:rPr>
        <w:fldChar w:fldCharType="separate"/>
      </w:r>
      <w:r>
        <w:rPr>
          <w:rFonts w:hint="eastAsia" w:cs="宋体" w:asciiTheme="minorEastAsia" w:hAnsiTheme="minorEastAsia"/>
          <w:szCs w:val="24"/>
        </w:rPr>
        <w:t>目录</w:t>
      </w:r>
      <w:r>
        <w:tab/>
      </w:r>
      <w:r>
        <w:fldChar w:fldCharType="begin"/>
      </w:r>
      <w:r>
        <w:instrText xml:space="preserve"> PAGEREF _Toc21602 \h </w:instrText>
      </w:r>
      <w:r>
        <w:fldChar w:fldCharType="separate"/>
      </w:r>
      <w:r>
        <w:t>107</w:t>
      </w:r>
      <w:r>
        <w:fldChar w:fldCharType="end"/>
      </w:r>
      <w:r>
        <w:rPr>
          <w:rFonts w:cs="宋体" w:asciiTheme="minorEastAsia" w:hAnsiTheme="minorEastAsia"/>
          <w:bCs/>
        </w:rPr>
        <w:fldChar w:fldCharType="end"/>
      </w:r>
    </w:p>
    <w:p>
      <w:pPr>
        <w:pStyle w:val="27"/>
        <w:tabs>
          <w:tab w:val="right" w:leader="dot" w:pos="9354"/>
        </w:tabs>
      </w:pPr>
      <w:r>
        <w:rPr>
          <w:rFonts w:cs="宋体" w:asciiTheme="minorEastAsia" w:hAnsiTheme="minorEastAsia"/>
          <w:bCs/>
        </w:rPr>
        <w:fldChar w:fldCharType="begin"/>
      </w:r>
      <w:r>
        <w:rPr>
          <w:rFonts w:cs="宋体" w:asciiTheme="minorEastAsia" w:hAnsiTheme="minorEastAsia"/>
          <w:bCs/>
        </w:rPr>
        <w:instrText xml:space="preserve"> HYPERLINK \l _Toc9000 </w:instrText>
      </w:r>
      <w:r>
        <w:rPr>
          <w:rFonts w:cs="宋体" w:asciiTheme="minorEastAsia" w:hAnsiTheme="minorEastAsia"/>
          <w:bCs/>
        </w:rPr>
        <w:fldChar w:fldCharType="separate"/>
      </w:r>
      <w:r>
        <w:rPr>
          <w:rFonts w:hint="eastAsia" w:cs="宋体" w:asciiTheme="minorEastAsia" w:hAnsiTheme="minorEastAsia"/>
          <w:szCs w:val="24"/>
        </w:rPr>
        <w:t>一、投标函</w:t>
      </w:r>
      <w:r>
        <w:tab/>
      </w:r>
      <w:r>
        <w:fldChar w:fldCharType="begin"/>
      </w:r>
      <w:r>
        <w:instrText xml:space="preserve"> PAGEREF _Toc9000 \h </w:instrText>
      </w:r>
      <w:r>
        <w:fldChar w:fldCharType="separate"/>
      </w:r>
      <w:r>
        <w:t>108</w:t>
      </w:r>
      <w:r>
        <w:fldChar w:fldCharType="end"/>
      </w:r>
      <w:r>
        <w:rPr>
          <w:rFonts w:cs="宋体" w:asciiTheme="minorEastAsia" w:hAnsiTheme="minorEastAsia"/>
          <w:bCs/>
        </w:rPr>
        <w:fldChar w:fldCharType="end"/>
      </w:r>
    </w:p>
    <w:p>
      <w:pPr>
        <w:pStyle w:val="27"/>
        <w:tabs>
          <w:tab w:val="right" w:leader="dot" w:pos="9354"/>
        </w:tabs>
      </w:pPr>
      <w:r>
        <w:rPr>
          <w:rFonts w:cs="宋体" w:asciiTheme="minorEastAsia" w:hAnsiTheme="minorEastAsia"/>
          <w:bCs/>
        </w:rPr>
        <w:fldChar w:fldCharType="begin"/>
      </w:r>
      <w:r>
        <w:rPr>
          <w:rFonts w:cs="宋体" w:asciiTheme="minorEastAsia" w:hAnsiTheme="minorEastAsia"/>
          <w:bCs/>
        </w:rPr>
        <w:instrText xml:space="preserve"> HYPERLINK \l _Toc11816 </w:instrText>
      </w:r>
      <w:r>
        <w:rPr>
          <w:rFonts w:cs="宋体" w:asciiTheme="minorEastAsia" w:hAnsiTheme="minorEastAsia"/>
          <w:bCs/>
        </w:rPr>
        <w:fldChar w:fldCharType="separate"/>
      </w:r>
      <w:r>
        <w:rPr>
          <w:rFonts w:hint="eastAsia" w:cs="宋体" w:asciiTheme="minorEastAsia" w:hAnsiTheme="minorEastAsia"/>
          <w:szCs w:val="24"/>
        </w:rPr>
        <w:t>二、开标一览表</w:t>
      </w:r>
      <w:r>
        <w:tab/>
      </w:r>
      <w:r>
        <w:fldChar w:fldCharType="begin"/>
      </w:r>
      <w:r>
        <w:instrText xml:space="preserve"> PAGEREF _Toc11816 \h </w:instrText>
      </w:r>
      <w:r>
        <w:fldChar w:fldCharType="separate"/>
      </w:r>
      <w:r>
        <w:t>111</w:t>
      </w:r>
      <w:r>
        <w:fldChar w:fldCharType="end"/>
      </w:r>
      <w:r>
        <w:rPr>
          <w:rFonts w:cs="宋体" w:asciiTheme="minorEastAsia" w:hAnsiTheme="minorEastAsia"/>
          <w:bCs/>
        </w:rPr>
        <w:fldChar w:fldCharType="end"/>
      </w:r>
    </w:p>
    <w:p>
      <w:pPr>
        <w:pStyle w:val="27"/>
        <w:tabs>
          <w:tab w:val="right" w:leader="dot" w:pos="9354"/>
        </w:tabs>
      </w:pPr>
      <w:r>
        <w:rPr>
          <w:rFonts w:cs="宋体" w:asciiTheme="minorEastAsia" w:hAnsiTheme="minorEastAsia"/>
          <w:bCs/>
        </w:rPr>
        <w:fldChar w:fldCharType="begin"/>
      </w:r>
      <w:r>
        <w:rPr>
          <w:rFonts w:cs="宋体" w:asciiTheme="minorEastAsia" w:hAnsiTheme="minorEastAsia"/>
          <w:bCs/>
        </w:rPr>
        <w:instrText xml:space="preserve"> HYPERLINK \l _Toc11101 </w:instrText>
      </w:r>
      <w:r>
        <w:rPr>
          <w:rFonts w:cs="宋体" w:asciiTheme="minorEastAsia" w:hAnsiTheme="minorEastAsia"/>
          <w:bCs/>
        </w:rPr>
        <w:fldChar w:fldCharType="separate"/>
      </w:r>
      <w:r>
        <w:rPr>
          <w:rFonts w:hint="eastAsia" w:cs="宋体" w:asciiTheme="minorEastAsia" w:hAnsiTheme="minorEastAsia"/>
          <w:szCs w:val="24"/>
        </w:rPr>
        <w:t>三、</w:t>
      </w:r>
      <w:r>
        <w:rPr>
          <w:rFonts w:hint="eastAsia" w:cs="宋体" w:asciiTheme="minorEastAsia" w:hAnsiTheme="minorEastAsia"/>
          <w:kern w:val="0"/>
          <w:szCs w:val="24"/>
        </w:rPr>
        <w:t>反商业贿赂承诺书</w:t>
      </w:r>
      <w:r>
        <w:tab/>
      </w:r>
      <w:r>
        <w:fldChar w:fldCharType="begin"/>
      </w:r>
      <w:r>
        <w:instrText xml:space="preserve"> PAGEREF _Toc11101 \h </w:instrText>
      </w:r>
      <w:r>
        <w:fldChar w:fldCharType="separate"/>
      </w:r>
      <w:r>
        <w:t>114</w:t>
      </w:r>
      <w:r>
        <w:fldChar w:fldCharType="end"/>
      </w:r>
      <w:r>
        <w:rPr>
          <w:rFonts w:cs="宋体" w:asciiTheme="minorEastAsia" w:hAnsiTheme="minorEastAsia"/>
          <w:bCs/>
        </w:rPr>
        <w:fldChar w:fldCharType="end"/>
      </w:r>
    </w:p>
    <w:p>
      <w:pPr>
        <w:pStyle w:val="27"/>
        <w:tabs>
          <w:tab w:val="right" w:leader="dot" w:pos="9354"/>
        </w:tabs>
      </w:pPr>
      <w:r>
        <w:rPr>
          <w:rFonts w:cs="宋体" w:asciiTheme="minorEastAsia" w:hAnsiTheme="minorEastAsia"/>
          <w:bCs/>
        </w:rPr>
        <w:fldChar w:fldCharType="begin"/>
      </w:r>
      <w:r>
        <w:rPr>
          <w:rFonts w:cs="宋体" w:asciiTheme="minorEastAsia" w:hAnsiTheme="minorEastAsia"/>
          <w:bCs/>
        </w:rPr>
        <w:instrText xml:space="preserve"> HYPERLINK \l _Toc3213 </w:instrText>
      </w:r>
      <w:r>
        <w:rPr>
          <w:rFonts w:cs="宋体" w:asciiTheme="minorEastAsia" w:hAnsiTheme="minorEastAsia"/>
          <w:bCs/>
        </w:rPr>
        <w:fldChar w:fldCharType="separate"/>
      </w:r>
      <w:r>
        <w:rPr>
          <w:rFonts w:hint="eastAsia" w:cs="宋体" w:asciiTheme="minorEastAsia" w:hAnsiTheme="minorEastAsia"/>
          <w:szCs w:val="24"/>
        </w:rPr>
        <w:t>四、技术条款偏离表</w:t>
      </w:r>
      <w:r>
        <w:tab/>
      </w:r>
      <w:r>
        <w:fldChar w:fldCharType="begin"/>
      </w:r>
      <w:r>
        <w:instrText xml:space="preserve"> PAGEREF _Toc3213 \h </w:instrText>
      </w:r>
      <w:r>
        <w:fldChar w:fldCharType="separate"/>
      </w:r>
      <w:r>
        <w:t>115</w:t>
      </w:r>
      <w:r>
        <w:fldChar w:fldCharType="end"/>
      </w:r>
      <w:r>
        <w:rPr>
          <w:rFonts w:cs="宋体" w:asciiTheme="minorEastAsia" w:hAnsiTheme="minorEastAsia"/>
          <w:bCs/>
        </w:rPr>
        <w:fldChar w:fldCharType="end"/>
      </w:r>
    </w:p>
    <w:p>
      <w:pPr>
        <w:pStyle w:val="27"/>
        <w:tabs>
          <w:tab w:val="right" w:leader="dot" w:pos="9354"/>
        </w:tabs>
      </w:pPr>
      <w:r>
        <w:rPr>
          <w:rFonts w:cs="宋体" w:asciiTheme="minorEastAsia" w:hAnsiTheme="minorEastAsia"/>
          <w:bCs/>
        </w:rPr>
        <w:fldChar w:fldCharType="begin"/>
      </w:r>
      <w:r>
        <w:rPr>
          <w:rFonts w:cs="宋体" w:asciiTheme="minorEastAsia" w:hAnsiTheme="minorEastAsia"/>
          <w:bCs/>
        </w:rPr>
        <w:instrText xml:space="preserve"> HYPERLINK \l _Toc1092 </w:instrText>
      </w:r>
      <w:r>
        <w:rPr>
          <w:rFonts w:cs="宋体" w:asciiTheme="minorEastAsia" w:hAnsiTheme="minorEastAsia"/>
          <w:bCs/>
        </w:rPr>
        <w:fldChar w:fldCharType="separate"/>
      </w:r>
      <w:r>
        <w:rPr>
          <w:rFonts w:hint="eastAsia" w:cs="宋体" w:asciiTheme="minorEastAsia" w:hAnsiTheme="minorEastAsia"/>
          <w:szCs w:val="24"/>
        </w:rPr>
        <w:t>五、商务条款偏离表</w:t>
      </w:r>
      <w:r>
        <w:tab/>
      </w:r>
      <w:r>
        <w:fldChar w:fldCharType="begin"/>
      </w:r>
      <w:r>
        <w:instrText xml:space="preserve"> PAGEREF _Toc1092 \h </w:instrText>
      </w:r>
      <w:r>
        <w:fldChar w:fldCharType="separate"/>
      </w:r>
      <w:r>
        <w:t>116</w:t>
      </w:r>
      <w:r>
        <w:fldChar w:fldCharType="end"/>
      </w:r>
      <w:r>
        <w:rPr>
          <w:rFonts w:cs="宋体" w:asciiTheme="minorEastAsia" w:hAnsiTheme="minorEastAsia"/>
          <w:bCs/>
        </w:rPr>
        <w:fldChar w:fldCharType="end"/>
      </w:r>
    </w:p>
    <w:p>
      <w:pPr>
        <w:pStyle w:val="27"/>
        <w:tabs>
          <w:tab w:val="right" w:leader="dot" w:pos="9354"/>
        </w:tabs>
      </w:pPr>
      <w:r>
        <w:rPr>
          <w:rFonts w:cs="宋体" w:asciiTheme="minorEastAsia" w:hAnsiTheme="minorEastAsia"/>
          <w:bCs/>
        </w:rPr>
        <w:fldChar w:fldCharType="begin"/>
      </w:r>
      <w:r>
        <w:rPr>
          <w:rFonts w:cs="宋体" w:asciiTheme="minorEastAsia" w:hAnsiTheme="minorEastAsia"/>
          <w:bCs/>
        </w:rPr>
        <w:instrText xml:space="preserve"> HYPERLINK \l _Toc6713 </w:instrText>
      </w:r>
      <w:r>
        <w:rPr>
          <w:rFonts w:cs="宋体" w:asciiTheme="minorEastAsia" w:hAnsiTheme="minorEastAsia"/>
          <w:bCs/>
        </w:rPr>
        <w:fldChar w:fldCharType="separate"/>
      </w:r>
      <w:r>
        <w:rPr>
          <w:rFonts w:hint="eastAsia" w:cs="宋体" w:asciiTheme="minorEastAsia" w:hAnsiTheme="minorEastAsia"/>
          <w:szCs w:val="24"/>
        </w:rPr>
        <w:t>六、法定代表人身份证明书</w:t>
      </w:r>
      <w:r>
        <w:tab/>
      </w:r>
      <w:r>
        <w:fldChar w:fldCharType="begin"/>
      </w:r>
      <w:r>
        <w:instrText xml:space="preserve"> PAGEREF _Toc6713 \h </w:instrText>
      </w:r>
      <w:r>
        <w:fldChar w:fldCharType="separate"/>
      </w:r>
      <w:r>
        <w:t>117</w:t>
      </w:r>
      <w:r>
        <w:fldChar w:fldCharType="end"/>
      </w:r>
      <w:r>
        <w:rPr>
          <w:rFonts w:cs="宋体" w:asciiTheme="minorEastAsia" w:hAnsiTheme="minorEastAsia"/>
          <w:bCs/>
        </w:rPr>
        <w:fldChar w:fldCharType="end"/>
      </w:r>
    </w:p>
    <w:p>
      <w:pPr>
        <w:pStyle w:val="27"/>
        <w:tabs>
          <w:tab w:val="right" w:leader="dot" w:pos="9354"/>
        </w:tabs>
      </w:pPr>
      <w:r>
        <w:rPr>
          <w:rFonts w:cs="宋体" w:asciiTheme="minorEastAsia" w:hAnsiTheme="minorEastAsia"/>
          <w:bCs/>
        </w:rPr>
        <w:fldChar w:fldCharType="begin"/>
      </w:r>
      <w:r>
        <w:rPr>
          <w:rFonts w:cs="宋体" w:asciiTheme="minorEastAsia" w:hAnsiTheme="minorEastAsia"/>
          <w:bCs/>
        </w:rPr>
        <w:instrText xml:space="preserve"> HYPERLINK \l _Toc13371 </w:instrText>
      </w:r>
      <w:r>
        <w:rPr>
          <w:rFonts w:cs="宋体" w:asciiTheme="minorEastAsia" w:hAnsiTheme="minorEastAsia"/>
          <w:bCs/>
        </w:rPr>
        <w:fldChar w:fldCharType="separate"/>
      </w:r>
      <w:r>
        <w:rPr>
          <w:rFonts w:hint="eastAsia" w:cs="宋体" w:asciiTheme="minorEastAsia" w:hAnsiTheme="minorEastAsia"/>
          <w:szCs w:val="24"/>
        </w:rPr>
        <w:t>七、法定代表人授权委托书</w:t>
      </w:r>
      <w:r>
        <w:tab/>
      </w:r>
      <w:r>
        <w:fldChar w:fldCharType="begin"/>
      </w:r>
      <w:r>
        <w:instrText xml:space="preserve"> PAGEREF _Toc13371 \h </w:instrText>
      </w:r>
      <w:r>
        <w:fldChar w:fldCharType="separate"/>
      </w:r>
      <w:r>
        <w:t>118</w:t>
      </w:r>
      <w:r>
        <w:fldChar w:fldCharType="end"/>
      </w:r>
      <w:r>
        <w:rPr>
          <w:rFonts w:cs="宋体" w:asciiTheme="minorEastAsia" w:hAnsiTheme="minorEastAsia"/>
          <w:bCs/>
        </w:rPr>
        <w:fldChar w:fldCharType="end"/>
      </w:r>
    </w:p>
    <w:p>
      <w:pPr>
        <w:pStyle w:val="27"/>
        <w:tabs>
          <w:tab w:val="right" w:leader="dot" w:pos="9354"/>
        </w:tabs>
      </w:pPr>
      <w:r>
        <w:rPr>
          <w:rFonts w:cs="宋体" w:asciiTheme="minorEastAsia" w:hAnsiTheme="minorEastAsia"/>
          <w:bCs/>
        </w:rPr>
        <w:fldChar w:fldCharType="begin"/>
      </w:r>
      <w:r>
        <w:rPr>
          <w:rFonts w:cs="宋体" w:asciiTheme="minorEastAsia" w:hAnsiTheme="minorEastAsia"/>
          <w:bCs/>
        </w:rPr>
        <w:instrText xml:space="preserve"> HYPERLINK \l _Toc6408 </w:instrText>
      </w:r>
      <w:r>
        <w:rPr>
          <w:rFonts w:cs="宋体" w:asciiTheme="minorEastAsia" w:hAnsiTheme="minorEastAsia"/>
          <w:bCs/>
        </w:rPr>
        <w:fldChar w:fldCharType="separate"/>
      </w:r>
      <w:r>
        <w:rPr>
          <w:rFonts w:hint="eastAsia" w:cs="宋体" w:asciiTheme="minorEastAsia" w:hAnsiTheme="minorEastAsia"/>
          <w:szCs w:val="24"/>
        </w:rPr>
        <w:t>八、 投标人基本情况</w:t>
      </w:r>
      <w:r>
        <w:tab/>
      </w:r>
      <w:r>
        <w:fldChar w:fldCharType="begin"/>
      </w:r>
      <w:r>
        <w:instrText xml:space="preserve"> PAGEREF _Toc6408 \h </w:instrText>
      </w:r>
      <w:r>
        <w:fldChar w:fldCharType="separate"/>
      </w:r>
      <w:r>
        <w:t>119</w:t>
      </w:r>
      <w:r>
        <w:fldChar w:fldCharType="end"/>
      </w:r>
      <w:r>
        <w:rPr>
          <w:rFonts w:cs="宋体" w:asciiTheme="minorEastAsia" w:hAnsiTheme="minorEastAsia"/>
          <w:bCs/>
        </w:rPr>
        <w:fldChar w:fldCharType="end"/>
      </w:r>
    </w:p>
    <w:p>
      <w:pPr>
        <w:pStyle w:val="27"/>
        <w:tabs>
          <w:tab w:val="right" w:leader="dot" w:pos="9354"/>
        </w:tabs>
      </w:pPr>
      <w:r>
        <w:rPr>
          <w:rFonts w:cs="宋体" w:asciiTheme="minorEastAsia" w:hAnsiTheme="minorEastAsia"/>
          <w:bCs/>
        </w:rPr>
        <w:fldChar w:fldCharType="begin"/>
      </w:r>
      <w:r>
        <w:rPr>
          <w:rFonts w:cs="宋体" w:asciiTheme="minorEastAsia" w:hAnsiTheme="minorEastAsia"/>
          <w:bCs/>
        </w:rPr>
        <w:instrText xml:space="preserve"> HYPERLINK \l _Toc16085 </w:instrText>
      </w:r>
      <w:r>
        <w:rPr>
          <w:rFonts w:cs="宋体" w:asciiTheme="minorEastAsia" w:hAnsiTheme="minorEastAsia"/>
          <w:bCs/>
        </w:rPr>
        <w:fldChar w:fldCharType="separate"/>
      </w:r>
      <w:r>
        <w:rPr>
          <w:rFonts w:hint="eastAsia" w:cs="宋体" w:asciiTheme="minorEastAsia" w:hAnsiTheme="minorEastAsia"/>
          <w:szCs w:val="24"/>
        </w:rPr>
        <w:t>九、投标人近年类似项目情况表</w:t>
      </w:r>
      <w:r>
        <w:tab/>
      </w:r>
      <w:r>
        <w:fldChar w:fldCharType="begin"/>
      </w:r>
      <w:r>
        <w:instrText xml:space="preserve"> PAGEREF _Toc16085 \h </w:instrText>
      </w:r>
      <w:r>
        <w:fldChar w:fldCharType="separate"/>
      </w:r>
      <w:r>
        <w:t>125</w:t>
      </w:r>
      <w:r>
        <w:fldChar w:fldCharType="end"/>
      </w:r>
      <w:r>
        <w:rPr>
          <w:rFonts w:cs="宋体" w:asciiTheme="minorEastAsia" w:hAnsiTheme="minorEastAsia"/>
          <w:bCs/>
        </w:rPr>
        <w:fldChar w:fldCharType="end"/>
      </w:r>
    </w:p>
    <w:p>
      <w:pPr>
        <w:pStyle w:val="27"/>
        <w:tabs>
          <w:tab w:val="right" w:leader="dot" w:pos="9354"/>
        </w:tabs>
      </w:pPr>
      <w:r>
        <w:rPr>
          <w:rFonts w:cs="宋体" w:asciiTheme="minorEastAsia" w:hAnsiTheme="minorEastAsia"/>
          <w:bCs/>
        </w:rPr>
        <w:fldChar w:fldCharType="begin"/>
      </w:r>
      <w:r>
        <w:rPr>
          <w:rFonts w:cs="宋体" w:asciiTheme="minorEastAsia" w:hAnsiTheme="minorEastAsia"/>
          <w:bCs/>
        </w:rPr>
        <w:instrText xml:space="preserve"> HYPERLINK \l _Toc19134 </w:instrText>
      </w:r>
      <w:r>
        <w:rPr>
          <w:rFonts w:cs="宋体" w:asciiTheme="minorEastAsia" w:hAnsiTheme="minorEastAsia"/>
          <w:bCs/>
        </w:rPr>
        <w:fldChar w:fldCharType="separate"/>
      </w:r>
      <w:r>
        <w:rPr>
          <w:rFonts w:hint="eastAsia" w:cs="宋体" w:asciiTheme="minorEastAsia" w:hAnsiTheme="minorEastAsia"/>
          <w:bCs/>
          <w:szCs w:val="24"/>
        </w:rPr>
        <w:t>十、拟投入本项目主要机械设备</w:t>
      </w:r>
      <w:r>
        <w:tab/>
      </w:r>
      <w:r>
        <w:fldChar w:fldCharType="begin"/>
      </w:r>
      <w:r>
        <w:instrText xml:space="preserve"> PAGEREF _Toc19134 \h </w:instrText>
      </w:r>
      <w:r>
        <w:fldChar w:fldCharType="separate"/>
      </w:r>
      <w:r>
        <w:t>126</w:t>
      </w:r>
      <w:r>
        <w:fldChar w:fldCharType="end"/>
      </w:r>
      <w:r>
        <w:rPr>
          <w:rFonts w:cs="宋体" w:asciiTheme="minorEastAsia" w:hAnsiTheme="minorEastAsia"/>
          <w:bCs/>
        </w:rPr>
        <w:fldChar w:fldCharType="end"/>
      </w:r>
    </w:p>
    <w:p>
      <w:pPr>
        <w:pStyle w:val="27"/>
        <w:tabs>
          <w:tab w:val="right" w:leader="dot" w:pos="9354"/>
        </w:tabs>
      </w:pPr>
      <w:r>
        <w:rPr>
          <w:rFonts w:cs="宋体" w:asciiTheme="minorEastAsia" w:hAnsiTheme="minorEastAsia"/>
          <w:bCs/>
        </w:rPr>
        <w:fldChar w:fldCharType="begin"/>
      </w:r>
      <w:r>
        <w:rPr>
          <w:rFonts w:cs="宋体" w:asciiTheme="minorEastAsia" w:hAnsiTheme="minorEastAsia"/>
          <w:bCs/>
        </w:rPr>
        <w:instrText xml:space="preserve"> HYPERLINK \l _Toc326 </w:instrText>
      </w:r>
      <w:r>
        <w:rPr>
          <w:rFonts w:cs="宋体" w:asciiTheme="minorEastAsia" w:hAnsiTheme="minorEastAsia"/>
          <w:bCs/>
        </w:rPr>
        <w:fldChar w:fldCharType="separate"/>
      </w:r>
      <w:r>
        <w:rPr>
          <w:rFonts w:hint="eastAsia" w:cs="宋体" w:asciiTheme="minorEastAsia" w:hAnsiTheme="minorEastAsia"/>
          <w:szCs w:val="24"/>
        </w:rPr>
        <w:t>十一、项目负责人简历表</w:t>
      </w:r>
      <w:r>
        <w:tab/>
      </w:r>
      <w:r>
        <w:fldChar w:fldCharType="begin"/>
      </w:r>
      <w:r>
        <w:instrText xml:space="preserve"> PAGEREF _Toc326 \h </w:instrText>
      </w:r>
      <w:r>
        <w:fldChar w:fldCharType="separate"/>
      </w:r>
      <w:r>
        <w:t>127</w:t>
      </w:r>
      <w:r>
        <w:fldChar w:fldCharType="end"/>
      </w:r>
      <w:r>
        <w:rPr>
          <w:rFonts w:cs="宋体" w:asciiTheme="minorEastAsia" w:hAnsiTheme="minorEastAsia"/>
          <w:bCs/>
        </w:rPr>
        <w:fldChar w:fldCharType="end"/>
      </w:r>
    </w:p>
    <w:p>
      <w:pPr>
        <w:pStyle w:val="27"/>
        <w:tabs>
          <w:tab w:val="right" w:leader="dot" w:pos="9354"/>
        </w:tabs>
      </w:pPr>
      <w:r>
        <w:rPr>
          <w:rFonts w:cs="宋体" w:asciiTheme="minorEastAsia" w:hAnsiTheme="minorEastAsia"/>
          <w:bCs/>
        </w:rPr>
        <w:fldChar w:fldCharType="begin"/>
      </w:r>
      <w:r>
        <w:rPr>
          <w:rFonts w:cs="宋体" w:asciiTheme="minorEastAsia" w:hAnsiTheme="minorEastAsia"/>
          <w:bCs/>
        </w:rPr>
        <w:instrText xml:space="preserve"> HYPERLINK \l _Toc6227 </w:instrText>
      </w:r>
      <w:r>
        <w:rPr>
          <w:rFonts w:cs="宋体" w:asciiTheme="minorEastAsia" w:hAnsiTheme="minorEastAsia"/>
          <w:bCs/>
        </w:rPr>
        <w:fldChar w:fldCharType="separate"/>
      </w:r>
      <w:r>
        <w:rPr>
          <w:rFonts w:hint="eastAsia" w:cs="Arial" w:asciiTheme="minorEastAsia" w:hAnsiTheme="minorEastAsia"/>
          <w:bCs/>
          <w:kern w:val="0"/>
          <w:szCs w:val="24"/>
        </w:rPr>
        <w:t>十二</w:t>
      </w:r>
      <w:r>
        <w:rPr>
          <w:rFonts w:hint="eastAsia" w:cs="宋体" w:asciiTheme="minorEastAsia" w:hAnsiTheme="minorEastAsia"/>
          <w:szCs w:val="24"/>
        </w:rPr>
        <w:t>、拟投入人员配置表</w:t>
      </w:r>
      <w:r>
        <w:tab/>
      </w:r>
      <w:r>
        <w:fldChar w:fldCharType="begin"/>
      </w:r>
      <w:r>
        <w:instrText xml:space="preserve"> PAGEREF _Toc6227 \h </w:instrText>
      </w:r>
      <w:r>
        <w:fldChar w:fldCharType="separate"/>
      </w:r>
      <w:r>
        <w:t>128</w:t>
      </w:r>
      <w:r>
        <w:fldChar w:fldCharType="end"/>
      </w:r>
      <w:r>
        <w:rPr>
          <w:rFonts w:cs="宋体" w:asciiTheme="minorEastAsia" w:hAnsiTheme="minorEastAsia"/>
          <w:bCs/>
        </w:rPr>
        <w:fldChar w:fldCharType="end"/>
      </w:r>
    </w:p>
    <w:p>
      <w:pPr>
        <w:pStyle w:val="27"/>
        <w:tabs>
          <w:tab w:val="right" w:leader="dot" w:pos="9354"/>
        </w:tabs>
      </w:pPr>
      <w:r>
        <w:rPr>
          <w:rFonts w:cs="宋体" w:asciiTheme="minorEastAsia" w:hAnsiTheme="minorEastAsia"/>
          <w:bCs/>
        </w:rPr>
        <w:fldChar w:fldCharType="begin"/>
      </w:r>
      <w:r>
        <w:rPr>
          <w:rFonts w:cs="宋体" w:asciiTheme="minorEastAsia" w:hAnsiTheme="minorEastAsia"/>
          <w:bCs/>
        </w:rPr>
        <w:instrText xml:space="preserve"> HYPERLINK \l _Toc1774 </w:instrText>
      </w:r>
      <w:r>
        <w:rPr>
          <w:rFonts w:cs="宋体" w:asciiTheme="minorEastAsia" w:hAnsiTheme="minorEastAsia"/>
          <w:bCs/>
        </w:rPr>
        <w:fldChar w:fldCharType="separate"/>
      </w:r>
      <w:r>
        <w:rPr>
          <w:rFonts w:hint="eastAsia" w:cs="宋体" w:asciiTheme="minorEastAsia" w:hAnsiTheme="minorEastAsia"/>
          <w:szCs w:val="24"/>
        </w:rPr>
        <w:t>十三、合理化建议</w:t>
      </w:r>
      <w:r>
        <w:tab/>
      </w:r>
      <w:r>
        <w:fldChar w:fldCharType="begin"/>
      </w:r>
      <w:r>
        <w:instrText xml:space="preserve"> PAGEREF _Toc1774 \h </w:instrText>
      </w:r>
      <w:r>
        <w:fldChar w:fldCharType="separate"/>
      </w:r>
      <w:r>
        <w:t>129</w:t>
      </w:r>
      <w:r>
        <w:fldChar w:fldCharType="end"/>
      </w:r>
      <w:r>
        <w:rPr>
          <w:rFonts w:cs="宋体" w:asciiTheme="minorEastAsia" w:hAnsiTheme="minorEastAsia"/>
          <w:bCs/>
        </w:rPr>
        <w:fldChar w:fldCharType="end"/>
      </w:r>
    </w:p>
    <w:p>
      <w:pPr>
        <w:pStyle w:val="27"/>
        <w:tabs>
          <w:tab w:val="right" w:leader="dot" w:pos="9354"/>
        </w:tabs>
      </w:pPr>
      <w:r>
        <w:rPr>
          <w:rFonts w:cs="宋体" w:asciiTheme="minorEastAsia" w:hAnsiTheme="minorEastAsia"/>
          <w:bCs/>
        </w:rPr>
        <w:fldChar w:fldCharType="begin"/>
      </w:r>
      <w:r>
        <w:rPr>
          <w:rFonts w:cs="宋体" w:asciiTheme="minorEastAsia" w:hAnsiTheme="minorEastAsia"/>
          <w:bCs/>
        </w:rPr>
        <w:instrText xml:space="preserve"> HYPERLINK \l _Toc13516 </w:instrText>
      </w:r>
      <w:r>
        <w:rPr>
          <w:rFonts w:cs="宋体" w:asciiTheme="minorEastAsia" w:hAnsiTheme="minorEastAsia"/>
          <w:bCs/>
        </w:rPr>
        <w:fldChar w:fldCharType="separate"/>
      </w:r>
      <w:r>
        <w:rPr>
          <w:rFonts w:hint="eastAsia" w:cs="宋体" w:asciiTheme="minorEastAsia" w:hAnsiTheme="minorEastAsia"/>
          <w:szCs w:val="24"/>
        </w:rPr>
        <w:t>十四、养护作业方案</w:t>
      </w:r>
      <w:r>
        <w:tab/>
      </w:r>
      <w:r>
        <w:fldChar w:fldCharType="begin"/>
      </w:r>
      <w:r>
        <w:instrText xml:space="preserve"> PAGEREF _Toc13516 \h </w:instrText>
      </w:r>
      <w:r>
        <w:fldChar w:fldCharType="separate"/>
      </w:r>
      <w:r>
        <w:t>130</w:t>
      </w:r>
      <w:r>
        <w:fldChar w:fldCharType="end"/>
      </w:r>
      <w:r>
        <w:rPr>
          <w:rFonts w:cs="宋体" w:asciiTheme="minorEastAsia" w:hAnsiTheme="minorEastAsia"/>
          <w:bCs/>
        </w:rPr>
        <w:fldChar w:fldCharType="end"/>
      </w:r>
    </w:p>
    <w:p>
      <w:pPr>
        <w:pStyle w:val="27"/>
        <w:tabs>
          <w:tab w:val="right" w:leader="dot" w:pos="9354"/>
        </w:tabs>
      </w:pPr>
      <w:r>
        <w:rPr>
          <w:rFonts w:cs="宋体" w:asciiTheme="minorEastAsia" w:hAnsiTheme="minorEastAsia"/>
          <w:bCs/>
        </w:rPr>
        <w:fldChar w:fldCharType="begin"/>
      </w:r>
      <w:r>
        <w:rPr>
          <w:rFonts w:cs="宋体" w:asciiTheme="minorEastAsia" w:hAnsiTheme="minorEastAsia"/>
          <w:bCs/>
        </w:rPr>
        <w:instrText xml:space="preserve"> HYPERLINK \l _Toc16213 </w:instrText>
      </w:r>
      <w:r>
        <w:rPr>
          <w:rFonts w:cs="宋体" w:asciiTheme="minorEastAsia" w:hAnsiTheme="minorEastAsia"/>
          <w:bCs/>
        </w:rPr>
        <w:fldChar w:fldCharType="separate"/>
      </w:r>
      <w:r>
        <w:rPr>
          <w:rFonts w:hint="eastAsia" w:cs="宋体" w:asciiTheme="minorEastAsia" w:hAnsiTheme="minorEastAsia"/>
          <w:szCs w:val="24"/>
        </w:rPr>
        <w:t>十五、质量管理方案</w:t>
      </w:r>
      <w:r>
        <w:tab/>
      </w:r>
      <w:r>
        <w:fldChar w:fldCharType="begin"/>
      </w:r>
      <w:r>
        <w:instrText xml:space="preserve"> PAGEREF _Toc16213 \h </w:instrText>
      </w:r>
      <w:r>
        <w:fldChar w:fldCharType="separate"/>
      </w:r>
      <w:r>
        <w:t>131</w:t>
      </w:r>
      <w:r>
        <w:fldChar w:fldCharType="end"/>
      </w:r>
      <w:r>
        <w:rPr>
          <w:rFonts w:cs="宋体" w:asciiTheme="minorEastAsia" w:hAnsiTheme="minorEastAsia"/>
          <w:bCs/>
        </w:rPr>
        <w:fldChar w:fldCharType="end"/>
      </w:r>
    </w:p>
    <w:p>
      <w:pPr>
        <w:pStyle w:val="27"/>
        <w:tabs>
          <w:tab w:val="right" w:leader="dot" w:pos="9354"/>
        </w:tabs>
      </w:pPr>
      <w:r>
        <w:rPr>
          <w:rFonts w:cs="宋体" w:asciiTheme="minorEastAsia" w:hAnsiTheme="minorEastAsia"/>
          <w:bCs/>
        </w:rPr>
        <w:fldChar w:fldCharType="begin"/>
      </w:r>
      <w:r>
        <w:rPr>
          <w:rFonts w:cs="宋体" w:asciiTheme="minorEastAsia" w:hAnsiTheme="minorEastAsia"/>
          <w:bCs/>
        </w:rPr>
        <w:instrText xml:space="preserve"> HYPERLINK \l _Toc8126 </w:instrText>
      </w:r>
      <w:r>
        <w:rPr>
          <w:rFonts w:cs="宋体" w:asciiTheme="minorEastAsia" w:hAnsiTheme="minorEastAsia"/>
          <w:bCs/>
        </w:rPr>
        <w:fldChar w:fldCharType="separate"/>
      </w:r>
      <w:r>
        <w:rPr>
          <w:rFonts w:hint="eastAsia" w:cs="宋体" w:asciiTheme="minorEastAsia" w:hAnsiTheme="minorEastAsia"/>
          <w:szCs w:val="24"/>
        </w:rPr>
        <w:t>十六、应急抢险方案</w:t>
      </w:r>
      <w:r>
        <w:tab/>
      </w:r>
      <w:r>
        <w:fldChar w:fldCharType="begin"/>
      </w:r>
      <w:r>
        <w:instrText xml:space="preserve"> PAGEREF _Toc8126 \h </w:instrText>
      </w:r>
      <w:r>
        <w:fldChar w:fldCharType="separate"/>
      </w:r>
      <w:r>
        <w:t>132</w:t>
      </w:r>
      <w:r>
        <w:fldChar w:fldCharType="end"/>
      </w:r>
      <w:r>
        <w:rPr>
          <w:rFonts w:cs="宋体" w:asciiTheme="minorEastAsia" w:hAnsiTheme="minorEastAsia"/>
          <w:bCs/>
        </w:rPr>
        <w:fldChar w:fldCharType="end"/>
      </w:r>
    </w:p>
    <w:p>
      <w:pPr>
        <w:pStyle w:val="27"/>
        <w:tabs>
          <w:tab w:val="right" w:leader="dot" w:pos="9354"/>
        </w:tabs>
      </w:pPr>
      <w:r>
        <w:rPr>
          <w:rFonts w:cs="宋体" w:asciiTheme="minorEastAsia" w:hAnsiTheme="minorEastAsia"/>
          <w:bCs/>
        </w:rPr>
        <w:fldChar w:fldCharType="begin"/>
      </w:r>
      <w:r>
        <w:rPr>
          <w:rFonts w:cs="宋体" w:asciiTheme="minorEastAsia" w:hAnsiTheme="minorEastAsia"/>
          <w:bCs/>
        </w:rPr>
        <w:instrText xml:space="preserve"> HYPERLINK \l _Toc2345 </w:instrText>
      </w:r>
      <w:r>
        <w:rPr>
          <w:rFonts w:cs="宋体" w:asciiTheme="minorEastAsia" w:hAnsiTheme="minorEastAsia"/>
          <w:bCs/>
        </w:rPr>
        <w:fldChar w:fldCharType="separate"/>
      </w:r>
      <w:r>
        <w:rPr>
          <w:rFonts w:hint="eastAsia" w:cs="宋体" w:asciiTheme="minorEastAsia" w:hAnsiTheme="minorEastAsia"/>
          <w:szCs w:val="24"/>
        </w:rPr>
        <w:t>十七、安全服务方案</w:t>
      </w:r>
      <w:r>
        <w:tab/>
      </w:r>
      <w:r>
        <w:fldChar w:fldCharType="begin"/>
      </w:r>
      <w:r>
        <w:instrText xml:space="preserve"> PAGEREF _Toc2345 \h </w:instrText>
      </w:r>
      <w:r>
        <w:fldChar w:fldCharType="separate"/>
      </w:r>
      <w:r>
        <w:t>133</w:t>
      </w:r>
      <w:r>
        <w:fldChar w:fldCharType="end"/>
      </w:r>
      <w:r>
        <w:rPr>
          <w:rFonts w:cs="宋体" w:asciiTheme="minorEastAsia" w:hAnsiTheme="minorEastAsia"/>
          <w:bCs/>
        </w:rPr>
        <w:fldChar w:fldCharType="end"/>
      </w:r>
    </w:p>
    <w:p>
      <w:pPr>
        <w:pStyle w:val="27"/>
        <w:tabs>
          <w:tab w:val="right" w:leader="dot" w:pos="9354"/>
        </w:tabs>
      </w:pPr>
      <w:r>
        <w:rPr>
          <w:rFonts w:cs="宋体" w:asciiTheme="minorEastAsia" w:hAnsiTheme="minorEastAsia"/>
          <w:bCs/>
        </w:rPr>
        <w:fldChar w:fldCharType="begin"/>
      </w:r>
      <w:r>
        <w:rPr>
          <w:rFonts w:cs="宋体" w:asciiTheme="minorEastAsia" w:hAnsiTheme="minorEastAsia"/>
          <w:bCs/>
        </w:rPr>
        <w:instrText xml:space="preserve"> HYPERLINK \l _Toc19684 </w:instrText>
      </w:r>
      <w:r>
        <w:rPr>
          <w:rFonts w:cs="宋体" w:asciiTheme="minorEastAsia" w:hAnsiTheme="minorEastAsia"/>
          <w:bCs/>
        </w:rPr>
        <w:fldChar w:fldCharType="separate"/>
      </w:r>
      <w:r>
        <w:rPr>
          <w:rFonts w:hint="eastAsia" w:cs="宋体" w:asciiTheme="minorEastAsia" w:hAnsiTheme="minorEastAsia"/>
          <w:szCs w:val="24"/>
        </w:rPr>
        <w:t>十八、文明作业方案</w:t>
      </w:r>
      <w:r>
        <w:tab/>
      </w:r>
      <w:r>
        <w:fldChar w:fldCharType="begin"/>
      </w:r>
      <w:r>
        <w:instrText xml:space="preserve"> PAGEREF _Toc19684 \h </w:instrText>
      </w:r>
      <w:r>
        <w:fldChar w:fldCharType="separate"/>
      </w:r>
      <w:r>
        <w:t>134</w:t>
      </w:r>
      <w:r>
        <w:fldChar w:fldCharType="end"/>
      </w:r>
      <w:r>
        <w:rPr>
          <w:rFonts w:cs="宋体" w:asciiTheme="minorEastAsia" w:hAnsiTheme="minorEastAsia"/>
          <w:bCs/>
        </w:rPr>
        <w:fldChar w:fldCharType="end"/>
      </w:r>
    </w:p>
    <w:p>
      <w:pPr>
        <w:pStyle w:val="27"/>
        <w:tabs>
          <w:tab w:val="right" w:leader="dot" w:pos="9354"/>
        </w:tabs>
      </w:pPr>
      <w:r>
        <w:rPr>
          <w:rFonts w:cs="宋体" w:asciiTheme="minorEastAsia" w:hAnsiTheme="minorEastAsia"/>
          <w:bCs/>
        </w:rPr>
        <w:fldChar w:fldCharType="begin"/>
      </w:r>
      <w:r>
        <w:rPr>
          <w:rFonts w:cs="宋体" w:asciiTheme="minorEastAsia" w:hAnsiTheme="minorEastAsia"/>
          <w:bCs/>
        </w:rPr>
        <w:instrText xml:space="preserve"> HYPERLINK \l _Toc25075 </w:instrText>
      </w:r>
      <w:r>
        <w:rPr>
          <w:rFonts w:cs="宋体" w:asciiTheme="minorEastAsia" w:hAnsiTheme="minorEastAsia"/>
          <w:bCs/>
        </w:rPr>
        <w:fldChar w:fldCharType="separate"/>
      </w:r>
      <w:r>
        <w:rPr>
          <w:rFonts w:hint="eastAsia" w:cs="宋体" w:asciiTheme="minorEastAsia" w:hAnsiTheme="minorEastAsia"/>
          <w:szCs w:val="24"/>
        </w:rPr>
        <w:t>十九、其他需要提交的资料</w:t>
      </w:r>
      <w:r>
        <w:tab/>
      </w:r>
      <w:r>
        <w:fldChar w:fldCharType="begin"/>
      </w:r>
      <w:r>
        <w:instrText xml:space="preserve"> PAGEREF _Toc25075 \h </w:instrText>
      </w:r>
      <w:r>
        <w:fldChar w:fldCharType="separate"/>
      </w:r>
      <w:r>
        <w:t>135</w:t>
      </w:r>
      <w:r>
        <w:fldChar w:fldCharType="end"/>
      </w:r>
      <w:r>
        <w:rPr>
          <w:rFonts w:cs="宋体" w:asciiTheme="minorEastAsia" w:hAnsiTheme="minorEastAsia"/>
          <w:bCs/>
        </w:rPr>
        <w:fldChar w:fldCharType="end"/>
      </w:r>
    </w:p>
    <w:p>
      <w:pPr>
        <w:pStyle w:val="21"/>
        <w:tabs>
          <w:tab w:val="right" w:leader="dot" w:pos="9354"/>
        </w:tabs>
      </w:pPr>
      <w:r>
        <w:rPr>
          <w:rFonts w:cs="宋体" w:asciiTheme="minorEastAsia" w:hAnsiTheme="minorEastAsia"/>
          <w:bCs/>
        </w:rPr>
        <w:fldChar w:fldCharType="begin"/>
      </w:r>
      <w:r>
        <w:rPr>
          <w:rFonts w:cs="宋体" w:asciiTheme="minorEastAsia" w:hAnsiTheme="minorEastAsia"/>
          <w:bCs/>
        </w:rPr>
        <w:instrText xml:space="preserve"> HYPERLINK \l _Toc8564 </w:instrText>
      </w:r>
      <w:r>
        <w:rPr>
          <w:rFonts w:cs="宋体" w:asciiTheme="minorEastAsia" w:hAnsiTheme="minorEastAsia"/>
          <w:bCs/>
        </w:rPr>
        <w:fldChar w:fldCharType="separate"/>
      </w:r>
      <w:r>
        <w:rPr>
          <w:rFonts w:hint="eastAsia" w:cs="宋体" w:asciiTheme="minorEastAsia" w:hAnsiTheme="minorEastAsia"/>
          <w:szCs w:val="24"/>
        </w:rPr>
        <w:t>第六章补充条款</w:t>
      </w:r>
      <w:r>
        <w:tab/>
      </w:r>
      <w:r>
        <w:fldChar w:fldCharType="begin"/>
      </w:r>
      <w:r>
        <w:instrText xml:space="preserve"> PAGEREF _Toc8564 \h </w:instrText>
      </w:r>
      <w:r>
        <w:fldChar w:fldCharType="separate"/>
      </w:r>
      <w:r>
        <w:t>136</w:t>
      </w:r>
      <w:r>
        <w:fldChar w:fldCharType="end"/>
      </w:r>
      <w:r>
        <w:rPr>
          <w:rFonts w:cs="宋体" w:asciiTheme="minorEastAsia" w:hAnsiTheme="minorEastAsia"/>
          <w:bCs/>
        </w:rPr>
        <w:fldChar w:fldCharType="end"/>
      </w:r>
    </w:p>
    <w:p>
      <w:pPr>
        <w:ind w:firstLine="482"/>
        <w:rPr>
          <w:rFonts w:cs="宋体" w:asciiTheme="minorEastAsia" w:hAnsiTheme="minorEastAsia"/>
          <w:b/>
          <w:bCs/>
        </w:rPr>
        <w:sectPr>
          <w:headerReference r:id="rId3" w:type="default"/>
          <w:footerReference r:id="rId4" w:type="default"/>
          <w:footerReference r:id="rId5" w:type="even"/>
          <w:pgSz w:w="11906" w:h="16838"/>
          <w:pgMar w:top="1361" w:right="1134" w:bottom="1361" w:left="1418" w:header="851" w:footer="992" w:gutter="0"/>
          <w:pgNumType w:start="1"/>
          <w:cols w:space="720" w:num="1"/>
          <w:docGrid w:type="lines" w:linePitch="312" w:charSpace="0"/>
        </w:sectPr>
      </w:pPr>
      <w:r>
        <w:rPr>
          <w:rFonts w:cs="宋体" w:asciiTheme="minorEastAsia" w:hAnsiTheme="minorEastAsia"/>
          <w:bCs/>
        </w:rPr>
        <w:fldChar w:fldCharType="end"/>
      </w:r>
    </w:p>
    <w:p>
      <w:pPr>
        <w:spacing w:line="360" w:lineRule="auto"/>
        <w:ind w:firstLine="562"/>
        <w:jc w:val="center"/>
        <w:outlineLvl w:val="0"/>
        <w:rPr>
          <w:rFonts w:asciiTheme="minorEastAsia" w:hAnsiTheme="minorEastAsia"/>
          <w:color w:val="auto"/>
          <w:sz w:val="24"/>
          <w:szCs w:val="24"/>
        </w:rPr>
      </w:pPr>
      <w:bookmarkStart w:id="0" w:name="_Toc8737"/>
      <w:bookmarkStart w:id="1" w:name="_Toc26426"/>
      <w:r>
        <w:rPr>
          <w:rFonts w:hint="eastAsia" w:asciiTheme="minorEastAsia" w:hAnsiTheme="minorEastAsia"/>
          <w:b/>
          <w:color w:val="auto"/>
          <w:sz w:val="28"/>
          <w:u w:val="single"/>
        </w:rPr>
        <w:t>2024年-2026年米东区公共绿地绿化养护项目公开招标公告</w:t>
      </w:r>
      <w:bookmarkEnd w:id="0"/>
      <w:bookmarkEnd w:id="1"/>
    </w:p>
    <w:p>
      <w:pPr>
        <w:spacing w:line="360" w:lineRule="auto"/>
        <w:rPr>
          <w:rFonts w:cs="仿宋" w:asciiTheme="minorEastAsia" w:hAnsiTheme="minorEastAsia"/>
          <w:color w:val="auto"/>
          <w:sz w:val="24"/>
          <w:szCs w:val="24"/>
          <w:u w:val="single"/>
        </w:rPr>
      </w:pPr>
      <w:r>
        <w:rPr>
          <w:rFonts w:hint="eastAsia" w:asciiTheme="minorEastAsia" w:hAnsiTheme="minorEastAsia"/>
          <w:color w:val="auto"/>
          <w:sz w:val="24"/>
          <w:szCs w:val="24"/>
        </w:rPr>
        <w:t xml:space="preserve">   </w:t>
      </w:r>
      <w:r>
        <w:rPr>
          <w:rFonts w:hint="eastAsia" w:cs="仿宋" w:asciiTheme="minorEastAsia" w:hAnsiTheme="minorEastAsia"/>
          <w:color w:val="auto"/>
          <w:sz w:val="24"/>
          <w:szCs w:val="24"/>
          <w:u w:val="single"/>
        </w:rPr>
        <w:t>2024年-2026年米东区公共绿地绿化养护项目</w:t>
      </w:r>
      <w:r>
        <w:rPr>
          <w:rFonts w:hint="eastAsia" w:cs="仿宋" w:asciiTheme="minorEastAsia" w:hAnsiTheme="minorEastAsia"/>
          <w:color w:val="auto"/>
          <w:sz w:val="24"/>
          <w:szCs w:val="24"/>
        </w:rPr>
        <w:t>的潜在投标人应在投标人登录政采云平台https://www.zcygov.cn/在线申请获取采购文件（进入“项目采购”应用，在获取采购文件菜单中选择项目，申请获取采购文件）获取采购文件，并于</w:t>
      </w:r>
      <w:r>
        <w:rPr>
          <w:rFonts w:hint="eastAsia" w:cs="仿宋" w:asciiTheme="minorEastAsia" w:hAnsiTheme="minorEastAsia"/>
          <w:color w:val="auto"/>
          <w:sz w:val="24"/>
          <w:szCs w:val="24"/>
          <w:u w:val="single"/>
        </w:rPr>
        <w:t>2024年 01月1</w:t>
      </w:r>
      <w:r>
        <w:rPr>
          <w:rFonts w:hint="eastAsia" w:cs="仿宋" w:asciiTheme="minorEastAsia" w:hAnsiTheme="minorEastAsia"/>
          <w:color w:val="auto"/>
          <w:sz w:val="24"/>
          <w:szCs w:val="24"/>
          <w:u w:val="single"/>
          <w:lang w:val="en-US" w:eastAsia="zh-CN"/>
        </w:rPr>
        <w:t>6</w:t>
      </w:r>
      <w:r>
        <w:rPr>
          <w:rFonts w:hint="eastAsia" w:cs="仿宋" w:asciiTheme="minorEastAsia" w:hAnsiTheme="minorEastAsia"/>
          <w:color w:val="auto"/>
          <w:sz w:val="24"/>
          <w:szCs w:val="24"/>
          <w:u w:val="single"/>
        </w:rPr>
        <w:t>日11:00北京时间）</w:t>
      </w:r>
      <w:r>
        <w:rPr>
          <w:rFonts w:hint="eastAsia" w:cs="仿宋" w:asciiTheme="minorEastAsia" w:hAnsiTheme="minorEastAsia"/>
          <w:color w:val="auto"/>
          <w:sz w:val="24"/>
          <w:szCs w:val="24"/>
        </w:rPr>
        <w:t>前提交投标文件。</w:t>
      </w:r>
    </w:p>
    <w:p>
      <w:pPr>
        <w:spacing w:line="360" w:lineRule="auto"/>
        <w:rPr>
          <w:rFonts w:cs="仿宋" w:asciiTheme="minorEastAsia" w:hAnsiTheme="minorEastAsia"/>
          <w:color w:val="auto"/>
          <w:sz w:val="24"/>
          <w:szCs w:val="24"/>
        </w:rPr>
      </w:pPr>
      <w:r>
        <w:rPr>
          <w:rFonts w:hint="eastAsia" w:cs="仿宋" w:asciiTheme="minorEastAsia" w:hAnsiTheme="minorEastAsia"/>
          <w:color w:val="auto"/>
          <w:sz w:val="24"/>
          <w:szCs w:val="24"/>
        </w:rPr>
        <w:t>一、项目基本情况</w:t>
      </w:r>
    </w:p>
    <w:p>
      <w:pPr>
        <w:spacing w:line="360" w:lineRule="auto"/>
        <w:rPr>
          <w:rFonts w:hint="eastAsia" w:cs="仿宋" w:asciiTheme="minorEastAsia" w:hAnsiTheme="minorEastAsia" w:eastAsiaTheme="minorEastAsia"/>
          <w:color w:val="auto"/>
          <w:sz w:val="24"/>
          <w:szCs w:val="24"/>
          <w:u w:val="single"/>
          <w:shd w:val="clear" w:color="auto" w:fill="FFFFFF"/>
          <w:lang w:eastAsia="zh-CN"/>
        </w:rPr>
      </w:pPr>
      <w:r>
        <w:rPr>
          <w:rFonts w:hint="eastAsia" w:cs="仿宋" w:asciiTheme="minorEastAsia" w:hAnsiTheme="minorEastAsia"/>
          <w:color w:val="auto"/>
          <w:sz w:val="24"/>
          <w:szCs w:val="24"/>
        </w:rPr>
        <w:t>标段编号：</w:t>
      </w:r>
      <w:r>
        <w:rPr>
          <w:rFonts w:hint="eastAsia" w:cs="仿宋" w:asciiTheme="minorEastAsia" w:hAnsiTheme="minorEastAsia"/>
          <w:color w:val="auto"/>
          <w:sz w:val="24"/>
          <w:szCs w:val="24"/>
          <w:u w:val="single"/>
          <w:lang w:eastAsia="zh-CN"/>
        </w:rPr>
        <w:t>2023-1213-153736009</w:t>
      </w:r>
    </w:p>
    <w:p>
      <w:pPr>
        <w:spacing w:line="360" w:lineRule="auto"/>
        <w:rPr>
          <w:rFonts w:cs="仿宋" w:asciiTheme="minorEastAsia" w:hAnsiTheme="minorEastAsia"/>
          <w:color w:val="auto"/>
          <w:sz w:val="24"/>
          <w:szCs w:val="24"/>
        </w:rPr>
      </w:pPr>
      <w:r>
        <w:rPr>
          <w:rFonts w:hint="eastAsia" w:cs="仿宋" w:asciiTheme="minorEastAsia" w:hAnsiTheme="minorEastAsia"/>
          <w:color w:val="auto"/>
          <w:sz w:val="24"/>
          <w:szCs w:val="24"/>
        </w:rPr>
        <w:t>项目名称：</w:t>
      </w:r>
      <w:r>
        <w:rPr>
          <w:rFonts w:hint="eastAsia" w:cs="仿宋" w:asciiTheme="minorEastAsia" w:hAnsiTheme="minorEastAsia"/>
          <w:color w:val="auto"/>
          <w:sz w:val="24"/>
          <w:szCs w:val="24"/>
          <w:u w:val="single"/>
        </w:rPr>
        <w:t>2024年-2026年米东区公共绿地绿化养护项目</w:t>
      </w:r>
    </w:p>
    <w:p>
      <w:pPr>
        <w:spacing w:line="360" w:lineRule="auto"/>
        <w:rPr>
          <w:rFonts w:cs="仿宋" w:asciiTheme="minorEastAsia" w:hAnsiTheme="minorEastAsia"/>
          <w:color w:val="auto"/>
          <w:sz w:val="24"/>
          <w:szCs w:val="24"/>
        </w:rPr>
      </w:pPr>
      <w:r>
        <w:rPr>
          <w:rFonts w:hint="eastAsia" w:cs="仿宋" w:asciiTheme="minorEastAsia" w:hAnsiTheme="minorEastAsia"/>
          <w:color w:val="auto"/>
          <w:sz w:val="24"/>
          <w:szCs w:val="24"/>
        </w:rPr>
        <w:t>采购方式：</w:t>
      </w:r>
      <w:r>
        <w:rPr>
          <w:rFonts w:hint="eastAsia" w:cs="仿宋" w:asciiTheme="minorEastAsia" w:hAnsiTheme="minorEastAsia"/>
          <w:color w:val="auto"/>
          <w:sz w:val="24"/>
          <w:szCs w:val="24"/>
          <w:u w:val="single"/>
        </w:rPr>
        <w:t>公开招标</w:t>
      </w:r>
    </w:p>
    <w:p>
      <w:pPr>
        <w:spacing w:line="360" w:lineRule="auto"/>
        <w:rPr>
          <w:rFonts w:hint="eastAsia" w:cs="仿宋" w:asciiTheme="minorEastAsia" w:hAnsiTheme="minorEastAsia" w:eastAsiaTheme="minorEastAsia"/>
          <w:color w:val="auto"/>
          <w:sz w:val="24"/>
          <w:szCs w:val="24"/>
          <w:lang w:eastAsia="zh-CN"/>
        </w:rPr>
      </w:pPr>
      <w:r>
        <w:rPr>
          <w:rFonts w:hint="eastAsia" w:cs="仿宋" w:asciiTheme="minorEastAsia" w:hAnsiTheme="minorEastAsia"/>
          <w:color w:val="auto"/>
          <w:sz w:val="24"/>
          <w:szCs w:val="24"/>
        </w:rPr>
        <w:t>预算金额（元）：</w:t>
      </w:r>
      <w:r>
        <w:rPr>
          <w:rFonts w:hint="eastAsia" w:cs="仿宋" w:asciiTheme="minorEastAsia" w:hAnsiTheme="minorEastAsia"/>
          <w:color w:val="auto"/>
          <w:sz w:val="24"/>
          <w:szCs w:val="24"/>
          <w:u w:val="single"/>
          <w:lang w:eastAsia="zh-CN"/>
        </w:rPr>
        <w:t>2870159.5</w:t>
      </w:r>
    </w:p>
    <w:p>
      <w:pPr>
        <w:spacing w:line="360" w:lineRule="auto"/>
        <w:rPr>
          <w:rFonts w:hint="eastAsia" w:cs="仿宋" w:asciiTheme="minorEastAsia" w:hAnsiTheme="minorEastAsia" w:eastAsiaTheme="minorEastAsia"/>
          <w:color w:val="auto"/>
          <w:sz w:val="24"/>
          <w:szCs w:val="24"/>
          <w:lang w:eastAsia="zh-CN"/>
        </w:rPr>
      </w:pPr>
      <w:r>
        <w:rPr>
          <w:rFonts w:hint="eastAsia" w:cs="仿宋" w:asciiTheme="minorEastAsia" w:hAnsiTheme="minorEastAsia"/>
          <w:color w:val="auto"/>
          <w:sz w:val="24"/>
          <w:szCs w:val="24"/>
        </w:rPr>
        <w:t>最高限价（元）：</w:t>
      </w:r>
      <w:r>
        <w:rPr>
          <w:rFonts w:hint="eastAsia" w:cs="仿宋" w:asciiTheme="minorEastAsia" w:hAnsiTheme="minorEastAsia"/>
          <w:color w:val="auto"/>
          <w:sz w:val="24"/>
          <w:szCs w:val="24"/>
          <w:u w:val="single"/>
          <w:lang w:eastAsia="zh-CN"/>
        </w:rPr>
        <w:t>2870159.5</w:t>
      </w:r>
    </w:p>
    <w:p>
      <w:pPr>
        <w:spacing w:line="360" w:lineRule="auto"/>
        <w:rPr>
          <w:rFonts w:cs="仿宋" w:asciiTheme="minorEastAsia" w:hAnsiTheme="minorEastAsia"/>
          <w:color w:val="auto"/>
          <w:sz w:val="24"/>
          <w:szCs w:val="24"/>
        </w:rPr>
      </w:pPr>
      <w:r>
        <w:rPr>
          <w:rFonts w:hint="eastAsia" w:cs="仿宋" w:asciiTheme="minorEastAsia" w:hAnsiTheme="minorEastAsia"/>
          <w:color w:val="auto"/>
          <w:sz w:val="24"/>
          <w:szCs w:val="24"/>
        </w:rPr>
        <w:t>采购需求：</w:t>
      </w:r>
    </w:p>
    <w:p>
      <w:pPr>
        <w:spacing w:line="360" w:lineRule="auto"/>
        <w:jc w:val="left"/>
        <w:rPr>
          <w:rFonts w:cs="仿宋" w:asciiTheme="minorEastAsia" w:hAnsiTheme="minorEastAsia"/>
          <w:color w:val="auto"/>
          <w:sz w:val="24"/>
          <w:szCs w:val="24"/>
        </w:rPr>
      </w:pPr>
      <w:r>
        <w:rPr>
          <w:rFonts w:hint="eastAsia" w:cs="仿宋" w:asciiTheme="minorEastAsia" w:hAnsiTheme="minorEastAsia"/>
          <w:color w:val="auto"/>
          <w:sz w:val="24"/>
          <w:szCs w:val="24"/>
        </w:rPr>
        <w:t>数量:不限</w:t>
      </w:r>
    </w:p>
    <w:p>
      <w:pPr>
        <w:spacing w:line="360" w:lineRule="auto"/>
        <w:jc w:val="left"/>
        <w:rPr>
          <w:rFonts w:hint="eastAsia" w:cs="仿宋" w:asciiTheme="minorEastAsia" w:hAnsiTheme="minorEastAsia" w:eastAsiaTheme="minorEastAsia"/>
          <w:color w:val="auto"/>
          <w:sz w:val="24"/>
          <w:szCs w:val="24"/>
          <w:u w:val="single"/>
          <w:lang w:eastAsia="zh-CN"/>
        </w:rPr>
      </w:pPr>
      <w:r>
        <w:rPr>
          <w:rFonts w:hint="eastAsia" w:cs="仿宋" w:asciiTheme="minorEastAsia" w:hAnsiTheme="minorEastAsia"/>
          <w:color w:val="auto"/>
          <w:sz w:val="24"/>
          <w:szCs w:val="24"/>
        </w:rPr>
        <w:t>预算金额（元）:</w:t>
      </w:r>
      <w:r>
        <w:rPr>
          <w:rFonts w:hint="eastAsia" w:cs="仿宋" w:asciiTheme="minorEastAsia" w:hAnsiTheme="minorEastAsia"/>
          <w:color w:val="auto"/>
          <w:sz w:val="24"/>
          <w:szCs w:val="24"/>
          <w:u w:val="single"/>
          <w:lang w:eastAsia="zh-CN"/>
        </w:rPr>
        <w:t>2870159.5</w:t>
      </w:r>
    </w:p>
    <w:p>
      <w:pPr>
        <w:spacing w:line="360" w:lineRule="auto"/>
        <w:rPr>
          <w:rFonts w:cs="仿宋" w:asciiTheme="minorEastAsia" w:hAnsiTheme="minorEastAsia"/>
          <w:color w:val="auto"/>
          <w:sz w:val="24"/>
          <w:szCs w:val="24"/>
          <w:u w:val="single"/>
        </w:rPr>
      </w:pPr>
      <w:r>
        <w:rPr>
          <w:rFonts w:hint="eastAsia" w:cs="仿宋" w:asciiTheme="minorEastAsia" w:hAnsiTheme="minorEastAsia"/>
          <w:color w:val="auto"/>
          <w:sz w:val="24"/>
          <w:szCs w:val="24"/>
        </w:rPr>
        <w:t>简要规格描述或项目基本概况介绍、用途：</w:t>
      </w:r>
      <w:r>
        <w:rPr>
          <w:rFonts w:hint="eastAsia" w:cs="仿宋" w:asciiTheme="minorEastAsia" w:hAnsiTheme="minorEastAsia"/>
          <w:color w:val="auto"/>
          <w:sz w:val="24"/>
          <w:szCs w:val="24"/>
          <w:u w:val="single"/>
        </w:rPr>
        <w:t>2024年-2026年米东区公共绿地绿化养护项目</w:t>
      </w:r>
    </w:p>
    <w:p>
      <w:pPr>
        <w:spacing w:line="360" w:lineRule="auto"/>
        <w:rPr>
          <w:rFonts w:cs="仿宋" w:asciiTheme="minorEastAsia" w:hAnsiTheme="minorEastAsia"/>
          <w:color w:val="auto"/>
          <w:sz w:val="24"/>
          <w:szCs w:val="24"/>
        </w:rPr>
      </w:pPr>
      <w:r>
        <w:rPr>
          <w:rFonts w:hint="eastAsia" w:cs="仿宋" w:asciiTheme="minorEastAsia" w:hAnsiTheme="minorEastAsia"/>
          <w:color w:val="auto"/>
          <w:sz w:val="24"/>
          <w:szCs w:val="24"/>
        </w:rPr>
        <w:t>合同履约期限：</w:t>
      </w:r>
      <w:r>
        <w:rPr>
          <w:rFonts w:hint="eastAsia" w:cs="仿宋" w:asciiTheme="minorEastAsia" w:hAnsiTheme="minorEastAsia"/>
          <w:color w:val="auto"/>
          <w:sz w:val="24"/>
          <w:szCs w:val="24"/>
          <w:u w:val="single"/>
        </w:rPr>
        <w:t>1年（服务开始时间2024年1月，绿化养护在年底考核，考核通过后，续签下一年合同，中标通知书有效期三年。）</w:t>
      </w:r>
    </w:p>
    <w:p>
      <w:pPr>
        <w:spacing w:line="360" w:lineRule="auto"/>
        <w:rPr>
          <w:rFonts w:cs="仿宋" w:asciiTheme="minorEastAsia" w:hAnsiTheme="minorEastAsia"/>
          <w:color w:val="auto"/>
          <w:sz w:val="24"/>
          <w:szCs w:val="24"/>
        </w:rPr>
      </w:pPr>
      <w:r>
        <w:rPr>
          <w:rFonts w:hint="eastAsia" w:cs="仿宋" w:asciiTheme="minorEastAsia" w:hAnsiTheme="minorEastAsia"/>
          <w:color w:val="auto"/>
          <w:sz w:val="24"/>
          <w:szCs w:val="24"/>
        </w:rPr>
        <w:t>二、申请人的资格要求：</w:t>
      </w:r>
    </w:p>
    <w:p>
      <w:pPr>
        <w:spacing w:line="360" w:lineRule="auto"/>
        <w:rPr>
          <w:rFonts w:cs="仿宋" w:asciiTheme="minorEastAsia" w:hAnsiTheme="minorEastAsia"/>
          <w:color w:val="auto"/>
          <w:sz w:val="24"/>
          <w:szCs w:val="24"/>
        </w:rPr>
      </w:pPr>
      <w:r>
        <w:rPr>
          <w:rFonts w:hint="eastAsia" w:cs="仿宋" w:asciiTheme="minorEastAsia" w:hAnsiTheme="minorEastAsia"/>
          <w:color w:val="auto"/>
          <w:sz w:val="24"/>
          <w:szCs w:val="24"/>
        </w:rPr>
        <w:t>1.满足《中华人民共和国政府采购法》第二十二条规定；</w:t>
      </w:r>
    </w:p>
    <w:p>
      <w:pPr>
        <w:spacing w:line="360" w:lineRule="auto"/>
        <w:rPr>
          <w:rFonts w:cs="仿宋" w:asciiTheme="minorEastAsia" w:hAnsiTheme="minorEastAsia"/>
          <w:color w:val="auto"/>
          <w:sz w:val="24"/>
          <w:szCs w:val="24"/>
        </w:rPr>
      </w:pPr>
      <w:r>
        <w:rPr>
          <w:rFonts w:hint="eastAsia" w:cs="仿宋" w:asciiTheme="minorEastAsia" w:hAnsiTheme="minorEastAsia"/>
          <w:color w:val="auto"/>
          <w:sz w:val="24"/>
          <w:szCs w:val="24"/>
        </w:rPr>
        <w:t>2.落实政府采购政策需满足的资格要求：供应商为小微企业；</w:t>
      </w:r>
    </w:p>
    <w:p>
      <w:pPr>
        <w:spacing w:line="360" w:lineRule="auto"/>
        <w:rPr>
          <w:rFonts w:cs="仿宋" w:asciiTheme="minorEastAsia" w:hAnsiTheme="minorEastAsia"/>
          <w:color w:val="auto"/>
          <w:sz w:val="24"/>
          <w:szCs w:val="24"/>
        </w:rPr>
      </w:pPr>
      <w:r>
        <w:rPr>
          <w:rFonts w:hint="eastAsia" w:cs="仿宋" w:asciiTheme="minorEastAsia" w:hAnsiTheme="minorEastAsia"/>
          <w:color w:val="auto"/>
          <w:sz w:val="24"/>
          <w:szCs w:val="24"/>
        </w:rPr>
        <w:t>3.本项目的特定资格要求：</w:t>
      </w:r>
    </w:p>
    <w:p>
      <w:pPr>
        <w:spacing w:line="360" w:lineRule="auto"/>
        <w:rPr>
          <w:rFonts w:cs="仿宋" w:asciiTheme="minorEastAsia" w:hAnsiTheme="minorEastAsia"/>
          <w:color w:val="auto"/>
          <w:sz w:val="24"/>
          <w:szCs w:val="24"/>
        </w:rPr>
      </w:pPr>
      <w:r>
        <w:rPr>
          <w:rFonts w:hint="eastAsia" w:cs="仿宋" w:asciiTheme="minorEastAsia" w:hAnsiTheme="minorEastAsia"/>
          <w:color w:val="auto"/>
          <w:sz w:val="24"/>
          <w:szCs w:val="24"/>
        </w:rPr>
        <w:t>1）、投标人须符合《中华人民共和国政府采购法》第二十二条款的规定，具有有效的营业执照</w:t>
      </w:r>
      <w:r>
        <w:rPr>
          <w:rFonts w:hint="eastAsia" w:asciiTheme="minorEastAsia" w:hAnsiTheme="minorEastAsia" w:cstheme="minorEastAsia"/>
          <w:color w:val="auto"/>
          <w:kern w:val="0"/>
          <w:sz w:val="24"/>
          <w:szCs w:val="24"/>
        </w:rPr>
        <w:t>（或事业单位法人证书）；</w:t>
      </w:r>
    </w:p>
    <w:p>
      <w:pPr>
        <w:spacing w:line="360" w:lineRule="auto"/>
        <w:rPr>
          <w:rFonts w:cs="仿宋" w:asciiTheme="minorEastAsia" w:hAnsiTheme="minorEastAsia"/>
          <w:color w:val="auto"/>
          <w:sz w:val="24"/>
          <w:szCs w:val="24"/>
        </w:rPr>
      </w:pPr>
      <w:r>
        <w:rPr>
          <w:rFonts w:hint="eastAsia" w:cs="仿宋" w:asciiTheme="minorEastAsia" w:hAnsiTheme="minorEastAsia"/>
          <w:color w:val="auto"/>
          <w:sz w:val="24"/>
          <w:szCs w:val="24"/>
        </w:rPr>
        <w:t>2）、投标人须是在“信用中国”（www.creditchina.gov.cn）和中国政府采购网（www.ccgp.gov.cn）网站上未被列入失信被执行人、重大税收违法案件当事人名单以及政府采购严重违法失信行为记录名单；</w:t>
      </w:r>
    </w:p>
    <w:p>
      <w:pPr>
        <w:spacing w:line="360" w:lineRule="auto"/>
        <w:rPr>
          <w:rFonts w:cs="仿宋" w:asciiTheme="minorEastAsia" w:hAnsiTheme="minorEastAsia"/>
          <w:color w:val="auto"/>
          <w:sz w:val="24"/>
          <w:szCs w:val="24"/>
        </w:rPr>
      </w:pPr>
      <w:r>
        <w:rPr>
          <w:rFonts w:hint="eastAsia" w:cs="仿宋" w:asciiTheme="minorEastAsia" w:hAnsiTheme="minorEastAsia"/>
          <w:color w:val="auto"/>
          <w:sz w:val="24"/>
          <w:szCs w:val="24"/>
        </w:rPr>
        <w:t>3）本项目可兼投不可兼中，开标顺序为2包→1包→3包→5包→4包→11包→6包→12包→10包→8包→9包→13包→16包→14包→15包→7包,本标段前排名第一的中标候选人不得参与本标段评审；</w:t>
      </w:r>
    </w:p>
    <w:p>
      <w:pPr>
        <w:spacing w:line="360" w:lineRule="auto"/>
        <w:rPr>
          <w:rFonts w:cs="仿宋" w:asciiTheme="minorEastAsia" w:hAnsiTheme="minorEastAsia"/>
          <w:color w:val="auto"/>
          <w:sz w:val="24"/>
          <w:szCs w:val="24"/>
        </w:rPr>
      </w:pPr>
      <w:r>
        <w:rPr>
          <w:rFonts w:hint="eastAsia" w:cs="仿宋" w:asciiTheme="minorEastAsia" w:hAnsiTheme="minorEastAsia"/>
          <w:color w:val="auto"/>
          <w:sz w:val="24"/>
          <w:szCs w:val="24"/>
        </w:rPr>
        <w:t>4）、其他说明：</w:t>
      </w:r>
      <w:r>
        <w:rPr>
          <w:rFonts w:cs="仿宋" w:asciiTheme="minorEastAsia" w:hAnsiTheme="minorEastAsia"/>
          <w:color w:val="auto"/>
          <w:sz w:val="24"/>
          <w:szCs w:val="24"/>
        </w:rPr>
        <w:t>①与</w:t>
      </w:r>
      <w:r>
        <w:rPr>
          <w:rFonts w:hint="eastAsia" w:cs="仿宋" w:asciiTheme="minorEastAsia" w:hAnsiTheme="minorEastAsia"/>
          <w:color w:val="auto"/>
          <w:sz w:val="24"/>
          <w:szCs w:val="24"/>
        </w:rPr>
        <w:t>招标人</w:t>
      </w:r>
      <w:r>
        <w:rPr>
          <w:rFonts w:cs="仿宋" w:asciiTheme="minorEastAsia" w:hAnsiTheme="minorEastAsia"/>
          <w:color w:val="auto"/>
          <w:sz w:val="24"/>
          <w:szCs w:val="24"/>
        </w:rPr>
        <w:t>存在利害关系可能影响招标公正性的法人、其他组织或者个人，不得参加投标。②</w:t>
      </w:r>
      <w:r>
        <w:rPr>
          <w:rFonts w:hint="eastAsia" w:cs="仿宋" w:asciiTheme="minorEastAsia" w:hAnsiTheme="minorEastAsia"/>
          <w:color w:val="auto"/>
          <w:sz w:val="24"/>
          <w:szCs w:val="24"/>
        </w:rPr>
        <w:t>单位负责人为同一人或者存在控股、管理关系的不同投标人，不得参加同一合同项下的政府采购活动。</w:t>
      </w:r>
      <w:r>
        <w:rPr>
          <w:rFonts w:cs="仿宋" w:asciiTheme="minorEastAsia" w:hAnsiTheme="minorEastAsia"/>
          <w:color w:val="auto"/>
          <w:sz w:val="24"/>
          <w:szCs w:val="24"/>
        </w:rPr>
        <w:t>违反前两款规定的，相关投标均无效。</w:t>
      </w:r>
    </w:p>
    <w:p>
      <w:pPr>
        <w:spacing w:line="360" w:lineRule="auto"/>
        <w:rPr>
          <w:rFonts w:cs="仿宋" w:asciiTheme="minorEastAsia" w:hAnsiTheme="minorEastAsia"/>
          <w:sz w:val="24"/>
          <w:szCs w:val="24"/>
        </w:rPr>
      </w:pPr>
      <w:r>
        <w:rPr>
          <w:rFonts w:hint="eastAsia" w:cs="仿宋" w:asciiTheme="minorEastAsia" w:hAnsiTheme="minorEastAsia"/>
          <w:sz w:val="24"/>
          <w:szCs w:val="24"/>
        </w:rPr>
        <w:t>三、获取招标文件</w:t>
      </w:r>
    </w:p>
    <w:p>
      <w:pPr>
        <w:spacing w:line="360" w:lineRule="auto"/>
        <w:rPr>
          <w:rFonts w:cs="仿宋" w:asciiTheme="minorEastAsia" w:hAnsiTheme="minorEastAsia"/>
          <w:sz w:val="24"/>
          <w:szCs w:val="24"/>
        </w:rPr>
      </w:pPr>
      <w:r>
        <w:rPr>
          <w:rFonts w:hint="eastAsia" w:cs="仿宋" w:asciiTheme="minorEastAsia" w:hAnsiTheme="minorEastAsia"/>
          <w:sz w:val="24"/>
          <w:szCs w:val="24"/>
        </w:rPr>
        <w:t xml:space="preserve">    时间：</w:t>
      </w:r>
      <w:r>
        <w:rPr>
          <w:rFonts w:hint="eastAsia" w:cs="仿宋" w:asciiTheme="minorEastAsia" w:hAnsiTheme="minorEastAsia"/>
          <w:sz w:val="24"/>
          <w:szCs w:val="24"/>
          <w:u w:val="single"/>
        </w:rPr>
        <w:t xml:space="preserve"> 2023 </w:t>
      </w:r>
      <w:r>
        <w:rPr>
          <w:rFonts w:hint="eastAsia" w:cs="仿宋" w:asciiTheme="minorEastAsia" w:hAnsiTheme="minorEastAsia"/>
          <w:sz w:val="24"/>
          <w:szCs w:val="24"/>
        </w:rPr>
        <w:t>年</w:t>
      </w:r>
      <w:r>
        <w:rPr>
          <w:rFonts w:hint="eastAsia" w:cs="仿宋" w:asciiTheme="minorEastAsia" w:hAnsiTheme="minorEastAsia"/>
          <w:sz w:val="24"/>
          <w:szCs w:val="24"/>
          <w:u w:val="single"/>
        </w:rPr>
        <w:t>12</w:t>
      </w:r>
      <w:r>
        <w:rPr>
          <w:rFonts w:hint="eastAsia" w:cs="仿宋" w:asciiTheme="minorEastAsia" w:hAnsiTheme="minorEastAsia"/>
          <w:sz w:val="24"/>
          <w:szCs w:val="24"/>
        </w:rPr>
        <w:t>月</w:t>
      </w:r>
      <w:r>
        <w:rPr>
          <w:rFonts w:hint="eastAsia" w:cs="仿宋" w:asciiTheme="minorEastAsia" w:hAnsiTheme="minorEastAsia"/>
          <w:sz w:val="24"/>
          <w:szCs w:val="24"/>
          <w:u w:val="single"/>
        </w:rPr>
        <w:t>2</w:t>
      </w:r>
      <w:r>
        <w:rPr>
          <w:rFonts w:hint="eastAsia" w:cs="仿宋" w:asciiTheme="minorEastAsia" w:hAnsiTheme="minorEastAsia"/>
          <w:sz w:val="24"/>
          <w:szCs w:val="24"/>
          <w:u w:val="single"/>
          <w:lang w:val="en-US" w:eastAsia="zh-CN"/>
        </w:rPr>
        <w:t>6</w:t>
      </w:r>
      <w:r>
        <w:rPr>
          <w:rFonts w:hint="eastAsia" w:cs="仿宋" w:asciiTheme="minorEastAsia" w:hAnsiTheme="minorEastAsia"/>
          <w:sz w:val="24"/>
          <w:szCs w:val="24"/>
        </w:rPr>
        <w:t>日至</w:t>
      </w:r>
      <w:r>
        <w:rPr>
          <w:rFonts w:hint="eastAsia" w:cs="仿宋" w:asciiTheme="minorEastAsia" w:hAnsiTheme="minorEastAsia"/>
          <w:sz w:val="24"/>
          <w:szCs w:val="24"/>
          <w:u w:val="single"/>
        </w:rPr>
        <w:t>202</w:t>
      </w:r>
      <w:r>
        <w:rPr>
          <w:rFonts w:hint="eastAsia" w:cs="仿宋" w:asciiTheme="minorEastAsia" w:hAnsiTheme="minorEastAsia"/>
          <w:sz w:val="24"/>
          <w:szCs w:val="24"/>
          <w:u w:val="single"/>
          <w:lang w:val="en-US" w:eastAsia="zh-CN"/>
        </w:rPr>
        <w:t>4</w:t>
      </w:r>
      <w:r>
        <w:rPr>
          <w:rFonts w:hint="eastAsia" w:cs="仿宋" w:asciiTheme="minorEastAsia" w:hAnsiTheme="minorEastAsia"/>
          <w:sz w:val="24"/>
          <w:szCs w:val="24"/>
        </w:rPr>
        <w:t>年</w:t>
      </w:r>
      <w:r>
        <w:rPr>
          <w:rFonts w:hint="eastAsia" w:cs="仿宋" w:asciiTheme="minorEastAsia" w:hAnsiTheme="minorEastAsia"/>
          <w:sz w:val="24"/>
          <w:szCs w:val="24"/>
          <w:u w:val="single"/>
          <w:lang w:val="en-US" w:eastAsia="zh-CN"/>
        </w:rPr>
        <w:t>01</w:t>
      </w:r>
      <w:r>
        <w:rPr>
          <w:rFonts w:hint="eastAsia" w:cs="仿宋" w:asciiTheme="minorEastAsia" w:hAnsiTheme="minorEastAsia"/>
          <w:sz w:val="24"/>
          <w:szCs w:val="24"/>
        </w:rPr>
        <w:t>月</w:t>
      </w:r>
      <w:r>
        <w:rPr>
          <w:rFonts w:hint="eastAsia" w:cs="仿宋" w:asciiTheme="minorEastAsia" w:hAnsiTheme="minorEastAsia"/>
          <w:sz w:val="24"/>
          <w:szCs w:val="24"/>
          <w:u w:val="single"/>
          <w:lang w:val="en-US" w:eastAsia="zh-CN"/>
        </w:rPr>
        <w:t>02</w:t>
      </w:r>
      <w:r>
        <w:rPr>
          <w:rFonts w:hint="eastAsia" w:cs="仿宋" w:asciiTheme="minorEastAsia" w:hAnsiTheme="minorEastAsia"/>
          <w:sz w:val="24"/>
          <w:szCs w:val="24"/>
        </w:rPr>
        <w:t>日，每天上午10:30至13:30，下午15:30至18:00（北京时间，法定节假日除外）</w:t>
      </w:r>
    </w:p>
    <w:p>
      <w:pPr>
        <w:spacing w:line="360" w:lineRule="auto"/>
        <w:rPr>
          <w:rFonts w:cs="仿宋" w:asciiTheme="minorEastAsia" w:hAnsiTheme="minorEastAsia"/>
          <w:sz w:val="24"/>
          <w:szCs w:val="24"/>
        </w:rPr>
      </w:pPr>
      <w:r>
        <w:rPr>
          <w:rFonts w:hint="eastAsia" w:cs="仿宋" w:asciiTheme="minorEastAsia" w:hAnsiTheme="minorEastAsia"/>
          <w:sz w:val="24"/>
          <w:szCs w:val="24"/>
        </w:rPr>
        <w:t xml:space="preserve">    地点：登陆政采云https://www.zcygov.cn/平台后进入“项目采购“应用，在获取文件菜单中选择项目，申请获取采购文件。</w:t>
      </w:r>
    </w:p>
    <w:p>
      <w:pPr>
        <w:spacing w:line="360" w:lineRule="auto"/>
        <w:ind w:firstLine="480" w:firstLineChars="200"/>
        <w:rPr>
          <w:rFonts w:cs="仿宋" w:asciiTheme="minorEastAsia" w:hAnsiTheme="minorEastAsia"/>
          <w:sz w:val="24"/>
          <w:szCs w:val="24"/>
        </w:rPr>
      </w:pPr>
      <w:r>
        <w:rPr>
          <w:rFonts w:hint="eastAsia" w:cs="仿宋" w:asciiTheme="minorEastAsia" w:hAnsiTheme="minorEastAsia"/>
          <w:sz w:val="24"/>
          <w:szCs w:val="24"/>
        </w:rPr>
        <w:t>方式：投标人须办理CA数字证书，通过CA数字证书登陆政采云平台https://www.zcygov.cn/，进行下载采购文件。</w:t>
      </w:r>
    </w:p>
    <w:p>
      <w:pPr>
        <w:spacing w:line="360" w:lineRule="auto"/>
        <w:ind w:firstLine="480" w:firstLineChars="200"/>
        <w:rPr>
          <w:rFonts w:cs="仿宋" w:asciiTheme="minorEastAsia" w:hAnsiTheme="minorEastAsia"/>
          <w:sz w:val="24"/>
          <w:szCs w:val="24"/>
        </w:rPr>
      </w:pPr>
      <w:r>
        <w:rPr>
          <w:rFonts w:hint="eastAsia" w:cs="仿宋" w:asciiTheme="minorEastAsia" w:hAnsiTheme="minorEastAsia"/>
          <w:sz w:val="24"/>
          <w:szCs w:val="24"/>
        </w:rPr>
        <w:t>售价（元）：0</w:t>
      </w:r>
    </w:p>
    <w:p>
      <w:pPr>
        <w:spacing w:line="360" w:lineRule="auto"/>
        <w:rPr>
          <w:rFonts w:cs="仿宋" w:asciiTheme="minorEastAsia" w:hAnsiTheme="minorEastAsia"/>
          <w:sz w:val="24"/>
          <w:szCs w:val="24"/>
        </w:rPr>
      </w:pPr>
      <w:r>
        <w:rPr>
          <w:rFonts w:hint="eastAsia" w:cs="仿宋" w:asciiTheme="minorEastAsia" w:hAnsiTheme="minorEastAsia"/>
          <w:sz w:val="24"/>
          <w:szCs w:val="24"/>
        </w:rPr>
        <w:t>四、提交投标文件截止时间、开标时间和地点</w:t>
      </w:r>
    </w:p>
    <w:p>
      <w:pPr>
        <w:spacing w:line="360" w:lineRule="auto"/>
        <w:rPr>
          <w:rFonts w:cs="仿宋" w:asciiTheme="minorEastAsia" w:hAnsiTheme="minorEastAsia"/>
          <w:sz w:val="24"/>
          <w:szCs w:val="24"/>
        </w:rPr>
      </w:pPr>
      <w:r>
        <w:rPr>
          <w:rFonts w:hint="eastAsia" w:cs="仿宋" w:asciiTheme="minorEastAsia" w:hAnsiTheme="minorEastAsia"/>
          <w:sz w:val="24"/>
          <w:szCs w:val="24"/>
        </w:rPr>
        <w:t xml:space="preserve">    提交投标文件截止时间：</w:t>
      </w:r>
      <w:r>
        <w:rPr>
          <w:rFonts w:hint="eastAsia" w:cs="仿宋" w:asciiTheme="minorEastAsia" w:hAnsiTheme="minorEastAsia"/>
          <w:sz w:val="24"/>
          <w:szCs w:val="24"/>
          <w:u w:val="single"/>
        </w:rPr>
        <w:t>2024</w:t>
      </w:r>
      <w:r>
        <w:rPr>
          <w:rFonts w:hint="eastAsia" w:cs="仿宋" w:asciiTheme="minorEastAsia" w:hAnsiTheme="minorEastAsia"/>
          <w:sz w:val="24"/>
          <w:szCs w:val="24"/>
        </w:rPr>
        <w:t>年</w:t>
      </w:r>
      <w:r>
        <w:rPr>
          <w:rFonts w:hint="eastAsia" w:cs="仿宋" w:asciiTheme="minorEastAsia" w:hAnsiTheme="minorEastAsia"/>
          <w:sz w:val="24"/>
          <w:szCs w:val="24"/>
          <w:u w:val="single"/>
        </w:rPr>
        <w:t>01</w:t>
      </w:r>
      <w:r>
        <w:rPr>
          <w:rFonts w:hint="eastAsia" w:cs="仿宋" w:asciiTheme="minorEastAsia" w:hAnsiTheme="minorEastAsia"/>
          <w:sz w:val="24"/>
          <w:szCs w:val="24"/>
        </w:rPr>
        <w:t>月</w:t>
      </w:r>
      <w:r>
        <w:rPr>
          <w:rFonts w:hint="eastAsia" w:cs="仿宋" w:asciiTheme="minorEastAsia" w:hAnsiTheme="minorEastAsia"/>
          <w:sz w:val="24"/>
          <w:szCs w:val="24"/>
          <w:u w:val="single"/>
        </w:rPr>
        <w:t>1</w:t>
      </w:r>
      <w:r>
        <w:rPr>
          <w:rFonts w:hint="eastAsia" w:cs="仿宋" w:asciiTheme="minorEastAsia" w:hAnsiTheme="minorEastAsia"/>
          <w:sz w:val="24"/>
          <w:szCs w:val="24"/>
          <w:u w:val="single"/>
          <w:lang w:val="en-US" w:eastAsia="zh-CN"/>
        </w:rPr>
        <w:t>6</w:t>
      </w:r>
      <w:r>
        <w:rPr>
          <w:rFonts w:hint="eastAsia" w:cs="仿宋" w:asciiTheme="minorEastAsia" w:hAnsiTheme="minorEastAsia"/>
          <w:sz w:val="24"/>
          <w:szCs w:val="24"/>
        </w:rPr>
        <w:t>日11:00（北京时间）</w:t>
      </w:r>
    </w:p>
    <w:p>
      <w:pPr>
        <w:spacing w:line="360" w:lineRule="auto"/>
        <w:rPr>
          <w:rFonts w:cs="仿宋" w:asciiTheme="minorEastAsia" w:hAnsiTheme="minorEastAsia"/>
          <w:sz w:val="24"/>
          <w:szCs w:val="24"/>
        </w:rPr>
      </w:pPr>
      <w:r>
        <w:rPr>
          <w:rFonts w:hint="eastAsia" w:cs="仿宋" w:asciiTheme="minorEastAsia" w:hAnsiTheme="minorEastAsia"/>
          <w:sz w:val="24"/>
          <w:szCs w:val="24"/>
        </w:rPr>
        <w:t xml:space="preserve">    提交地点：将投标文件上传至政采云平台https://www.zcygov.cn/对应位置（逾期未上传的或不符合规定的投标文件将被拒绝接收）。</w:t>
      </w:r>
    </w:p>
    <w:p>
      <w:pPr>
        <w:spacing w:line="360" w:lineRule="auto"/>
        <w:ind w:firstLine="480"/>
        <w:rPr>
          <w:rFonts w:cs="仿宋" w:asciiTheme="minorEastAsia" w:hAnsiTheme="minorEastAsia"/>
          <w:sz w:val="24"/>
          <w:szCs w:val="24"/>
        </w:rPr>
      </w:pPr>
      <w:r>
        <w:rPr>
          <w:rFonts w:hint="eastAsia" w:cs="仿宋" w:asciiTheme="minorEastAsia" w:hAnsiTheme="minorEastAsia"/>
          <w:sz w:val="24"/>
          <w:szCs w:val="24"/>
        </w:rPr>
        <w:t>开标时间：</w:t>
      </w:r>
      <w:r>
        <w:rPr>
          <w:rFonts w:hint="eastAsia" w:cs="仿宋" w:asciiTheme="minorEastAsia" w:hAnsiTheme="minorEastAsia"/>
          <w:sz w:val="24"/>
          <w:szCs w:val="24"/>
          <w:u w:val="single"/>
        </w:rPr>
        <w:t>2024</w:t>
      </w:r>
      <w:r>
        <w:rPr>
          <w:rFonts w:hint="eastAsia" w:cs="仿宋" w:asciiTheme="minorEastAsia" w:hAnsiTheme="minorEastAsia"/>
          <w:sz w:val="24"/>
          <w:szCs w:val="24"/>
        </w:rPr>
        <w:t>年</w:t>
      </w:r>
      <w:r>
        <w:rPr>
          <w:rFonts w:hint="eastAsia" w:cs="仿宋" w:asciiTheme="minorEastAsia" w:hAnsiTheme="minorEastAsia"/>
          <w:sz w:val="24"/>
          <w:szCs w:val="24"/>
          <w:u w:val="single"/>
        </w:rPr>
        <w:t>01</w:t>
      </w:r>
      <w:r>
        <w:rPr>
          <w:rFonts w:hint="eastAsia" w:cs="仿宋" w:asciiTheme="minorEastAsia" w:hAnsiTheme="minorEastAsia"/>
          <w:sz w:val="24"/>
          <w:szCs w:val="24"/>
        </w:rPr>
        <w:t>月</w:t>
      </w:r>
      <w:r>
        <w:rPr>
          <w:rFonts w:hint="eastAsia" w:cs="仿宋" w:asciiTheme="minorEastAsia" w:hAnsiTheme="minorEastAsia"/>
          <w:sz w:val="24"/>
          <w:szCs w:val="24"/>
          <w:u w:val="single"/>
        </w:rPr>
        <w:t>1</w:t>
      </w:r>
      <w:r>
        <w:rPr>
          <w:rFonts w:hint="eastAsia" w:cs="仿宋" w:asciiTheme="minorEastAsia" w:hAnsiTheme="minorEastAsia"/>
          <w:sz w:val="24"/>
          <w:szCs w:val="24"/>
          <w:u w:val="single"/>
          <w:lang w:val="en-US" w:eastAsia="zh-CN"/>
        </w:rPr>
        <w:t>6</w:t>
      </w:r>
      <w:r>
        <w:rPr>
          <w:rFonts w:hint="eastAsia" w:cs="仿宋" w:asciiTheme="minorEastAsia" w:hAnsiTheme="minorEastAsia"/>
          <w:sz w:val="24"/>
          <w:szCs w:val="24"/>
        </w:rPr>
        <w:t>日11:00（北京时间）</w:t>
      </w:r>
    </w:p>
    <w:p>
      <w:pPr>
        <w:spacing w:line="360" w:lineRule="auto"/>
        <w:ind w:firstLine="480"/>
        <w:rPr>
          <w:rFonts w:cs="仿宋" w:asciiTheme="minorEastAsia" w:hAnsiTheme="minorEastAsia"/>
          <w:sz w:val="24"/>
          <w:szCs w:val="24"/>
        </w:rPr>
      </w:pPr>
      <w:r>
        <w:rPr>
          <w:rFonts w:hint="eastAsia" w:cs="仿宋" w:asciiTheme="minorEastAsia" w:hAnsiTheme="minorEastAsia"/>
          <w:sz w:val="24"/>
          <w:szCs w:val="24"/>
        </w:rPr>
        <w:t>开标地点：政采云网上不见面开标系统。</w:t>
      </w:r>
    </w:p>
    <w:p>
      <w:pPr>
        <w:spacing w:line="360" w:lineRule="auto"/>
        <w:rPr>
          <w:rFonts w:cs="仿宋" w:asciiTheme="minorEastAsia" w:hAnsiTheme="minorEastAsia"/>
          <w:sz w:val="24"/>
          <w:szCs w:val="24"/>
        </w:rPr>
      </w:pPr>
      <w:r>
        <w:rPr>
          <w:rFonts w:hint="eastAsia" w:cs="仿宋" w:asciiTheme="minorEastAsia" w:hAnsiTheme="minorEastAsia"/>
          <w:sz w:val="24"/>
          <w:szCs w:val="24"/>
        </w:rPr>
        <w:t>五、公告期限</w:t>
      </w:r>
    </w:p>
    <w:p>
      <w:pPr>
        <w:spacing w:line="360" w:lineRule="auto"/>
        <w:ind w:firstLine="480" w:firstLineChars="200"/>
        <w:rPr>
          <w:rFonts w:cs="仿宋" w:asciiTheme="minorEastAsia" w:hAnsiTheme="minorEastAsia"/>
          <w:sz w:val="24"/>
          <w:szCs w:val="24"/>
        </w:rPr>
      </w:pPr>
      <w:r>
        <w:rPr>
          <w:rFonts w:hint="eastAsia" w:cs="仿宋" w:asciiTheme="minorEastAsia" w:hAnsiTheme="minorEastAsia"/>
          <w:sz w:val="24"/>
          <w:szCs w:val="24"/>
        </w:rPr>
        <w:t>自本公告发布之日起5个工作日。</w:t>
      </w:r>
    </w:p>
    <w:p>
      <w:pPr>
        <w:spacing w:line="360" w:lineRule="auto"/>
        <w:rPr>
          <w:rFonts w:cs="仿宋" w:asciiTheme="minorEastAsia" w:hAnsiTheme="minorEastAsia"/>
          <w:color w:val="auto"/>
          <w:sz w:val="24"/>
          <w:szCs w:val="24"/>
        </w:rPr>
      </w:pPr>
      <w:r>
        <w:rPr>
          <w:rFonts w:hint="eastAsia" w:cs="仿宋" w:asciiTheme="minorEastAsia" w:hAnsiTheme="minorEastAsia"/>
          <w:sz w:val="24"/>
          <w:szCs w:val="24"/>
        </w:rPr>
        <w:t>六</w:t>
      </w:r>
      <w:r>
        <w:rPr>
          <w:rFonts w:hint="eastAsia" w:cs="仿宋" w:asciiTheme="minorEastAsia" w:hAnsiTheme="minorEastAsia"/>
          <w:color w:val="auto"/>
          <w:sz w:val="24"/>
          <w:szCs w:val="24"/>
        </w:rPr>
        <w:t>、其他补充事宜</w:t>
      </w:r>
    </w:p>
    <w:p>
      <w:pPr>
        <w:pStyle w:val="30"/>
        <w:spacing w:before="20" w:beforeAutospacing="0" w:after="20" w:afterAutospacing="0" w:line="360" w:lineRule="auto"/>
        <w:rPr>
          <w:rFonts w:cstheme="minorBidi"/>
          <w:color w:val="auto"/>
          <w:kern w:val="2"/>
        </w:rPr>
      </w:pPr>
      <w:r>
        <w:rPr>
          <w:rFonts w:hint="eastAsia" w:cstheme="minorBidi"/>
          <w:color w:val="auto"/>
          <w:kern w:val="2"/>
        </w:rPr>
        <w:t>（1）本项目采用全流程不见面电子开评标，</w:t>
      </w:r>
      <w:r>
        <w:rPr>
          <w:color w:val="auto"/>
        </w:rPr>
        <w:t>投标人</w:t>
      </w:r>
      <w:r>
        <w:rPr>
          <w:rFonts w:hint="eastAsia" w:cstheme="minorBidi"/>
          <w:color w:val="auto"/>
          <w:kern w:val="2"/>
        </w:rPr>
        <w:t>需要使用CA加密设备，</w:t>
      </w:r>
      <w:r>
        <w:rPr>
          <w:color w:val="auto"/>
        </w:rPr>
        <w:t>投标人</w:t>
      </w:r>
      <w:r>
        <w:rPr>
          <w:rFonts w:hint="eastAsia" w:cstheme="minorBidi"/>
          <w:color w:val="auto"/>
          <w:kern w:val="2"/>
        </w:rPr>
        <w:t>可通过新疆数字证书认证中心官网（https://www.xjca.com.cn/）或下载“新疆政务通”APP自行进行申领。</w:t>
      </w:r>
    </w:p>
    <w:p>
      <w:pPr>
        <w:pStyle w:val="30"/>
        <w:spacing w:before="20" w:beforeAutospacing="0" w:after="20" w:afterAutospacing="0" w:line="360" w:lineRule="auto"/>
        <w:rPr>
          <w:rFonts w:cstheme="minorBidi"/>
          <w:color w:val="auto"/>
          <w:kern w:val="2"/>
        </w:rPr>
      </w:pPr>
      <w:r>
        <w:rPr>
          <w:rFonts w:hint="eastAsia" w:cstheme="minorBidi"/>
          <w:color w:val="auto"/>
          <w:kern w:val="2"/>
        </w:rPr>
        <w:t>（2）本项目实行网上投标，采用加密电子投标文件(</w:t>
      </w:r>
      <w:r>
        <w:rPr>
          <w:color w:val="auto"/>
        </w:rPr>
        <w:t>投标人</w:t>
      </w:r>
      <w:r>
        <w:rPr>
          <w:rFonts w:hint="eastAsia" w:cstheme="minorBidi"/>
          <w:color w:val="auto"/>
          <w:kern w:val="2"/>
        </w:rPr>
        <w:t>须使用CA加密设备通过政采云电子投标客户端制作投标文件)。若</w:t>
      </w:r>
      <w:r>
        <w:rPr>
          <w:color w:val="auto"/>
        </w:rPr>
        <w:t>投标人</w:t>
      </w:r>
      <w:r>
        <w:rPr>
          <w:rFonts w:hint="eastAsia" w:cstheme="minorBidi"/>
          <w:color w:val="auto"/>
          <w:kern w:val="2"/>
        </w:rPr>
        <w:t>参与投标，自行承担投标一切费用。</w:t>
      </w:r>
    </w:p>
    <w:p>
      <w:pPr>
        <w:pStyle w:val="30"/>
        <w:spacing w:before="20" w:beforeAutospacing="0" w:after="20" w:afterAutospacing="0" w:line="360" w:lineRule="auto"/>
        <w:rPr>
          <w:rFonts w:cstheme="minorBidi"/>
          <w:color w:val="auto"/>
          <w:kern w:val="2"/>
        </w:rPr>
      </w:pPr>
      <w:r>
        <w:rPr>
          <w:rFonts w:hint="eastAsia" w:cstheme="minorBidi"/>
          <w:color w:val="auto"/>
          <w:kern w:val="2"/>
        </w:rPr>
        <w:t>（3）各投标人在开标前应确保成为新疆政府采购网正式注册入库投标人，并完成CA数字证书申领。因未注册入库、未办理CA数字证书等原因造成无法投标或投标失败等后果由</w:t>
      </w:r>
      <w:r>
        <w:rPr>
          <w:color w:val="auto"/>
        </w:rPr>
        <w:t>投标人</w:t>
      </w:r>
      <w:r>
        <w:rPr>
          <w:rFonts w:hint="eastAsia" w:cstheme="minorBidi"/>
          <w:color w:val="auto"/>
          <w:kern w:val="2"/>
        </w:rPr>
        <w:t>自行承担。</w:t>
      </w:r>
    </w:p>
    <w:p>
      <w:pPr>
        <w:pStyle w:val="30"/>
        <w:spacing w:before="20" w:beforeAutospacing="0" w:after="20" w:afterAutospacing="0" w:line="360" w:lineRule="auto"/>
        <w:rPr>
          <w:rFonts w:cstheme="minorBidi"/>
          <w:color w:val="auto"/>
          <w:kern w:val="2"/>
        </w:rPr>
      </w:pPr>
      <w:r>
        <w:rPr>
          <w:rFonts w:hint="eastAsia" w:cstheme="minorBidi"/>
          <w:color w:val="auto"/>
          <w:kern w:val="2"/>
        </w:rPr>
        <w:t>（4）投标人将政采云电子交易客户端下载、安装完成后，可通过账号密码或CA登录客户端进行投标文件制作。在使用政采云投标客户端时，建议使用WIN7及以上操作系统。客户端请至政采云平台（https://login.zcygov.cn/user-login/#/login）下载专区查看，如有问题可拨打政采云客户服务热线95763进行咨询。</w:t>
      </w:r>
    </w:p>
    <w:p>
      <w:pPr>
        <w:pStyle w:val="30"/>
        <w:spacing w:before="20" w:beforeAutospacing="0" w:after="20" w:afterAutospacing="0" w:line="360" w:lineRule="auto"/>
        <w:rPr>
          <w:rFonts w:cstheme="minorBidi"/>
          <w:color w:val="auto"/>
          <w:kern w:val="2"/>
        </w:rPr>
      </w:pPr>
      <w:r>
        <w:rPr>
          <w:rFonts w:hint="eastAsia" w:cstheme="minorBidi"/>
          <w:color w:val="auto"/>
          <w:kern w:val="2"/>
        </w:rPr>
        <w:t>（5）投标人在开标时须使用制作加密电子投标文件所使用的CA锁及电脑，电脑须提前配置好浏览器，以便开标时解锁。如因</w:t>
      </w:r>
      <w:r>
        <w:rPr>
          <w:color w:val="auto"/>
        </w:rPr>
        <w:t>投标人</w:t>
      </w:r>
      <w:r>
        <w:rPr>
          <w:rFonts w:hint="eastAsia" w:cstheme="minorBidi"/>
          <w:color w:val="auto"/>
          <w:kern w:val="2"/>
        </w:rPr>
        <w:t>自身原因导致在规定时间内无法正常解密的（如：浏览器故障、未安装相关驱动、网络故障、加密CA与解密CA不一致等），招标代理机构不予异常处理，视为</w:t>
      </w:r>
      <w:r>
        <w:rPr>
          <w:color w:val="auto"/>
        </w:rPr>
        <w:t>投标人</w:t>
      </w:r>
      <w:r>
        <w:rPr>
          <w:rFonts w:hint="eastAsia" w:cstheme="minorBidi"/>
          <w:color w:val="auto"/>
          <w:kern w:val="2"/>
        </w:rPr>
        <w:t>自动弃标。</w:t>
      </w:r>
    </w:p>
    <w:p>
      <w:pPr>
        <w:spacing w:line="360" w:lineRule="auto"/>
        <w:rPr>
          <w:rFonts w:ascii="宋体" w:hAnsi="宋体"/>
          <w:color w:val="auto"/>
          <w:sz w:val="24"/>
          <w:szCs w:val="24"/>
        </w:rPr>
      </w:pPr>
      <w:r>
        <w:rPr>
          <w:rFonts w:hint="eastAsia" w:ascii="宋体" w:hAnsi="宋体"/>
          <w:color w:val="auto"/>
          <w:sz w:val="24"/>
          <w:szCs w:val="24"/>
        </w:rPr>
        <w:t>（6）投标人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投标人”版面获取操作指南，同时对自助查询无法解决的问题可通过政采云在线客服获取服务支持。</w:t>
      </w:r>
    </w:p>
    <w:p>
      <w:pPr>
        <w:widowControl/>
        <w:spacing w:line="360" w:lineRule="auto"/>
        <w:ind w:firstLine="482"/>
        <w:jc w:val="left"/>
        <w:rPr>
          <w:rFonts w:asciiTheme="minorEastAsia" w:hAnsiTheme="minorEastAsia"/>
          <w:b/>
          <w:color w:val="auto"/>
          <w:kern w:val="0"/>
          <w:szCs w:val="24"/>
        </w:rPr>
      </w:pPr>
      <w:r>
        <w:rPr>
          <w:rFonts w:hint="eastAsia" w:asciiTheme="minorEastAsia" w:hAnsiTheme="minorEastAsia"/>
          <w:b/>
          <w:color w:val="auto"/>
          <w:kern w:val="0"/>
          <w:szCs w:val="24"/>
        </w:rPr>
        <w:t xml:space="preserve">特别提示： </w:t>
      </w:r>
    </w:p>
    <w:p>
      <w:pPr>
        <w:widowControl/>
        <w:spacing w:line="360" w:lineRule="auto"/>
        <w:ind w:firstLine="482"/>
        <w:jc w:val="left"/>
        <w:rPr>
          <w:rFonts w:asciiTheme="minorEastAsia" w:hAnsiTheme="minorEastAsia"/>
          <w:b/>
          <w:color w:val="auto"/>
          <w:kern w:val="0"/>
          <w:szCs w:val="24"/>
        </w:rPr>
      </w:pPr>
      <w:r>
        <w:rPr>
          <w:rFonts w:hint="eastAsia" w:asciiTheme="minorEastAsia" w:hAnsiTheme="minorEastAsia"/>
          <w:b/>
          <w:color w:val="auto"/>
          <w:kern w:val="0"/>
          <w:szCs w:val="24"/>
        </w:rPr>
        <w:t xml:space="preserve">1、超过200万元的货物和服务采购项目、超过400万元的工程采购项目中适宜由中小企业提供的，预留该部分采购项目预算总额的40%以上专门面向中小企业采购，其中预留给小微企业的比例不低于60%。 </w:t>
      </w:r>
    </w:p>
    <w:p>
      <w:pPr>
        <w:widowControl/>
        <w:spacing w:line="360" w:lineRule="auto"/>
        <w:ind w:firstLine="482"/>
        <w:jc w:val="left"/>
        <w:rPr>
          <w:rFonts w:asciiTheme="minorEastAsia" w:hAnsiTheme="minorEastAsia"/>
          <w:b/>
          <w:color w:val="auto"/>
          <w:kern w:val="0"/>
          <w:szCs w:val="24"/>
        </w:rPr>
      </w:pPr>
      <w:r>
        <w:rPr>
          <w:rFonts w:hint="eastAsia" w:asciiTheme="minorEastAsia" w:hAnsiTheme="minorEastAsia"/>
          <w:b/>
          <w:color w:val="auto"/>
          <w:kern w:val="0"/>
          <w:szCs w:val="24"/>
        </w:rPr>
        <w:t xml:space="preserve">2、对于未预留份额专门面向中小企业的采购项目，以及预留份额项目中的非预留部分采购包，采购 </w:t>
      </w:r>
    </w:p>
    <w:p>
      <w:pPr>
        <w:widowControl/>
        <w:spacing w:line="360" w:lineRule="auto"/>
        <w:ind w:firstLine="482"/>
        <w:jc w:val="left"/>
        <w:rPr>
          <w:rFonts w:asciiTheme="minorEastAsia" w:hAnsiTheme="minorEastAsia"/>
          <w:b/>
          <w:color w:val="auto"/>
          <w:kern w:val="0"/>
          <w:szCs w:val="24"/>
        </w:rPr>
      </w:pPr>
      <w:r>
        <w:rPr>
          <w:rFonts w:hint="eastAsia" w:asciiTheme="minorEastAsia" w:hAnsiTheme="minorEastAsia"/>
          <w:b/>
          <w:color w:val="auto"/>
          <w:kern w:val="0"/>
          <w:szCs w:val="24"/>
        </w:rPr>
        <w:t xml:space="preserve">人、招标代理机构应当对符合规定的小微企业报价给予10%~20%（工程项目为6%~10%）的扣除，用 </w:t>
      </w:r>
    </w:p>
    <w:p>
      <w:pPr>
        <w:widowControl/>
        <w:spacing w:line="360" w:lineRule="auto"/>
        <w:ind w:firstLine="482"/>
        <w:jc w:val="left"/>
        <w:rPr>
          <w:rFonts w:asciiTheme="minorEastAsia" w:hAnsiTheme="minorEastAsia"/>
          <w:b/>
          <w:color w:val="auto"/>
          <w:kern w:val="0"/>
          <w:szCs w:val="24"/>
        </w:rPr>
      </w:pPr>
      <w:r>
        <w:rPr>
          <w:rFonts w:hint="eastAsia" w:asciiTheme="minorEastAsia" w:hAnsiTheme="minorEastAsia"/>
          <w:b/>
          <w:color w:val="auto"/>
          <w:kern w:val="0"/>
          <w:szCs w:val="24"/>
        </w:rPr>
        <w:t xml:space="preserve">扣除后的价格参加评审。适用招标投标法的政府采购工程建设项目，采用综合评估法但未采用低价优先法计算价格分的，评标时应当在采用原报价进行评分的基础上增加其价格得分的6%~10%作为其价格分。 </w:t>
      </w:r>
    </w:p>
    <w:p>
      <w:pPr>
        <w:spacing w:line="360" w:lineRule="auto"/>
        <w:ind w:firstLine="482"/>
        <w:rPr>
          <w:rFonts w:cs="仿宋" w:asciiTheme="minorEastAsia" w:hAnsiTheme="minorEastAsia"/>
          <w:color w:val="auto"/>
          <w:sz w:val="24"/>
          <w:szCs w:val="24"/>
        </w:rPr>
      </w:pPr>
      <w:r>
        <w:rPr>
          <w:rFonts w:hint="eastAsia" w:asciiTheme="minorEastAsia" w:hAnsiTheme="minorEastAsia"/>
          <w:b/>
          <w:color w:val="auto"/>
          <w:kern w:val="0"/>
          <w:szCs w:val="24"/>
        </w:rPr>
        <w:t>3、接受大中型企业与小微企业组成联合体或者允许大中型企业向一家或者多家小微企业分包的采购项目，对于联合协议或者分包意向协议约定小微企业的合同份额占到合同总金额40%以上的，招标人、招标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p>
      <w:pPr>
        <w:spacing w:line="360" w:lineRule="auto"/>
        <w:rPr>
          <w:rFonts w:cs="仿宋" w:asciiTheme="minorEastAsia" w:hAnsiTheme="minorEastAsia"/>
          <w:sz w:val="24"/>
          <w:szCs w:val="24"/>
        </w:rPr>
      </w:pPr>
      <w:r>
        <w:rPr>
          <w:rFonts w:hint="eastAsia" w:cs="仿宋" w:asciiTheme="minorEastAsia" w:hAnsiTheme="minorEastAsia"/>
          <w:sz w:val="24"/>
          <w:szCs w:val="24"/>
        </w:rPr>
        <w:t>七、对本次采购提出询问，请按以下方式联系</w:t>
      </w:r>
    </w:p>
    <w:p>
      <w:pPr>
        <w:spacing w:line="360" w:lineRule="auto"/>
        <w:rPr>
          <w:rFonts w:cs="仿宋" w:asciiTheme="minorEastAsia" w:hAnsiTheme="minorEastAsia"/>
          <w:sz w:val="24"/>
          <w:szCs w:val="24"/>
        </w:rPr>
      </w:pPr>
      <w:r>
        <w:rPr>
          <w:rFonts w:hint="eastAsia" w:cs="仿宋" w:asciiTheme="minorEastAsia" w:hAnsiTheme="minorEastAsia"/>
          <w:sz w:val="24"/>
          <w:szCs w:val="24"/>
        </w:rPr>
        <w:t>1.招标人信息</w:t>
      </w:r>
    </w:p>
    <w:p>
      <w:pPr>
        <w:spacing w:line="360" w:lineRule="auto"/>
        <w:rPr>
          <w:rFonts w:cs="仿宋" w:asciiTheme="minorEastAsia" w:hAnsiTheme="minorEastAsia"/>
          <w:sz w:val="24"/>
          <w:szCs w:val="24"/>
          <w:u w:val="single"/>
        </w:rPr>
      </w:pPr>
      <w:r>
        <w:rPr>
          <w:rFonts w:hint="eastAsia" w:cs="仿宋" w:asciiTheme="minorEastAsia" w:hAnsiTheme="minorEastAsia"/>
          <w:sz w:val="24"/>
          <w:szCs w:val="24"/>
        </w:rPr>
        <w:t>名 称：乌鲁木齐市米东区园林管理局</w:t>
      </w:r>
    </w:p>
    <w:p>
      <w:pPr>
        <w:spacing w:line="360" w:lineRule="auto"/>
        <w:rPr>
          <w:rFonts w:cs="仿宋" w:asciiTheme="minorEastAsia" w:hAnsiTheme="minorEastAsia"/>
          <w:sz w:val="24"/>
          <w:szCs w:val="24"/>
          <w:u w:val="single"/>
        </w:rPr>
      </w:pPr>
      <w:r>
        <w:rPr>
          <w:rFonts w:hint="eastAsia" w:cs="仿宋" w:asciiTheme="minorEastAsia" w:hAnsiTheme="minorEastAsia"/>
          <w:sz w:val="24"/>
          <w:szCs w:val="24"/>
        </w:rPr>
        <w:t>地 址：乌鲁木齐市米东区</w:t>
      </w:r>
    </w:p>
    <w:p>
      <w:pPr>
        <w:spacing w:line="360" w:lineRule="auto"/>
        <w:rPr>
          <w:rFonts w:cs="仿宋" w:asciiTheme="minorEastAsia" w:hAnsiTheme="minorEastAsia"/>
          <w:sz w:val="24"/>
          <w:szCs w:val="24"/>
          <w:u w:val="single"/>
        </w:rPr>
      </w:pPr>
      <w:r>
        <w:rPr>
          <w:rFonts w:hint="eastAsia" w:cs="仿宋" w:asciiTheme="minorEastAsia" w:hAnsiTheme="minorEastAsia"/>
          <w:sz w:val="24"/>
          <w:szCs w:val="24"/>
        </w:rPr>
        <w:t>联系方式：13619913728</w:t>
      </w:r>
    </w:p>
    <w:p>
      <w:pPr>
        <w:spacing w:line="360" w:lineRule="auto"/>
        <w:rPr>
          <w:rFonts w:cs="仿宋" w:asciiTheme="minorEastAsia" w:hAnsiTheme="minorEastAsia"/>
          <w:sz w:val="24"/>
          <w:szCs w:val="24"/>
        </w:rPr>
      </w:pPr>
      <w:r>
        <w:rPr>
          <w:rFonts w:hint="eastAsia" w:cs="仿宋" w:asciiTheme="minorEastAsia" w:hAnsiTheme="minorEastAsia"/>
          <w:sz w:val="24"/>
          <w:szCs w:val="24"/>
        </w:rPr>
        <w:t>2.采购代理机构信息</w:t>
      </w:r>
    </w:p>
    <w:p>
      <w:pPr>
        <w:spacing w:line="360" w:lineRule="auto"/>
        <w:rPr>
          <w:rFonts w:cs="仿宋" w:asciiTheme="minorEastAsia" w:hAnsiTheme="minorEastAsia"/>
          <w:sz w:val="24"/>
          <w:szCs w:val="24"/>
        </w:rPr>
      </w:pPr>
      <w:r>
        <w:rPr>
          <w:rFonts w:hint="eastAsia" w:cs="仿宋" w:asciiTheme="minorEastAsia" w:hAnsiTheme="minorEastAsia"/>
          <w:sz w:val="24"/>
          <w:szCs w:val="24"/>
        </w:rPr>
        <w:t>名 称：新疆锐智时代建设工程项目管理有限公司</w:t>
      </w:r>
    </w:p>
    <w:p>
      <w:pPr>
        <w:spacing w:line="360" w:lineRule="auto"/>
        <w:rPr>
          <w:rFonts w:cs="仿宋" w:asciiTheme="minorEastAsia" w:hAnsiTheme="minorEastAsia"/>
          <w:sz w:val="24"/>
          <w:szCs w:val="24"/>
        </w:rPr>
      </w:pPr>
      <w:r>
        <w:rPr>
          <w:rFonts w:hint="eastAsia" w:cs="仿宋" w:asciiTheme="minorEastAsia" w:hAnsiTheme="minorEastAsia"/>
          <w:sz w:val="24"/>
          <w:szCs w:val="24"/>
        </w:rPr>
        <w:t>地 址：乌鲁木齐市水磨沟区立井街198号丽景名都商住10号楼21楼2115室</w:t>
      </w:r>
    </w:p>
    <w:p>
      <w:pPr>
        <w:spacing w:line="360" w:lineRule="auto"/>
        <w:rPr>
          <w:rFonts w:cs="仿宋" w:asciiTheme="minorEastAsia" w:hAnsiTheme="minorEastAsia"/>
          <w:sz w:val="24"/>
          <w:szCs w:val="24"/>
        </w:rPr>
      </w:pPr>
      <w:r>
        <w:rPr>
          <w:rFonts w:hint="eastAsia" w:cs="仿宋" w:asciiTheme="minorEastAsia" w:hAnsiTheme="minorEastAsia"/>
          <w:sz w:val="24"/>
          <w:szCs w:val="24"/>
        </w:rPr>
        <w:t xml:space="preserve">项目联系人： 王芳 </w:t>
      </w:r>
    </w:p>
    <w:p>
      <w:pPr>
        <w:spacing w:line="360" w:lineRule="auto"/>
        <w:rPr>
          <w:rFonts w:cs="仿宋" w:asciiTheme="minorEastAsia" w:hAnsiTheme="minorEastAsia"/>
          <w:sz w:val="24"/>
          <w:szCs w:val="24"/>
        </w:rPr>
      </w:pPr>
      <w:r>
        <w:rPr>
          <w:rFonts w:hint="eastAsia" w:cs="仿宋" w:asciiTheme="minorEastAsia" w:hAnsiTheme="minorEastAsia"/>
          <w:sz w:val="24"/>
          <w:szCs w:val="24"/>
        </w:rPr>
        <w:t>联系方式：17690920122</w:t>
      </w:r>
    </w:p>
    <w:p>
      <w:pPr>
        <w:ind w:firstLine="482"/>
        <w:rPr>
          <w:rFonts w:cs="宋体" w:asciiTheme="minorEastAsia" w:hAnsiTheme="minorEastAsia"/>
          <w:b/>
          <w:sz w:val="24"/>
          <w:szCs w:val="24"/>
        </w:rPr>
      </w:pPr>
      <w:r>
        <w:rPr>
          <w:rFonts w:hint="eastAsia" w:cs="宋体" w:asciiTheme="minorEastAsia" w:hAnsiTheme="minorEastAsia"/>
          <w:b/>
          <w:sz w:val="24"/>
          <w:szCs w:val="24"/>
        </w:rPr>
        <w:br w:type="page"/>
      </w:r>
    </w:p>
    <w:p>
      <w:pPr>
        <w:spacing w:line="440" w:lineRule="exact"/>
        <w:ind w:firstLine="482"/>
        <w:jc w:val="center"/>
        <w:outlineLvl w:val="0"/>
        <w:rPr>
          <w:rFonts w:cs="宋体" w:asciiTheme="minorEastAsia" w:hAnsiTheme="minorEastAsia"/>
          <w:b/>
          <w:sz w:val="24"/>
          <w:szCs w:val="24"/>
        </w:rPr>
      </w:pPr>
      <w:bookmarkStart w:id="2" w:name="_Toc14276"/>
      <w:r>
        <w:rPr>
          <w:rFonts w:hint="eastAsia" w:cs="宋体" w:asciiTheme="minorEastAsia" w:hAnsiTheme="minorEastAsia"/>
          <w:b/>
          <w:sz w:val="24"/>
          <w:szCs w:val="24"/>
        </w:rPr>
        <w:t>投标人须知前附表</w:t>
      </w:r>
      <w:bookmarkEnd w:id="2"/>
    </w:p>
    <w:tbl>
      <w:tblPr>
        <w:tblStyle w:val="35"/>
        <w:tblW w:w="100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57" w:type="dxa"/>
          <w:left w:w="57" w:type="dxa"/>
          <w:bottom w:w="57" w:type="dxa"/>
          <w:right w:w="57" w:type="dxa"/>
        </w:tblCellMar>
      </w:tblPr>
      <w:tblGrid>
        <w:gridCol w:w="837"/>
        <w:gridCol w:w="1764"/>
        <w:gridCol w:w="74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87" w:hRule="atLeast"/>
          <w:jc w:val="center"/>
        </w:trPr>
        <w:tc>
          <w:tcPr>
            <w:tcW w:w="837" w:type="dxa"/>
            <w:vAlign w:val="center"/>
          </w:tcPr>
          <w:p>
            <w:pPr>
              <w:ind w:firstLine="482"/>
              <w:rPr>
                <w:rFonts w:asciiTheme="minorEastAsia" w:hAnsiTheme="minorEastAsia" w:cstheme="minorEastAsia"/>
                <w:b/>
                <w:kern w:val="0"/>
                <w:sz w:val="24"/>
                <w:szCs w:val="24"/>
              </w:rPr>
            </w:pPr>
            <w:r>
              <w:rPr>
                <w:rFonts w:hint="eastAsia" w:asciiTheme="minorEastAsia" w:hAnsiTheme="minorEastAsia" w:cstheme="minorEastAsia"/>
                <w:b/>
                <w:kern w:val="0"/>
                <w:sz w:val="24"/>
                <w:szCs w:val="24"/>
              </w:rPr>
              <w:t>项号</w:t>
            </w:r>
          </w:p>
        </w:tc>
        <w:tc>
          <w:tcPr>
            <w:tcW w:w="9233" w:type="dxa"/>
            <w:gridSpan w:val="2"/>
          </w:tcPr>
          <w:p>
            <w:pPr>
              <w:ind w:firstLine="482"/>
              <w:jc w:val="center"/>
              <w:rPr>
                <w:rFonts w:asciiTheme="minorEastAsia" w:hAnsiTheme="minorEastAsia" w:cstheme="minorEastAsia"/>
                <w:b/>
                <w:kern w:val="0"/>
                <w:sz w:val="24"/>
                <w:szCs w:val="24"/>
              </w:rPr>
            </w:pPr>
            <w:r>
              <w:rPr>
                <w:rFonts w:hint="eastAsia" w:asciiTheme="minorEastAsia" w:hAnsiTheme="minorEastAsia" w:cstheme="minorEastAsia"/>
                <w:b/>
                <w:kern w:val="0"/>
                <w:sz w:val="24"/>
                <w:szCs w:val="24"/>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837" w:type="dxa"/>
            <w:vMerge w:val="restart"/>
            <w:vAlign w:val="center"/>
          </w:tcPr>
          <w:p>
            <w:pPr>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1</w:t>
            </w:r>
          </w:p>
        </w:tc>
        <w:tc>
          <w:tcPr>
            <w:tcW w:w="1764" w:type="dxa"/>
            <w:vAlign w:val="center"/>
          </w:tcPr>
          <w:p>
            <w:pPr>
              <w:keepNext/>
              <w:widowControl/>
              <w:jc w:val="distribute"/>
              <w:rPr>
                <w:rFonts w:asciiTheme="minorEastAsia" w:hAnsiTheme="minorEastAsia" w:cstheme="minorEastAsia"/>
                <w:kern w:val="0"/>
                <w:sz w:val="24"/>
                <w:szCs w:val="24"/>
              </w:rPr>
            </w:pPr>
            <w:r>
              <w:rPr>
                <w:rFonts w:hint="eastAsia" w:asciiTheme="minorEastAsia" w:hAnsiTheme="minorEastAsia" w:cstheme="minorEastAsia"/>
                <w:kern w:val="0"/>
                <w:sz w:val="24"/>
                <w:szCs w:val="24"/>
              </w:rPr>
              <w:t>项目名称</w:t>
            </w:r>
          </w:p>
        </w:tc>
        <w:tc>
          <w:tcPr>
            <w:tcW w:w="7469" w:type="dxa"/>
            <w:vAlign w:val="center"/>
          </w:tcPr>
          <w:p>
            <w:pPr>
              <w:keepNext/>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2024年-2026年米东区公共绿地绿化养护项目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837" w:type="dxa"/>
            <w:vMerge w:val="continue"/>
            <w:vAlign w:val="center"/>
          </w:tcPr>
          <w:p>
            <w:pPr>
              <w:jc w:val="center"/>
              <w:rPr>
                <w:rFonts w:asciiTheme="minorEastAsia" w:hAnsiTheme="minorEastAsia" w:cstheme="minorEastAsia"/>
                <w:kern w:val="0"/>
                <w:sz w:val="24"/>
                <w:szCs w:val="24"/>
              </w:rPr>
            </w:pPr>
          </w:p>
        </w:tc>
        <w:tc>
          <w:tcPr>
            <w:tcW w:w="1764" w:type="dxa"/>
            <w:vAlign w:val="center"/>
          </w:tcPr>
          <w:p>
            <w:pPr>
              <w:keepNext/>
              <w:widowControl/>
              <w:jc w:val="distribute"/>
              <w:rPr>
                <w:rFonts w:asciiTheme="minorEastAsia" w:hAnsiTheme="minorEastAsia" w:cstheme="minorEastAsia"/>
                <w:kern w:val="0"/>
                <w:sz w:val="24"/>
                <w:szCs w:val="24"/>
              </w:rPr>
            </w:pPr>
            <w:r>
              <w:rPr>
                <w:rFonts w:hint="eastAsia" w:asciiTheme="minorEastAsia" w:hAnsiTheme="minorEastAsia" w:cstheme="minorEastAsia"/>
                <w:kern w:val="0"/>
                <w:sz w:val="24"/>
                <w:szCs w:val="24"/>
              </w:rPr>
              <w:t>标段名称</w:t>
            </w:r>
          </w:p>
        </w:tc>
        <w:tc>
          <w:tcPr>
            <w:tcW w:w="7469" w:type="dxa"/>
            <w:vAlign w:val="center"/>
          </w:tcPr>
          <w:p>
            <w:pPr>
              <w:keepNext/>
              <w:widowControl/>
              <w:jc w:val="left"/>
              <w:rPr>
                <w:rFonts w:hint="eastAsia" w:asciiTheme="minorEastAsia" w:hAnsiTheme="minorEastAsia" w:eastAsiaTheme="minorEastAsia" w:cstheme="minorEastAsia"/>
                <w:kern w:val="0"/>
                <w:sz w:val="24"/>
                <w:szCs w:val="24"/>
                <w:lang w:eastAsia="zh-CN"/>
              </w:rPr>
            </w:pPr>
            <w:r>
              <w:rPr>
                <w:rFonts w:hint="eastAsia" w:asciiTheme="minorEastAsia" w:hAnsiTheme="minorEastAsia" w:cstheme="minorEastAsia"/>
                <w:kern w:val="0"/>
                <w:sz w:val="24"/>
                <w:szCs w:val="24"/>
                <w:lang w:eastAsia="zh-CN"/>
              </w:rPr>
              <w:t>2024年-2026年米东区公共绿地绿化养护项目第9包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837" w:type="dxa"/>
            <w:vMerge w:val="continue"/>
            <w:vAlign w:val="center"/>
          </w:tcPr>
          <w:p>
            <w:pPr>
              <w:jc w:val="center"/>
              <w:rPr>
                <w:rFonts w:asciiTheme="minorEastAsia" w:hAnsiTheme="minorEastAsia" w:cstheme="minorEastAsia"/>
                <w:kern w:val="0"/>
                <w:sz w:val="24"/>
                <w:szCs w:val="24"/>
              </w:rPr>
            </w:pPr>
          </w:p>
        </w:tc>
        <w:tc>
          <w:tcPr>
            <w:tcW w:w="1764" w:type="dxa"/>
            <w:vAlign w:val="center"/>
          </w:tcPr>
          <w:p>
            <w:pPr>
              <w:keepNext/>
              <w:widowControl/>
              <w:jc w:val="distribute"/>
              <w:rPr>
                <w:rFonts w:asciiTheme="minorEastAsia" w:hAnsiTheme="minorEastAsia" w:cstheme="minorEastAsia"/>
                <w:kern w:val="0"/>
                <w:sz w:val="24"/>
                <w:szCs w:val="24"/>
              </w:rPr>
            </w:pPr>
            <w:r>
              <w:rPr>
                <w:rFonts w:hint="eastAsia" w:asciiTheme="minorEastAsia" w:hAnsiTheme="minorEastAsia" w:cstheme="minorEastAsia"/>
                <w:kern w:val="0"/>
                <w:sz w:val="24"/>
                <w:szCs w:val="24"/>
              </w:rPr>
              <w:t>标段编号</w:t>
            </w:r>
          </w:p>
        </w:tc>
        <w:tc>
          <w:tcPr>
            <w:tcW w:w="7469" w:type="dxa"/>
            <w:vAlign w:val="center"/>
          </w:tcPr>
          <w:p>
            <w:pPr>
              <w:keepNext/>
              <w:widowControl/>
              <w:jc w:val="left"/>
              <w:rPr>
                <w:rFonts w:hint="eastAsia" w:asciiTheme="minorEastAsia" w:hAnsiTheme="minorEastAsia" w:eastAsiaTheme="minorEastAsia" w:cstheme="minorEastAsia"/>
                <w:kern w:val="0"/>
                <w:sz w:val="24"/>
                <w:szCs w:val="24"/>
                <w:lang w:eastAsia="zh-CN"/>
              </w:rPr>
            </w:pPr>
            <w:r>
              <w:rPr>
                <w:rFonts w:hint="eastAsia" w:asciiTheme="minorEastAsia" w:hAnsiTheme="minorEastAsia" w:cstheme="minorEastAsia"/>
                <w:kern w:val="0"/>
                <w:sz w:val="24"/>
                <w:szCs w:val="24"/>
                <w:lang w:eastAsia="zh-CN"/>
              </w:rPr>
              <w:t>2023-1213-153736009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837" w:type="dxa"/>
            <w:vMerge w:val="continue"/>
            <w:vAlign w:val="center"/>
          </w:tcPr>
          <w:p>
            <w:pPr>
              <w:jc w:val="center"/>
              <w:rPr>
                <w:rFonts w:asciiTheme="minorEastAsia" w:hAnsiTheme="minorEastAsia" w:cstheme="minorEastAsia"/>
                <w:kern w:val="0"/>
                <w:sz w:val="24"/>
                <w:szCs w:val="24"/>
              </w:rPr>
            </w:pPr>
          </w:p>
        </w:tc>
        <w:tc>
          <w:tcPr>
            <w:tcW w:w="1764" w:type="dxa"/>
            <w:vAlign w:val="center"/>
          </w:tcPr>
          <w:p>
            <w:pPr>
              <w:keepNext/>
              <w:widowControl/>
              <w:jc w:val="distribute"/>
              <w:rPr>
                <w:rFonts w:asciiTheme="minorEastAsia" w:hAnsiTheme="minorEastAsia" w:cstheme="minorEastAsia"/>
                <w:kern w:val="0"/>
                <w:sz w:val="24"/>
                <w:szCs w:val="24"/>
              </w:rPr>
            </w:pPr>
            <w:r>
              <w:rPr>
                <w:rFonts w:hint="eastAsia" w:asciiTheme="minorEastAsia" w:hAnsiTheme="minorEastAsia" w:cstheme="minorEastAsia"/>
                <w:kern w:val="0"/>
                <w:sz w:val="24"/>
                <w:szCs w:val="24"/>
              </w:rPr>
              <w:t>采购人</w:t>
            </w:r>
          </w:p>
        </w:tc>
        <w:tc>
          <w:tcPr>
            <w:tcW w:w="7469" w:type="dxa"/>
            <w:vAlign w:val="center"/>
          </w:tcPr>
          <w:p>
            <w:pPr>
              <w:keepNext/>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乌鲁木齐市米东区园林管理局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837" w:type="dxa"/>
            <w:vMerge w:val="continue"/>
            <w:vAlign w:val="center"/>
          </w:tcPr>
          <w:p>
            <w:pPr>
              <w:jc w:val="center"/>
              <w:rPr>
                <w:rFonts w:asciiTheme="minorEastAsia" w:hAnsiTheme="minorEastAsia" w:cstheme="minorEastAsia"/>
                <w:kern w:val="0"/>
                <w:sz w:val="24"/>
                <w:szCs w:val="24"/>
              </w:rPr>
            </w:pPr>
          </w:p>
        </w:tc>
        <w:tc>
          <w:tcPr>
            <w:tcW w:w="1764" w:type="dxa"/>
            <w:vAlign w:val="center"/>
          </w:tcPr>
          <w:p>
            <w:pPr>
              <w:keepNext/>
              <w:widowControl/>
              <w:jc w:val="distribute"/>
              <w:rPr>
                <w:rFonts w:asciiTheme="minorEastAsia" w:hAnsiTheme="minorEastAsia" w:cstheme="minorEastAsia"/>
                <w:kern w:val="0"/>
                <w:sz w:val="24"/>
                <w:szCs w:val="24"/>
              </w:rPr>
            </w:pPr>
            <w:r>
              <w:rPr>
                <w:rFonts w:hint="eastAsia" w:asciiTheme="minorEastAsia" w:hAnsiTheme="minorEastAsia" w:cstheme="minorEastAsia"/>
                <w:kern w:val="0"/>
                <w:sz w:val="24"/>
                <w:szCs w:val="24"/>
              </w:rPr>
              <w:t>采购代理机构</w:t>
            </w:r>
          </w:p>
        </w:tc>
        <w:tc>
          <w:tcPr>
            <w:tcW w:w="7469" w:type="dxa"/>
            <w:vAlign w:val="center"/>
          </w:tcPr>
          <w:p>
            <w:pPr>
              <w:keepNext/>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新疆锐智时代建设工程项目管理有限公司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837" w:type="dxa"/>
            <w:vMerge w:val="continue"/>
            <w:vAlign w:val="center"/>
          </w:tcPr>
          <w:p>
            <w:pPr>
              <w:jc w:val="center"/>
              <w:rPr>
                <w:rFonts w:asciiTheme="minorEastAsia" w:hAnsiTheme="minorEastAsia" w:cstheme="minorEastAsia"/>
                <w:kern w:val="0"/>
                <w:sz w:val="24"/>
                <w:szCs w:val="24"/>
              </w:rPr>
            </w:pPr>
          </w:p>
        </w:tc>
        <w:tc>
          <w:tcPr>
            <w:tcW w:w="1764" w:type="dxa"/>
            <w:vAlign w:val="center"/>
          </w:tcPr>
          <w:p>
            <w:pPr>
              <w:keepNext/>
              <w:widowControl/>
              <w:jc w:val="distribute"/>
              <w:rPr>
                <w:rFonts w:asciiTheme="minorEastAsia" w:hAnsiTheme="minorEastAsia" w:cstheme="minorEastAsia"/>
                <w:kern w:val="0"/>
                <w:sz w:val="24"/>
                <w:szCs w:val="24"/>
              </w:rPr>
            </w:pPr>
            <w:r>
              <w:rPr>
                <w:rFonts w:hint="eastAsia" w:asciiTheme="minorEastAsia" w:hAnsiTheme="minorEastAsia" w:cstheme="minorEastAsia"/>
                <w:kern w:val="0"/>
                <w:sz w:val="24"/>
                <w:szCs w:val="24"/>
              </w:rPr>
              <w:t>项目地点</w:t>
            </w:r>
          </w:p>
        </w:tc>
        <w:tc>
          <w:tcPr>
            <w:tcW w:w="7469" w:type="dxa"/>
            <w:vAlign w:val="center"/>
          </w:tcPr>
          <w:p>
            <w:pPr>
              <w:keepNext/>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乌鲁木齐市米东区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837" w:type="dxa"/>
            <w:vMerge w:val="continue"/>
            <w:vAlign w:val="center"/>
          </w:tcPr>
          <w:p>
            <w:pPr>
              <w:jc w:val="center"/>
              <w:rPr>
                <w:rFonts w:asciiTheme="minorEastAsia" w:hAnsiTheme="minorEastAsia" w:cstheme="minorEastAsia"/>
                <w:kern w:val="0"/>
                <w:sz w:val="24"/>
                <w:szCs w:val="24"/>
              </w:rPr>
            </w:pPr>
          </w:p>
        </w:tc>
        <w:tc>
          <w:tcPr>
            <w:tcW w:w="1764" w:type="dxa"/>
            <w:vAlign w:val="center"/>
          </w:tcPr>
          <w:p>
            <w:pPr>
              <w:keepNext/>
              <w:widowControl/>
              <w:jc w:val="distribute"/>
              <w:rPr>
                <w:rFonts w:asciiTheme="minorEastAsia" w:hAnsiTheme="minorEastAsia" w:cstheme="minorEastAsia"/>
                <w:kern w:val="0"/>
                <w:sz w:val="24"/>
                <w:szCs w:val="24"/>
              </w:rPr>
            </w:pPr>
            <w:r>
              <w:rPr>
                <w:rFonts w:hint="eastAsia" w:asciiTheme="minorEastAsia" w:hAnsiTheme="minorEastAsia" w:cstheme="minorEastAsia"/>
                <w:kern w:val="0"/>
                <w:sz w:val="24"/>
                <w:szCs w:val="24"/>
              </w:rPr>
              <w:t>项目规模</w:t>
            </w:r>
          </w:p>
        </w:tc>
        <w:tc>
          <w:tcPr>
            <w:tcW w:w="7469" w:type="dxa"/>
            <w:vAlign w:val="center"/>
          </w:tcPr>
          <w:p>
            <w:pPr>
              <w:keepNext/>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养护面积</w:t>
            </w:r>
            <w:r>
              <w:rPr>
                <w:rFonts w:hint="eastAsia" w:asciiTheme="minorEastAsia" w:hAnsiTheme="minorEastAsia" w:cstheme="minorEastAsia"/>
                <w:kern w:val="0"/>
                <w:sz w:val="24"/>
                <w:szCs w:val="24"/>
                <w:lang w:val="en-US" w:eastAsia="zh-CN"/>
              </w:rPr>
              <w:t>272739</w:t>
            </w:r>
            <w:r>
              <w:rPr>
                <w:rFonts w:hint="eastAsia" w:asciiTheme="minorEastAsia" w:hAnsiTheme="minorEastAsia" w:cstheme="minorEastAsia"/>
                <w:kern w:val="0"/>
                <w:sz w:val="24"/>
                <w:szCs w:val="24"/>
              </w:rPr>
              <w:t>㎡；</w:t>
            </w:r>
            <w:r>
              <w:rPr>
                <w:rFonts w:hint="eastAsia" w:asciiTheme="minorEastAsia" w:hAnsiTheme="minorEastAsia" w:cstheme="minorEastAsia"/>
                <w:kern w:val="0"/>
                <w:sz w:val="24"/>
                <w:szCs w:val="24"/>
                <w:lang w:val="en-US" w:eastAsia="zh-CN"/>
              </w:rPr>
              <w:t>历史文化园、一方园、康泰园、五谷园、旱生园、百草园、光明园、黄渠嘉禾园、老电影院游园、政府院内游园、金盛集团东侧河坝边游园、文润园、汇趣园、兴盛园、嘉隆园、嘉禾园、府前路（三道坝路-米东大道）、中颐路（府前路-揽胜街）、万和街、中颐南路支巷（中颐南路-府前东路）、民康北路（揽胜东街-府前路）、政府院内停车场、米泉路（揽胜街-古牧地路）、黄渠路（古牧地路-揽胜东街）、揽胜街软隔离、府前路软隔离、中颐路软隔离、海棠花绿地、红沟河绿地、府前西路三角地（国际大酒店旁）、中医院西绿地、家和华府绿地、政府停车场河坝西侧绿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837" w:type="dxa"/>
            <w:vMerge w:val="continue"/>
            <w:vAlign w:val="center"/>
          </w:tcPr>
          <w:p>
            <w:pPr>
              <w:jc w:val="center"/>
              <w:rPr>
                <w:rFonts w:asciiTheme="minorEastAsia" w:hAnsiTheme="minorEastAsia" w:cstheme="minorEastAsia"/>
                <w:kern w:val="0"/>
                <w:sz w:val="24"/>
                <w:szCs w:val="24"/>
              </w:rPr>
            </w:pPr>
          </w:p>
        </w:tc>
        <w:tc>
          <w:tcPr>
            <w:tcW w:w="1764" w:type="dxa"/>
            <w:vAlign w:val="center"/>
          </w:tcPr>
          <w:p>
            <w:pPr>
              <w:keepNext/>
              <w:widowControl/>
              <w:jc w:val="distribute"/>
              <w:rPr>
                <w:rFonts w:asciiTheme="minorEastAsia" w:hAnsiTheme="minorEastAsia" w:cstheme="minorEastAsia"/>
                <w:kern w:val="0"/>
                <w:sz w:val="24"/>
                <w:szCs w:val="24"/>
              </w:rPr>
            </w:pPr>
            <w:r>
              <w:rPr>
                <w:rFonts w:hint="eastAsia" w:asciiTheme="minorEastAsia" w:hAnsiTheme="minorEastAsia" w:cstheme="minorEastAsia"/>
                <w:kern w:val="0"/>
                <w:sz w:val="24"/>
                <w:szCs w:val="24"/>
              </w:rPr>
              <w:t>资金来源</w:t>
            </w:r>
          </w:p>
        </w:tc>
        <w:tc>
          <w:tcPr>
            <w:tcW w:w="7469" w:type="dxa"/>
            <w:vAlign w:val="center"/>
          </w:tcPr>
          <w:p>
            <w:pPr>
              <w:keepNext/>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财政预算资金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837" w:type="dxa"/>
            <w:vMerge w:val="continue"/>
            <w:vAlign w:val="center"/>
          </w:tcPr>
          <w:p>
            <w:pPr>
              <w:jc w:val="center"/>
              <w:rPr>
                <w:rFonts w:asciiTheme="minorEastAsia" w:hAnsiTheme="minorEastAsia" w:cstheme="minorEastAsia"/>
                <w:kern w:val="0"/>
                <w:sz w:val="24"/>
                <w:szCs w:val="24"/>
              </w:rPr>
            </w:pPr>
          </w:p>
        </w:tc>
        <w:tc>
          <w:tcPr>
            <w:tcW w:w="1764" w:type="dxa"/>
            <w:vAlign w:val="center"/>
          </w:tcPr>
          <w:p>
            <w:pPr>
              <w:keepNext/>
              <w:widowControl/>
              <w:jc w:val="distribute"/>
              <w:rPr>
                <w:rFonts w:asciiTheme="minorEastAsia" w:hAnsiTheme="minorEastAsia" w:cstheme="minorEastAsia"/>
                <w:kern w:val="0"/>
                <w:sz w:val="24"/>
                <w:szCs w:val="24"/>
              </w:rPr>
            </w:pPr>
            <w:r>
              <w:rPr>
                <w:rFonts w:hint="eastAsia" w:asciiTheme="minorEastAsia" w:hAnsiTheme="minorEastAsia" w:cstheme="minorEastAsia"/>
                <w:kern w:val="0"/>
                <w:sz w:val="24"/>
                <w:szCs w:val="24"/>
              </w:rPr>
              <w:t>采购预算金额</w:t>
            </w:r>
          </w:p>
        </w:tc>
        <w:tc>
          <w:tcPr>
            <w:tcW w:w="7469" w:type="dxa"/>
            <w:vAlign w:val="center"/>
          </w:tcPr>
          <w:p>
            <w:pPr>
              <w:keepNext/>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lang w:eastAsia="zh-CN"/>
              </w:rPr>
              <w:t>2870159.5</w:t>
            </w:r>
            <w:r>
              <w:rPr>
                <w:rFonts w:hint="eastAsia" w:asciiTheme="minorEastAsia" w:hAnsiTheme="minorEastAsia" w:cstheme="minorEastAsia"/>
                <w:kern w:val="0"/>
                <w:sz w:val="24"/>
                <w:szCs w:val="24"/>
              </w:rPr>
              <w:t>元（其中绿地养护费</w:t>
            </w:r>
            <w:r>
              <w:rPr>
                <w:rFonts w:hint="eastAsia" w:asciiTheme="minorEastAsia" w:hAnsiTheme="minorEastAsia" w:cstheme="minorEastAsia"/>
                <w:kern w:val="0"/>
                <w:sz w:val="24"/>
                <w:szCs w:val="24"/>
                <w:lang w:eastAsia="zh-CN"/>
              </w:rPr>
              <w:t>2472527.5</w:t>
            </w:r>
            <w:r>
              <w:rPr>
                <w:rFonts w:hint="eastAsia" w:asciiTheme="minorEastAsia" w:hAnsiTheme="minorEastAsia" w:cstheme="minorEastAsia"/>
                <w:kern w:val="0"/>
                <w:sz w:val="24"/>
                <w:szCs w:val="24"/>
              </w:rPr>
              <w:t>元；设施维护费</w:t>
            </w:r>
            <w:r>
              <w:rPr>
                <w:rFonts w:hint="eastAsia" w:asciiTheme="minorEastAsia" w:hAnsiTheme="minorEastAsia" w:cstheme="minorEastAsia"/>
                <w:kern w:val="0"/>
                <w:sz w:val="24"/>
                <w:szCs w:val="24"/>
                <w:lang w:val="en-US" w:eastAsia="zh-CN"/>
              </w:rPr>
              <w:t>297632</w:t>
            </w:r>
            <w:r>
              <w:rPr>
                <w:rFonts w:hint="eastAsia" w:asciiTheme="minorEastAsia" w:hAnsiTheme="minorEastAsia" w:cstheme="minorEastAsia"/>
                <w:kern w:val="0"/>
                <w:sz w:val="24"/>
                <w:szCs w:val="24"/>
              </w:rPr>
              <w:t>元，零星绿地</w:t>
            </w:r>
            <w:r>
              <w:rPr>
                <w:rFonts w:hint="eastAsia" w:asciiTheme="minorEastAsia" w:hAnsiTheme="minorEastAsia" w:cstheme="minorEastAsia"/>
                <w:kern w:val="0"/>
                <w:sz w:val="24"/>
                <w:szCs w:val="24"/>
                <w:lang w:eastAsia="zh-CN"/>
              </w:rPr>
              <w:t>100000</w:t>
            </w:r>
            <w:r>
              <w:rPr>
                <w:rFonts w:hint="eastAsia" w:asciiTheme="minorEastAsia" w:hAnsiTheme="minorEastAsia" w:cstheme="minorEastAsia"/>
                <w:kern w:val="0"/>
                <w:sz w:val="24"/>
                <w:szCs w:val="24"/>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837" w:type="dxa"/>
            <w:vMerge w:val="continue"/>
            <w:vAlign w:val="center"/>
          </w:tcPr>
          <w:p>
            <w:pPr>
              <w:jc w:val="center"/>
              <w:rPr>
                <w:rFonts w:asciiTheme="minorEastAsia" w:hAnsiTheme="minorEastAsia" w:cstheme="minorEastAsia"/>
                <w:kern w:val="0"/>
                <w:sz w:val="24"/>
                <w:szCs w:val="24"/>
              </w:rPr>
            </w:pPr>
          </w:p>
        </w:tc>
        <w:tc>
          <w:tcPr>
            <w:tcW w:w="1764" w:type="dxa"/>
            <w:vAlign w:val="center"/>
          </w:tcPr>
          <w:p>
            <w:pPr>
              <w:keepNext/>
              <w:widowControl/>
              <w:jc w:val="distribute"/>
              <w:rPr>
                <w:rFonts w:asciiTheme="minorEastAsia" w:hAnsiTheme="minorEastAsia" w:cstheme="minorEastAsia"/>
                <w:kern w:val="0"/>
                <w:sz w:val="24"/>
                <w:szCs w:val="24"/>
              </w:rPr>
            </w:pPr>
            <w:r>
              <w:rPr>
                <w:rFonts w:hint="eastAsia" w:asciiTheme="minorEastAsia" w:hAnsiTheme="minorEastAsia" w:cstheme="minorEastAsia"/>
                <w:kern w:val="0"/>
                <w:sz w:val="24"/>
                <w:szCs w:val="24"/>
              </w:rPr>
              <w:t>最高限价</w:t>
            </w:r>
          </w:p>
        </w:tc>
        <w:tc>
          <w:tcPr>
            <w:tcW w:w="7469" w:type="dxa"/>
            <w:vAlign w:val="center"/>
          </w:tcPr>
          <w:p>
            <w:pPr>
              <w:keepNext/>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lang w:eastAsia="zh-CN"/>
              </w:rPr>
              <w:t>2870159.5</w:t>
            </w:r>
            <w:r>
              <w:rPr>
                <w:rFonts w:hint="eastAsia" w:asciiTheme="minorEastAsia" w:hAnsiTheme="minorEastAsia" w:cstheme="minorEastAsia"/>
                <w:kern w:val="0"/>
                <w:sz w:val="24"/>
                <w:szCs w:val="24"/>
              </w:rPr>
              <w:t>元（其中绿地养护费</w:t>
            </w:r>
            <w:r>
              <w:rPr>
                <w:rFonts w:hint="eastAsia" w:asciiTheme="minorEastAsia" w:hAnsiTheme="minorEastAsia" w:cstheme="minorEastAsia"/>
                <w:kern w:val="0"/>
                <w:sz w:val="24"/>
                <w:szCs w:val="24"/>
                <w:lang w:eastAsia="zh-CN"/>
              </w:rPr>
              <w:t>2472527.5</w:t>
            </w:r>
            <w:r>
              <w:rPr>
                <w:rFonts w:hint="eastAsia" w:asciiTheme="minorEastAsia" w:hAnsiTheme="minorEastAsia" w:cstheme="minorEastAsia"/>
                <w:kern w:val="0"/>
                <w:sz w:val="24"/>
                <w:szCs w:val="24"/>
              </w:rPr>
              <w:t>元；设施维护费</w:t>
            </w:r>
            <w:r>
              <w:rPr>
                <w:rFonts w:hint="eastAsia" w:asciiTheme="minorEastAsia" w:hAnsiTheme="minorEastAsia" w:cstheme="minorEastAsia"/>
                <w:kern w:val="0"/>
                <w:sz w:val="24"/>
                <w:szCs w:val="24"/>
                <w:lang w:val="en-US" w:eastAsia="zh-CN"/>
              </w:rPr>
              <w:t>297632</w:t>
            </w:r>
            <w:r>
              <w:rPr>
                <w:rFonts w:hint="eastAsia" w:asciiTheme="minorEastAsia" w:hAnsiTheme="minorEastAsia" w:cstheme="minorEastAsia"/>
                <w:kern w:val="0"/>
                <w:sz w:val="24"/>
                <w:szCs w:val="24"/>
              </w:rPr>
              <w:t>元，零星绿地</w:t>
            </w:r>
            <w:r>
              <w:rPr>
                <w:rFonts w:hint="eastAsia" w:asciiTheme="minorEastAsia" w:hAnsiTheme="minorEastAsia" w:cstheme="minorEastAsia"/>
                <w:kern w:val="0"/>
                <w:sz w:val="24"/>
                <w:szCs w:val="24"/>
                <w:lang w:eastAsia="zh-CN"/>
              </w:rPr>
              <w:t>100000</w:t>
            </w:r>
            <w:r>
              <w:rPr>
                <w:rFonts w:hint="eastAsia" w:asciiTheme="minorEastAsia" w:hAnsiTheme="minorEastAsia" w:cstheme="minorEastAsia"/>
                <w:kern w:val="0"/>
                <w:sz w:val="24"/>
                <w:szCs w:val="24"/>
              </w:rPr>
              <w:t>元。）</w:t>
            </w:r>
          </w:p>
          <w:tbl>
            <w:tblPr>
              <w:tblStyle w:val="34"/>
              <w:tblW w:w="735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15"/>
              <w:gridCol w:w="3502"/>
              <w:gridCol w:w="23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3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序号</w:t>
                  </w:r>
                </w:p>
              </w:tc>
              <w:tc>
                <w:tcPr>
                  <w:tcW w:w="238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分项名称</w:t>
                  </w:r>
                </w:p>
              </w:tc>
              <w:tc>
                <w:tcPr>
                  <w:tcW w:w="15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控制单价</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cstheme="minorEastAsia"/>
                      <w:kern w:val="0"/>
                      <w:sz w:val="24"/>
                      <w:szCs w:val="24"/>
                      <w:lang w:bidi="ar"/>
                    </w:rPr>
                    <w:t>（元/m²/年）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03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2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0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2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历史文化园</w:t>
                  </w:r>
                </w:p>
              </w:tc>
              <w:tc>
                <w:tcPr>
                  <w:tcW w:w="1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0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2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设施维护费用</w:t>
                  </w:r>
                </w:p>
              </w:tc>
              <w:tc>
                <w:tcPr>
                  <w:tcW w:w="1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2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一方园</w:t>
                  </w:r>
                </w:p>
              </w:tc>
              <w:tc>
                <w:tcPr>
                  <w:tcW w:w="1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0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2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康泰园</w:t>
                  </w:r>
                </w:p>
              </w:tc>
              <w:tc>
                <w:tcPr>
                  <w:tcW w:w="1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0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2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设施维护费用</w:t>
                  </w:r>
                </w:p>
              </w:tc>
              <w:tc>
                <w:tcPr>
                  <w:tcW w:w="1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0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2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五谷园</w:t>
                  </w:r>
                </w:p>
              </w:tc>
              <w:tc>
                <w:tcPr>
                  <w:tcW w:w="1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0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2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设施维护费用</w:t>
                  </w:r>
                </w:p>
              </w:tc>
              <w:tc>
                <w:tcPr>
                  <w:tcW w:w="1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0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2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旱生园</w:t>
                  </w:r>
                </w:p>
              </w:tc>
              <w:tc>
                <w:tcPr>
                  <w:tcW w:w="1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0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2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设施维护费用</w:t>
                  </w:r>
                </w:p>
              </w:tc>
              <w:tc>
                <w:tcPr>
                  <w:tcW w:w="1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2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百草园</w:t>
                  </w:r>
                </w:p>
              </w:tc>
              <w:tc>
                <w:tcPr>
                  <w:tcW w:w="1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0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2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光明园</w:t>
                  </w:r>
                </w:p>
              </w:tc>
              <w:tc>
                <w:tcPr>
                  <w:tcW w:w="1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0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2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设施维护费用</w:t>
                  </w:r>
                </w:p>
              </w:tc>
              <w:tc>
                <w:tcPr>
                  <w:tcW w:w="1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2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皇渠嘉禾园</w:t>
                  </w:r>
                </w:p>
              </w:tc>
              <w:tc>
                <w:tcPr>
                  <w:tcW w:w="1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0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c>
                <w:tcPr>
                  <w:tcW w:w="2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老电影院游园</w:t>
                  </w:r>
                </w:p>
              </w:tc>
              <w:tc>
                <w:tcPr>
                  <w:tcW w:w="1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0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2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设施维护费用</w:t>
                  </w:r>
                </w:p>
              </w:tc>
              <w:tc>
                <w:tcPr>
                  <w:tcW w:w="1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2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政府院内游园</w:t>
                  </w:r>
                </w:p>
              </w:tc>
              <w:tc>
                <w:tcPr>
                  <w:tcW w:w="1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w:t>
                  </w:r>
                </w:p>
              </w:tc>
              <w:tc>
                <w:tcPr>
                  <w:tcW w:w="2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设施维护费用</w:t>
                  </w:r>
                </w:p>
              </w:tc>
              <w:tc>
                <w:tcPr>
                  <w:tcW w:w="1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w:t>
                  </w:r>
                </w:p>
              </w:tc>
              <w:tc>
                <w:tcPr>
                  <w:tcW w:w="2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金盛集团东侧河坝边游园 </w:t>
                  </w:r>
                </w:p>
              </w:tc>
              <w:tc>
                <w:tcPr>
                  <w:tcW w:w="1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w:t>
                  </w:r>
                </w:p>
              </w:tc>
              <w:tc>
                <w:tcPr>
                  <w:tcW w:w="2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文润园</w:t>
                  </w:r>
                </w:p>
              </w:tc>
              <w:tc>
                <w:tcPr>
                  <w:tcW w:w="1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w:t>
                  </w:r>
                </w:p>
              </w:tc>
              <w:tc>
                <w:tcPr>
                  <w:tcW w:w="2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汇趣园</w:t>
                  </w:r>
                </w:p>
              </w:tc>
              <w:tc>
                <w:tcPr>
                  <w:tcW w:w="1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w:t>
                  </w:r>
                </w:p>
              </w:tc>
              <w:tc>
                <w:tcPr>
                  <w:tcW w:w="2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兴盛园</w:t>
                  </w:r>
                </w:p>
              </w:tc>
              <w:tc>
                <w:tcPr>
                  <w:tcW w:w="1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16</w:t>
                  </w:r>
                </w:p>
              </w:tc>
              <w:tc>
                <w:tcPr>
                  <w:tcW w:w="2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嘉隆园</w:t>
                  </w:r>
                </w:p>
              </w:tc>
              <w:tc>
                <w:tcPr>
                  <w:tcW w:w="1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17</w:t>
                  </w:r>
                </w:p>
              </w:tc>
              <w:tc>
                <w:tcPr>
                  <w:tcW w:w="2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嘉禾园</w:t>
                  </w:r>
                </w:p>
              </w:tc>
              <w:tc>
                <w:tcPr>
                  <w:tcW w:w="1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18</w:t>
                  </w:r>
                </w:p>
              </w:tc>
              <w:tc>
                <w:tcPr>
                  <w:tcW w:w="2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府前路(三道坝路-米东大道）</w:t>
                  </w:r>
                </w:p>
              </w:tc>
              <w:tc>
                <w:tcPr>
                  <w:tcW w:w="1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w:t>
                  </w:r>
                </w:p>
              </w:tc>
              <w:tc>
                <w:tcPr>
                  <w:tcW w:w="2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中颐路（府前路-揽胜街）</w:t>
                  </w:r>
                </w:p>
              </w:tc>
              <w:tc>
                <w:tcPr>
                  <w:tcW w:w="1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w:t>
                  </w:r>
                </w:p>
              </w:tc>
              <w:tc>
                <w:tcPr>
                  <w:tcW w:w="2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民康路</w:t>
                  </w:r>
                </w:p>
              </w:tc>
              <w:tc>
                <w:tcPr>
                  <w:tcW w:w="1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w:t>
                  </w:r>
                </w:p>
              </w:tc>
              <w:tc>
                <w:tcPr>
                  <w:tcW w:w="2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揽胜街（广场东路-中颐路）</w:t>
                  </w:r>
                </w:p>
              </w:tc>
              <w:tc>
                <w:tcPr>
                  <w:tcW w:w="1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22</w:t>
                  </w:r>
                </w:p>
              </w:tc>
              <w:tc>
                <w:tcPr>
                  <w:tcW w:w="2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万和街</w:t>
                  </w:r>
                </w:p>
              </w:tc>
              <w:tc>
                <w:tcPr>
                  <w:tcW w:w="1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23</w:t>
                  </w:r>
                </w:p>
              </w:tc>
              <w:tc>
                <w:tcPr>
                  <w:tcW w:w="2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中颐南路支巷（中颐南路-府前东路）</w:t>
                  </w:r>
                </w:p>
              </w:tc>
              <w:tc>
                <w:tcPr>
                  <w:tcW w:w="1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24</w:t>
                  </w:r>
                </w:p>
              </w:tc>
              <w:tc>
                <w:tcPr>
                  <w:tcW w:w="2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民康北路（揽胜东街-府前路）</w:t>
                  </w:r>
                </w:p>
              </w:tc>
              <w:tc>
                <w:tcPr>
                  <w:tcW w:w="1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25</w:t>
                  </w:r>
                </w:p>
              </w:tc>
              <w:tc>
                <w:tcPr>
                  <w:tcW w:w="2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政府院内停车场内地</w:t>
                  </w:r>
                </w:p>
              </w:tc>
              <w:tc>
                <w:tcPr>
                  <w:tcW w:w="1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26</w:t>
                  </w:r>
                </w:p>
              </w:tc>
              <w:tc>
                <w:tcPr>
                  <w:tcW w:w="2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米泉路（揽胜街-古牧地路）</w:t>
                  </w:r>
                </w:p>
              </w:tc>
              <w:tc>
                <w:tcPr>
                  <w:tcW w:w="1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27</w:t>
                  </w:r>
                </w:p>
              </w:tc>
              <w:tc>
                <w:tcPr>
                  <w:tcW w:w="2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皇渠路（古牧地路-揽胜东街）</w:t>
                  </w:r>
                </w:p>
              </w:tc>
              <w:tc>
                <w:tcPr>
                  <w:tcW w:w="1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28</w:t>
                  </w:r>
                </w:p>
              </w:tc>
              <w:tc>
                <w:tcPr>
                  <w:tcW w:w="2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揽胜街软隔离</w:t>
                  </w:r>
                </w:p>
              </w:tc>
              <w:tc>
                <w:tcPr>
                  <w:tcW w:w="1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29</w:t>
                  </w:r>
                </w:p>
              </w:tc>
              <w:tc>
                <w:tcPr>
                  <w:tcW w:w="2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府前路软隔离</w:t>
                  </w:r>
                </w:p>
              </w:tc>
              <w:tc>
                <w:tcPr>
                  <w:tcW w:w="1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30</w:t>
                  </w:r>
                </w:p>
              </w:tc>
              <w:tc>
                <w:tcPr>
                  <w:tcW w:w="2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中颐路软隔离</w:t>
                  </w:r>
                </w:p>
              </w:tc>
              <w:tc>
                <w:tcPr>
                  <w:tcW w:w="1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31</w:t>
                  </w:r>
                </w:p>
              </w:tc>
              <w:tc>
                <w:tcPr>
                  <w:tcW w:w="2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海棠花绿地</w:t>
                  </w:r>
                </w:p>
              </w:tc>
              <w:tc>
                <w:tcPr>
                  <w:tcW w:w="1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32</w:t>
                  </w:r>
                </w:p>
              </w:tc>
              <w:tc>
                <w:tcPr>
                  <w:tcW w:w="2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红沟河绿地</w:t>
                  </w:r>
                </w:p>
              </w:tc>
              <w:tc>
                <w:tcPr>
                  <w:tcW w:w="1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33</w:t>
                  </w:r>
                </w:p>
              </w:tc>
              <w:tc>
                <w:tcPr>
                  <w:tcW w:w="2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府前西路三角地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（国际大酒店旁）</w:t>
                  </w:r>
                </w:p>
              </w:tc>
              <w:tc>
                <w:tcPr>
                  <w:tcW w:w="1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34</w:t>
                  </w:r>
                </w:p>
              </w:tc>
              <w:tc>
                <w:tcPr>
                  <w:tcW w:w="2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中医院西绿地</w:t>
                  </w:r>
                </w:p>
              </w:tc>
              <w:tc>
                <w:tcPr>
                  <w:tcW w:w="1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35</w:t>
                  </w:r>
                </w:p>
              </w:tc>
              <w:tc>
                <w:tcPr>
                  <w:tcW w:w="2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家和华府绿地</w:t>
                  </w:r>
                </w:p>
              </w:tc>
              <w:tc>
                <w:tcPr>
                  <w:tcW w:w="1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36</w:t>
                  </w:r>
                </w:p>
              </w:tc>
              <w:tc>
                <w:tcPr>
                  <w:tcW w:w="2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政府停车场河</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坝西侧绿地</w:t>
                  </w:r>
                </w:p>
              </w:tc>
              <w:tc>
                <w:tcPr>
                  <w:tcW w:w="1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37</w:t>
                  </w:r>
                </w:p>
              </w:tc>
              <w:tc>
                <w:tcPr>
                  <w:tcW w:w="2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零星绿地</w:t>
                  </w:r>
                </w:p>
              </w:tc>
              <w:tc>
                <w:tcPr>
                  <w:tcW w:w="1588" w:type="pct"/>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rPr>
                    <w:t>100000</w:t>
                  </w:r>
                </w:p>
              </w:tc>
            </w:tr>
          </w:tbl>
          <w:p>
            <w:pPr>
              <w:pStyle w:val="10"/>
            </w:pPr>
            <w:r>
              <w:rPr>
                <w:rFonts w:hint="eastAsia"/>
                <w:lang w:bidi="ar"/>
              </w:rPr>
              <w:t>注：设施维护费、零星绿地费为暂估价，暂估价投标人不得更改。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837" w:type="dxa"/>
            <w:vMerge w:val="continue"/>
            <w:vAlign w:val="center"/>
          </w:tcPr>
          <w:p>
            <w:pPr>
              <w:jc w:val="center"/>
              <w:rPr>
                <w:rFonts w:asciiTheme="minorEastAsia" w:hAnsiTheme="minorEastAsia" w:cstheme="minorEastAsia"/>
                <w:kern w:val="0"/>
                <w:sz w:val="24"/>
                <w:szCs w:val="24"/>
              </w:rPr>
            </w:pPr>
          </w:p>
        </w:tc>
        <w:tc>
          <w:tcPr>
            <w:tcW w:w="1764" w:type="dxa"/>
            <w:vAlign w:val="center"/>
          </w:tcPr>
          <w:p>
            <w:pPr>
              <w:keepNext/>
              <w:widowControl/>
              <w:jc w:val="distribute"/>
              <w:rPr>
                <w:rFonts w:asciiTheme="minorEastAsia" w:hAnsiTheme="minorEastAsia" w:cstheme="minorEastAsia"/>
                <w:kern w:val="0"/>
                <w:sz w:val="24"/>
                <w:szCs w:val="24"/>
              </w:rPr>
            </w:pPr>
            <w:r>
              <w:rPr>
                <w:rFonts w:hint="eastAsia" w:asciiTheme="minorEastAsia" w:hAnsiTheme="minorEastAsia" w:cstheme="minorEastAsia"/>
                <w:kern w:val="0"/>
                <w:sz w:val="24"/>
                <w:szCs w:val="24"/>
              </w:rPr>
              <w:t>服务周期</w:t>
            </w:r>
          </w:p>
        </w:tc>
        <w:tc>
          <w:tcPr>
            <w:tcW w:w="7469" w:type="dxa"/>
            <w:vAlign w:val="center"/>
          </w:tcPr>
          <w:p>
            <w:pPr>
              <w:keepNext/>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1年（服务开始时间2024年1月，绿化养护在年底考核，考核通过后，续签下一年合同，中标通知书有效期三年。）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837" w:type="dxa"/>
            <w:vAlign w:val="center"/>
          </w:tcPr>
          <w:p>
            <w:pPr>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w:t>
            </w:r>
          </w:p>
        </w:tc>
        <w:tc>
          <w:tcPr>
            <w:tcW w:w="1764" w:type="dxa"/>
            <w:vAlign w:val="center"/>
          </w:tcPr>
          <w:p>
            <w:pPr>
              <w:keepNext/>
              <w:widowControl/>
              <w:jc w:val="distribute"/>
              <w:rPr>
                <w:rFonts w:asciiTheme="minorEastAsia" w:hAnsiTheme="minorEastAsia" w:cstheme="minorEastAsia"/>
                <w:kern w:val="0"/>
                <w:sz w:val="24"/>
                <w:szCs w:val="24"/>
              </w:rPr>
            </w:pPr>
            <w:r>
              <w:rPr>
                <w:rFonts w:hint="eastAsia" w:asciiTheme="minorEastAsia" w:hAnsiTheme="minorEastAsia" w:cstheme="minorEastAsia"/>
                <w:kern w:val="0"/>
                <w:sz w:val="24"/>
                <w:szCs w:val="24"/>
              </w:rPr>
              <w:t>招标范围</w:t>
            </w:r>
          </w:p>
        </w:tc>
        <w:tc>
          <w:tcPr>
            <w:tcW w:w="7469" w:type="dxa"/>
            <w:vAlign w:val="center"/>
          </w:tcPr>
          <w:p>
            <w:pPr>
              <w:keepNext/>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lang w:eastAsia="zh-CN"/>
              </w:rPr>
              <w:t>2024年-2026年米东区公共绿地绿化养护项目第9包</w:t>
            </w:r>
            <w:r>
              <w:rPr>
                <w:rFonts w:hint="eastAsia" w:asciiTheme="minorEastAsia" w:hAnsiTheme="minorEastAsia" w:cstheme="minorEastAsia"/>
                <w:kern w:val="0"/>
                <w:sz w:val="24"/>
                <w:szCs w:val="24"/>
              </w:rPr>
              <w:t>范围内所有工作内容，关于招标范围的详细说明见第四章“技术标准和要求”。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837" w:type="dxa"/>
            <w:vAlign w:val="center"/>
          </w:tcPr>
          <w:p>
            <w:pPr>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3</w:t>
            </w:r>
          </w:p>
        </w:tc>
        <w:tc>
          <w:tcPr>
            <w:tcW w:w="1764" w:type="dxa"/>
            <w:vAlign w:val="center"/>
          </w:tcPr>
          <w:p>
            <w:pPr>
              <w:keepNext/>
              <w:widowControl/>
              <w:jc w:val="distribute"/>
              <w:rPr>
                <w:rFonts w:asciiTheme="minorEastAsia" w:hAnsiTheme="minorEastAsia" w:cstheme="minorEastAsia"/>
                <w:kern w:val="0"/>
                <w:sz w:val="24"/>
                <w:szCs w:val="24"/>
              </w:rPr>
            </w:pPr>
            <w:r>
              <w:rPr>
                <w:rFonts w:hint="eastAsia" w:asciiTheme="minorEastAsia" w:hAnsiTheme="minorEastAsia" w:cstheme="minorEastAsia"/>
                <w:kern w:val="0"/>
                <w:sz w:val="24"/>
                <w:szCs w:val="24"/>
              </w:rPr>
              <w:t>招标方式</w:t>
            </w:r>
          </w:p>
        </w:tc>
        <w:tc>
          <w:tcPr>
            <w:tcW w:w="7469" w:type="dxa"/>
            <w:vAlign w:val="center"/>
          </w:tcPr>
          <w:p>
            <w:pPr>
              <w:keepNext/>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公开招标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837" w:type="dxa"/>
            <w:vMerge w:val="restart"/>
            <w:vAlign w:val="center"/>
          </w:tcPr>
          <w:p>
            <w:pPr>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4</w:t>
            </w:r>
          </w:p>
        </w:tc>
        <w:tc>
          <w:tcPr>
            <w:tcW w:w="1764" w:type="dxa"/>
            <w:vAlign w:val="center"/>
          </w:tcPr>
          <w:p>
            <w:pPr>
              <w:keepNext/>
              <w:widowControl/>
              <w:jc w:val="distribute"/>
              <w:rPr>
                <w:rFonts w:asciiTheme="minorEastAsia" w:hAnsiTheme="minorEastAsia" w:cstheme="minorEastAsia"/>
                <w:kern w:val="0"/>
                <w:sz w:val="24"/>
                <w:szCs w:val="24"/>
              </w:rPr>
            </w:pPr>
            <w:r>
              <w:rPr>
                <w:rFonts w:hint="eastAsia" w:asciiTheme="minorEastAsia" w:hAnsiTheme="minorEastAsia" w:cstheme="minorEastAsia"/>
                <w:kern w:val="0"/>
                <w:sz w:val="24"/>
                <w:szCs w:val="24"/>
              </w:rPr>
              <w:t>资格审查方式</w:t>
            </w:r>
          </w:p>
        </w:tc>
        <w:tc>
          <w:tcPr>
            <w:tcW w:w="7469" w:type="dxa"/>
            <w:vAlign w:val="center"/>
          </w:tcPr>
          <w:p>
            <w:pPr>
              <w:keepNext/>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资格后审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837" w:type="dxa"/>
            <w:vMerge w:val="continue"/>
            <w:vAlign w:val="center"/>
          </w:tcPr>
          <w:p>
            <w:pPr>
              <w:jc w:val="center"/>
              <w:rPr>
                <w:rFonts w:asciiTheme="minorEastAsia" w:hAnsiTheme="minorEastAsia" w:cstheme="minorEastAsia"/>
                <w:kern w:val="0"/>
                <w:sz w:val="24"/>
                <w:szCs w:val="24"/>
              </w:rPr>
            </w:pPr>
          </w:p>
        </w:tc>
        <w:tc>
          <w:tcPr>
            <w:tcW w:w="1764" w:type="dxa"/>
            <w:vAlign w:val="center"/>
          </w:tcPr>
          <w:p>
            <w:pPr>
              <w:keepNext/>
              <w:widowControl/>
              <w:jc w:val="distribute"/>
              <w:rPr>
                <w:rFonts w:asciiTheme="minorEastAsia" w:hAnsiTheme="minorEastAsia" w:cstheme="minorEastAsia"/>
                <w:kern w:val="0"/>
                <w:sz w:val="24"/>
                <w:szCs w:val="24"/>
              </w:rPr>
            </w:pPr>
            <w:r>
              <w:rPr>
                <w:rFonts w:hint="eastAsia" w:asciiTheme="minorEastAsia" w:hAnsiTheme="minorEastAsia" w:cstheme="minorEastAsia"/>
                <w:kern w:val="0"/>
                <w:sz w:val="24"/>
                <w:szCs w:val="24"/>
              </w:rPr>
              <w:t>评标办法</w:t>
            </w:r>
          </w:p>
        </w:tc>
        <w:tc>
          <w:tcPr>
            <w:tcW w:w="7469" w:type="dxa"/>
            <w:vAlign w:val="center"/>
          </w:tcPr>
          <w:p>
            <w:pPr>
              <w:keepNext/>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837" w:type="dxa"/>
            <w:vMerge w:val="restart"/>
            <w:vAlign w:val="center"/>
          </w:tcPr>
          <w:p>
            <w:pPr>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5</w:t>
            </w:r>
          </w:p>
        </w:tc>
        <w:tc>
          <w:tcPr>
            <w:tcW w:w="1764" w:type="dxa"/>
            <w:vAlign w:val="center"/>
          </w:tcPr>
          <w:p>
            <w:pPr>
              <w:keepNext/>
              <w:widowControl/>
              <w:jc w:val="distribute"/>
              <w:rPr>
                <w:rFonts w:asciiTheme="minorEastAsia" w:hAnsiTheme="minorEastAsia" w:cstheme="minorEastAsia"/>
                <w:kern w:val="0"/>
                <w:sz w:val="24"/>
                <w:szCs w:val="24"/>
              </w:rPr>
            </w:pPr>
            <w:r>
              <w:rPr>
                <w:rFonts w:hint="eastAsia" w:asciiTheme="minorEastAsia" w:hAnsiTheme="minorEastAsia" w:cstheme="minorEastAsia"/>
                <w:kern w:val="0"/>
                <w:sz w:val="24"/>
                <w:szCs w:val="24"/>
              </w:rPr>
              <w:t>定标方法</w:t>
            </w:r>
          </w:p>
        </w:tc>
        <w:tc>
          <w:tcPr>
            <w:tcW w:w="7469" w:type="dxa"/>
            <w:vAlign w:val="center"/>
          </w:tcPr>
          <w:p>
            <w:pPr>
              <w:keepNext/>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评标委员会推荐三名中标候选人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837" w:type="dxa"/>
            <w:vMerge w:val="continue"/>
            <w:vAlign w:val="center"/>
          </w:tcPr>
          <w:p>
            <w:pPr>
              <w:jc w:val="center"/>
              <w:rPr>
                <w:rFonts w:asciiTheme="minorEastAsia" w:hAnsiTheme="minorEastAsia" w:cstheme="minorEastAsia"/>
                <w:kern w:val="0"/>
                <w:sz w:val="24"/>
                <w:szCs w:val="24"/>
              </w:rPr>
            </w:pPr>
          </w:p>
        </w:tc>
        <w:tc>
          <w:tcPr>
            <w:tcW w:w="1764" w:type="dxa"/>
            <w:vAlign w:val="center"/>
          </w:tcPr>
          <w:p>
            <w:pPr>
              <w:keepNext/>
              <w:widowControl/>
              <w:jc w:val="distribute"/>
              <w:rPr>
                <w:rFonts w:asciiTheme="minorEastAsia" w:hAnsiTheme="minorEastAsia" w:cstheme="minorEastAsia"/>
                <w:kern w:val="0"/>
                <w:sz w:val="24"/>
                <w:szCs w:val="24"/>
              </w:rPr>
            </w:pPr>
            <w:r>
              <w:rPr>
                <w:rFonts w:hint="eastAsia" w:asciiTheme="minorEastAsia" w:hAnsiTheme="minorEastAsia" w:cstheme="minorEastAsia"/>
                <w:kern w:val="0"/>
                <w:sz w:val="24"/>
                <w:szCs w:val="24"/>
              </w:rPr>
              <w:t>投标人资格条件和能力</w:t>
            </w:r>
          </w:p>
        </w:tc>
        <w:tc>
          <w:tcPr>
            <w:tcW w:w="7469" w:type="dxa"/>
            <w:vAlign w:val="center"/>
          </w:tcPr>
          <w:p>
            <w:pPr>
              <w:keepNext/>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1、投标人必须满足《中华人民共和国政府采购法》第二十二条规定。</w:t>
            </w:r>
          </w:p>
          <w:p>
            <w:pPr>
              <w:keepNext/>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2、落实政府采购政策需满足的资格要求：供应商为小微企业； </w:t>
            </w:r>
          </w:p>
          <w:p>
            <w:pPr>
              <w:rPr>
                <w:rFonts w:asciiTheme="minorEastAsia" w:hAnsiTheme="minorEastAsia" w:cstheme="minorEastAsia"/>
                <w:color w:val="auto"/>
                <w:kern w:val="0"/>
                <w:sz w:val="24"/>
                <w:szCs w:val="24"/>
              </w:rPr>
            </w:pPr>
            <w:r>
              <w:rPr>
                <w:rFonts w:hint="eastAsia" w:asciiTheme="minorEastAsia" w:hAnsiTheme="minorEastAsia" w:cstheme="minorEastAsia"/>
                <w:kern w:val="0"/>
                <w:sz w:val="24"/>
                <w:szCs w:val="24"/>
              </w:rPr>
              <w:t>3</w:t>
            </w:r>
            <w:r>
              <w:rPr>
                <w:rFonts w:hint="eastAsia" w:asciiTheme="minorEastAsia" w:hAnsiTheme="minorEastAsia" w:cstheme="minorEastAsia"/>
                <w:color w:val="auto"/>
                <w:kern w:val="0"/>
                <w:sz w:val="24"/>
                <w:szCs w:val="24"/>
              </w:rPr>
              <w:t>、投标人必须是中华人民共和国境内注册，具有有效的营业执照（或事业单位法人证书）。</w:t>
            </w:r>
          </w:p>
          <w:p>
            <w:pPr>
              <w:rPr>
                <w:rFonts w:asciiTheme="minorEastAsia" w:hAnsiTheme="minorEastAsia" w:cstheme="minorEastAsia"/>
                <w:color w:val="auto"/>
                <w:kern w:val="0"/>
                <w:sz w:val="24"/>
                <w:szCs w:val="24"/>
              </w:rPr>
            </w:pPr>
            <w:r>
              <w:rPr>
                <w:rFonts w:hint="eastAsia" w:asciiTheme="minorEastAsia" w:hAnsiTheme="minorEastAsia" w:cstheme="minorEastAsia"/>
                <w:color w:val="auto"/>
                <w:kern w:val="0"/>
                <w:sz w:val="24"/>
                <w:szCs w:val="24"/>
              </w:rPr>
              <w:t>4、投标人须是在“信用中国”网站（WWW.creditchina.gov.cn）和中国政府采购网（www.ccgp.gov.cn）网站中未被列入失信被执行人、重大税收违法案件当事人名单以及政府采购严重违法失信行为记录名单（尚在处罚期内的）；</w:t>
            </w:r>
          </w:p>
          <w:p>
            <w:pPr>
              <w:keepNext/>
              <w:widowControl/>
              <w:jc w:val="left"/>
              <w:rPr>
                <w:rFonts w:asciiTheme="minorEastAsia" w:hAnsiTheme="minorEastAsia" w:cstheme="minorEastAsia"/>
                <w:color w:val="auto"/>
                <w:kern w:val="0"/>
                <w:sz w:val="24"/>
                <w:szCs w:val="24"/>
              </w:rPr>
            </w:pPr>
            <w:r>
              <w:rPr>
                <w:rFonts w:hint="eastAsia" w:asciiTheme="minorEastAsia" w:hAnsiTheme="minorEastAsia" w:cstheme="minorEastAsia"/>
                <w:color w:val="auto"/>
                <w:kern w:val="0"/>
                <w:sz w:val="24"/>
                <w:szCs w:val="24"/>
              </w:rPr>
              <w:t>5、本次招标不接受联合体投标。</w:t>
            </w:r>
          </w:p>
          <w:p>
            <w:pPr>
              <w:keepNext/>
              <w:widowControl/>
              <w:jc w:val="left"/>
              <w:rPr>
                <w:rFonts w:asciiTheme="minorEastAsia" w:hAnsiTheme="minorEastAsia" w:cstheme="minorEastAsia"/>
                <w:kern w:val="0"/>
                <w:sz w:val="24"/>
                <w:szCs w:val="24"/>
              </w:rPr>
            </w:pPr>
            <w:r>
              <w:rPr>
                <w:rFonts w:hint="eastAsia" w:asciiTheme="minorEastAsia" w:hAnsiTheme="minorEastAsia" w:cstheme="minorEastAsia"/>
                <w:color w:val="auto"/>
                <w:kern w:val="0"/>
                <w:sz w:val="24"/>
                <w:szCs w:val="24"/>
              </w:rPr>
              <w:t>6、其他说明：</w:t>
            </w:r>
            <w:r>
              <w:rPr>
                <w:rFonts w:asciiTheme="minorEastAsia" w:hAnsiTheme="minorEastAsia"/>
                <w:color w:val="auto"/>
                <w:sz w:val="24"/>
                <w:szCs w:val="24"/>
              </w:rPr>
              <w:t>①与</w:t>
            </w:r>
            <w:r>
              <w:rPr>
                <w:rFonts w:hint="eastAsia" w:asciiTheme="minorEastAsia" w:hAnsiTheme="minorEastAsia"/>
                <w:color w:val="auto"/>
                <w:sz w:val="24"/>
                <w:szCs w:val="24"/>
              </w:rPr>
              <w:t>招标人</w:t>
            </w:r>
            <w:r>
              <w:rPr>
                <w:rFonts w:asciiTheme="minorEastAsia" w:hAnsiTheme="minorEastAsia"/>
                <w:color w:val="auto"/>
                <w:sz w:val="24"/>
                <w:szCs w:val="24"/>
              </w:rPr>
              <w:t>存在利害关系可能影响招标公正性的法人、其他组织或者个人，不得参加投标。②</w:t>
            </w:r>
            <w:r>
              <w:rPr>
                <w:rFonts w:hint="eastAsia" w:asciiTheme="minorEastAsia" w:hAnsiTheme="minorEastAsia"/>
                <w:color w:val="auto"/>
                <w:sz w:val="24"/>
                <w:szCs w:val="24"/>
              </w:rPr>
              <w:t>单位负责人为同一人或者存在控股、管理关系的不同投标人，不得参加同一合同项下的政府采购活动。</w:t>
            </w:r>
            <w:r>
              <w:rPr>
                <w:rFonts w:asciiTheme="minorEastAsia" w:hAnsiTheme="minorEastAsia"/>
                <w:color w:val="auto"/>
                <w:sz w:val="24"/>
                <w:szCs w:val="24"/>
              </w:rPr>
              <w:t>违反前两款规定的，相关投标均无效。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837" w:type="dxa"/>
            <w:vAlign w:val="center"/>
          </w:tcPr>
          <w:p>
            <w:pPr>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6</w:t>
            </w:r>
          </w:p>
        </w:tc>
        <w:tc>
          <w:tcPr>
            <w:tcW w:w="1764" w:type="dxa"/>
            <w:vAlign w:val="center"/>
          </w:tcPr>
          <w:p>
            <w:pPr>
              <w:keepNext/>
              <w:widowControl/>
              <w:jc w:val="distribute"/>
              <w:rPr>
                <w:rFonts w:asciiTheme="minorEastAsia" w:hAnsiTheme="minorEastAsia" w:cstheme="minorEastAsia"/>
                <w:kern w:val="0"/>
                <w:sz w:val="24"/>
                <w:szCs w:val="24"/>
              </w:rPr>
            </w:pPr>
            <w:r>
              <w:rPr>
                <w:rFonts w:hint="eastAsia" w:asciiTheme="minorEastAsia" w:hAnsiTheme="minorEastAsia" w:cstheme="minorEastAsia"/>
                <w:kern w:val="0"/>
                <w:sz w:val="24"/>
                <w:szCs w:val="24"/>
              </w:rPr>
              <w:t>招标文件费</w:t>
            </w:r>
          </w:p>
        </w:tc>
        <w:tc>
          <w:tcPr>
            <w:tcW w:w="7469" w:type="dxa"/>
            <w:vAlign w:val="center"/>
          </w:tcPr>
          <w:p>
            <w:pPr>
              <w:keepNext/>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837" w:type="dxa"/>
            <w:vAlign w:val="center"/>
          </w:tcPr>
          <w:p>
            <w:pPr>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7</w:t>
            </w:r>
          </w:p>
        </w:tc>
        <w:tc>
          <w:tcPr>
            <w:tcW w:w="1764" w:type="dxa"/>
            <w:vAlign w:val="center"/>
          </w:tcPr>
          <w:p>
            <w:pPr>
              <w:keepNext/>
              <w:widowControl/>
              <w:jc w:val="distribute"/>
              <w:rPr>
                <w:rFonts w:asciiTheme="minorEastAsia" w:hAnsiTheme="minorEastAsia" w:cstheme="minorEastAsia"/>
                <w:color w:val="auto"/>
                <w:kern w:val="0"/>
                <w:sz w:val="24"/>
                <w:szCs w:val="24"/>
              </w:rPr>
            </w:pPr>
            <w:r>
              <w:rPr>
                <w:rFonts w:hint="eastAsia" w:asciiTheme="minorEastAsia" w:hAnsiTheme="minorEastAsia" w:cstheme="minorEastAsia"/>
                <w:color w:val="auto"/>
                <w:kern w:val="0"/>
                <w:sz w:val="24"/>
                <w:szCs w:val="24"/>
              </w:rPr>
              <w:t>投标保证金</w:t>
            </w:r>
          </w:p>
        </w:tc>
        <w:tc>
          <w:tcPr>
            <w:tcW w:w="7469" w:type="dxa"/>
            <w:vAlign w:val="center"/>
          </w:tcPr>
          <w:p>
            <w:pPr>
              <w:pStyle w:val="14"/>
              <w:jc w:val="left"/>
              <w:rPr>
                <w:rFonts w:asciiTheme="minorEastAsia" w:hAnsiTheme="minorEastAsia" w:eastAsiaTheme="minorEastAsia"/>
                <w:color w:val="auto"/>
                <w:sz w:val="24"/>
                <w:szCs w:val="24"/>
              </w:rPr>
            </w:pPr>
            <w:r>
              <w:rPr>
                <w:rFonts w:hint="eastAsia" w:asciiTheme="minorEastAsia" w:hAnsiTheme="minorEastAsia" w:eastAsiaTheme="minorEastAsia"/>
                <w:b/>
                <w:color w:val="auto"/>
                <w:sz w:val="24"/>
                <w:szCs w:val="24"/>
              </w:rPr>
              <w:t>要求提供。</w:t>
            </w:r>
          </w:p>
          <w:p>
            <w:pPr>
              <w:pStyle w:val="14"/>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本项目的投标保证金金额：</w:t>
            </w:r>
            <w:r>
              <w:rPr>
                <w:rFonts w:hint="eastAsia" w:asciiTheme="minorEastAsia" w:hAnsiTheme="minorEastAsia" w:eastAsiaTheme="minorEastAsia"/>
                <w:color w:val="auto"/>
                <w:sz w:val="24"/>
                <w:szCs w:val="24"/>
                <w:u w:val="single"/>
                <w:lang w:val="en-US" w:eastAsia="zh-CN"/>
              </w:rPr>
              <w:t>20000</w:t>
            </w:r>
            <w:r>
              <w:rPr>
                <w:rFonts w:hint="eastAsia" w:asciiTheme="minorEastAsia" w:hAnsiTheme="minorEastAsia" w:eastAsiaTheme="minorEastAsia"/>
                <w:color w:val="auto"/>
                <w:sz w:val="24"/>
                <w:szCs w:val="24"/>
              </w:rPr>
              <w:t>元（</w:t>
            </w:r>
            <w:r>
              <w:rPr>
                <w:rFonts w:hint="eastAsia" w:asciiTheme="minorEastAsia" w:hAnsiTheme="minorEastAsia" w:eastAsiaTheme="minorEastAsia"/>
                <w:color w:val="auto"/>
                <w:sz w:val="24"/>
                <w:szCs w:val="24"/>
                <w:lang w:eastAsia="zh-CN"/>
              </w:rPr>
              <w:t>贰万元整</w:t>
            </w:r>
            <w:r>
              <w:rPr>
                <w:rFonts w:hint="eastAsia" w:asciiTheme="minorEastAsia" w:hAnsiTheme="minorEastAsia" w:eastAsiaTheme="minorEastAsia"/>
                <w:color w:val="auto"/>
                <w:sz w:val="24"/>
                <w:szCs w:val="24"/>
              </w:rPr>
              <w:t>）</w:t>
            </w:r>
          </w:p>
          <w:p>
            <w:pPr>
              <w:pStyle w:val="14"/>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账户名：新疆锐智时代建设工程项目管理有限公司</w:t>
            </w:r>
          </w:p>
          <w:p>
            <w:pPr>
              <w:pStyle w:val="14"/>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开户行：建行五星路支行</w:t>
            </w:r>
          </w:p>
          <w:p>
            <w:pPr>
              <w:pStyle w:val="14"/>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行  号：</w:t>
            </w:r>
            <w:r>
              <w:rPr>
                <w:rFonts w:asciiTheme="minorEastAsia" w:hAnsiTheme="minorEastAsia" w:eastAsiaTheme="minorEastAsia"/>
                <w:color w:val="auto"/>
                <w:sz w:val="24"/>
                <w:szCs w:val="24"/>
              </w:rPr>
              <w:t>105881000500</w:t>
            </w:r>
          </w:p>
          <w:p>
            <w:pPr>
              <w:pStyle w:val="14"/>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帐  号：</w:t>
            </w:r>
            <w:r>
              <w:rPr>
                <w:rFonts w:asciiTheme="minorEastAsia" w:hAnsiTheme="minorEastAsia" w:eastAsiaTheme="minorEastAsia"/>
                <w:color w:val="auto"/>
                <w:sz w:val="24"/>
                <w:szCs w:val="24"/>
              </w:rPr>
              <w:t>65050161603800000351</w:t>
            </w:r>
          </w:p>
          <w:p>
            <w:pPr>
              <w:rPr>
                <w:color w:val="auto"/>
              </w:rPr>
            </w:pPr>
            <w:r>
              <w:rPr>
                <w:rFonts w:hint="eastAsia" w:asciiTheme="minorEastAsia" w:hAnsiTheme="minorEastAsia"/>
                <w:color w:val="auto"/>
                <w:sz w:val="24"/>
                <w:szCs w:val="24"/>
              </w:rPr>
              <w:t>投标保证金缴纳形式：</w:t>
            </w:r>
            <w:r>
              <w:rPr>
                <w:rFonts w:hint="eastAsia" w:hAnsi="宋体"/>
                <w:color w:val="auto"/>
                <w:sz w:val="24"/>
                <w:szCs w:val="24"/>
              </w:rPr>
              <w:t>以非现金形式的电子保函缴纳或以电汇、网银等支付方式缴纳至招标代理机构指定账户。</w:t>
            </w:r>
          </w:p>
          <w:p>
            <w:pPr>
              <w:ind w:firstLine="482"/>
              <w:rPr>
                <w:rFonts w:ascii="宋体" w:hAnsi="宋体"/>
                <w:b/>
                <w:color w:val="auto"/>
                <w:sz w:val="24"/>
                <w:szCs w:val="24"/>
              </w:rPr>
            </w:pPr>
            <w:r>
              <w:rPr>
                <w:rFonts w:hint="eastAsia" w:ascii="宋体" w:hAnsi="宋体"/>
                <w:b/>
                <w:color w:val="auto"/>
                <w:sz w:val="24"/>
                <w:szCs w:val="24"/>
              </w:rPr>
              <w:t>1、电汇、网银转账须知：缴纳时需在附加信息及用途栏内注明投标保证金、</w:t>
            </w:r>
            <w:r>
              <w:rPr>
                <w:rFonts w:hint="eastAsia" w:ascii="宋体" w:hAnsi="宋体"/>
                <w:b/>
                <w:color w:val="auto"/>
                <w:sz w:val="24"/>
                <w:szCs w:val="24"/>
                <w:lang w:eastAsia="zh-CN"/>
              </w:rPr>
              <w:t>标段</w:t>
            </w:r>
            <w:r>
              <w:rPr>
                <w:rFonts w:hint="eastAsia" w:ascii="宋体" w:hAnsi="宋体"/>
                <w:b/>
                <w:color w:val="auto"/>
                <w:sz w:val="24"/>
                <w:szCs w:val="24"/>
              </w:rPr>
              <w:t>名称（简称）；投标</w:t>
            </w:r>
            <w:r>
              <w:rPr>
                <w:rFonts w:ascii="宋体" w:hAnsi="宋体"/>
                <w:b/>
                <w:color w:val="auto"/>
                <w:sz w:val="24"/>
                <w:szCs w:val="24"/>
              </w:rPr>
              <w:t>保证金于</w:t>
            </w:r>
            <w:r>
              <w:rPr>
                <w:rFonts w:hint="eastAsia" w:ascii="宋体" w:hAnsi="宋体"/>
                <w:b/>
                <w:color w:val="auto"/>
                <w:sz w:val="24"/>
                <w:szCs w:val="24"/>
              </w:rPr>
              <w:t>投标文件递交</w:t>
            </w:r>
            <w:r>
              <w:rPr>
                <w:rFonts w:ascii="宋体" w:hAnsi="宋体"/>
                <w:b/>
                <w:color w:val="auto"/>
                <w:sz w:val="24"/>
                <w:szCs w:val="24"/>
              </w:rPr>
              <w:t>截止时间前确认到账</w:t>
            </w:r>
            <w:r>
              <w:rPr>
                <w:rFonts w:hint="eastAsia" w:ascii="宋体" w:hAnsi="宋体"/>
                <w:b/>
                <w:color w:val="auto"/>
                <w:sz w:val="24"/>
                <w:szCs w:val="24"/>
              </w:rPr>
              <w:t>（</w:t>
            </w:r>
            <w:r>
              <w:rPr>
                <w:rFonts w:hint="eastAsia"/>
                <w:b/>
                <w:color w:val="auto"/>
                <w:sz w:val="24"/>
                <w:szCs w:val="24"/>
              </w:rPr>
              <w:t>投标人</w:t>
            </w:r>
            <w:r>
              <w:rPr>
                <w:b/>
                <w:color w:val="auto"/>
                <w:sz w:val="24"/>
                <w:szCs w:val="24"/>
              </w:rPr>
              <w:t>需自行评估因异地、跨行、公休日等因素造成的</w:t>
            </w:r>
            <w:r>
              <w:rPr>
                <w:rFonts w:hint="eastAsia" w:ascii="宋体" w:hAnsi="宋体"/>
                <w:b/>
                <w:color w:val="auto"/>
                <w:sz w:val="24"/>
                <w:szCs w:val="24"/>
              </w:rPr>
              <w:t>投标</w:t>
            </w:r>
            <w:r>
              <w:rPr>
                <w:b/>
                <w:color w:val="auto"/>
                <w:sz w:val="24"/>
                <w:szCs w:val="24"/>
              </w:rPr>
              <w:t>保证金到账延迟风险，并承担相应责任。</w:t>
            </w:r>
            <w:r>
              <w:rPr>
                <w:rFonts w:hint="eastAsia" w:ascii="宋体" w:hAnsi="宋体"/>
                <w:b/>
                <w:color w:val="auto"/>
                <w:sz w:val="24"/>
                <w:szCs w:val="24"/>
              </w:rPr>
              <w:t>）</w:t>
            </w:r>
          </w:p>
          <w:p>
            <w:pPr>
              <w:ind w:firstLine="482"/>
              <w:rPr>
                <w:b/>
                <w:color w:val="auto"/>
              </w:rPr>
            </w:pPr>
            <w:r>
              <w:rPr>
                <w:rFonts w:hint="eastAsia"/>
                <w:b/>
                <w:color w:val="auto"/>
                <w:sz w:val="24"/>
                <w:szCs w:val="24"/>
              </w:rPr>
              <w:t>2</w:t>
            </w:r>
            <w:r>
              <w:rPr>
                <w:b/>
                <w:color w:val="auto"/>
                <w:sz w:val="24"/>
                <w:szCs w:val="24"/>
              </w:rPr>
              <w:t>、政采云电子保函须知</w:t>
            </w:r>
            <w:r>
              <w:rPr>
                <w:rFonts w:hint="eastAsia"/>
                <w:b/>
                <w:color w:val="auto"/>
                <w:sz w:val="24"/>
                <w:szCs w:val="24"/>
              </w:rPr>
              <w:t>：</w:t>
            </w:r>
          </w:p>
          <w:p>
            <w:pPr>
              <w:rPr>
                <w:b/>
                <w:color w:val="auto"/>
              </w:rPr>
            </w:pPr>
            <w:r>
              <w:rPr>
                <w:rFonts w:hint="eastAsia" w:ascii="宋体" w:hAnsi="宋体" w:eastAsia="等线"/>
                <w:b/>
                <w:color w:val="auto"/>
                <w:sz w:val="24"/>
                <w:szCs w:val="24"/>
              </w:rPr>
              <w:t>(1)</w:t>
            </w:r>
            <w:r>
              <w:rPr>
                <w:rFonts w:hint="eastAsia" w:ascii="宋体" w:hAnsi="宋体"/>
                <w:b/>
                <w:color w:val="auto"/>
                <w:sz w:val="24"/>
                <w:szCs w:val="24"/>
              </w:rPr>
              <w:t>本项目推荐使用政采云电子保函形式缴纳投标保证金，在线完成保函的申请、审核、开票、出函等环节；</w:t>
            </w:r>
          </w:p>
          <w:p>
            <w:pPr>
              <w:rPr>
                <w:b/>
                <w:color w:val="auto"/>
              </w:rPr>
            </w:pPr>
            <w:r>
              <w:rPr>
                <w:rFonts w:hint="eastAsia" w:ascii="宋体" w:hAnsi="宋体" w:eastAsia="等线"/>
                <w:b/>
                <w:color w:val="auto"/>
                <w:sz w:val="24"/>
                <w:szCs w:val="24"/>
              </w:rPr>
              <w:t>(2)</w:t>
            </w:r>
            <w:r>
              <w:rPr>
                <w:rFonts w:hint="eastAsia" w:ascii="宋体" w:hAnsi="宋体"/>
                <w:b/>
                <w:color w:val="auto"/>
                <w:sz w:val="24"/>
                <w:szCs w:val="24"/>
              </w:rPr>
              <w:t>如采用政采云电子保函形式，可按照以下形式进行在线申请，电子保函申请链接</w:t>
            </w:r>
            <w:r>
              <w:rPr>
                <w:b/>
                <w:color w:val="auto"/>
                <w:sz w:val="24"/>
                <w:szCs w:val="24"/>
              </w:rPr>
              <w:t>（</w:t>
            </w:r>
            <w:r>
              <w:rPr>
                <w:rFonts w:hint="eastAsia" w:ascii="宋体" w:hAnsi="宋体" w:eastAsia="等线"/>
                <w:b/>
                <w:color w:val="auto"/>
                <w:sz w:val="24"/>
                <w:szCs w:val="24"/>
              </w:rPr>
              <w:t>https://jinrong.zcygov.cn/finance/letter/produc</w:t>
            </w:r>
          </w:p>
          <w:p>
            <w:pPr>
              <w:rPr>
                <w:b/>
                <w:color w:val="auto"/>
              </w:rPr>
            </w:pPr>
            <w:r>
              <w:rPr>
                <w:rFonts w:hint="eastAsia" w:ascii="宋体" w:hAnsi="宋体" w:eastAsia="等线"/>
                <w:b/>
                <w:color w:val="auto"/>
                <w:sz w:val="24"/>
                <w:szCs w:val="24"/>
              </w:rPr>
              <w:t>t/detail?id=30&amp;source=41</w:t>
            </w:r>
            <w:r>
              <w:rPr>
                <w:b/>
                <w:color w:val="auto"/>
                <w:sz w:val="24"/>
                <w:szCs w:val="24"/>
              </w:rPr>
              <w:t>）</w:t>
            </w:r>
            <w:r>
              <w:rPr>
                <w:rFonts w:hint="eastAsia" w:ascii="宋体" w:hAnsi="宋体"/>
                <w:b/>
                <w:color w:val="auto"/>
                <w:sz w:val="24"/>
                <w:szCs w:val="24"/>
              </w:rPr>
              <w:t>，如遇问题可拨打客服电话：95763</w:t>
            </w:r>
          </w:p>
          <w:p>
            <w:pPr>
              <w:keepNext/>
              <w:widowControl/>
              <w:ind w:firstLine="482"/>
              <w:jc w:val="left"/>
              <w:rPr>
                <w:rFonts w:asciiTheme="minorEastAsia" w:hAnsiTheme="minorEastAsia" w:cstheme="minorEastAsia"/>
                <w:color w:val="auto"/>
                <w:kern w:val="0"/>
                <w:sz w:val="24"/>
                <w:szCs w:val="24"/>
              </w:rPr>
            </w:pPr>
            <w:r>
              <w:rPr>
                <w:rFonts w:ascii="宋体" w:hAnsi="宋体"/>
                <w:b/>
                <w:color w:val="auto"/>
                <w:sz w:val="24"/>
                <w:szCs w:val="24"/>
              </w:rPr>
              <w:t>若</w:t>
            </w:r>
            <w:r>
              <w:rPr>
                <w:rFonts w:hint="eastAsia" w:ascii="宋体" w:hAnsi="宋体"/>
                <w:b/>
                <w:color w:val="auto"/>
                <w:sz w:val="24"/>
                <w:szCs w:val="24"/>
              </w:rPr>
              <w:t>投标人</w:t>
            </w:r>
            <w:r>
              <w:rPr>
                <w:rFonts w:ascii="宋体" w:hAnsi="宋体"/>
                <w:b/>
                <w:color w:val="auto"/>
                <w:sz w:val="24"/>
                <w:szCs w:val="24"/>
              </w:rPr>
              <w:t>未按照上述缴纳</w:t>
            </w:r>
            <w:r>
              <w:rPr>
                <w:rFonts w:hint="eastAsia" w:ascii="宋体" w:hAnsi="宋体"/>
                <w:b/>
                <w:color w:val="auto"/>
                <w:sz w:val="24"/>
                <w:szCs w:val="24"/>
              </w:rPr>
              <w:t>投标</w:t>
            </w:r>
            <w:r>
              <w:rPr>
                <w:rFonts w:ascii="宋体" w:hAnsi="宋体"/>
                <w:b/>
                <w:color w:val="auto"/>
                <w:sz w:val="24"/>
                <w:szCs w:val="24"/>
              </w:rPr>
              <w:t>保证金,</w:t>
            </w:r>
            <w:r>
              <w:rPr>
                <w:rFonts w:hint="eastAsia" w:ascii="宋体" w:hAnsi="宋体"/>
                <w:b/>
                <w:color w:val="auto"/>
                <w:sz w:val="24"/>
                <w:szCs w:val="24"/>
              </w:rPr>
              <w:t>投标</w:t>
            </w:r>
            <w:r>
              <w:rPr>
                <w:rFonts w:ascii="宋体" w:hAnsi="宋体"/>
                <w:b/>
                <w:color w:val="auto"/>
                <w:sz w:val="24"/>
                <w:szCs w:val="24"/>
              </w:rPr>
              <w:t>文件将被拒绝评审。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837" w:type="dxa"/>
            <w:vAlign w:val="center"/>
          </w:tcPr>
          <w:p>
            <w:pPr>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8</w:t>
            </w:r>
          </w:p>
        </w:tc>
        <w:tc>
          <w:tcPr>
            <w:tcW w:w="1764" w:type="dxa"/>
            <w:vAlign w:val="center"/>
          </w:tcPr>
          <w:p>
            <w:pPr>
              <w:keepNext/>
              <w:widowControl/>
              <w:jc w:val="distribute"/>
              <w:rPr>
                <w:rFonts w:asciiTheme="minorEastAsia" w:hAnsiTheme="minorEastAsia" w:cstheme="minorEastAsia"/>
                <w:kern w:val="0"/>
                <w:sz w:val="24"/>
                <w:szCs w:val="24"/>
              </w:rPr>
            </w:pPr>
            <w:r>
              <w:rPr>
                <w:rFonts w:hint="eastAsia" w:asciiTheme="minorEastAsia" w:hAnsiTheme="minorEastAsia" w:cstheme="minorEastAsia"/>
                <w:kern w:val="0"/>
                <w:sz w:val="24"/>
                <w:szCs w:val="24"/>
              </w:rPr>
              <w:t>现场踏勘</w:t>
            </w:r>
          </w:p>
        </w:tc>
        <w:tc>
          <w:tcPr>
            <w:tcW w:w="7469" w:type="dxa"/>
            <w:vAlign w:val="center"/>
          </w:tcPr>
          <w:p>
            <w:pPr>
              <w:keepNext/>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不组织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837" w:type="dxa"/>
            <w:vAlign w:val="center"/>
          </w:tcPr>
          <w:p>
            <w:pPr>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9</w:t>
            </w:r>
          </w:p>
        </w:tc>
        <w:tc>
          <w:tcPr>
            <w:tcW w:w="1764" w:type="dxa"/>
            <w:vAlign w:val="center"/>
          </w:tcPr>
          <w:p>
            <w:pPr>
              <w:keepNext/>
              <w:widowControl/>
              <w:jc w:val="distribute"/>
              <w:rPr>
                <w:rFonts w:asciiTheme="minorEastAsia" w:hAnsiTheme="minorEastAsia" w:cstheme="minorEastAsia"/>
                <w:kern w:val="0"/>
                <w:sz w:val="24"/>
                <w:szCs w:val="24"/>
              </w:rPr>
            </w:pPr>
            <w:r>
              <w:rPr>
                <w:rFonts w:hint="eastAsia" w:asciiTheme="minorEastAsia" w:hAnsiTheme="minorEastAsia" w:cstheme="minorEastAsia"/>
                <w:kern w:val="0"/>
                <w:sz w:val="24"/>
                <w:szCs w:val="24"/>
              </w:rPr>
              <w:t>招标答疑</w:t>
            </w:r>
          </w:p>
        </w:tc>
        <w:tc>
          <w:tcPr>
            <w:tcW w:w="7469" w:type="dxa"/>
            <w:vAlign w:val="center"/>
          </w:tcPr>
          <w:p>
            <w:pPr>
              <w:jc w:val="left"/>
              <w:rPr>
                <w:rFonts w:asciiTheme="minorEastAsia" w:hAnsiTheme="minorEastAsia" w:cstheme="minorEastAsia"/>
                <w:color w:val="auto"/>
                <w:kern w:val="0"/>
                <w:sz w:val="24"/>
                <w:szCs w:val="24"/>
              </w:rPr>
            </w:pPr>
            <w:r>
              <w:rPr>
                <w:rFonts w:hint="eastAsia" w:asciiTheme="minorEastAsia" w:hAnsiTheme="minorEastAsia" w:cstheme="minorEastAsia"/>
                <w:color w:val="auto"/>
                <w:kern w:val="0"/>
                <w:sz w:val="24"/>
                <w:szCs w:val="24"/>
              </w:rPr>
              <w:t>对招标文件提出质疑的，应当在获取招标文件或者招标文件公告期限届满之日起7个工作日内一次性提出。投标人投诉的事项不得超出已质疑事项的范围。</w:t>
            </w:r>
          </w:p>
          <w:p>
            <w:pPr>
              <w:jc w:val="left"/>
              <w:rPr>
                <w:rFonts w:asciiTheme="minorEastAsia" w:hAnsiTheme="minorEastAsia" w:cstheme="minorEastAsia"/>
                <w:color w:val="auto"/>
                <w:kern w:val="0"/>
                <w:sz w:val="24"/>
                <w:szCs w:val="24"/>
              </w:rPr>
            </w:pPr>
            <w:r>
              <w:rPr>
                <w:rFonts w:hint="eastAsia" w:asciiTheme="minorEastAsia" w:hAnsiTheme="minorEastAsia" w:cstheme="minorEastAsia"/>
                <w:color w:val="auto"/>
                <w:kern w:val="0"/>
                <w:sz w:val="24"/>
                <w:szCs w:val="24"/>
              </w:rPr>
              <w:t>澄清修改内容可能影响投标文件编制的，应当在投标截止时间至少15日前，以公告变更的形式通知所有获取招标文件的潜在投标人。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837" w:type="dxa"/>
            <w:vAlign w:val="center"/>
          </w:tcPr>
          <w:p>
            <w:pPr>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10</w:t>
            </w:r>
          </w:p>
        </w:tc>
        <w:tc>
          <w:tcPr>
            <w:tcW w:w="1764" w:type="dxa"/>
            <w:vAlign w:val="center"/>
          </w:tcPr>
          <w:p>
            <w:pPr>
              <w:keepNext/>
              <w:widowControl/>
              <w:jc w:val="distribute"/>
              <w:rPr>
                <w:rFonts w:asciiTheme="minorEastAsia" w:hAnsiTheme="minorEastAsia" w:cstheme="minorEastAsia"/>
                <w:kern w:val="0"/>
                <w:sz w:val="24"/>
                <w:szCs w:val="24"/>
              </w:rPr>
            </w:pPr>
            <w:r>
              <w:rPr>
                <w:rFonts w:hint="eastAsia" w:asciiTheme="minorEastAsia" w:hAnsiTheme="minorEastAsia" w:cstheme="minorEastAsia"/>
                <w:kern w:val="0"/>
                <w:sz w:val="24"/>
                <w:szCs w:val="24"/>
              </w:rPr>
              <w:t>投标文件份数</w:t>
            </w:r>
          </w:p>
        </w:tc>
        <w:tc>
          <w:tcPr>
            <w:tcW w:w="7469" w:type="dxa"/>
            <w:vAlign w:val="center"/>
          </w:tcPr>
          <w:p>
            <w:pPr>
              <w:autoSpaceDE w:val="0"/>
              <w:autoSpaceDN w:val="0"/>
              <w:adjustRightInd w:val="0"/>
              <w:jc w:val="left"/>
              <w:rPr>
                <w:rFonts w:ascii="宋体" w:hAnsi="宋体"/>
                <w:color w:val="auto"/>
                <w:kern w:val="0"/>
                <w:sz w:val="24"/>
                <w:szCs w:val="24"/>
              </w:rPr>
            </w:pPr>
            <w:r>
              <w:rPr>
                <w:rFonts w:hint="eastAsia" w:ascii="宋体" w:hAnsi="宋体"/>
                <w:color w:val="auto"/>
                <w:kern w:val="0"/>
                <w:sz w:val="24"/>
                <w:szCs w:val="24"/>
              </w:rPr>
              <w:t>加密的电子投标文件在投标截止时间前通过CA在政采云平台上传，加密的电子投标文件为使用政采云电子投标客户端制作生成的加密版投标文件。投标人未按上述要求提供加密的电子投标文件的，将导致投标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837" w:type="dxa"/>
            <w:vAlign w:val="center"/>
          </w:tcPr>
          <w:p>
            <w:pPr>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11</w:t>
            </w:r>
          </w:p>
        </w:tc>
        <w:tc>
          <w:tcPr>
            <w:tcW w:w="1764" w:type="dxa"/>
            <w:vAlign w:val="center"/>
          </w:tcPr>
          <w:p>
            <w:pPr>
              <w:keepNext/>
              <w:widowControl/>
              <w:jc w:val="distribute"/>
              <w:rPr>
                <w:rFonts w:asciiTheme="minorEastAsia" w:hAnsiTheme="minorEastAsia" w:cstheme="minorEastAsia"/>
                <w:kern w:val="0"/>
                <w:sz w:val="24"/>
                <w:szCs w:val="24"/>
              </w:rPr>
            </w:pPr>
            <w:r>
              <w:rPr>
                <w:rFonts w:hint="eastAsia" w:asciiTheme="minorEastAsia" w:hAnsiTheme="minorEastAsia" w:cstheme="minorEastAsia"/>
                <w:kern w:val="0"/>
                <w:sz w:val="24"/>
                <w:szCs w:val="24"/>
              </w:rPr>
              <w:t>投标文件递交</w:t>
            </w:r>
          </w:p>
        </w:tc>
        <w:tc>
          <w:tcPr>
            <w:tcW w:w="7469" w:type="dxa"/>
            <w:vAlign w:val="center"/>
          </w:tcPr>
          <w:p>
            <w:pPr>
              <w:rPr>
                <w:rFonts w:cs="宋体" w:asciiTheme="minorEastAsia" w:hAnsiTheme="minorEastAsia"/>
                <w:kern w:val="0"/>
                <w:sz w:val="24"/>
                <w:szCs w:val="24"/>
              </w:rPr>
            </w:pPr>
            <w:r>
              <w:rPr>
                <w:rFonts w:hint="eastAsia" w:cs="宋体" w:asciiTheme="minorEastAsia" w:hAnsiTheme="minorEastAsia"/>
                <w:kern w:val="0"/>
                <w:sz w:val="24"/>
                <w:szCs w:val="24"/>
              </w:rPr>
              <w:t>截止时间：</w:t>
            </w:r>
            <w:r>
              <w:rPr>
                <w:rFonts w:hint="eastAsia" w:cs="宋体" w:asciiTheme="minorEastAsia" w:hAnsiTheme="minorEastAsia"/>
                <w:kern w:val="0"/>
                <w:sz w:val="24"/>
                <w:szCs w:val="24"/>
                <w:u w:val="single"/>
              </w:rPr>
              <w:t>2024年01月1</w:t>
            </w:r>
            <w:r>
              <w:rPr>
                <w:rFonts w:hint="eastAsia" w:cs="宋体" w:asciiTheme="minorEastAsia" w:hAnsiTheme="minorEastAsia"/>
                <w:kern w:val="0"/>
                <w:sz w:val="24"/>
                <w:szCs w:val="24"/>
                <w:u w:val="single"/>
                <w:lang w:val="en-US" w:eastAsia="zh-CN"/>
              </w:rPr>
              <w:t>6</w:t>
            </w:r>
            <w:r>
              <w:rPr>
                <w:rFonts w:hint="eastAsia" w:cs="宋体" w:asciiTheme="minorEastAsia" w:hAnsiTheme="minorEastAsia"/>
                <w:kern w:val="0"/>
                <w:sz w:val="24"/>
                <w:szCs w:val="24"/>
                <w:u w:val="single"/>
              </w:rPr>
              <w:t>日11:00（北京时间）</w:t>
            </w:r>
          </w:p>
          <w:p>
            <w:pPr>
              <w:rPr>
                <w:rFonts w:asciiTheme="minorEastAsia" w:hAnsiTheme="minorEastAsia" w:cstheme="minorEastAsia"/>
                <w:kern w:val="0"/>
                <w:sz w:val="24"/>
                <w:szCs w:val="24"/>
              </w:rPr>
            </w:pPr>
            <w:r>
              <w:rPr>
                <w:rFonts w:hint="eastAsia" w:cs="宋体" w:asciiTheme="minorEastAsia" w:hAnsiTheme="minorEastAsia"/>
                <w:kern w:val="0"/>
                <w:sz w:val="24"/>
                <w:szCs w:val="24"/>
              </w:rPr>
              <w:t>递交地点：政采云平台http://www.zcygov.cn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837" w:type="dxa"/>
            <w:vAlign w:val="center"/>
          </w:tcPr>
          <w:p>
            <w:pPr>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12</w:t>
            </w:r>
          </w:p>
        </w:tc>
        <w:tc>
          <w:tcPr>
            <w:tcW w:w="1764" w:type="dxa"/>
            <w:vAlign w:val="center"/>
          </w:tcPr>
          <w:p>
            <w:pPr>
              <w:keepNext/>
              <w:widowControl/>
              <w:jc w:val="distribute"/>
              <w:rPr>
                <w:rFonts w:asciiTheme="minorEastAsia" w:hAnsiTheme="minorEastAsia" w:cstheme="minorEastAsia"/>
                <w:kern w:val="0"/>
                <w:sz w:val="24"/>
                <w:szCs w:val="24"/>
              </w:rPr>
            </w:pPr>
            <w:r>
              <w:rPr>
                <w:rFonts w:hint="eastAsia" w:asciiTheme="minorEastAsia" w:hAnsiTheme="minorEastAsia" w:cstheme="minorEastAsia"/>
                <w:kern w:val="0"/>
                <w:sz w:val="24"/>
                <w:szCs w:val="24"/>
              </w:rPr>
              <w:t>开标</w:t>
            </w:r>
          </w:p>
        </w:tc>
        <w:tc>
          <w:tcPr>
            <w:tcW w:w="7469" w:type="dxa"/>
            <w:vAlign w:val="center"/>
          </w:tcPr>
          <w:p>
            <w:pPr>
              <w:rPr>
                <w:rFonts w:cs="宋体" w:asciiTheme="minorEastAsia" w:hAnsiTheme="minorEastAsia"/>
                <w:kern w:val="0"/>
                <w:sz w:val="24"/>
                <w:szCs w:val="24"/>
              </w:rPr>
            </w:pPr>
            <w:r>
              <w:rPr>
                <w:rFonts w:hint="eastAsia" w:cs="宋体" w:asciiTheme="minorEastAsia" w:hAnsiTheme="minorEastAsia"/>
                <w:kern w:val="0"/>
                <w:sz w:val="24"/>
                <w:szCs w:val="24"/>
              </w:rPr>
              <w:t>时间：</w:t>
            </w:r>
            <w:r>
              <w:rPr>
                <w:rFonts w:hint="eastAsia" w:cs="宋体" w:asciiTheme="minorEastAsia" w:hAnsiTheme="minorEastAsia"/>
                <w:kern w:val="0"/>
                <w:sz w:val="24"/>
                <w:szCs w:val="24"/>
                <w:u w:val="single"/>
              </w:rPr>
              <w:t>2024年01月1</w:t>
            </w:r>
            <w:r>
              <w:rPr>
                <w:rFonts w:hint="eastAsia" w:cs="宋体" w:asciiTheme="minorEastAsia" w:hAnsiTheme="minorEastAsia"/>
                <w:kern w:val="0"/>
                <w:sz w:val="24"/>
                <w:szCs w:val="24"/>
                <w:u w:val="single"/>
                <w:lang w:val="en-US" w:eastAsia="zh-CN"/>
              </w:rPr>
              <w:t>6</w:t>
            </w:r>
            <w:r>
              <w:rPr>
                <w:rFonts w:hint="eastAsia" w:cs="宋体" w:asciiTheme="minorEastAsia" w:hAnsiTheme="minorEastAsia"/>
                <w:kern w:val="0"/>
                <w:sz w:val="24"/>
                <w:szCs w:val="24"/>
                <w:u w:val="single"/>
              </w:rPr>
              <w:t>日11:00（北京时间）</w:t>
            </w:r>
          </w:p>
          <w:p>
            <w:pPr>
              <w:rPr>
                <w:rFonts w:cs="宋体" w:asciiTheme="minorEastAsia" w:hAnsiTheme="minorEastAsia"/>
                <w:kern w:val="0"/>
                <w:sz w:val="24"/>
                <w:szCs w:val="24"/>
              </w:rPr>
            </w:pPr>
            <w:r>
              <w:rPr>
                <w:rFonts w:hint="eastAsia" w:cs="宋体" w:asciiTheme="minorEastAsia" w:hAnsiTheme="minorEastAsia"/>
                <w:kern w:val="0"/>
                <w:sz w:val="24"/>
                <w:szCs w:val="24"/>
              </w:rPr>
              <w:t>地点：政采云网上不见面开标系统</w:t>
            </w:r>
          </w:p>
          <w:p>
            <w:pPr>
              <w:jc w:val="left"/>
              <w:rPr>
                <w:rFonts w:cs="Arial" w:asciiTheme="minorEastAsia" w:hAnsiTheme="minorEastAsia"/>
                <w:color w:val="auto"/>
                <w:sz w:val="24"/>
                <w:szCs w:val="24"/>
              </w:rPr>
            </w:pPr>
            <w:r>
              <w:rPr>
                <w:rFonts w:hint="eastAsia" w:cs="Arial" w:asciiTheme="minorEastAsia" w:hAnsiTheme="minorEastAsia"/>
                <w:color w:val="auto"/>
                <w:szCs w:val="24"/>
              </w:rPr>
              <w:t>说</w:t>
            </w:r>
            <w:r>
              <w:rPr>
                <w:rFonts w:hint="eastAsia" w:cs="Arial" w:asciiTheme="minorEastAsia" w:hAnsiTheme="minorEastAsia"/>
                <w:color w:val="auto"/>
                <w:sz w:val="24"/>
                <w:szCs w:val="24"/>
              </w:rPr>
              <w:t>明：</w:t>
            </w:r>
          </w:p>
          <w:p>
            <w:pPr>
              <w:jc w:val="left"/>
              <w:rPr>
                <w:rFonts w:cs="Arial" w:asciiTheme="minorEastAsia" w:hAnsiTheme="minorEastAsia"/>
                <w:color w:val="auto"/>
                <w:sz w:val="24"/>
                <w:szCs w:val="24"/>
              </w:rPr>
            </w:pPr>
            <w:r>
              <w:rPr>
                <w:rFonts w:hint="eastAsia" w:cs="Arial" w:asciiTheme="minorEastAsia" w:hAnsiTheme="minorEastAsia"/>
                <w:color w:val="auto"/>
                <w:sz w:val="24"/>
                <w:szCs w:val="24"/>
              </w:rPr>
              <w:t>1、本次采购采用电子交易方式，电子交易平台为“政府采购云平台（www.zcygov.cn）”。投标人参与本项目电子交易活动前，应注册成为政府采购云平台投标人。编制电子响应文件前还需申领CA证书并绑定帐号。投标人应充分考虑完成平台注册、申领CA证书等所需的时间。因未注册入库、未办理CA数字证书等原因造成无法响应或响应失败等后果由投标人自行承担。</w:t>
            </w:r>
          </w:p>
          <w:p>
            <w:pPr>
              <w:jc w:val="left"/>
              <w:rPr>
                <w:rFonts w:cs="Arial" w:asciiTheme="minorEastAsia" w:hAnsiTheme="minorEastAsia"/>
                <w:color w:val="auto"/>
                <w:sz w:val="24"/>
                <w:szCs w:val="24"/>
              </w:rPr>
            </w:pPr>
            <w:r>
              <w:rPr>
                <w:rFonts w:hint="eastAsia" w:cs="Arial" w:asciiTheme="minorEastAsia" w:hAnsiTheme="minorEastAsia"/>
                <w:color w:val="auto"/>
                <w:sz w:val="24"/>
                <w:szCs w:val="24"/>
              </w:rPr>
              <w:t>2、投标人须在在提交响应文件截止时间前通过CA在政采云平台上传加密的电子响应文件。投标人在开标时须使用制作加密电子响应文件所使用的CA锁解密，投标人须提前配置好浏览器（建议使用360浏览器或谷歌浏览器），并确保开标期间电脑网络环境畅通，以便开标时解密。本项目解密时间定为30分钟，如因投标人自身原因导致无法正常解密，后果由投标人自行承担。</w:t>
            </w:r>
          </w:p>
          <w:p>
            <w:pPr>
              <w:jc w:val="left"/>
              <w:rPr>
                <w:rFonts w:cs="Arial" w:asciiTheme="minorEastAsia" w:hAnsiTheme="minorEastAsia"/>
                <w:color w:val="auto"/>
                <w:sz w:val="24"/>
                <w:szCs w:val="24"/>
              </w:rPr>
            </w:pPr>
            <w:r>
              <w:rPr>
                <w:rFonts w:hint="eastAsia" w:cs="Arial" w:asciiTheme="minorEastAsia" w:hAnsiTheme="minorEastAsia"/>
                <w:color w:val="auto"/>
                <w:sz w:val="24"/>
                <w:szCs w:val="24"/>
              </w:rPr>
              <w:t>3、参与电子投标投标人，“不见面开标”大厅操作提示：①开标前一小时在系统进行在线签到②30分钟内完成在线解密③开标结束后30分钟内完成“开标一览表”在线签章。注意：如未在规定时间进行以上操作，将导致投标（响应）无效。</w:t>
            </w:r>
          </w:p>
          <w:p>
            <w:pPr>
              <w:rPr>
                <w:rFonts w:asciiTheme="minorEastAsia" w:hAnsiTheme="minorEastAsia" w:cstheme="minorEastAsia"/>
                <w:kern w:val="0"/>
                <w:sz w:val="24"/>
                <w:szCs w:val="24"/>
              </w:rPr>
            </w:pPr>
            <w:r>
              <w:rPr>
                <w:rFonts w:hint="eastAsia" w:cs="Arial" w:asciiTheme="minorEastAsia" w:hAnsiTheme="minorEastAsia"/>
                <w:color w:val="auto"/>
                <w:sz w:val="24"/>
                <w:szCs w:val="24"/>
              </w:rPr>
              <w:t>4、各投标人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投标人”版面获取操作指南，同时对自助查询无法解决的问题可通过钉钉群及政采云在线客服获取服务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78" w:hRule="atLeast"/>
          <w:jc w:val="center"/>
        </w:trPr>
        <w:tc>
          <w:tcPr>
            <w:tcW w:w="837" w:type="dxa"/>
            <w:vAlign w:val="center"/>
          </w:tcPr>
          <w:p>
            <w:pPr>
              <w:jc w:val="center"/>
              <w:rPr>
                <w:rFonts w:asciiTheme="minorEastAsia" w:hAnsiTheme="minorEastAsia" w:cstheme="minorEastAsia"/>
                <w:color w:val="auto"/>
                <w:kern w:val="0"/>
                <w:sz w:val="24"/>
                <w:szCs w:val="24"/>
              </w:rPr>
            </w:pPr>
            <w:r>
              <w:rPr>
                <w:rFonts w:hint="eastAsia" w:asciiTheme="minorEastAsia" w:hAnsiTheme="minorEastAsia" w:cstheme="minorEastAsia"/>
                <w:color w:val="auto"/>
                <w:kern w:val="0"/>
                <w:sz w:val="24"/>
                <w:szCs w:val="24"/>
              </w:rPr>
              <w:t>13</w:t>
            </w:r>
          </w:p>
        </w:tc>
        <w:tc>
          <w:tcPr>
            <w:tcW w:w="1764" w:type="dxa"/>
            <w:vAlign w:val="center"/>
          </w:tcPr>
          <w:p>
            <w:pPr>
              <w:keepNext/>
              <w:widowControl/>
              <w:jc w:val="distribute"/>
              <w:rPr>
                <w:rFonts w:asciiTheme="minorEastAsia" w:hAnsiTheme="minorEastAsia" w:cstheme="minorEastAsia"/>
                <w:color w:val="auto"/>
                <w:kern w:val="0"/>
                <w:sz w:val="24"/>
                <w:szCs w:val="24"/>
              </w:rPr>
            </w:pPr>
            <w:r>
              <w:rPr>
                <w:rFonts w:hint="eastAsia" w:asciiTheme="minorEastAsia" w:hAnsiTheme="minorEastAsia" w:cstheme="minorEastAsia"/>
                <w:color w:val="auto"/>
                <w:kern w:val="0"/>
                <w:sz w:val="24"/>
                <w:szCs w:val="24"/>
              </w:rPr>
              <w:t>投标有效期</w:t>
            </w:r>
          </w:p>
        </w:tc>
        <w:tc>
          <w:tcPr>
            <w:tcW w:w="7469" w:type="dxa"/>
            <w:vAlign w:val="center"/>
          </w:tcPr>
          <w:p>
            <w:pPr>
              <w:keepNext/>
              <w:widowControl/>
              <w:jc w:val="left"/>
              <w:rPr>
                <w:rFonts w:asciiTheme="minorEastAsia" w:hAnsiTheme="minorEastAsia" w:cstheme="minorEastAsia"/>
                <w:color w:val="auto"/>
                <w:kern w:val="0"/>
                <w:sz w:val="24"/>
                <w:szCs w:val="24"/>
              </w:rPr>
            </w:pPr>
            <w:r>
              <w:rPr>
                <w:rFonts w:hint="eastAsia" w:asciiTheme="minorEastAsia" w:hAnsiTheme="minorEastAsia" w:cstheme="minorEastAsia"/>
                <w:color w:val="auto"/>
                <w:kern w:val="0"/>
                <w:sz w:val="24"/>
                <w:szCs w:val="24"/>
              </w:rPr>
              <w:t>自投标截止之日90日历日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837" w:type="dxa"/>
            <w:vAlign w:val="center"/>
          </w:tcPr>
          <w:p>
            <w:pPr>
              <w:jc w:val="center"/>
              <w:rPr>
                <w:rFonts w:asciiTheme="minorEastAsia" w:hAnsiTheme="minorEastAsia" w:cstheme="minorEastAsia"/>
                <w:color w:val="auto"/>
                <w:kern w:val="0"/>
                <w:sz w:val="24"/>
                <w:szCs w:val="24"/>
              </w:rPr>
            </w:pPr>
            <w:r>
              <w:rPr>
                <w:rFonts w:hint="eastAsia" w:asciiTheme="minorEastAsia" w:hAnsiTheme="minorEastAsia" w:cstheme="minorEastAsia"/>
                <w:color w:val="auto"/>
                <w:kern w:val="0"/>
                <w:sz w:val="24"/>
                <w:szCs w:val="24"/>
              </w:rPr>
              <w:t>14</w:t>
            </w:r>
          </w:p>
        </w:tc>
        <w:tc>
          <w:tcPr>
            <w:tcW w:w="1764" w:type="dxa"/>
            <w:vAlign w:val="center"/>
          </w:tcPr>
          <w:p>
            <w:pPr>
              <w:jc w:val="distribute"/>
              <w:rPr>
                <w:rFonts w:asciiTheme="minorEastAsia" w:hAnsiTheme="minorEastAsia" w:cstheme="minorEastAsia"/>
                <w:color w:val="auto"/>
                <w:kern w:val="0"/>
                <w:sz w:val="24"/>
                <w:szCs w:val="24"/>
              </w:rPr>
            </w:pPr>
            <w:r>
              <w:rPr>
                <w:rFonts w:hint="eastAsia" w:asciiTheme="minorEastAsia" w:hAnsiTheme="minorEastAsia" w:cstheme="minorEastAsia"/>
                <w:color w:val="auto"/>
                <w:kern w:val="0"/>
                <w:sz w:val="24"/>
                <w:szCs w:val="24"/>
              </w:rPr>
              <w:t>招标公告发布媒体</w:t>
            </w:r>
          </w:p>
        </w:tc>
        <w:tc>
          <w:tcPr>
            <w:tcW w:w="7469" w:type="dxa"/>
            <w:vAlign w:val="center"/>
          </w:tcPr>
          <w:p>
            <w:pPr>
              <w:rPr>
                <w:rFonts w:asciiTheme="minorEastAsia" w:hAnsiTheme="minorEastAsia" w:cstheme="minorEastAsia"/>
                <w:color w:val="auto"/>
                <w:kern w:val="0"/>
                <w:sz w:val="24"/>
                <w:szCs w:val="24"/>
              </w:rPr>
            </w:pPr>
            <w:r>
              <w:rPr>
                <w:rFonts w:hint="eastAsia" w:cs="Arial" w:asciiTheme="minorEastAsia" w:hAnsiTheme="minorEastAsia"/>
                <w:color w:val="auto"/>
                <w:kern w:val="0"/>
                <w:sz w:val="24"/>
                <w:szCs w:val="24"/>
              </w:rPr>
              <w:t>新疆政府采购网（</w:t>
            </w:r>
            <w:r>
              <w:rPr>
                <w:rFonts w:cs="Arial" w:asciiTheme="minorEastAsia" w:hAnsiTheme="minorEastAsia"/>
                <w:color w:val="auto"/>
                <w:kern w:val="0"/>
                <w:sz w:val="24"/>
                <w:szCs w:val="24"/>
              </w:rPr>
              <w:t>http://www.ccgp-xinjiang.gov.cn/</w:t>
            </w:r>
            <w:r>
              <w:rPr>
                <w:rFonts w:hint="eastAsia" w:cs="Arial" w:asciiTheme="minorEastAsia" w:hAnsiTheme="minorEastAsia"/>
                <w:color w:val="auto"/>
                <w:kern w:val="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837" w:type="dxa"/>
            <w:vAlign w:val="center"/>
          </w:tcPr>
          <w:p>
            <w:pPr>
              <w:jc w:val="center"/>
              <w:rPr>
                <w:rFonts w:asciiTheme="minorEastAsia" w:hAnsiTheme="minorEastAsia" w:cstheme="minorEastAsia"/>
                <w:color w:val="auto"/>
                <w:kern w:val="0"/>
                <w:sz w:val="24"/>
                <w:szCs w:val="24"/>
              </w:rPr>
            </w:pPr>
            <w:r>
              <w:rPr>
                <w:rFonts w:hint="eastAsia" w:asciiTheme="minorEastAsia" w:hAnsiTheme="minorEastAsia" w:cstheme="minorEastAsia"/>
                <w:color w:val="auto"/>
                <w:kern w:val="0"/>
                <w:sz w:val="24"/>
                <w:szCs w:val="24"/>
              </w:rPr>
              <w:t>15</w:t>
            </w:r>
          </w:p>
        </w:tc>
        <w:tc>
          <w:tcPr>
            <w:tcW w:w="1764" w:type="dxa"/>
            <w:vAlign w:val="center"/>
          </w:tcPr>
          <w:p>
            <w:pPr>
              <w:keepNext/>
              <w:widowControl/>
              <w:jc w:val="distribute"/>
              <w:rPr>
                <w:rFonts w:asciiTheme="minorEastAsia" w:hAnsiTheme="minorEastAsia" w:cstheme="minorEastAsia"/>
                <w:color w:val="auto"/>
                <w:kern w:val="0"/>
                <w:sz w:val="24"/>
                <w:szCs w:val="24"/>
              </w:rPr>
            </w:pPr>
            <w:r>
              <w:rPr>
                <w:rFonts w:hint="eastAsia" w:asciiTheme="minorEastAsia" w:hAnsiTheme="minorEastAsia" w:cstheme="minorEastAsia"/>
                <w:color w:val="auto"/>
                <w:kern w:val="0"/>
                <w:sz w:val="24"/>
                <w:szCs w:val="24"/>
              </w:rPr>
              <w:t>履约保证金</w:t>
            </w:r>
          </w:p>
        </w:tc>
        <w:tc>
          <w:tcPr>
            <w:tcW w:w="7469" w:type="dxa"/>
            <w:vAlign w:val="center"/>
          </w:tcPr>
          <w:p>
            <w:pPr>
              <w:rPr>
                <w:rFonts w:cs="Arial" w:asciiTheme="minorEastAsia" w:hAnsiTheme="minorEastAsia"/>
                <w:color w:val="auto"/>
                <w:kern w:val="0"/>
                <w:sz w:val="24"/>
                <w:szCs w:val="24"/>
              </w:rPr>
            </w:pPr>
            <w:r>
              <w:rPr>
                <w:rFonts w:hint="eastAsia" w:cs="Arial" w:asciiTheme="minorEastAsia" w:hAnsiTheme="minorEastAsia"/>
                <w:color w:val="auto"/>
                <w:kern w:val="0"/>
                <w:sz w:val="24"/>
                <w:szCs w:val="24"/>
              </w:rPr>
              <w:t>金额：合同签订价款的10%或遵循甲方约定；</w:t>
            </w:r>
          </w:p>
          <w:p>
            <w:pPr>
              <w:rPr>
                <w:rFonts w:cs="Arial" w:asciiTheme="minorEastAsia" w:hAnsiTheme="minorEastAsia"/>
                <w:color w:val="auto"/>
                <w:kern w:val="0"/>
                <w:sz w:val="24"/>
                <w:szCs w:val="24"/>
              </w:rPr>
            </w:pPr>
            <w:r>
              <w:rPr>
                <w:rFonts w:hint="eastAsia" w:cs="Arial" w:asciiTheme="minorEastAsia" w:hAnsiTheme="minorEastAsia"/>
                <w:color w:val="auto"/>
                <w:kern w:val="0"/>
                <w:sz w:val="24"/>
                <w:szCs w:val="24"/>
              </w:rPr>
              <w:t>递交时间：中标人收到《中标通知书》且签订合同时，向招标人缴纳；</w:t>
            </w:r>
          </w:p>
          <w:p>
            <w:pPr>
              <w:rPr>
                <w:rFonts w:cs="Arial" w:asciiTheme="minorEastAsia" w:hAnsiTheme="minorEastAsia"/>
                <w:color w:val="auto"/>
                <w:kern w:val="0"/>
                <w:sz w:val="24"/>
                <w:szCs w:val="24"/>
              </w:rPr>
            </w:pPr>
            <w:r>
              <w:rPr>
                <w:rFonts w:hint="eastAsia" w:cs="Arial" w:asciiTheme="minorEastAsia" w:hAnsiTheme="minorEastAsia"/>
                <w:color w:val="auto"/>
                <w:kern w:val="0"/>
                <w:sz w:val="24"/>
                <w:szCs w:val="24"/>
              </w:rPr>
              <w:t>递交形式：汇票、银行转账等非现金形式；</w:t>
            </w:r>
          </w:p>
          <w:p>
            <w:pPr>
              <w:keepNext/>
              <w:widowControl/>
              <w:jc w:val="left"/>
              <w:rPr>
                <w:rFonts w:asciiTheme="minorEastAsia" w:hAnsiTheme="minorEastAsia" w:cstheme="minorEastAsia"/>
                <w:color w:val="auto"/>
                <w:kern w:val="0"/>
                <w:sz w:val="24"/>
                <w:szCs w:val="24"/>
              </w:rPr>
            </w:pPr>
            <w:r>
              <w:rPr>
                <w:rFonts w:hint="eastAsia" w:cs="Arial" w:asciiTheme="minorEastAsia" w:hAnsiTheme="minorEastAsia"/>
                <w:color w:val="auto"/>
                <w:kern w:val="0"/>
                <w:sz w:val="24"/>
                <w:szCs w:val="24"/>
              </w:rPr>
              <w:t>退还时间及方式：项目通过最终验收后，招标人一次性退还给中标人。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837" w:type="dxa"/>
            <w:vAlign w:val="center"/>
          </w:tcPr>
          <w:p>
            <w:pPr>
              <w:jc w:val="center"/>
              <w:rPr>
                <w:rFonts w:asciiTheme="minorEastAsia" w:hAnsiTheme="minorEastAsia" w:cstheme="minorEastAsia"/>
                <w:color w:val="auto"/>
                <w:kern w:val="0"/>
                <w:sz w:val="24"/>
                <w:szCs w:val="24"/>
              </w:rPr>
            </w:pPr>
            <w:r>
              <w:rPr>
                <w:rFonts w:hint="eastAsia" w:asciiTheme="minorEastAsia" w:hAnsiTheme="minorEastAsia" w:cstheme="minorEastAsia"/>
                <w:color w:val="auto"/>
                <w:kern w:val="0"/>
                <w:sz w:val="24"/>
                <w:szCs w:val="24"/>
              </w:rPr>
              <w:t>16</w:t>
            </w:r>
          </w:p>
        </w:tc>
        <w:tc>
          <w:tcPr>
            <w:tcW w:w="1764" w:type="dxa"/>
            <w:vAlign w:val="center"/>
          </w:tcPr>
          <w:p>
            <w:pPr>
              <w:keepNext/>
              <w:widowControl/>
              <w:jc w:val="distribute"/>
              <w:rPr>
                <w:rFonts w:cs="Arial" w:asciiTheme="minorEastAsia" w:hAnsiTheme="minorEastAsia"/>
                <w:color w:val="auto"/>
                <w:kern w:val="0"/>
                <w:sz w:val="24"/>
                <w:szCs w:val="24"/>
              </w:rPr>
            </w:pPr>
            <w:r>
              <w:rPr>
                <w:rFonts w:hint="eastAsia" w:cs="Arial" w:asciiTheme="minorEastAsia" w:hAnsiTheme="minorEastAsia"/>
                <w:color w:val="auto"/>
                <w:kern w:val="0"/>
                <w:sz w:val="24"/>
                <w:szCs w:val="24"/>
              </w:rPr>
              <w:t>所属行业</w:t>
            </w:r>
          </w:p>
        </w:tc>
        <w:tc>
          <w:tcPr>
            <w:tcW w:w="7469" w:type="dxa"/>
            <w:vAlign w:val="center"/>
          </w:tcPr>
          <w:p>
            <w:pPr>
              <w:keepNext/>
              <w:widowControl/>
              <w:jc w:val="left"/>
              <w:rPr>
                <w:rFonts w:cs="Arial" w:asciiTheme="minorEastAsia" w:hAnsiTheme="minorEastAsia"/>
                <w:color w:val="auto"/>
                <w:kern w:val="0"/>
                <w:sz w:val="24"/>
                <w:szCs w:val="24"/>
              </w:rPr>
            </w:pPr>
            <w:r>
              <w:rPr>
                <w:rFonts w:hint="eastAsia" w:asciiTheme="minorEastAsia" w:hAnsiTheme="minorEastAsia"/>
                <w:color w:val="auto"/>
                <w:kern w:val="0"/>
                <w:sz w:val="24"/>
                <w:szCs w:val="24"/>
              </w:rPr>
              <w:t>根据《关于印发中小企业划型标准规定的通知》工信部联企业〔2011〕300号，本项目属行业为：</w:t>
            </w:r>
            <w:r>
              <w:rPr>
                <w:rFonts w:hint="eastAsia" w:asciiTheme="minorEastAsia" w:hAnsiTheme="minorEastAsia"/>
                <w:b/>
                <w:bCs/>
                <w:color w:val="auto"/>
                <w:kern w:val="0"/>
                <w:sz w:val="24"/>
                <w:szCs w:val="24"/>
              </w:rPr>
              <w:t>其他未列明行业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90" w:hRule="atLeast"/>
          <w:jc w:val="center"/>
        </w:trPr>
        <w:tc>
          <w:tcPr>
            <w:tcW w:w="837" w:type="dxa"/>
            <w:vAlign w:val="center"/>
          </w:tcPr>
          <w:p>
            <w:pPr>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16</w:t>
            </w:r>
          </w:p>
        </w:tc>
        <w:tc>
          <w:tcPr>
            <w:tcW w:w="1764" w:type="dxa"/>
            <w:vAlign w:val="center"/>
          </w:tcPr>
          <w:p>
            <w:pPr>
              <w:keepNext/>
              <w:widowControl/>
              <w:ind w:firstLine="482"/>
              <w:jc w:val="center"/>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备注</w:t>
            </w:r>
          </w:p>
        </w:tc>
        <w:tc>
          <w:tcPr>
            <w:tcW w:w="7469" w:type="dxa"/>
            <w:vAlign w:val="center"/>
          </w:tcPr>
          <w:p>
            <w:pPr>
              <w:keepNext/>
              <w:widowControl/>
              <w:jc w:val="left"/>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1）本项目招标代理咨询服务费由中标人支付</w:t>
            </w:r>
          </w:p>
          <w:p>
            <w:pPr>
              <w:keepNext/>
              <w:widowControl/>
              <w:jc w:val="left"/>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2）本项目为一个整体项目【2021年-2023年米东区公共绿地绿化养护项目】划分为16个包，投标人可兼投不可兼中。</w:t>
            </w:r>
            <w:r>
              <w:rPr>
                <w:rFonts w:hint="eastAsia" w:cs="Arial" w:asciiTheme="minorEastAsia" w:hAnsiTheme="minorEastAsia"/>
                <w:b/>
                <w:bCs/>
                <w:kern w:val="0"/>
                <w:sz w:val="24"/>
                <w:szCs w:val="24"/>
              </w:rPr>
              <w:t>开标顺序为2包→1包→3包→5包→4包→11包→6包→12包→10包→8包→9包→13包→16包→14包→15包→7包,本标段前排名第一的中标候选人不得参与本标段评审。</w:t>
            </w:r>
          </w:p>
        </w:tc>
      </w:tr>
    </w:tbl>
    <w:p>
      <w:pPr>
        <w:rPr>
          <w:rFonts w:cs="Times New Roman" w:asciiTheme="minorEastAsia" w:hAnsiTheme="minorEastAsia"/>
          <w:kern w:val="0"/>
          <w:sz w:val="24"/>
          <w:szCs w:val="24"/>
        </w:rPr>
      </w:pPr>
    </w:p>
    <w:p>
      <w:pPr>
        <w:tabs>
          <w:tab w:val="center" w:pos="4832"/>
          <w:tab w:val="left" w:pos="7140"/>
        </w:tabs>
        <w:spacing w:line="360" w:lineRule="auto"/>
        <w:ind w:firstLine="470" w:firstLineChars="196"/>
        <w:jc w:val="left"/>
        <w:outlineLvl w:val="1"/>
        <w:rPr>
          <w:rFonts w:cs="宋体" w:asciiTheme="minorEastAsia" w:hAnsiTheme="minorEastAsia"/>
          <w:b/>
          <w:sz w:val="24"/>
          <w:szCs w:val="24"/>
        </w:rPr>
      </w:pPr>
      <w:bookmarkStart w:id="3" w:name="_BookMark_3"/>
      <w:bookmarkEnd w:id="3"/>
      <w:r>
        <w:rPr>
          <w:rFonts w:cs="Arial" w:asciiTheme="minorEastAsia" w:hAnsiTheme="minorEastAsia"/>
          <w:kern w:val="0"/>
          <w:sz w:val="24"/>
          <w:szCs w:val="24"/>
        </w:rPr>
        <w:br w:type="page"/>
      </w:r>
      <w:bookmarkStart w:id="4" w:name="_BookMark_12"/>
      <w:bookmarkEnd w:id="4"/>
      <w:bookmarkStart w:id="5" w:name="_Toc17299"/>
      <w:bookmarkStart w:id="6" w:name="_Toc22437"/>
      <w:r>
        <w:rPr>
          <w:rFonts w:cs="宋体" w:asciiTheme="minorEastAsia" w:hAnsiTheme="minorEastAsia"/>
          <w:b/>
          <w:sz w:val="24"/>
          <w:szCs w:val="24"/>
        </w:rPr>
        <w:t>1</w:t>
      </w:r>
      <w:r>
        <w:rPr>
          <w:rFonts w:hint="eastAsia" w:cs="宋体" w:asciiTheme="minorEastAsia" w:hAnsiTheme="minorEastAsia"/>
          <w:b/>
          <w:sz w:val="24"/>
          <w:szCs w:val="24"/>
        </w:rPr>
        <w:t>．总则</w:t>
      </w:r>
      <w:bookmarkEnd w:id="5"/>
      <w:bookmarkEnd w:id="6"/>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 xml:space="preserve">1.1 </w:t>
      </w:r>
      <w:r>
        <w:rPr>
          <w:rFonts w:hint="eastAsia" w:cs="Arial" w:asciiTheme="minorEastAsia" w:hAnsiTheme="minorEastAsia"/>
          <w:kern w:val="0"/>
          <w:sz w:val="24"/>
          <w:szCs w:val="24"/>
        </w:rPr>
        <w:t>招标项目概况</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 xml:space="preserve">1.1.1 </w:t>
      </w:r>
      <w:r>
        <w:rPr>
          <w:rFonts w:hint="eastAsia" w:cs="Arial" w:asciiTheme="minorEastAsia" w:hAnsiTheme="minorEastAsia"/>
          <w:kern w:val="0"/>
          <w:sz w:val="24"/>
          <w:szCs w:val="24"/>
        </w:rPr>
        <w:t>项目名称：见投标人须知前附表。</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1.1.</w:t>
      </w:r>
      <w:r>
        <w:rPr>
          <w:rFonts w:hint="eastAsia" w:cs="Arial" w:asciiTheme="minorEastAsia" w:hAnsiTheme="minorEastAsia"/>
          <w:kern w:val="0"/>
          <w:sz w:val="24"/>
          <w:szCs w:val="24"/>
        </w:rPr>
        <w:t>2标段名称：见投标人须知前附表。</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1.1.</w:t>
      </w:r>
      <w:r>
        <w:rPr>
          <w:rFonts w:hint="eastAsia" w:cs="Arial" w:asciiTheme="minorEastAsia" w:hAnsiTheme="minorEastAsia"/>
          <w:kern w:val="0"/>
          <w:sz w:val="24"/>
          <w:szCs w:val="24"/>
        </w:rPr>
        <w:t>3标段编号：见投标人须知前附表。</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1.1.</w:t>
      </w:r>
      <w:r>
        <w:rPr>
          <w:rFonts w:hint="eastAsia" w:cs="Arial" w:asciiTheme="minorEastAsia" w:hAnsiTheme="minorEastAsia"/>
          <w:kern w:val="0"/>
          <w:sz w:val="24"/>
          <w:szCs w:val="24"/>
        </w:rPr>
        <w:t>4招标人：见投标人须知前附表。</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1.1.</w:t>
      </w:r>
      <w:r>
        <w:rPr>
          <w:rFonts w:hint="eastAsia" w:cs="Arial" w:asciiTheme="minorEastAsia" w:hAnsiTheme="minorEastAsia"/>
          <w:kern w:val="0"/>
          <w:sz w:val="24"/>
          <w:szCs w:val="24"/>
        </w:rPr>
        <w:t>5采购代理机构：见投标人须知前附表。</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1.1.</w:t>
      </w:r>
      <w:r>
        <w:rPr>
          <w:rFonts w:hint="eastAsia" w:cs="Arial" w:asciiTheme="minorEastAsia" w:hAnsiTheme="minorEastAsia"/>
          <w:kern w:val="0"/>
          <w:sz w:val="24"/>
          <w:szCs w:val="24"/>
        </w:rPr>
        <w:t>6项目地点：见投标人须知前附表。</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1.1.</w:t>
      </w:r>
      <w:r>
        <w:rPr>
          <w:rFonts w:hint="eastAsia" w:cs="Arial" w:asciiTheme="minorEastAsia" w:hAnsiTheme="minorEastAsia"/>
          <w:kern w:val="0"/>
          <w:sz w:val="24"/>
          <w:szCs w:val="24"/>
        </w:rPr>
        <w:t>7资金来源：见投标人须知前附表。</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1.1.</w:t>
      </w:r>
      <w:r>
        <w:rPr>
          <w:rFonts w:hint="eastAsia" w:cs="Arial" w:asciiTheme="minorEastAsia" w:hAnsiTheme="minorEastAsia"/>
          <w:kern w:val="0"/>
          <w:sz w:val="24"/>
          <w:szCs w:val="24"/>
        </w:rPr>
        <w:t>8采购预算金额：见投标人须知前附表。</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hint="eastAsia" w:cs="Arial" w:asciiTheme="minorEastAsia" w:hAnsiTheme="minorEastAsia"/>
          <w:kern w:val="0"/>
          <w:sz w:val="24"/>
          <w:szCs w:val="24"/>
        </w:rPr>
        <w:t>1.1.8服务周期：见投标人须知前附表。</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1.2</w:t>
      </w:r>
      <w:r>
        <w:rPr>
          <w:rFonts w:hint="eastAsia" w:cs="Arial" w:asciiTheme="minorEastAsia" w:hAnsiTheme="minorEastAsia"/>
          <w:kern w:val="0"/>
          <w:sz w:val="24"/>
          <w:szCs w:val="24"/>
        </w:rPr>
        <w:t>招标范围：见投标人须知前附表。</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 xml:space="preserve">1.3 </w:t>
      </w:r>
      <w:r>
        <w:rPr>
          <w:rFonts w:hint="eastAsia" w:cs="Arial" w:asciiTheme="minorEastAsia" w:hAnsiTheme="minorEastAsia"/>
          <w:kern w:val="0"/>
          <w:sz w:val="24"/>
          <w:szCs w:val="24"/>
        </w:rPr>
        <w:t>招标方式和资格审查方式</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 xml:space="preserve">1.3.1 </w:t>
      </w:r>
      <w:r>
        <w:rPr>
          <w:rFonts w:hint="eastAsia" w:cs="Arial" w:asciiTheme="minorEastAsia" w:hAnsiTheme="minorEastAsia"/>
          <w:kern w:val="0"/>
          <w:sz w:val="24"/>
          <w:szCs w:val="24"/>
        </w:rPr>
        <w:t>招标方式：见投标人须知前附表。</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 xml:space="preserve">1.3.2 </w:t>
      </w:r>
      <w:r>
        <w:rPr>
          <w:rFonts w:hint="eastAsia" w:cs="Arial" w:asciiTheme="minorEastAsia" w:hAnsiTheme="minorEastAsia"/>
          <w:kern w:val="0"/>
          <w:sz w:val="24"/>
          <w:szCs w:val="24"/>
        </w:rPr>
        <w:t>资格审查方式：见投标人须知前附表。</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 xml:space="preserve">1.4 </w:t>
      </w:r>
      <w:r>
        <w:rPr>
          <w:rFonts w:hint="eastAsia" w:cs="Arial" w:asciiTheme="minorEastAsia" w:hAnsiTheme="minorEastAsia"/>
          <w:kern w:val="0"/>
          <w:sz w:val="24"/>
          <w:szCs w:val="24"/>
        </w:rPr>
        <w:t>评标办法及定标方法</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 xml:space="preserve">1.4.1 </w:t>
      </w:r>
      <w:r>
        <w:rPr>
          <w:rFonts w:hint="eastAsia" w:cs="Arial" w:asciiTheme="minorEastAsia" w:hAnsiTheme="minorEastAsia"/>
          <w:kern w:val="0"/>
          <w:sz w:val="24"/>
          <w:szCs w:val="24"/>
        </w:rPr>
        <w:t>评标办法：见投标人须知前附表。</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1.4.2</w:t>
      </w:r>
      <w:r>
        <w:rPr>
          <w:rFonts w:hint="eastAsia" w:cs="Arial" w:asciiTheme="minorEastAsia" w:hAnsiTheme="minorEastAsia"/>
          <w:kern w:val="0"/>
          <w:sz w:val="24"/>
          <w:szCs w:val="24"/>
        </w:rPr>
        <w:t xml:space="preserve"> 定标方法：见投标人须知前附表。</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 xml:space="preserve">1.5 </w:t>
      </w:r>
      <w:r>
        <w:rPr>
          <w:rFonts w:hint="eastAsia" w:cs="Arial" w:asciiTheme="minorEastAsia" w:hAnsiTheme="minorEastAsia"/>
          <w:kern w:val="0"/>
          <w:sz w:val="24"/>
          <w:szCs w:val="24"/>
        </w:rPr>
        <w:t>投标人资格条件和能力要求</w:t>
      </w:r>
    </w:p>
    <w:p>
      <w:pPr>
        <w:widowControl/>
        <w:shd w:val="clear" w:color="auto" w:fill="FFFFFF"/>
        <w:snapToGrid w:val="0"/>
        <w:spacing w:line="360" w:lineRule="auto"/>
        <w:ind w:firstLine="480" w:firstLineChars="200"/>
        <w:rPr>
          <w:rFonts w:cs="Arial" w:asciiTheme="minorEastAsia" w:hAnsiTheme="minorEastAsia"/>
          <w:color w:val="auto"/>
          <w:kern w:val="0"/>
          <w:sz w:val="24"/>
          <w:szCs w:val="24"/>
        </w:rPr>
      </w:pPr>
      <w:r>
        <w:rPr>
          <w:rFonts w:cs="Arial" w:asciiTheme="minorEastAsia" w:hAnsiTheme="minorEastAsia"/>
          <w:kern w:val="0"/>
          <w:sz w:val="24"/>
          <w:szCs w:val="24"/>
        </w:rPr>
        <w:t xml:space="preserve">1.5.1 </w:t>
      </w:r>
      <w:r>
        <w:rPr>
          <w:rFonts w:hint="eastAsia" w:cs="Arial" w:asciiTheme="minorEastAsia" w:hAnsiTheme="minorEastAsia"/>
          <w:kern w:val="0"/>
          <w:sz w:val="24"/>
          <w:szCs w:val="24"/>
        </w:rPr>
        <w:t>投标人应具备承担本招标项目的资格条件和能力，具体要求见投标人须知前附</w:t>
      </w:r>
      <w:r>
        <w:rPr>
          <w:rFonts w:hint="eastAsia" w:cs="Arial" w:asciiTheme="minorEastAsia" w:hAnsiTheme="minorEastAsia"/>
          <w:color w:val="auto"/>
          <w:kern w:val="0"/>
          <w:sz w:val="24"/>
          <w:szCs w:val="24"/>
        </w:rPr>
        <w:t>表。</w:t>
      </w:r>
    </w:p>
    <w:p>
      <w:pPr>
        <w:widowControl/>
        <w:shd w:val="clear" w:color="auto" w:fill="FFFFFF"/>
        <w:snapToGrid w:val="0"/>
        <w:spacing w:line="360" w:lineRule="auto"/>
        <w:ind w:firstLine="480" w:firstLineChars="200"/>
        <w:rPr>
          <w:rFonts w:cs="Arial" w:asciiTheme="minorEastAsia" w:hAnsiTheme="minorEastAsia"/>
          <w:color w:val="auto"/>
          <w:kern w:val="0"/>
          <w:sz w:val="24"/>
          <w:szCs w:val="24"/>
        </w:rPr>
      </w:pPr>
      <w:r>
        <w:rPr>
          <w:rFonts w:cs="Arial" w:asciiTheme="minorEastAsia" w:hAnsiTheme="minorEastAsia"/>
          <w:color w:val="auto"/>
          <w:kern w:val="0"/>
          <w:sz w:val="24"/>
          <w:szCs w:val="24"/>
        </w:rPr>
        <w:t>1.5.</w:t>
      </w:r>
      <w:r>
        <w:rPr>
          <w:rFonts w:hint="eastAsia" w:cs="Arial" w:asciiTheme="minorEastAsia" w:hAnsiTheme="minorEastAsia"/>
          <w:color w:val="auto"/>
          <w:kern w:val="0"/>
          <w:sz w:val="24"/>
          <w:szCs w:val="24"/>
        </w:rPr>
        <w:t>2</w:t>
      </w:r>
      <w:r>
        <w:rPr>
          <w:rFonts w:cs="Arial" w:asciiTheme="minorEastAsia" w:hAnsiTheme="minorEastAsia"/>
          <w:color w:val="auto"/>
          <w:kern w:val="0"/>
          <w:sz w:val="24"/>
          <w:szCs w:val="24"/>
        </w:rPr>
        <w:t xml:space="preserve"> </w:t>
      </w:r>
      <w:r>
        <w:rPr>
          <w:rFonts w:hint="eastAsia" w:cs="Arial" w:asciiTheme="minorEastAsia" w:hAnsiTheme="minorEastAsia"/>
          <w:color w:val="auto"/>
          <w:kern w:val="0"/>
          <w:sz w:val="24"/>
          <w:szCs w:val="24"/>
        </w:rPr>
        <w:t>投标人不得存在下列情形之一，否则相关投标均应被否决：</w:t>
      </w:r>
    </w:p>
    <w:p>
      <w:pPr>
        <w:autoSpaceDE w:val="0"/>
        <w:autoSpaceDN w:val="0"/>
        <w:spacing w:line="360" w:lineRule="auto"/>
        <w:ind w:firstLine="480" w:firstLineChars="200"/>
        <w:jc w:val="left"/>
        <w:rPr>
          <w:rFonts w:asciiTheme="minorEastAsia" w:hAnsiTheme="minorEastAsia"/>
          <w:color w:val="auto"/>
          <w:sz w:val="24"/>
          <w:szCs w:val="24"/>
        </w:rPr>
      </w:pPr>
      <w:bookmarkStart w:id="7" w:name="_BookMark_5"/>
      <w:bookmarkEnd w:id="7"/>
      <w:r>
        <w:rPr>
          <w:rFonts w:hint="eastAsia" w:asciiTheme="minorEastAsia" w:hAnsiTheme="minorEastAsia"/>
          <w:color w:val="auto"/>
          <w:kern w:val="0"/>
          <w:sz w:val="24"/>
          <w:szCs w:val="24"/>
        </w:rPr>
        <w:t>（</w:t>
      </w:r>
      <w:r>
        <w:rPr>
          <w:rFonts w:asciiTheme="minorEastAsia" w:hAnsiTheme="minorEastAsia"/>
          <w:color w:val="auto"/>
          <w:kern w:val="0"/>
          <w:sz w:val="24"/>
          <w:szCs w:val="24"/>
        </w:rPr>
        <w:t>1</w:t>
      </w:r>
      <w:r>
        <w:rPr>
          <w:rFonts w:hint="eastAsia" w:asciiTheme="minorEastAsia" w:hAnsiTheme="minorEastAsia"/>
          <w:color w:val="auto"/>
          <w:kern w:val="0"/>
          <w:sz w:val="24"/>
          <w:szCs w:val="24"/>
        </w:rPr>
        <w:t>）</w:t>
      </w:r>
      <w:r>
        <w:rPr>
          <w:rFonts w:asciiTheme="minorEastAsia" w:hAnsiTheme="minorEastAsia"/>
          <w:color w:val="auto"/>
          <w:sz w:val="24"/>
          <w:szCs w:val="24"/>
        </w:rPr>
        <w:t>与</w:t>
      </w:r>
      <w:r>
        <w:rPr>
          <w:rFonts w:hint="eastAsia" w:asciiTheme="minorEastAsia" w:hAnsiTheme="minorEastAsia"/>
          <w:color w:val="auto"/>
          <w:sz w:val="24"/>
          <w:szCs w:val="24"/>
        </w:rPr>
        <w:t>招标人</w:t>
      </w:r>
      <w:r>
        <w:rPr>
          <w:rFonts w:asciiTheme="minorEastAsia" w:hAnsiTheme="minorEastAsia"/>
          <w:color w:val="auto"/>
          <w:sz w:val="24"/>
          <w:szCs w:val="24"/>
        </w:rPr>
        <w:t>存在利害关系可能影响招标公正性的法人、其他组织或者个人，不得参加投标。</w:t>
      </w:r>
    </w:p>
    <w:p>
      <w:pPr>
        <w:widowControl/>
        <w:shd w:val="clear" w:color="auto" w:fill="FFFFFF"/>
        <w:snapToGrid w:val="0"/>
        <w:spacing w:line="360" w:lineRule="auto"/>
        <w:ind w:firstLine="480" w:firstLineChars="200"/>
        <w:rPr>
          <w:rFonts w:cs="Arial" w:asciiTheme="minorEastAsia" w:hAnsiTheme="minorEastAsia"/>
          <w:color w:val="auto"/>
          <w:kern w:val="0"/>
          <w:sz w:val="24"/>
          <w:szCs w:val="24"/>
        </w:rPr>
      </w:pPr>
      <w:r>
        <w:rPr>
          <w:rFonts w:hint="eastAsia" w:asciiTheme="minorEastAsia" w:hAnsiTheme="minorEastAsia"/>
          <w:color w:val="auto"/>
          <w:kern w:val="0"/>
          <w:sz w:val="24"/>
          <w:szCs w:val="24"/>
        </w:rPr>
        <w:t>（</w:t>
      </w:r>
      <w:r>
        <w:rPr>
          <w:rFonts w:asciiTheme="minorEastAsia" w:hAnsiTheme="minorEastAsia"/>
          <w:color w:val="auto"/>
          <w:kern w:val="0"/>
          <w:sz w:val="24"/>
          <w:szCs w:val="24"/>
        </w:rPr>
        <w:t>2</w:t>
      </w:r>
      <w:r>
        <w:rPr>
          <w:rFonts w:hint="eastAsia" w:asciiTheme="minorEastAsia" w:hAnsiTheme="minorEastAsia"/>
          <w:color w:val="auto"/>
          <w:kern w:val="0"/>
          <w:sz w:val="24"/>
          <w:szCs w:val="24"/>
        </w:rPr>
        <w:t>）单位负责人为同一人或者存在控股、管理关系的不同投标人，不得参加同一合同项下的政府采购活动。</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1.</w:t>
      </w:r>
      <w:r>
        <w:rPr>
          <w:rFonts w:hint="eastAsia" w:cs="Arial" w:asciiTheme="minorEastAsia" w:hAnsiTheme="minorEastAsia"/>
          <w:kern w:val="0"/>
          <w:sz w:val="24"/>
          <w:szCs w:val="24"/>
        </w:rPr>
        <w:t>6费用承担</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hint="eastAsia" w:cs="Arial" w:asciiTheme="minorEastAsia" w:hAnsiTheme="minorEastAsia"/>
          <w:kern w:val="0"/>
          <w:sz w:val="24"/>
          <w:szCs w:val="24"/>
        </w:rPr>
        <w:t>1.6.1招标文件费：见投标人须知前附表。</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hint="eastAsia" w:cs="Arial" w:asciiTheme="minorEastAsia" w:hAnsiTheme="minorEastAsia"/>
          <w:kern w:val="0"/>
          <w:sz w:val="24"/>
          <w:szCs w:val="24"/>
        </w:rPr>
        <w:t>1.6.2投标人应承担其编制投标文件与递交投标文件所涉及的一切费用，无论投标结果如何，招标人及采购代理机构对上述费用不作任何补偿。</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1.</w:t>
      </w:r>
      <w:r>
        <w:rPr>
          <w:rFonts w:hint="eastAsia" w:cs="Arial" w:asciiTheme="minorEastAsia" w:hAnsiTheme="minorEastAsia"/>
          <w:kern w:val="0"/>
          <w:sz w:val="24"/>
          <w:szCs w:val="24"/>
        </w:rPr>
        <w:t>7投标保证金：见投标人须知前附表。</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hint="eastAsia" w:cs="Arial" w:asciiTheme="minorEastAsia" w:hAnsiTheme="minorEastAsia"/>
          <w:kern w:val="0"/>
          <w:sz w:val="24"/>
          <w:szCs w:val="24"/>
        </w:rPr>
        <w:t>1.8踏勘现场</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1.</w:t>
      </w:r>
      <w:r>
        <w:rPr>
          <w:rFonts w:hint="eastAsia" w:cs="Arial" w:asciiTheme="minorEastAsia" w:hAnsiTheme="minorEastAsia"/>
          <w:kern w:val="0"/>
          <w:sz w:val="24"/>
          <w:szCs w:val="24"/>
        </w:rPr>
        <w:t>8</w:t>
      </w:r>
      <w:r>
        <w:rPr>
          <w:rFonts w:cs="Arial" w:asciiTheme="minorEastAsia" w:hAnsiTheme="minorEastAsia"/>
          <w:kern w:val="0"/>
          <w:sz w:val="24"/>
          <w:szCs w:val="24"/>
        </w:rPr>
        <w:t xml:space="preserve">.1 </w:t>
      </w:r>
      <w:r>
        <w:rPr>
          <w:rFonts w:hint="eastAsia" w:cs="Arial" w:asciiTheme="minorEastAsia" w:hAnsiTheme="minorEastAsia"/>
          <w:kern w:val="0"/>
          <w:sz w:val="24"/>
          <w:szCs w:val="24"/>
        </w:rPr>
        <w:t>投标人须知前附表规定组织踏勘现场的，招标人或采购代理机构按投标人须知前附表规定的时间、地点组织投标人踏勘项目现场。</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1.</w:t>
      </w:r>
      <w:r>
        <w:rPr>
          <w:rFonts w:hint="eastAsia" w:cs="Arial" w:asciiTheme="minorEastAsia" w:hAnsiTheme="minorEastAsia"/>
          <w:kern w:val="0"/>
          <w:sz w:val="24"/>
          <w:szCs w:val="24"/>
        </w:rPr>
        <w:t>8</w:t>
      </w:r>
      <w:r>
        <w:rPr>
          <w:rFonts w:cs="Arial" w:asciiTheme="minorEastAsia" w:hAnsiTheme="minorEastAsia"/>
          <w:kern w:val="0"/>
          <w:sz w:val="24"/>
          <w:szCs w:val="24"/>
        </w:rPr>
        <w:t xml:space="preserve">.2 </w:t>
      </w:r>
      <w:r>
        <w:rPr>
          <w:rFonts w:hint="eastAsia" w:cs="Arial" w:asciiTheme="minorEastAsia" w:hAnsiTheme="minorEastAsia"/>
          <w:kern w:val="0"/>
          <w:sz w:val="24"/>
          <w:szCs w:val="24"/>
        </w:rPr>
        <w:t>投标人踏勘现场发生的费用自理。</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1.</w:t>
      </w:r>
      <w:r>
        <w:rPr>
          <w:rFonts w:hint="eastAsia" w:cs="Arial" w:asciiTheme="minorEastAsia" w:hAnsiTheme="minorEastAsia"/>
          <w:kern w:val="0"/>
          <w:sz w:val="24"/>
          <w:szCs w:val="24"/>
        </w:rPr>
        <w:t>8</w:t>
      </w:r>
      <w:r>
        <w:rPr>
          <w:rFonts w:cs="Arial" w:asciiTheme="minorEastAsia" w:hAnsiTheme="minorEastAsia"/>
          <w:kern w:val="0"/>
          <w:sz w:val="24"/>
          <w:szCs w:val="24"/>
        </w:rPr>
        <w:t xml:space="preserve">.3 </w:t>
      </w:r>
      <w:r>
        <w:rPr>
          <w:rFonts w:hint="eastAsia" w:cs="Arial" w:asciiTheme="minorEastAsia" w:hAnsiTheme="minorEastAsia"/>
          <w:kern w:val="0"/>
          <w:sz w:val="24"/>
          <w:szCs w:val="24"/>
        </w:rPr>
        <w:t>除招标人或采购代理机构的原因外，投标人自行负责在踏勘现场中所发生的人员伤亡和财产损失。</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1.</w:t>
      </w:r>
      <w:r>
        <w:rPr>
          <w:rFonts w:hint="eastAsia" w:cs="Arial" w:asciiTheme="minorEastAsia" w:hAnsiTheme="minorEastAsia"/>
          <w:kern w:val="0"/>
          <w:sz w:val="24"/>
          <w:szCs w:val="24"/>
        </w:rPr>
        <w:t>8</w:t>
      </w:r>
      <w:r>
        <w:rPr>
          <w:rFonts w:cs="Arial" w:asciiTheme="minorEastAsia" w:hAnsiTheme="minorEastAsia"/>
          <w:kern w:val="0"/>
          <w:sz w:val="24"/>
          <w:szCs w:val="24"/>
        </w:rPr>
        <w:t xml:space="preserve">.4 </w:t>
      </w:r>
      <w:r>
        <w:rPr>
          <w:rFonts w:hint="eastAsia" w:cs="Arial" w:asciiTheme="minorEastAsia" w:hAnsiTheme="minorEastAsia"/>
          <w:kern w:val="0"/>
          <w:sz w:val="24"/>
          <w:szCs w:val="24"/>
        </w:rPr>
        <w:t>招标人或采购代理机构在踏勘现场中介绍的项目有关情况，供投标人在编制投标文件时参考，招标人或采购代理机构不对投标人据此作出的判断和决策负责。</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1.</w:t>
      </w:r>
      <w:r>
        <w:rPr>
          <w:rFonts w:hint="eastAsia" w:cs="Arial" w:asciiTheme="minorEastAsia" w:hAnsiTheme="minorEastAsia"/>
          <w:kern w:val="0"/>
          <w:sz w:val="24"/>
          <w:szCs w:val="24"/>
        </w:rPr>
        <w:t>9招标答疑会和招标澄清答疑要求</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1.</w:t>
      </w:r>
      <w:r>
        <w:rPr>
          <w:rFonts w:hint="eastAsia" w:cs="Arial" w:asciiTheme="minorEastAsia" w:hAnsiTheme="minorEastAsia"/>
          <w:kern w:val="0"/>
          <w:sz w:val="24"/>
          <w:szCs w:val="24"/>
        </w:rPr>
        <w:t>9</w:t>
      </w:r>
      <w:r>
        <w:rPr>
          <w:rFonts w:cs="Arial" w:asciiTheme="minorEastAsia" w:hAnsiTheme="minorEastAsia"/>
          <w:kern w:val="0"/>
          <w:sz w:val="24"/>
          <w:szCs w:val="24"/>
        </w:rPr>
        <w:t xml:space="preserve">.1 </w:t>
      </w:r>
      <w:r>
        <w:rPr>
          <w:rFonts w:hint="eastAsia" w:cs="Arial" w:asciiTheme="minorEastAsia" w:hAnsiTheme="minorEastAsia"/>
          <w:kern w:val="0"/>
          <w:sz w:val="24"/>
          <w:szCs w:val="24"/>
        </w:rPr>
        <w:t>投标人须知前附表规定召开招标答疑会的，招标人或采购代理机构按照投标人须知前附表规定的时间和地点召开招标答疑会，澄清投标人提出的问题。</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1.</w:t>
      </w:r>
      <w:r>
        <w:rPr>
          <w:rFonts w:hint="eastAsia" w:cs="Arial" w:asciiTheme="minorEastAsia" w:hAnsiTheme="minorEastAsia"/>
          <w:kern w:val="0"/>
          <w:sz w:val="24"/>
          <w:szCs w:val="24"/>
        </w:rPr>
        <w:t>9</w:t>
      </w:r>
      <w:r>
        <w:rPr>
          <w:rFonts w:cs="Arial" w:asciiTheme="minorEastAsia" w:hAnsiTheme="minorEastAsia"/>
          <w:kern w:val="0"/>
          <w:sz w:val="24"/>
          <w:szCs w:val="24"/>
        </w:rPr>
        <w:t xml:space="preserve">.2 </w:t>
      </w:r>
      <w:r>
        <w:rPr>
          <w:rFonts w:hint="eastAsia" w:cs="Arial" w:asciiTheme="minorEastAsia" w:hAnsiTheme="minorEastAsia"/>
          <w:kern w:val="0"/>
          <w:sz w:val="24"/>
          <w:szCs w:val="24"/>
        </w:rPr>
        <w:t>投标人若有疑问，应按投标人须知前附表规定的时间、方式向招标人或采购代理机构提出，要求招标人对招标文件予以澄清。</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1.</w:t>
      </w:r>
      <w:r>
        <w:rPr>
          <w:rFonts w:hint="eastAsia" w:cs="Arial" w:asciiTheme="minorEastAsia" w:hAnsiTheme="minorEastAsia"/>
          <w:kern w:val="0"/>
          <w:sz w:val="24"/>
          <w:szCs w:val="24"/>
        </w:rPr>
        <w:t>9</w:t>
      </w:r>
      <w:r>
        <w:rPr>
          <w:rFonts w:cs="Arial" w:asciiTheme="minorEastAsia" w:hAnsiTheme="minorEastAsia"/>
          <w:kern w:val="0"/>
          <w:sz w:val="24"/>
          <w:szCs w:val="24"/>
        </w:rPr>
        <w:t xml:space="preserve">.3 </w:t>
      </w:r>
      <w:r>
        <w:rPr>
          <w:rFonts w:hint="eastAsia" w:cs="Arial" w:asciiTheme="minorEastAsia" w:hAnsiTheme="minorEastAsia"/>
          <w:kern w:val="0"/>
          <w:sz w:val="24"/>
          <w:szCs w:val="24"/>
        </w:rPr>
        <w:t>招标人或采购代理机构将按照投标人须知前附表规定的时间方式对投标人的疑问作出统一的解答。</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hint="eastAsia" w:cs="Arial" w:asciiTheme="minorEastAsia" w:hAnsiTheme="minorEastAsia"/>
          <w:kern w:val="0"/>
          <w:sz w:val="24"/>
          <w:szCs w:val="24"/>
        </w:rPr>
        <w:t>1.10投标文件份数：见投标人须知前附表。</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hint="eastAsia" w:cs="Arial" w:asciiTheme="minorEastAsia" w:hAnsiTheme="minorEastAsia"/>
          <w:kern w:val="0"/>
          <w:sz w:val="24"/>
          <w:szCs w:val="24"/>
        </w:rPr>
        <w:t>1.11投标文件递交：见投标人须知前附表。</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hint="eastAsia" w:cs="Arial" w:asciiTheme="minorEastAsia" w:hAnsiTheme="minorEastAsia"/>
          <w:kern w:val="0"/>
          <w:sz w:val="24"/>
          <w:szCs w:val="24"/>
        </w:rPr>
        <w:t>1.12开标：见投标人须知前附表。</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hint="eastAsia" w:cs="Arial" w:asciiTheme="minorEastAsia" w:hAnsiTheme="minorEastAsia"/>
          <w:kern w:val="0"/>
          <w:sz w:val="24"/>
          <w:szCs w:val="24"/>
        </w:rPr>
        <w:t>1.13投标有效期：见投标人须知前附表。</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hint="eastAsia" w:cs="Arial" w:asciiTheme="minorEastAsia" w:hAnsiTheme="minorEastAsia"/>
          <w:kern w:val="0"/>
          <w:sz w:val="24"/>
          <w:szCs w:val="24"/>
        </w:rPr>
        <w:t>1.14招标公告发布媒体：见投标人须知前附表。</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hint="eastAsia" w:cs="Arial" w:asciiTheme="minorEastAsia" w:hAnsiTheme="minorEastAsia"/>
          <w:kern w:val="0"/>
          <w:sz w:val="24"/>
          <w:szCs w:val="24"/>
        </w:rPr>
        <w:t>1.15履约保证金：见投标人须知前附表。</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hint="eastAsia" w:cs="Arial" w:asciiTheme="minorEastAsia" w:hAnsiTheme="minorEastAsia"/>
          <w:kern w:val="0"/>
          <w:sz w:val="24"/>
          <w:szCs w:val="24"/>
        </w:rPr>
        <w:t>1.16保密</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hint="eastAsia" w:cs="Arial" w:asciiTheme="minorEastAsia" w:hAnsiTheme="minorEastAsia"/>
          <w:kern w:val="0"/>
          <w:sz w:val="24"/>
          <w:szCs w:val="24"/>
        </w:rPr>
        <w:t>参与招标投标活动的各方应当对招标文件和投标文件中的商业和技术等秘密保密，否则应当承担相应的法律责任。</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1.</w:t>
      </w:r>
      <w:r>
        <w:rPr>
          <w:rFonts w:hint="eastAsia" w:cs="Arial" w:asciiTheme="minorEastAsia" w:hAnsiTheme="minorEastAsia"/>
          <w:kern w:val="0"/>
          <w:sz w:val="24"/>
          <w:szCs w:val="24"/>
        </w:rPr>
        <w:t>17语言文字</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hint="eastAsia" w:cs="Arial" w:asciiTheme="minorEastAsia" w:hAnsiTheme="minorEastAsia"/>
          <w:kern w:val="0"/>
          <w:sz w:val="24"/>
          <w:szCs w:val="24"/>
        </w:rPr>
        <w:t>除专用术语外，与招标投标有关的语言均应当使用中文。必要时专用术语应附有中文注释。</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1.</w:t>
      </w:r>
      <w:r>
        <w:rPr>
          <w:rFonts w:hint="eastAsia" w:cs="Arial" w:asciiTheme="minorEastAsia" w:hAnsiTheme="minorEastAsia"/>
          <w:kern w:val="0"/>
          <w:sz w:val="24"/>
          <w:szCs w:val="24"/>
        </w:rPr>
        <w:t>18计量单位</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hint="eastAsia" w:cs="Arial" w:asciiTheme="minorEastAsia" w:hAnsiTheme="minorEastAsia"/>
          <w:kern w:val="0"/>
          <w:sz w:val="24"/>
          <w:szCs w:val="24"/>
        </w:rPr>
        <w:t>所有计量均采用中华人民共和国法定计量单位。</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1.</w:t>
      </w:r>
      <w:r>
        <w:rPr>
          <w:rFonts w:hint="eastAsia" w:cs="Arial" w:asciiTheme="minorEastAsia" w:hAnsiTheme="minorEastAsia"/>
          <w:kern w:val="0"/>
          <w:sz w:val="24"/>
          <w:szCs w:val="24"/>
        </w:rPr>
        <w:t>19偏离</w:t>
      </w:r>
    </w:p>
    <w:p>
      <w:pPr>
        <w:spacing w:line="360" w:lineRule="auto"/>
        <w:ind w:firstLine="480" w:firstLineChars="200"/>
        <w:rPr>
          <w:rFonts w:cs="Arial" w:asciiTheme="minorEastAsia" w:hAnsiTheme="minorEastAsia"/>
          <w:color w:val="auto"/>
          <w:kern w:val="0"/>
          <w:sz w:val="24"/>
          <w:szCs w:val="24"/>
        </w:rPr>
      </w:pPr>
      <w:r>
        <w:rPr>
          <w:rFonts w:cs="Arial" w:asciiTheme="minorEastAsia" w:hAnsiTheme="minorEastAsia"/>
          <w:color w:val="auto"/>
          <w:kern w:val="0"/>
          <w:sz w:val="24"/>
          <w:szCs w:val="24"/>
        </w:rPr>
        <w:t>1.</w:t>
      </w:r>
      <w:r>
        <w:rPr>
          <w:rFonts w:hint="eastAsia" w:cs="Arial" w:asciiTheme="minorEastAsia" w:hAnsiTheme="minorEastAsia"/>
          <w:color w:val="auto"/>
          <w:kern w:val="0"/>
          <w:sz w:val="24"/>
          <w:szCs w:val="24"/>
        </w:rPr>
        <w:t>19.1本条所称偏离为投标文件对招标文件的偏离，即不满足、或不响应招标文件的要求。偏离分为对招标文件的实质性要求条款偏离和对招标文件的一般商务和技术条款偏离。</w:t>
      </w:r>
    </w:p>
    <w:p>
      <w:pPr>
        <w:widowControl/>
        <w:shd w:val="clear" w:color="auto" w:fill="FFFFFF"/>
        <w:snapToGrid w:val="0"/>
        <w:spacing w:line="360" w:lineRule="auto"/>
        <w:ind w:firstLine="482" w:firstLineChars="200"/>
        <w:rPr>
          <w:rFonts w:cs="Arial" w:asciiTheme="minorEastAsia" w:hAnsiTheme="minorEastAsia"/>
          <w:color w:val="auto"/>
          <w:kern w:val="0"/>
          <w:sz w:val="24"/>
          <w:szCs w:val="24"/>
        </w:rPr>
      </w:pPr>
      <w:r>
        <w:rPr>
          <w:rFonts w:cs="Arial" w:asciiTheme="minorEastAsia" w:hAnsiTheme="minorEastAsia"/>
          <w:b/>
          <w:color w:val="auto"/>
          <w:kern w:val="0"/>
          <w:sz w:val="24"/>
          <w:szCs w:val="24"/>
        </w:rPr>
        <w:t>1.</w:t>
      </w:r>
      <w:r>
        <w:rPr>
          <w:rFonts w:hint="eastAsia" w:cs="Arial" w:asciiTheme="minorEastAsia" w:hAnsiTheme="minorEastAsia"/>
          <w:b/>
          <w:color w:val="auto"/>
          <w:kern w:val="0"/>
          <w:sz w:val="24"/>
          <w:szCs w:val="24"/>
        </w:rPr>
        <w:t>19.2除法律、法规和规章规定外。招标文件中 “拒绝”“不接受”“无效”“不得”“投标被否决”等文字规定或标注“★”“▲”符号的条款为实质性要求条款（即重要条款），对其中任一条的偏离，在评审时将其视为无效响应。未用上述文字规定或符号标注的条款为非实质性要求条款（即一般条款）。着重提醒各投标人注意，并认真查看招标文件中的每一个条款及要求，因误读招标文件而造成的后果，招标人概不负责。</w:t>
      </w:r>
    </w:p>
    <w:p>
      <w:pPr>
        <w:tabs>
          <w:tab w:val="center" w:pos="4832"/>
          <w:tab w:val="left" w:pos="7140"/>
        </w:tabs>
        <w:spacing w:line="360" w:lineRule="auto"/>
        <w:ind w:firstLine="472" w:firstLineChars="196"/>
        <w:jc w:val="left"/>
        <w:outlineLvl w:val="1"/>
        <w:rPr>
          <w:rFonts w:cs="宋体" w:asciiTheme="minorEastAsia" w:hAnsiTheme="minorEastAsia"/>
          <w:b/>
          <w:sz w:val="24"/>
          <w:szCs w:val="24"/>
        </w:rPr>
      </w:pPr>
      <w:bookmarkStart w:id="8" w:name="_Toc1284"/>
      <w:bookmarkStart w:id="9" w:name="_Toc3248"/>
      <w:r>
        <w:rPr>
          <w:rFonts w:cs="宋体" w:asciiTheme="minorEastAsia" w:hAnsiTheme="minorEastAsia"/>
          <w:b/>
          <w:sz w:val="24"/>
          <w:szCs w:val="24"/>
        </w:rPr>
        <w:t>2</w:t>
      </w:r>
      <w:r>
        <w:rPr>
          <w:rFonts w:hint="eastAsia" w:cs="宋体" w:asciiTheme="minorEastAsia" w:hAnsiTheme="minorEastAsia"/>
          <w:b/>
          <w:sz w:val="24"/>
          <w:szCs w:val="24"/>
        </w:rPr>
        <w:t>．招标文件</w:t>
      </w:r>
      <w:bookmarkEnd w:id="8"/>
      <w:bookmarkEnd w:id="9"/>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 xml:space="preserve">2.1 </w:t>
      </w:r>
      <w:r>
        <w:rPr>
          <w:rFonts w:hint="eastAsia" w:cs="Arial" w:asciiTheme="minorEastAsia" w:hAnsiTheme="minorEastAsia"/>
          <w:kern w:val="0"/>
          <w:sz w:val="24"/>
          <w:szCs w:val="24"/>
        </w:rPr>
        <w:t>招标文件的组成</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hint="eastAsia" w:cs="Arial" w:asciiTheme="minorEastAsia" w:hAnsiTheme="minorEastAsia"/>
          <w:kern w:val="0"/>
          <w:sz w:val="24"/>
          <w:szCs w:val="24"/>
        </w:rPr>
        <w:t>（</w:t>
      </w:r>
      <w:r>
        <w:rPr>
          <w:rFonts w:cs="Arial" w:asciiTheme="minorEastAsia" w:hAnsiTheme="minorEastAsia"/>
          <w:kern w:val="0"/>
          <w:sz w:val="24"/>
          <w:szCs w:val="24"/>
        </w:rPr>
        <w:t>1</w:t>
      </w:r>
      <w:r>
        <w:rPr>
          <w:rFonts w:hint="eastAsia" w:cs="Arial" w:asciiTheme="minorEastAsia" w:hAnsiTheme="minorEastAsia"/>
          <w:kern w:val="0"/>
          <w:sz w:val="24"/>
          <w:szCs w:val="24"/>
        </w:rPr>
        <w:t>）投标人须知；</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hint="eastAsia" w:cs="Arial" w:asciiTheme="minorEastAsia" w:hAnsiTheme="minorEastAsia"/>
          <w:kern w:val="0"/>
          <w:sz w:val="24"/>
          <w:szCs w:val="24"/>
        </w:rPr>
        <w:t>（</w:t>
      </w:r>
      <w:r>
        <w:rPr>
          <w:rFonts w:cs="Arial" w:asciiTheme="minorEastAsia" w:hAnsiTheme="minorEastAsia"/>
          <w:kern w:val="0"/>
          <w:sz w:val="24"/>
          <w:szCs w:val="24"/>
        </w:rPr>
        <w:t>2</w:t>
      </w:r>
      <w:r>
        <w:rPr>
          <w:rFonts w:hint="eastAsia" w:cs="Arial" w:asciiTheme="minorEastAsia" w:hAnsiTheme="minorEastAsia"/>
          <w:kern w:val="0"/>
          <w:sz w:val="24"/>
          <w:szCs w:val="24"/>
        </w:rPr>
        <w:t>）评标办法；</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hint="eastAsia" w:cs="Arial" w:asciiTheme="minorEastAsia" w:hAnsiTheme="minorEastAsia"/>
          <w:kern w:val="0"/>
          <w:sz w:val="24"/>
          <w:szCs w:val="24"/>
        </w:rPr>
        <w:t>（</w:t>
      </w:r>
      <w:r>
        <w:rPr>
          <w:rFonts w:cs="Arial" w:asciiTheme="minorEastAsia" w:hAnsiTheme="minorEastAsia"/>
          <w:kern w:val="0"/>
          <w:sz w:val="24"/>
          <w:szCs w:val="24"/>
        </w:rPr>
        <w:t>3</w:t>
      </w:r>
      <w:r>
        <w:rPr>
          <w:rFonts w:hint="eastAsia" w:cs="Arial" w:asciiTheme="minorEastAsia" w:hAnsiTheme="minorEastAsia"/>
          <w:kern w:val="0"/>
          <w:sz w:val="24"/>
          <w:szCs w:val="24"/>
        </w:rPr>
        <w:t>）合同条款及格式；</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hint="eastAsia" w:cs="Arial" w:asciiTheme="minorEastAsia" w:hAnsiTheme="minorEastAsia"/>
          <w:kern w:val="0"/>
          <w:sz w:val="24"/>
          <w:szCs w:val="24"/>
        </w:rPr>
        <w:t>（</w:t>
      </w:r>
      <w:r>
        <w:rPr>
          <w:rFonts w:cs="Arial" w:asciiTheme="minorEastAsia" w:hAnsiTheme="minorEastAsia"/>
          <w:kern w:val="0"/>
          <w:sz w:val="24"/>
          <w:szCs w:val="24"/>
        </w:rPr>
        <w:t>4</w:t>
      </w:r>
      <w:r>
        <w:rPr>
          <w:rFonts w:hint="eastAsia" w:cs="Arial" w:asciiTheme="minorEastAsia" w:hAnsiTheme="minorEastAsia"/>
          <w:kern w:val="0"/>
          <w:sz w:val="24"/>
          <w:szCs w:val="24"/>
        </w:rPr>
        <w:t>）技术标准和要求；</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hint="eastAsia" w:cs="Arial" w:asciiTheme="minorEastAsia" w:hAnsiTheme="minorEastAsia"/>
          <w:kern w:val="0"/>
          <w:sz w:val="24"/>
          <w:szCs w:val="24"/>
        </w:rPr>
        <w:t>（</w:t>
      </w:r>
      <w:r>
        <w:rPr>
          <w:rFonts w:cs="Arial" w:asciiTheme="minorEastAsia" w:hAnsiTheme="minorEastAsia"/>
          <w:kern w:val="0"/>
          <w:sz w:val="24"/>
          <w:szCs w:val="24"/>
        </w:rPr>
        <w:t>5</w:t>
      </w:r>
      <w:r>
        <w:rPr>
          <w:rFonts w:hint="eastAsia" w:cs="Arial" w:asciiTheme="minorEastAsia" w:hAnsiTheme="minorEastAsia"/>
          <w:kern w:val="0"/>
          <w:sz w:val="24"/>
          <w:szCs w:val="24"/>
        </w:rPr>
        <w:t>）投标文件格式；</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hint="eastAsia" w:cs="Arial" w:asciiTheme="minorEastAsia" w:hAnsiTheme="minorEastAsia"/>
          <w:kern w:val="0"/>
          <w:sz w:val="24"/>
          <w:szCs w:val="24"/>
        </w:rPr>
        <w:t>（</w:t>
      </w:r>
      <w:r>
        <w:rPr>
          <w:rFonts w:cs="Arial" w:asciiTheme="minorEastAsia" w:hAnsiTheme="minorEastAsia"/>
          <w:kern w:val="0"/>
          <w:sz w:val="24"/>
          <w:szCs w:val="24"/>
        </w:rPr>
        <w:t>6</w:t>
      </w:r>
      <w:r>
        <w:rPr>
          <w:rFonts w:hint="eastAsia" w:cs="Arial" w:asciiTheme="minorEastAsia" w:hAnsiTheme="minorEastAsia"/>
          <w:kern w:val="0"/>
          <w:sz w:val="24"/>
          <w:szCs w:val="24"/>
        </w:rPr>
        <w:t>）补充条款。</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hint="eastAsia" w:cs="Arial" w:asciiTheme="minorEastAsia" w:hAnsiTheme="minorEastAsia"/>
          <w:kern w:val="0"/>
          <w:sz w:val="24"/>
          <w:szCs w:val="24"/>
        </w:rPr>
        <w:t>根据本章第</w:t>
      </w:r>
      <w:r>
        <w:rPr>
          <w:rFonts w:cs="Arial" w:asciiTheme="minorEastAsia" w:hAnsiTheme="minorEastAsia"/>
          <w:kern w:val="0"/>
          <w:sz w:val="24"/>
          <w:szCs w:val="24"/>
        </w:rPr>
        <w:t>2.</w:t>
      </w:r>
      <w:r>
        <w:rPr>
          <w:rFonts w:hint="eastAsia" w:cs="Arial" w:asciiTheme="minorEastAsia" w:hAnsiTheme="minorEastAsia"/>
          <w:kern w:val="0"/>
          <w:sz w:val="24"/>
          <w:szCs w:val="24"/>
        </w:rPr>
        <w:t>3款和第</w:t>
      </w:r>
      <w:r>
        <w:rPr>
          <w:rFonts w:cs="Arial" w:asciiTheme="minorEastAsia" w:hAnsiTheme="minorEastAsia"/>
          <w:kern w:val="0"/>
          <w:sz w:val="24"/>
          <w:szCs w:val="24"/>
        </w:rPr>
        <w:t>2.</w:t>
      </w:r>
      <w:r>
        <w:rPr>
          <w:rFonts w:hint="eastAsia" w:cs="Arial" w:asciiTheme="minorEastAsia" w:hAnsiTheme="minorEastAsia"/>
          <w:kern w:val="0"/>
          <w:sz w:val="24"/>
          <w:szCs w:val="24"/>
        </w:rPr>
        <w:t>4款对招标文件所作的澄清、修改，构成招标文件的组成部分。</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2.</w:t>
      </w:r>
      <w:r>
        <w:rPr>
          <w:rFonts w:hint="eastAsia" w:cs="Arial" w:asciiTheme="minorEastAsia" w:hAnsiTheme="minorEastAsia"/>
          <w:kern w:val="0"/>
          <w:sz w:val="24"/>
          <w:szCs w:val="24"/>
        </w:rPr>
        <w:t>2招标文件的获取</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hint="eastAsia" w:cs="Arial" w:asciiTheme="minorEastAsia" w:hAnsiTheme="minorEastAsia"/>
          <w:kern w:val="0"/>
          <w:sz w:val="24"/>
          <w:szCs w:val="24"/>
        </w:rPr>
        <w:t>凡有意参加并符合投标人须知前附表“投标人资格条件和能力”的投标人，均可登陆政采云https://www.zcygov.cn/平台后进入“项目采购“应用，在获取文件菜单中选择项目，申请获取采购文件。</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2.</w:t>
      </w:r>
      <w:r>
        <w:rPr>
          <w:rFonts w:hint="eastAsia" w:cs="Arial" w:asciiTheme="minorEastAsia" w:hAnsiTheme="minorEastAsia"/>
          <w:kern w:val="0"/>
          <w:sz w:val="24"/>
          <w:szCs w:val="24"/>
        </w:rPr>
        <w:t>3招标文件的澄清</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2.</w:t>
      </w:r>
      <w:r>
        <w:rPr>
          <w:rFonts w:hint="eastAsia" w:cs="Arial" w:asciiTheme="minorEastAsia" w:hAnsiTheme="minorEastAsia"/>
          <w:kern w:val="0"/>
          <w:sz w:val="24"/>
          <w:szCs w:val="24"/>
        </w:rPr>
        <w:t>3</w:t>
      </w:r>
      <w:r>
        <w:rPr>
          <w:rFonts w:cs="Arial" w:asciiTheme="minorEastAsia" w:hAnsiTheme="minorEastAsia"/>
          <w:kern w:val="0"/>
          <w:sz w:val="24"/>
          <w:szCs w:val="24"/>
        </w:rPr>
        <w:t xml:space="preserve">.1 </w:t>
      </w:r>
      <w:r>
        <w:rPr>
          <w:rFonts w:hint="eastAsia" w:cs="Arial" w:asciiTheme="minorEastAsia" w:hAnsiTheme="minorEastAsia"/>
          <w:kern w:val="0"/>
          <w:sz w:val="24"/>
          <w:szCs w:val="24"/>
        </w:rPr>
        <w:t>投标人应当仔细阅读和检查招标文件的全部内容。如发现缺页或附件不全，应当及时向招标人提出，以便补齐。如有疑问，应当在投标人须知前附表规定的时间、方式向招标人提出，要求招标人对招标文件予以澄清。</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2.</w:t>
      </w:r>
      <w:r>
        <w:rPr>
          <w:rFonts w:hint="eastAsia" w:cs="Arial" w:asciiTheme="minorEastAsia" w:hAnsiTheme="minorEastAsia"/>
          <w:kern w:val="0"/>
          <w:sz w:val="24"/>
          <w:szCs w:val="24"/>
        </w:rPr>
        <w:t>3</w:t>
      </w:r>
      <w:r>
        <w:rPr>
          <w:rFonts w:cs="Arial" w:asciiTheme="minorEastAsia" w:hAnsiTheme="minorEastAsia"/>
          <w:kern w:val="0"/>
          <w:sz w:val="24"/>
          <w:szCs w:val="24"/>
        </w:rPr>
        <w:t xml:space="preserve">.2 </w:t>
      </w:r>
      <w:r>
        <w:rPr>
          <w:rFonts w:hint="eastAsia" w:cs="Arial" w:asciiTheme="minorEastAsia" w:hAnsiTheme="minorEastAsia"/>
          <w:kern w:val="0"/>
          <w:sz w:val="24"/>
          <w:szCs w:val="24"/>
        </w:rPr>
        <w:t>招标文件的澄清将按照投标人须知前附表规定的时间、方式发布，但不指明澄清问题的来源。</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2.</w:t>
      </w:r>
      <w:r>
        <w:rPr>
          <w:rFonts w:hint="eastAsia" w:cs="Arial" w:asciiTheme="minorEastAsia" w:hAnsiTheme="minorEastAsia"/>
          <w:kern w:val="0"/>
          <w:sz w:val="24"/>
          <w:szCs w:val="24"/>
        </w:rPr>
        <w:t>4招标文件的修改</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2.</w:t>
      </w:r>
      <w:r>
        <w:rPr>
          <w:rFonts w:hint="eastAsia" w:cs="Arial" w:asciiTheme="minorEastAsia" w:hAnsiTheme="minorEastAsia"/>
          <w:kern w:val="0"/>
          <w:sz w:val="24"/>
          <w:szCs w:val="24"/>
        </w:rPr>
        <w:t>4</w:t>
      </w:r>
      <w:r>
        <w:rPr>
          <w:rFonts w:cs="Arial" w:asciiTheme="minorEastAsia" w:hAnsiTheme="minorEastAsia"/>
          <w:kern w:val="0"/>
          <w:sz w:val="24"/>
          <w:szCs w:val="24"/>
        </w:rPr>
        <w:t xml:space="preserve">.1 </w:t>
      </w:r>
      <w:r>
        <w:rPr>
          <w:rFonts w:hint="eastAsia" w:cs="Arial" w:asciiTheme="minorEastAsia" w:hAnsiTheme="minorEastAsia"/>
          <w:kern w:val="0"/>
          <w:sz w:val="24"/>
          <w:szCs w:val="24"/>
        </w:rPr>
        <w:t>招标文件的修改将按照投标人须知前附表规定的时间、方式发布，但不指明澄清问题的来源。</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2.</w:t>
      </w:r>
      <w:r>
        <w:rPr>
          <w:rFonts w:hint="eastAsia" w:cs="Arial" w:asciiTheme="minorEastAsia" w:hAnsiTheme="minorEastAsia"/>
          <w:kern w:val="0"/>
          <w:sz w:val="24"/>
          <w:szCs w:val="24"/>
        </w:rPr>
        <w:t>4</w:t>
      </w:r>
      <w:r>
        <w:rPr>
          <w:rFonts w:cs="Arial" w:asciiTheme="minorEastAsia" w:hAnsiTheme="minorEastAsia"/>
          <w:kern w:val="0"/>
          <w:sz w:val="24"/>
          <w:szCs w:val="24"/>
        </w:rPr>
        <w:t xml:space="preserve">.2 </w:t>
      </w:r>
      <w:r>
        <w:rPr>
          <w:rFonts w:hint="eastAsia" w:cs="Arial" w:asciiTheme="minorEastAsia" w:hAnsiTheme="minorEastAsia"/>
          <w:kern w:val="0"/>
          <w:sz w:val="24"/>
          <w:szCs w:val="24"/>
        </w:rPr>
        <w:t>在投标人须知前附表规定的截止时间前，无论出于何种原因，采购代理机构和招标人可主动地或在解答潜在投标人提出的澄清问题时对招标文件进行修改。</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2.</w:t>
      </w:r>
      <w:r>
        <w:rPr>
          <w:rFonts w:hint="eastAsia" w:cs="Arial" w:asciiTheme="minorEastAsia" w:hAnsiTheme="minorEastAsia"/>
          <w:kern w:val="0"/>
          <w:sz w:val="24"/>
          <w:szCs w:val="24"/>
        </w:rPr>
        <w:t>4</w:t>
      </w:r>
      <w:r>
        <w:rPr>
          <w:rFonts w:cs="Arial" w:asciiTheme="minorEastAsia" w:hAnsiTheme="minorEastAsia"/>
          <w:kern w:val="0"/>
          <w:sz w:val="24"/>
          <w:szCs w:val="24"/>
        </w:rPr>
        <w:t xml:space="preserve">.3 </w:t>
      </w:r>
      <w:r>
        <w:rPr>
          <w:rFonts w:hint="eastAsia" w:cs="Arial" w:asciiTheme="minorEastAsia" w:hAnsiTheme="minorEastAsia"/>
          <w:kern w:val="0"/>
          <w:sz w:val="24"/>
          <w:szCs w:val="24"/>
        </w:rPr>
        <w:t>招标文件的修改部分是招标文件的组成部分对投标人具有约束力。</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2.</w:t>
      </w:r>
      <w:r>
        <w:rPr>
          <w:rFonts w:hint="eastAsia" w:cs="Arial" w:asciiTheme="minorEastAsia" w:hAnsiTheme="minorEastAsia"/>
          <w:kern w:val="0"/>
          <w:sz w:val="24"/>
          <w:szCs w:val="24"/>
        </w:rPr>
        <w:t>4</w:t>
      </w:r>
      <w:r>
        <w:rPr>
          <w:rFonts w:cs="Arial" w:asciiTheme="minorEastAsia" w:hAnsiTheme="minorEastAsia"/>
          <w:kern w:val="0"/>
          <w:sz w:val="24"/>
          <w:szCs w:val="24"/>
        </w:rPr>
        <w:t xml:space="preserve">.4 </w:t>
      </w:r>
      <w:r>
        <w:rPr>
          <w:rFonts w:hint="eastAsia" w:cs="Arial" w:asciiTheme="minorEastAsia" w:hAnsiTheme="minorEastAsia"/>
          <w:kern w:val="0"/>
          <w:sz w:val="24"/>
          <w:szCs w:val="24"/>
        </w:rPr>
        <w:t>为使投标人准备投标时有充分时间对招标文件的修改部分进行研究，招标人可适当推迟投标截止期。</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2.</w:t>
      </w:r>
      <w:r>
        <w:rPr>
          <w:rFonts w:hint="eastAsia" w:cs="Arial" w:asciiTheme="minorEastAsia" w:hAnsiTheme="minorEastAsia"/>
          <w:kern w:val="0"/>
          <w:sz w:val="24"/>
          <w:szCs w:val="24"/>
        </w:rPr>
        <w:t>4</w:t>
      </w:r>
      <w:r>
        <w:rPr>
          <w:rFonts w:cs="Arial" w:asciiTheme="minorEastAsia" w:hAnsiTheme="minorEastAsia"/>
          <w:kern w:val="0"/>
          <w:sz w:val="24"/>
          <w:szCs w:val="24"/>
        </w:rPr>
        <w:t xml:space="preserve">.5 </w:t>
      </w:r>
      <w:r>
        <w:rPr>
          <w:rFonts w:hint="eastAsia" w:cs="Arial" w:asciiTheme="minorEastAsia" w:hAnsiTheme="minorEastAsia"/>
          <w:kern w:val="0"/>
          <w:sz w:val="24"/>
          <w:szCs w:val="24"/>
        </w:rPr>
        <w:t>当招标人发放的招标文件及招标文件的答疑文件、修改文件、补充文件前后不一致，发生矛盾情况时，以最后发出的为准。</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2.</w:t>
      </w:r>
      <w:r>
        <w:rPr>
          <w:rFonts w:hint="eastAsia" w:cs="Arial" w:asciiTheme="minorEastAsia" w:hAnsiTheme="minorEastAsia"/>
          <w:kern w:val="0"/>
          <w:sz w:val="24"/>
          <w:szCs w:val="24"/>
        </w:rPr>
        <w:t>4</w:t>
      </w:r>
      <w:r>
        <w:rPr>
          <w:rFonts w:cs="Arial" w:asciiTheme="minorEastAsia" w:hAnsiTheme="minorEastAsia"/>
          <w:kern w:val="0"/>
          <w:sz w:val="24"/>
          <w:szCs w:val="24"/>
        </w:rPr>
        <w:t xml:space="preserve">.6 </w:t>
      </w:r>
      <w:r>
        <w:rPr>
          <w:rFonts w:hint="eastAsia" w:cs="Arial" w:asciiTheme="minorEastAsia" w:hAnsiTheme="minorEastAsia"/>
          <w:kern w:val="0"/>
          <w:sz w:val="24"/>
          <w:szCs w:val="24"/>
        </w:rPr>
        <w:t>如果招标文件各个组成部分之间出现歧义或相互矛盾，或任何文件中呈现明显的或不符合逻辑等的错误，或在文件编写过程中经常出现的打印错误等，投标人应将需要澄清的内容在投标人须知前附表规定的时间之前提出。根据合同条款中的相关约定，如果投标人在投标过程中未能发现并对有关歧义、矛盾或错误提出澄清请求，而在中标后发现并提出，中标人将必须接受由招标人依据合同有关条款而做出的书面澄清。</w:t>
      </w:r>
    </w:p>
    <w:p>
      <w:pPr>
        <w:tabs>
          <w:tab w:val="center" w:pos="4832"/>
          <w:tab w:val="left" w:pos="7140"/>
        </w:tabs>
        <w:spacing w:line="360" w:lineRule="auto"/>
        <w:ind w:firstLine="472" w:firstLineChars="196"/>
        <w:jc w:val="left"/>
        <w:outlineLvl w:val="1"/>
        <w:rPr>
          <w:rFonts w:cs="宋体" w:asciiTheme="minorEastAsia" w:hAnsiTheme="minorEastAsia"/>
          <w:b/>
          <w:sz w:val="24"/>
          <w:szCs w:val="24"/>
        </w:rPr>
      </w:pPr>
      <w:bookmarkStart w:id="10" w:name="_BookMark_6"/>
      <w:bookmarkEnd w:id="10"/>
      <w:bookmarkStart w:id="11" w:name="_Toc5109"/>
      <w:bookmarkStart w:id="12" w:name="_Toc28949"/>
      <w:r>
        <w:rPr>
          <w:rFonts w:cs="宋体" w:asciiTheme="minorEastAsia" w:hAnsiTheme="minorEastAsia"/>
          <w:b/>
          <w:sz w:val="24"/>
          <w:szCs w:val="24"/>
        </w:rPr>
        <w:t>3</w:t>
      </w:r>
      <w:r>
        <w:rPr>
          <w:rFonts w:hint="eastAsia" w:cs="宋体" w:asciiTheme="minorEastAsia" w:hAnsiTheme="minorEastAsia"/>
          <w:b/>
          <w:sz w:val="24"/>
          <w:szCs w:val="24"/>
        </w:rPr>
        <w:t>．投标文件</w:t>
      </w:r>
      <w:bookmarkEnd w:id="11"/>
      <w:bookmarkEnd w:id="12"/>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 xml:space="preserve">3.1 </w:t>
      </w:r>
      <w:r>
        <w:rPr>
          <w:rFonts w:hint="eastAsia" w:cs="Arial" w:asciiTheme="minorEastAsia" w:hAnsiTheme="minorEastAsia"/>
          <w:kern w:val="0"/>
          <w:sz w:val="24"/>
          <w:szCs w:val="24"/>
        </w:rPr>
        <w:t>投标文件的组成</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3.1.1</w:t>
      </w:r>
      <w:r>
        <w:rPr>
          <w:rFonts w:hint="eastAsia" w:cs="Arial" w:asciiTheme="minorEastAsia" w:hAnsiTheme="minorEastAsia"/>
          <w:kern w:val="0"/>
          <w:sz w:val="24"/>
          <w:szCs w:val="24"/>
        </w:rPr>
        <w:t>投标文件应包括下列内容：</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1、投标函</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2、开标一览表</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3、反商业贿赂承诺书</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4、技术条款偏离表</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5、商务条款偏离表</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6、法定代表人身份证明书</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7、法定代表人授权委托书</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8、投标人基本情况</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9、投标人近年类似项目情况表</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10、拟投入本项目主要机械设备</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11、项目负责人简历表</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12、拟投入人员配置表</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13、合理化建议</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14、养护作业方案</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15、质量管理方案</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16、应急抢险方案</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17、安全服务方案</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18、文明作业方案</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hint="eastAsia" w:ascii="宋体" w:hAnsi="宋体" w:eastAsia="宋体" w:cs="Arial"/>
          <w:kern w:val="0"/>
          <w:sz w:val="24"/>
          <w:szCs w:val="24"/>
        </w:rPr>
        <w:t>19、其他需要提交的资料（根据招标文件的要求和投标人认为需要提供的资料）</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 xml:space="preserve">3.2 </w:t>
      </w:r>
      <w:r>
        <w:rPr>
          <w:rFonts w:hint="eastAsia" w:cs="Arial" w:asciiTheme="minorEastAsia" w:hAnsiTheme="minorEastAsia"/>
          <w:kern w:val="0"/>
          <w:sz w:val="24"/>
          <w:szCs w:val="24"/>
        </w:rPr>
        <w:t>投标价格</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3.2.</w:t>
      </w:r>
      <w:r>
        <w:rPr>
          <w:rFonts w:hint="eastAsia" w:cs="Arial" w:asciiTheme="minorEastAsia" w:hAnsiTheme="minorEastAsia"/>
          <w:kern w:val="0"/>
          <w:sz w:val="24"/>
          <w:szCs w:val="24"/>
        </w:rPr>
        <w:t>1投标人的货物只允许有一个报价，招标人不接受有任何选择的报价。投标价格应包括投标人履行本项目合同（如果中标）所必须的所有成本费用和中标人应承担的一切税费，包括但不仅限于必要资料、办公、交通、保险、人员、税费、售后服务费及培训费等一切费用。未列和没有填写的项目费用，招标人将视为已包括在投标价格中；</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3.2.</w:t>
      </w:r>
      <w:r>
        <w:rPr>
          <w:rFonts w:hint="eastAsia" w:cs="Arial" w:asciiTheme="minorEastAsia" w:hAnsiTheme="minorEastAsia"/>
          <w:kern w:val="0"/>
          <w:sz w:val="24"/>
          <w:szCs w:val="24"/>
        </w:rPr>
        <w:t>2投标人提供的货物一律用人民币报价。</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 xml:space="preserve">3.3 </w:t>
      </w:r>
      <w:r>
        <w:rPr>
          <w:rFonts w:hint="eastAsia" w:cs="Arial" w:asciiTheme="minorEastAsia" w:hAnsiTheme="minorEastAsia"/>
          <w:kern w:val="0"/>
          <w:sz w:val="24"/>
          <w:szCs w:val="24"/>
        </w:rPr>
        <w:t>投标有效期</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 xml:space="preserve">3.3.1 </w:t>
      </w:r>
      <w:r>
        <w:rPr>
          <w:rFonts w:hint="eastAsia" w:cs="Arial" w:asciiTheme="minorEastAsia" w:hAnsiTheme="minorEastAsia"/>
          <w:kern w:val="0"/>
          <w:sz w:val="24"/>
          <w:szCs w:val="24"/>
        </w:rPr>
        <w:t>在投标人须知前附表规定的投标有效期内，投标人不得要求撤销或修改其投标文件。</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 xml:space="preserve">3.3.2 </w:t>
      </w:r>
      <w:r>
        <w:rPr>
          <w:rFonts w:hint="eastAsia" w:cs="Arial" w:asciiTheme="minorEastAsia" w:hAnsiTheme="minorEastAsia"/>
          <w:kern w:val="0"/>
          <w:sz w:val="24"/>
          <w:szCs w:val="24"/>
        </w:rPr>
        <w:t>出现特殊情况需要延长投标有效期的，招标人将通知所有投标人延长投标有效期。投标人同意延长的，应当相应延长其投标保证金的有效期，但不得要求或被允许修改或撤销其投标文件；投标人拒绝延长的，其投标失效，但投标人有权收回其投标保证金。</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 xml:space="preserve">3.3.3 </w:t>
      </w:r>
      <w:r>
        <w:rPr>
          <w:rFonts w:hint="eastAsia" w:cs="Arial" w:asciiTheme="minorEastAsia" w:hAnsiTheme="minorEastAsia"/>
          <w:kern w:val="0"/>
          <w:sz w:val="24"/>
          <w:szCs w:val="24"/>
        </w:rPr>
        <w:t>投标保证金的有效期与投标有效期一致。</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 xml:space="preserve">3.4 </w:t>
      </w:r>
      <w:r>
        <w:rPr>
          <w:rFonts w:hint="eastAsia" w:cs="Arial" w:asciiTheme="minorEastAsia" w:hAnsiTheme="minorEastAsia"/>
          <w:kern w:val="0"/>
          <w:sz w:val="24"/>
          <w:szCs w:val="24"/>
        </w:rPr>
        <w:t>投标保证金</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 xml:space="preserve">3.4.1 </w:t>
      </w:r>
      <w:r>
        <w:rPr>
          <w:rFonts w:hint="eastAsia" w:cs="Arial" w:asciiTheme="minorEastAsia" w:hAnsiTheme="minorEastAsia"/>
          <w:kern w:val="0"/>
          <w:sz w:val="24"/>
          <w:szCs w:val="24"/>
        </w:rPr>
        <w:t>投标人应于投标截止时间前按投标人须知前附表规定数额提交投标保证金。未提交投标保证金的，将被视为非响应性投标而予以拒绝。联合体投标的，其投标保证金由牵头人递交，并应符合投标人须知前附表的规定。</w:t>
      </w:r>
    </w:p>
    <w:p>
      <w:pPr>
        <w:shd w:val="clear" w:color="auto" w:fill="FFFFFF"/>
        <w:snapToGrid w:val="0"/>
        <w:spacing w:line="384" w:lineRule="auto"/>
        <w:ind w:firstLine="360" w:firstLineChars="150"/>
        <w:rPr>
          <w:rFonts w:cs="Arial" w:asciiTheme="minorEastAsia" w:hAnsiTheme="minorEastAsia"/>
          <w:kern w:val="0"/>
          <w:sz w:val="24"/>
          <w:szCs w:val="24"/>
        </w:rPr>
      </w:pPr>
      <w:r>
        <w:rPr>
          <w:rFonts w:hint="eastAsia" w:cs="Arial" w:asciiTheme="minorEastAsia" w:hAnsiTheme="minorEastAsia"/>
          <w:kern w:val="0"/>
          <w:sz w:val="24"/>
          <w:szCs w:val="24"/>
        </w:rPr>
        <w:t xml:space="preserve"> </w:t>
      </w:r>
      <w:r>
        <w:rPr>
          <w:rFonts w:cs="Arial" w:asciiTheme="minorEastAsia" w:hAnsiTheme="minorEastAsia"/>
          <w:kern w:val="0"/>
          <w:sz w:val="24"/>
          <w:szCs w:val="24"/>
        </w:rPr>
        <w:t>3.4.2</w:t>
      </w:r>
      <w:r>
        <w:rPr>
          <w:rFonts w:hint="eastAsia" w:cs="Arial" w:asciiTheme="minorEastAsia" w:hAnsiTheme="minorEastAsia"/>
          <w:kern w:val="0"/>
          <w:sz w:val="24"/>
          <w:szCs w:val="24"/>
        </w:rPr>
        <w:t>投标保证金是为了保护招标人免遭因投标人的行为而蒙受损失。招标人在因投标人的行为受到损害时可根据相关法律规定没收投标人的投标保证金。</w:t>
      </w:r>
    </w:p>
    <w:p>
      <w:pPr>
        <w:autoSpaceDE w:val="0"/>
        <w:autoSpaceDN w:val="0"/>
        <w:adjustRightInd w:val="0"/>
        <w:spacing w:line="360" w:lineRule="auto"/>
        <w:ind w:firstLine="480" w:firstLineChars="200"/>
        <w:jc w:val="left"/>
        <w:rPr>
          <w:rFonts w:cs="Arial" w:asciiTheme="minorEastAsia" w:hAnsiTheme="minorEastAsia"/>
          <w:b/>
          <w:kern w:val="0"/>
          <w:sz w:val="24"/>
          <w:szCs w:val="24"/>
        </w:rPr>
      </w:pPr>
      <w:r>
        <w:rPr>
          <w:rFonts w:cs="Arial" w:asciiTheme="minorEastAsia" w:hAnsiTheme="minorEastAsia"/>
          <w:kern w:val="0"/>
          <w:sz w:val="24"/>
          <w:szCs w:val="24"/>
        </w:rPr>
        <w:t>3.4.</w:t>
      </w:r>
      <w:r>
        <w:rPr>
          <w:rFonts w:hint="eastAsia" w:cs="Arial" w:asciiTheme="minorEastAsia" w:hAnsiTheme="minorEastAsia"/>
          <w:kern w:val="0"/>
          <w:sz w:val="24"/>
          <w:szCs w:val="24"/>
        </w:rPr>
        <w:t>3投标人在投标截止时间前撤回已提交的投标文件的，招标人或者招标代理机构应当自收到投标人书面撤回通知之日起</w:t>
      </w:r>
      <w:r>
        <w:rPr>
          <w:rFonts w:cs="Arial" w:asciiTheme="minorEastAsia" w:hAnsiTheme="minorEastAsia"/>
          <w:kern w:val="0"/>
          <w:sz w:val="24"/>
          <w:szCs w:val="24"/>
        </w:rPr>
        <w:t>5</w:t>
      </w:r>
      <w:r>
        <w:rPr>
          <w:rFonts w:hint="eastAsia" w:cs="Arial" w:asciiTheme="minorEastAsia" w:hAnsiTheme="minorEastAsia"/>
          <w:kern w:val="0"/>
          <w:sz w:val="24"/>
          <w:szCs w:val="24"/>
        </w:rPr>
        <w:t>个工作日内，退还已收取的投标保证金，但因投标人自身原因导致无法及时退还的除外。招标人或者招标代理机构应当自中标通知书发出之日起</w:t>
      </w:r>
      <w:r>
        <w:rPr>
          <w:rFonts w:cs="Arial" w:asciiTheme="minorEastAsia" w:hAnsiTheme="minorEastAsia"/>
          <w:kern w:val="0"/>
          <w:sz w:val="24"/>
          <w:szCs w:val="24"/>
        </w:rPr>
        <w:t>5</w:t>
      </w:r>
      <w:r>
        <w:rPr>
          <w:rFonts w:hint="eastAsia" w:cs="Arial" w:asciiTheme="minorEastAsia" w:hAnsiTheme="minorEastAsia"/>
          <w:kern w:val="0"/>
          <w:sz w:val="24"/>
          <w:szCs w:val="24"/>
        </w:rPr>
        <w:t>个工作日内退还未中标人的投标保证金，自采购合同签订之日起</w:t>
      </w:r>
      <w:r>
        <w:rPr>
          <w:rFonts w:cs="Arial" w:asciiTheme="minorEastAsia" w:hAnsiTheme="minorEastAsia"/>
          <w:kern w:val="0"/>
          <w:sz w:val="24"/>
          <w:szCs w:val="24"/>
        </w:rPr>
        <w:t>5</w:t>
      </w:r>
      <w:r>
        <w:rPr>
          <w:rFonts w:hint="eastAsia" w:cs="Arial" w:asciiTheme="minorEastAsia" w:hAnsiTheme="minorEastAsia"/>
          <w:kern w:val="0"/>
          <w:sz w:val="24"/>
          <w:szCs w:val="24"/>
        </w:rPr>
        <w:t>个工作日内退还中标人的投标保证金。</w:t>
      </w:r>
      <w:r>
        <w:rPr>
          <w:rFonts w:hint="eastAsia" w:cs="Arial" w:asciiTheme="minorEastAsia" w:hAnsiTheme="minorEastAsia"/>
          <w:b/>
          <w:kern w:val="0"/>
          <w:sz w:val="24"/>
          <w:szCs w:val="24"/>
        </w:rPr>
        <w:t xml:space="preserve"> </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3.4.</w:t>
      </w:r>
      <w:r>
        <w:rPr>
          <w:rFonts w:hint="eastAsia" w:cs="Arial" w:asciiTheme="minorEastAsia" w:hAnsiTheme="minorEastAsia"/>
          <w:kern w:val="0"/>
          <w:sz w:val="24"/>
          <w:szCs w:val="24"/>
        </w:rPr>
        <w:t>4投标保证金有效期与投标有效期一致。</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3.4.</w:t>
      </w:r>
      <w:r>
        <w:rPr>
          <w:rFonts w:hint="eastAsia" w:cs="Arial" w:asciiTheme="minorEastAsia" w:hAnsiTheme="minorEastAsia"/>
          <w:kern w:val="0"/>
          <w:sz w:val="24"/>
          <w:szCs w:val="24"/>
        </w:rPr>
        <w:t>5有下列情形之一的，投标保证金不予退还：</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hint="eastAsia" w:cs="Arial" w:asciiTheme="minorEastAsia" w:hAnsiTheme="minorEastAsia"/>
          <w:kern w:val="0"/>
          <w:sz w:val="24"/>
          <w:szCs w:val="24"/>
        </w:rPr>
        <w:t>（</w:t>
      </w:r>
      <w:r>
        <w:rPr>
          <w:rFonts w:cs="Arial" w:asciiTheme="minorEastAsia" w:hAnsiTheme="minorEastAsia"/>
          <w:kern w:val="0"/>
          <w:sz w:val="24"/>
          <w:szCs w:val="24"/>
        </w:rPr>
        <w:t>1</w:t>
      </w:r>
      <w:r>
        <w:rPr>
          <w:rFonts w:hint="eastAsia" w:cs="Arial" w:asciiTheme="minorEastAsia" w:hAnsiTheme="minorEastAsia"/>
          <w:kern w:val="0"/>
          <w:sz w:val="24"/>
          <w:szCs w:val="24"/>
        </w:rPr>
        <w:t>）投标人在规定的投标有效期内撤销或修改其投标文件的；</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hint="eastAsia" w:cs="Arial" w:asciiTheme="minorEastAsia" w:hAnsiTheme="minorEastAsia"/>
          <w:kern w:val="0"/>
          <w:sz w:val="24"/>
          <w:szCs w:val="24"/>
        </w:rPr>
        <w:t>（</w:t>
      </w:r>
      <w:r>
        <w:rPr>
          <w:rFonts w:cs="Arial" w:asciiTheme="minorEastAsia" w:hAnsiTheme="minorEastAsia"/>
          <w:kern w:val="0"/>
          <w:sz w:val="24"/>
          <w:szCs w:val="24"/>
        </w:rPr>
        <w:t>2</w:t>
      </w:r>
      <w:r>
        <w:rPr>
          <w:rFonts w:hint="eastAsia" w:cs="Arial" w:asciiTheme="minorEastAsia" w:hAnsiTheme="minorEastAsia"/>
          <w:kern w:val="0"/>
          <w:sz w:val="24"/>
          <w:szCs w:val="24"/>
        </w:rPr>
        <w:t>）中标人在收到中标通知书后，无正当理由拒签合同协议书或在签订合同时提出附加条件或者更改合同实质性内容的；</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hint="eastAsia" w:cs="Arial" w:asciiTheme="minorEastAsia" w:hAnsiTheme="minorEastAsia"/>
          <w:kern w:val="0"/>
          <w:sz w:val="24"/>
          <w:szCs w:val="24"/>
        </w:rPr>
        <w:t>（</w:t>
      </w:r>
      <w:r>
        <w:rPr>
          <w:rFonts w:cs="Arial" w:asciiTheme="minorEastAsia" w:hAnsiTheme="minorEastAsia"/>
          <w:kern w:val="0"/>
          <w:sz w:val="24"/>
          <w:szCs w:val="24"/>
        </w:rPr>
        <w:t>3</w:t>
      </w:r>
      <w:r>
        <w:rPr>
          <w:rFonts w:hint="eastAsia" w:cs="Arial" w:asciiTheme="minorEastAsia" w:hAnsiTheme="minorEastAsia"/>
          <w:kern w:val="0"/>
          <w:sz w:val="24"/>
          <w:szCs w:val="24"/>
        </w:rPr>
        <w:t>）未按招标文件规定提交履约保证金的。</w:t>
      </w:r>
    </w:p>
    <w:p>
      <w:pPr>
        <w:widowControl/>
        <w:shd w:val="clear" w:color="auto" w:fill="FFFFFF"/>
        <w:snapToGrid w:val="0"/>
        <w:spacing w:line="360" w:lineRule="auto"/>
        <w:ind w:firstLine="480" w:firstLineChars="200"/>
        <w:rPr>
          <w:rFonts w:cs="Arial" w:asciiTheme="minorEastAsia" w:hAnsiTheme="minorEastAsia"/>
          <w:color w:val="auto"/>
          <w:kern w:val="0"/>
          <w:sz w:val="24"/>
          <w:szCs w:val="24"/>
        </w:rPr>
      </w:pPr>
      <w:r>
        <w:rPr>
          <w:rFonts w:cs="Arial" w:asciiTheme="minorEastAsia" w:hAnsiTheme="minorEastAsia"/>
          <w:color w:val="auto"/>
          <w:kern w:val="0"/>
          <w:sz w:val="24"/>
          <w:szCs w:val="24"/>
        </w:rPr>
        <w:t>3.5</w:t>
      </w:r>
      <w:r>
        <w:rPr>
          <w:rFonts w:hint="eastAsia" w:cs="Arial" w:asciiTheme="minorEastAsia" w:hAnsiTheme="minorEastAsia"/>
          <w:color w:val="auto"/>
          <w:kern w:val="0"/>
          <w:sz w:val="24"/>
          <w:szCs w:val="24"/>
        </w:rPr>
        <w:t>电子投标文件的编制</w:t>
      </w:r>
    </w:p>
    <w:p>
      <w:pPr>
        <w:widowControl/>
        <w:shd w:val="clear" w:color="auto" w:fill="FFFFFF"/>
        <w:snapToGrid w:val="0"/>
        <w:spacing w:line="360" w:lineRule="auto"/>
        <w:ind w:firstLine="480" w:firstLineChars="200"/>
        <w:rPr>
          <w:rFonts w:cs="Arial" w:asciiTheme="minorEastAsia" w:hAnsiTheme="minorEastAsia"/>
          <w:color w:val="auto"/>
          <w:kern w:val="0"/>
          <w:sz w:val="24"/>
          <w:szCs w:val="24"/>
        </w:rPr>
      </w:pPr>
      <w:r>
        <w:rPr>
          <w:rFonts w:hint="eastAsia" w:cs="Arial" w:asciiTheme="minorEastAsia" w:hAnsiTheme="minorEastAsia"/>
          <w:color w:val="auto"/>
          <w:kern w:val="0"/>
          <w:sz w:val="24"/>
          <w:szCs w:val="24"/>
        </w:rPr>
        <w:t>3.5.1电子投标文件使用政采云平台响应文件制作工具以及招标文件要求进行制作编制。投标文件制作时，按照招标文件中明确的投标文件目录和格式进行编制，保证目录清晰、内容完整。</w:t>
      </w:r>
    </w:p>
    <w:p>
      <w:pPr>
        <w:widowControl/>
        <w:shd w:val="clear" w:color="auto" w:fill="FFFFFF"/>
        <w:snapToGrid w:val="0"/>
        <w:spacing w:line="360" w:lineRule="auto"/>
        <w:ind w:firstLine="480" w:firstLineChars="200"/>
        <w:rPr>
          <w:rFonts w:cs="Arial" w:asciiTheme="minorEastAsia" w:hAnsiTheme="minorEastAsia"/>
          <w:color w:val="auto"/>
          <w:kern w:val="0"/>
          <w:sz w:val="24"/>
          <w:szCs w:val="24"/>
        </w:rPr>
      </w:pPr>
      <w:r>
        <w:rPr>
          <w:rFonts w:hint="eastAsia" w:cs="Arial" w:asciiTheme="minorEastAsia" w:hAnsiTheme="minorEastAsia"/>
          <w:color w:val="auto"/>
          <w:kern w:val="0"/>
          <w:sz w:val="24"/>
          <w:szCs w:val="24"/>
        </w:rPr>
        <w:t>3.5.2电子投标文件须使用投标人电子公章及法定代表人的电子签名。若无电子签章和签名，则视为无效响应。</w:t>
      </w:r>
    </w:p>
    <w:p>
      <w:pPr>
        <w:widowControl/>
        <w:shd w:val="clear" w:color="auto" w:fill="FFFFFF"/>
        <w:snapToGrid w:val="0"/>
        <w:spacing w:line="360" w:lineRule="auto"/>
        <w:ind w:firstLine="480" w:firstLineChars="200"/>
        <w:rPr>
          <w:rFonts w:cs="Arial" w:asciiTheme="minorEastAsia" w:hAnsiTheme="minorEastAsia"/>
          <w:color w:val="auto"/>
          <w:kern w:val="0"/>
          <w:sz w:val="24"/>
          <w:szCs w:val="24"/>
        </w:rPr>
      </w:pPr>
      <w:r>
        <w:rPr>
          <w:rFonts w:hint="eastAsia" w:cs="Arial" w:asciiTheme="minorEastAsia" w:hAnsiTheme="minorEastAsia"/>
          <w:color w:val="auto"/>
          <w:kern w:val="0"/>
          <w:sz w:val="24"/>
          <w:szCs w:val="24"/>
        </w:rPr>
        <w:t>3.5.3电子招投标文件具有法律效力，与其他形式的招投标文件在内容和格式上等同，若投标文件与招标文件要求不一致，其内容影响成交结果时，责任由投标人自行承担。投标人递交的电子投标文件因投标人自身原因而导致无法导入电子辅助评标系统，该投标文件视为无效投标文件，将导致其投标被拒绝。</w:t>
      </w:r>
    </w:p>
    <w:p>
      <w:pPr>
        <w:tabs>
          <w:tab w:val="center" w:pos="4832"/>
          <w:tab w:val="left" w:pos="7140"/>
        </w:tabs>
        <w:spacing w:line="360" w:lineRule="auto"/>
        <w:ind w:firstLine="472" w:firstLineChars="196"/>
        <w:jc w:val="left"/>
        <w:outlineLvl w:val="1"/>
        <w:rPr>
          <w:rFonts w:cs="宋体" w:asciiTheme="minorEastAsia" w:hAnsiTheme="minorEastAsia"/>
          <w:b/>
          <w:color w:val="auto"/>
          <w:sz w:val="24"/>
          <w:szCs w:val="24"/>
        </w:rPr>
      </w:pPr>
      <w:bookmarkStart w:id="13" w:name="_BookMark_7"/>
      <w:bookmarkEnd w:id="13"/>
      <w:bookmarkStart w:id="14" w:name="_Toc7591"/>
      <w:bookmarkStart w:id="15" w:name="_Toc1186"/>
      <w:r>
        <w:rPr>
          <w:rFonts w:cs="宋体" w:asciiTheme="minorEastAsia" w:hAnsiTheme="minorEastAsia"/>
          <w:b/>
          <w:color w:val="auto"/>
          <w:sz w:val="24"/>
          <w:szCs w:val="24"/>
        </w:rPr>
        <w:t>4</w:t>
      </w:r>
      <w:r>
        <w:rPr>
          <w:rFonts w:hint="eastAsia" w:cs="宋体" w:asciiTheme="minorEastAsia" w:hAnsiTheme="minorEastAsia"/>
          <w:b/>
          <w:color w:val="auto"/>
          <w:sz w:val="24"/>
          <w:szCs w:val="24"/>
        </w:rPr>
        <w:t>．投标</w:t>
      </w:r>
      <w:bookmarkEnd w:id="14"/>
      <w:bookmarkEnd w:id="15"/>
    </w:p>
    <w:p>
      <w:pPr>
        <w:widowControl/>
        <w:shd w:val="clear" w:color="auto" w:fill="FFFFFF"/>
        <w:snapToGrid w:val="0"/>
        <w:spacing w:line="360" w:lineRule="auto"/>
        <w:ind w:firstLine="480" w:firstLineChars="200"/>
        <w:rPr>
          <w:rFonts w:cs="Arial" w:asciiTheme="minorEastAsia" w:hAnsiTheme="minorEastAsia"/>
          <w:color w:val="auto"/>
          <w:kern w:val="0"/>
          <w:sz w:val="24"/>
          <w:szCs w:val="24"/>
        </w:rPr>
      </w:pPr>
      <w:r>
        <w:rPr>
          <w:rFonts w:cs="Arial" w:asciiTheme="minorEastAsia" w:hAnsiTheme="minorEastAsia"/>
          <w:color w:val="auto"/>
          <w:kern w:val="0"/>
          <w:sz w:val="24"/>
          <w:szCs w:val="24"/>
        </w:rPr>
        <w:t xml:space="preserve">4.1 </w:t>
      </w:r>
      <w:r>
        <w:rPr>
          <w:rFonts w:hint="eastAsia" w:cs="Arial" w:asciiTheme="minorEastAsia" w:hAnsiTheme="minorEastAsia"/>
          <w:color w:val="auto"/>
          <w:kern w:val="0"/>
          <w:sz w:val="24"/>
          <w:szCs w:val="24"/>
        </w:rPr>
        <w:t>投标文件的密封</w:t>
      </w:r>
    </w:p>
    <w:p>
      <w:pPr>
        <w:widowControl/>
        <w:shd w:val="clear" w:color="auto" w:fill="FFFFFF"/>
        <w:snapToGrid w:val="0"/>
        <w:spacing w:line="360" w:lineRule="auto"/>
        <w:ind w:firstLine="480" w:firstLineChars="200"/>
        <w:rPr>
          <w:rFonts w:cs="Arial" w:asciiTheme="minorEastAsia" w:hAnsiTheme="minorEastAsia"/>
          <w:color w:val="auto"/>
          <w:kern w:val="0"/>
          <w:sz w:val="24"/>
          <w:szCs w:val="24"/>
        </w:rPr>
      </w:pPr>
      <w:r>
        <w:rPr>
          <w:rFonts w:cs="Arial" w:asciiTheme="minorEastAsia" w:hAnsiTheme="minorEastAsia"/>
          <w:color w:val="auto"/>
          <w:kern w:val="0"/>
          <w:sz w:val="24"/>
          <w:szCs w:val="24"/>
        </w:rPr>
        <w:t>4.1.1</w:t>
      </w:r>
      <w:r>
        <w:rPr>
          <w:rFonts w:hint="eastAsia" w:cs="Arial" w:asciiTheme="minorEastAsia" w:hAnsiTheme="minorEastAsia"/>
          <w:color w:val="auto"/>
          <w:kern w:val="0"/>
          <w:sz w:val="24"/>
          <w:szCs w:val="24"/>
        </w:rPr>
        <w:t>、</w:t>
      </w:r>
      <w:r>
        <w:rPr>
          <w:rFonts w:hint="eastAsia" w:asciiTheme="minorEastAsia" w:hAnsiTheme="minorEastAsia"/>
          <w:color w:val="auto"/>
          <w:kern w:val="0"/>
          <w:sz w:val="24"/>
          <w:szCs w:val="24"/>
        </w:rPr>
        <w:t>投标文件的密封：</w:t>
      </w:r>
      <w:r>
        <w:rPr>
          <w:rFonts w:hint="eastAsia" w:cs="Arial" w:asciiTheme="minorEastAsia" w:hAnsiTheme="minorEastAsia"/>
          <w:color w:val="auto"/>
          <w:kern w:val="0"/>
          <w:sz w:val="24"/>
          <w:szCs w:val="24"/>
        </w:rPr>
        <w:t>加密的电子投标文件（.jmbs格式）加密的电子投标文件（.jmbs格式）应在投标文件递交截止时间前通过政采云平台上传完成。</w:t>
      </w:r>
    </w:p>
    <w:p>
      <w:pPr>
        <w:widowControl/>
        <w:shd w:val="clear" w:color="auto" w:fill="FFFFFF"/>
        <w:snapToGrid w:val="0"/>
        <w:spacing w:line="360" w:lineRule="auto"/>
        <w:ind w:firstLine="480" w:firstLineChars="200"/>
        <w:rPr>
          <w:rFonts w:cs="Arial" w:asciiTheme="minorEastAsia" w:hAnsiTheme="minorEastAsia"/>
          <w:color w:val="auto"/>
          <w:kern w:val="0"/>
          <w:sz w:val="24"/>
          <w:szCs w:val="24"/>
        </w:rPr>
      </w:pPr>
      <w:r>
        <w:rPr>
          <w:rFonts w:cs="Arial" w:asciiTheme="minorEastAsia" w:hAnsiTheme="minorEastAsia"/>
          <w:color w:val="auto"/>
          <w:kern w:val="0"/>
          <w:sz w:val="24"/>
          <w:szCs w:val="24"/>
        </w:rPr>
        <w:t xml:space="preserve">4.2 </w:t>
      </w:r>
      <w:r>
        <w:rPr>
          <w:rFonts w:hint="eastAsia" w:cs="Arial" w:asciiTheme="minorEastAsia" w:hAnsiTheme="minorEastAsia"/>
          <w:color w:val="auto"/>
          <w:kern w:val="0"/>
          <w:sz w:val="24"/>
          <w:szCs w:val="24"/>
        </w:rPr>
        <w:t>投标文件的递交</w:t>
      </w:r>
    </w:p>
    <w:p>
      <w:pPr>
        <w:autoSpaceDE w:val="0"/>
        <w:autoSpaceDN w:val="0"/>
        <w:spacing w:line="360" w:lineRule="auto"/>
        <w:ind w:firstLine="480" w:firstLineChars="200"/>
        <w:jc w:val="left"/>
        <w:rPr>
          <w:rFonts w:asciiTheme="minorEastAsia" w:hAnsiTheme="minorEastAsia"/>
          <w:bCs/>
          <w:color w:val="auto"/>
          <w:kern w:val="0"/>
          <w:sz w:val="24"/>
          <w:szCs w:val="24"/>
        </w:rPr>
      </w:pPr>
      <w:bookmarkStart w:id="16" w:name="_Hlk57105548"/>
      <w:bookmarkStart w:id="17" w:name="_Hlk18820306"/>
      <w:bookmarkStart w:id="18" w:name="_Hlk57105547"/>
      <w:bookmarkStart w:id="19" w:name="_Hlk22461104"/>
      <w:bookmarkStart w:id="20" w:name="_Hlk18820305"/>
      <w:bookmarkStart w:id="21" w:name="_Hlk23746210"/>
      <w:bookmarkStart w:id="22" w:name="_Hlk57105549"/>
      <w:bookmarkStart w:id="23" w:name="_Hlk23651228"/>
      <w:bookmarkStart w:id="24" w:name="_Hlk22461105"/>
      <w:bookmarkStart w:id="25" w:name="_Hlk18820304"/>
      <w:bookmarkStart w:id="26" w:name="_Hlk23746208"/>
      <w:bookmarkStart w:id="27" w:name="_Hlk23651230"/>
      <w:bookmarkStart w:id="28" w:name="_Hlk23651229"/>
      <w:bookmarkStart w:id="29" w:name="_Hlk22461103"/>
      <w:bookmarkStart w:id="30" w:name="_Hlk23746209"/>
      <w:r>
        <w:rPr>
          <w:rFonts w:cs="Arial" w:asciiTheme="minorEastAsia" w:hAnsiTheme="minorEastAsia"/>
          <w:color w:val="auto"/>
          <w:kern w:val="0"/>
          <w:sz w:val="24"/>
          <w:szCs w:val="24"/>
        </w:rPr>
        <w:t>4.2.1</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Pr>
          <w:rFonts w:hint="eastAsia" w:cs="Arial" w:asciiTheme="minorEastAsia" w:hAnsiTheme="minorEastAsia"/>
          <w:color w:val="auto"/>
          <w:kern w:val="0"/>
          <w:sz w:val="24"/>
          <w:szCs w:val="24"/>
        </w:rPr>
        <w:t>、</w:t>
      </w:r>
      <w:r>
        <w:rPr>
          <w:rFonts w:hint="eastAsia" w:asciiTheme="minorEastAsia" w:hAnsiTheme="minorEastAsia"/>
          <w:bCs/>
          <w:color w:val="auto"/>
          <w:kern w:val="0"/>
          <w:sz w:val="24"/>
          <w:szCs w:val="24"/>
        </w:rPr>
        <w:t>“电子加密投标文件”的递交截止时间及地点为招标公告所规定的时间、地点，投标人将“电子加密投标文件”成功上传递交后，投标人可自行打印投标文件接收回执。任何单位和个人不得在开标前开启投标文件。逾期递交的投标文件，招标人、招标代理机构将予以拒收。</w:t>
      </w:r>
    </w:p>
    <w:p>
      <w:pPr>
        <w:widowControl/>
        <w:shd w:val="clear" w:color="auto" w:fill="FFFFFF"/>
        <w:snapToGrid w:val="0"/>
        <w:spacing w:line="360" w:lineRule="auto"/>
        <w:ind w:firstLine="480" w:firstLineChars="200"/>
        <w:rPr>
          <w:rFonts w:cs="Arial" w:asciiTheme="minorEastAsia" w:hAnsiTheme="minorEastAsia"/>
          <w:color w:val="auto"/>
          <w:kern w:val="0"/>
          <w:sz w:val="24"/>
          <w:szCs w:val="24"/>
        </w:rPr>
      </w:pPr>
      <w:r>
        <w:rPr>
          <w:rFonts w:hint="eastAsia" w:asciiTheme="minorEastAsia" w:hAnsiTheme="minorEastAsia"/>
          <w:bCs/>
          <w:color w:val="auto"/>
          <w:kern w:val="0"/>
          <w:sz w:val="24"/>
          <w:szCs w:val="24"/>
        </w:rPr>
        <w:t>4.2</w:t>
      </w:r>
      <w:r>
        <w:rPr>
          <w:rFonts w:asciiTheme="minorEastAsia" w:hAnsiTheme="minorEastAsia"/>
          <w:bCs/>
          <w:color w:val="auto"/>
          <w:kern w:val="0"/>
          <w:sz w:val="24"/>
          <w:szCs w:val="24"/>
        </w:rPr>
        <w:t xml:space="preserve">.2 </w:t>
      </w:r>
      <w:r>
        <w:rPr>
          <w:rFonts w:hint="eastAsia" w:asciiTheme="minorEastAsia" w:hAnsiTheme="minorEastAsia"/>
          <w:bCs/>
          <w:color w:val="auto"/>
          <w:kern w:val="0"/>
          <w:sz w:val="24"/>
          <w:szCs w:val="24"/>
        </w:rPr>
        <w:t>出现因招标文件的修改推迟投标截止时间时，则按招标人或者招标代理机构规定的顺延时间递交。</w:t>
      </w:r>
    </w:p>
    <w:p>
      <w:pPr>
        <w:widowControl/>
        <w:shd w:val="clear" w:color="auto" w:fill="FFFFFF"/>
        <w:snapToGrid w:val="0"/>
        <w:spacing w:line="360" w:lineRule="auto"/>
        <w:ind w:firstLine="480" w:firstLineChars="200"/>
        <w:rPr>
          <w:rFonts w:cs="Arial" w:asciiTheme="minorEastAsia" w:hAnsiTheme="minorEastAsia"/>
          <w:color w:val="auto"/>
          <w:kern w:val="0"/>
          <w:sz w:val="24"/>
          <w:szCs w:val="24"/>
        </w:rPr>
      </w:pPr>
      <w:r>
        <w:rPr>
          <w:rFonts w:cs="Arial" w:asciiTheme="minorEastAsia" w:hAnsiTheme="minorEastAsia"/>
          <w:color w:val="auto"/>
          <w:kern w:val="0"/>
          <w:sz w:val="24"/>
          <w:szCs w:val="24"/>
        </w:rPr>
        <w:t xml:space="preserve">4.3 </w:t>
      </w:r>
      <w:r>
        <w:rPr>
          <w:rFonts w:hint="eastAsia" w:cs="Arial" w:asciiTheme="minorEastAsia" w:hAnsiTheme="minorEastAsia"/>
          <w:color w:val="auto"/>
          <w:kern w:val="0"/>
          <w:sz w:val="24"/>
          <w:szCs w:val="24"/>
        </w:rPr>
        <w:t>投标文件的修改与撤回</w:t>
      </w:r>
    </w:p>
    <w:p>
      <w:pPr>
        <w:autoSpaceDE w:val="0"/>
        <w:autoSpaceDN w:val="0"/>
        <w:spacing w:line="360" w:lineRule="auto"/>
        <w:ind w:firstLine="480" w:firstLineChars="200"/>
        <w:jc w:val="left"/>
        <w:rPr>
          <w:rFonts w:asciiTheme="minorEastAsia" w:hAnsiTheme="minorEastAsia"/>
          <w:bCs/>
          <w:color w:val="auto"/>
          <w:kern w:val="0"/>
          <w:sz w:val="24"/>
          <w:szCs w:val="24"/>
        </w:rPr>
      </w:pPr>
      <w:r>
        <w:rPr>
          <w:rFonts w:cs="Arial" w:asciiTheme="minorEastAsia" w:hAnsiTheme="minorEastAsia"/>
          <w:color w:val="auto"/>
          <w:kern w:val="0"/>
          <w:sz w:val="24"/>
          <w:szCs w:val="24"/>
        </w:rPr>
        <w:t>4.3.1</w:t>
      </w:r>
      <w:r>
        <w:rPr>
          <w:rFonts w:hint="eastAsia" w:asciiTheme="minorEastAsia" w:hAnsiTheme="minorEastAsia"/>
          <w:bCs/>
          <w:color w:val="auto"/>
          <w:kern w:val="0"/>
          <w:sz w:val="24"/>
          <w:szCs w:val="24"/>
        </w:rPr>
        <w:t>投标人在投标人须知前附表规定的提交投标文件截止时间前，可以撤回已上传的投标文件。如要修改，必须在撤回并修改后在规定的投标文件递交截止时间之前将修改后的投标文件再重新上传。在投标文件递交截止时间之后，投标人不得对上传的投标文件撤销或修改。</w:t>
      </w:r>
    </w:p>
    <w:p>
      <w:pPr>
        <w:autoSpaceDE w:val="0"/>
        <w:autoSpaceDN w:val="0"/>
        <w:spacing w:line="360" w:lineRule="auto"/>
        <w:ind w:firstLine="480" w:firstLineChars="200"/>
        <w:jc w:val="left"/>
        <w:rPr>
          <w:rFonts w:asciiTheme="minorEastAsia" w:hAnsiTheme="minorEastAsia"/>
          <w:bCs/>
          <w:color w:val="auto"/>
          <w:kern w:val="0"/>
          <w:sz w:val="24"/>
          <w:szCs w:val="24"/>
        </w:rPr>
      </w:pPr>
      <w:r>
        <w:rPr>
          <w:rFonts w:hint="eastAsia" w:asciiTheme="minorEastAsia" w:hAnsiTheme="minorEastAsia"/>
          <w:bCs/>
          <w:color w:val="auto"/>
          <w:kern w:val="0"/>
          <w:sz w:val="24"/>
          <w:szCs w:val="24"/>
        </w:rPr>
        <w:t>4.3.2投标人不得在开标时间起至投标有效期期满前撤回投标文件。</w:t>
      </w:r>
    </w:p>
    <w:p>
      <w:pPr>
        <w:widowControl/>
        <w:shd w:val="clear" w:color="auto" w:fill="FFFFFF"/>
        <w:snapToGrid w:val="0"/>
        <w:spacing w:line="360" w:lineRule="auto"/>
        <w:ind w:firstLine="480" w:firstLineChars="200"/>
        <w:rPr>
          <w:rFonts w:cs="Arial" w:asciiTheme="minorEastAsia" w:hAnsiTheme="minorEastAsia"/>
          <w:color w:val="auto"/>
          <w:kern w:val="0"/>
          <w:sz w:val="24"/>
          <w:szCs w:val="24"/>
        </w:rPr>
      </w:pPr>
      <w:r>
        <w:rPr>
          <w:rFonts w:cs="Arial" w:asciiTheme="minorEastAsia" w:hAnsiTheme="minorEastAsia"/>
          <w:color w:val="auto"/>
          <w:kern w:val="0"/>
          <w:sz w:val="24"/>
          <w:szCs w:val="24"/>
        </w:rPr>
        <w:t>4.4</w:t>
      </w:r>
      <w:r>
        <w:rPr>
          <w:rFonts w:hint="eastAsia" w:cs="Arial" w:asciiTheme="minorEastAsia" w:hAnsiTheme="minorEastAsia"/>
          <w:color w:val="auto"/>
          <w:kern w:val="0"/>
          <w:sz w:val="24"/>
          <w:szCs w:val="24"/>
        </w:rPr>
        <w:t>投标文件格式</w:t>
      </w:r>
    </w:p>
    <w:p>
      <w:pPr>
        <w:widowControl/>
        <w:shd w:val="clear" w:color="auto" w:fill="FFFFFF"/>
        <w:snapToGrid w:val="0"/>
        <w:spacing w:line="360" w:lineRule="auto"/>
        <w:ind w:firstLine="480" w:firstLineChars="200"/>
        <w:rPr>
          <w:rFonts w:cs="Arial" w:asciiTheme="minorEastAsia" w:hAnsiTheme="minorEastAsia"/>
          <w:color w:val="auto"/>
          <w:kern w:val="0"/>
          <w:sz w:val="24"/>
          <w:szCs w:val="24"/>
        </w:rPr>
      </w:pPr>
      <w:r>
        <w:rPr>
          <w:rFonts w:cs="Arial" w:asciiTheme="minorEastAsia" w:hAnsiTheme="minorEastAsia"/>
          <w:color w:val="auto"/>
          <w:kern w:val="0"/>
          <w:sz w:val="24"/>
          <w:szCs w:val="24"/>
        </w:rPr>
        <w:t xml:space="preserve">4.4.1 </w:t>
      </w:r>
      <w:r>
        <w:rPr>
          <w:rFonts w:hint="eastAsia" w:cs="Arial" w:asciiTheme="minorEastAsia" w:hAnsiTheme="minorEastAsia"/>
          <w:color w:val="auto"/>
          <w:kern w:val="0"/>
          <w:sz w:val="24"/>
          <w:szCs w:val="24"/>
        </w:rPr>
        <w:t>投标文件格式见第五章。</w:t>
      </w:r>
    </w:p>
    <w:p>
      <w:pPr>
        <w:widowControl/>
        <w:shd w:val="clear" w:color="auto" w:fill="FFFFFF"/>
        <w:snapToGrid w:val="0"/>
        <w:spacing w:line="360" w:lineRule="auto"/>
        <w:ind w:firstLine="480" w:firstLineChars="200"/>
        <w:rPr>
          <w:rFonts w:cs="Arial" w:asciiTheme="minorEastAsia" w:hAnsiTheme="minorEastAsia"/>
          <w:color w:val="auto"/>
          <w:kern w:val="0"/>
          <w:sz w:val="24"/>
          <w:szCs w:val="24"/>
        </w:rPr>
      </w:pPr>
      <w:r>
        <w:rPr>
          <w:rFonts w:cs="Arial" w:asciiTheme="minorEastAsia" w:hAnsiTheme="minorEastAsia"/>
          <w:color w:val="auto"/>
          <w:kern w:val="0"/>
          <w:sz w:val="24"/>
          <w:szCs w:val="24"/>
        </w:rPr>
        <w:t xml:space="preserve">4.4.2 </w:t>
      </w:r>
      <w:r>
        <w:rPr>
          <w:rFonts w:hint="eastAsia" w:cs="Arial" w:asciiTheme="minorEastAsia" w:hAnsiTheme="minorEastAsia"/>
          <w:color w:val="auto"/>
          <w:kern w:val="0"/>
          <w:sz w:val="24"/>
          <w:szCs w:val="24"/>
        </w:rPr>
        <w:t>投标人应使用本招标文件后面提供的投标文件格式填写，如不够用时，投标人可按同样格式自行编制和填补，如果本招标文件未提供格式的，投标人可自行编制。</w:t>
      </w:r>
    </w:p>
    <w:p>
      <w:pPr>
        <w:tabs>
          <w:tab w:val="center" w:pos="4832"/>
          <w:tab w:val="left" w:pos="7140"/>
        </w:tabs>
        <w:spacing w:line="360" w:lineRule="auto"/>
        <w:ind w:firstLine="472" w:firstLineChars="196"/>
        <w:jc w:val="left"/>
        <w:outlineLvl w:val="1"/>
        <w:rPr>
          <w:rFonts w:cs="宋体" w:asciiTheme="minorEastAsia" w:hAnsiTheme="minorEastAsia"/>
          <w:b/>
          <w:color w:val="auto"/>
          <w:sz w:val="24"/>
          <w:szCs w:val="24"/>
        </w:rPr>
      </w:pPr>
      <w:bookmarkStart w:id="31" w:name="_BookMark_8"/>
      <w:bookmarkEnd w:id="31"/>
      <w:bookmarkStart w:id="32" w:name="_Toc10750"/>
      <w:bookmarkStart w:id="33" w:name="_Toc18413"/>
      <w:r>
        <w:rPr>
          <w:rFonts w:cs="宋体" w:asciiTheme="minorEastAsia" w:hAnsiTheme="minorEastAsia"/>
          <w:b/>
          <w:color w:val="auto"/>
          <w:sz w:val="24"/>
          <w:szCs w:val="24"/>
        </w:rPr>
        <w:t>5</w:t>
      </w:r>
      <w:r>
        <w:rPr>
          <w:rFonts w:hint="eastAsia" w:cs="宋体" w:asciiTheme="minorEastAsia" w:hAnsiTheme="minorEastAsia"/>
          <w:b/>
          <w:color w:val="auto"/>
          <w:sz w:val="24"/>
          <w:szCs w:val="24"/>
        </w:rPr>
        <w:t>．开标</w:t>
      </w:r>
      <w:bookmarkEnd w:id="32"/>
      <w:bookmarkEnd w:id="33"/>
    </w:p>
    <w:p>
      <w:pPr>
        <w:spacing w:line="360" w:lineRule="auto"/>
        <w:ind w:firstLine="482" w:firstLineChars="200"/>
        <w:rPr>
          <w:rFonts w:asciiTheme="minorEastAsia" w:hAnsiTheme="minorEastAsia"/>
          <w:b/>
          <w:bCs/>
          <w:color w:val="auto"/>
          <w:kern w:val="0"/>
          <w:sz w:val="24"/>
          <w:szCs w:val="24"/>
        </w:rPr>
      </w:pPr>
      <w:bookmarkStart w:id="34" w:name="_BookMark_9"/>
      <w:bookmarkEnd w:id="34"/>
      <w:bookmarkStart w:id="35" w:name="_Toc13479"/>
      <w:r>
        <w:rPr>
          <w:rFonts w:hint="eastAsia" w:asciiTheme="minorEastAsia" w:hAnsiTheme="minorEastAsia"/>
          <w:b/>
          <w:bCs/>
          <w:color w:val="auto"/>
          <w:kern w:val="0"/>
          <w:sz w:val="24"/>
          <w:szCs w:val="24"/>
        </w:rPr>
        <w:t>5.1投标人须在在提交投标文件截止时间前通过CA在政采云平台上传加密的电子投标文件。投标人在开标时须使用制作加密电子投标文件所使用的CA锁解密，投标人须提前配置好浏览器（建议使用360浏览器或谷歌浏览器），并确保开标期间电脑网络环境畅通，以便开标时解密。本项目解密时间定为30分钟，如因投标人自身原因导致无法正常解密，后果由投标人自行承担。</w:t>
      </w:r>
    </w:p>
    <w:p>
      <w:pPr>
        <w:spacing w:line="360" w:lineRule="auto"/>
        <w:ind w:firstLine="482" w:firstLineChars="200"/>
        <w:rPr>
          <w:rFonts w:asciiTheme="minorEastAsia" w:hAnsiTheme="minorEastAsia"/>
          <w:b/>
          <w:bCs/>
          <w:color w:val="auto"/>
          <w:kern w:val="0"/>
          <w:sz w:val="24"/>
          <w:szCs w:val="24"/>
        </w:rPr>
      </w:pPr>
      <w:r>
        <w:rPr>
          <w:rFonts w:hint="eastAsia" w:asciiTheme="minorEastAsia" w:hAnsiTheme="minorEastAsia"/>
          <w:b/>
          <w:bCs/>
          <w:color w:val="auto"/>
          <w:kern w:val="0"/>
          <w:sz w:val="24"/>
          <w:szCs w:val="24"/>
        </w:rPr>
        <w:t>5.2参与电子投标投标人，“不见面开标”大厅操作提示：①开标前一小时在系统进行在线签到②30分钟内完成在线解密③开标结束后30分钟内完成“开标一览表”在线签章。注意：如未在规定时间进行以上操作，将导致投标（响应）无效。</w:t>
      </w:r>
    </w:p>
    <w:p>
      <w:pPr>
        <w:tabs>
          <w:tab w:val="center" w:pos="4832"/>
          <w:tab w:val="left" w:pos="7140"/>
        </w:tabs>
        <w:spacing w:line="360" w:lineRule="auto"/>
        <w:ind w:firstLine="472" w:firstLineChars="196"/>
        <w:jc w:val="left"/>
        <w:outlineLvl w:val="9"/>
        <w:rPr>
          <w:rFonts w:hint="eastAsia" w:asciiTheme="minorEastAsia" w:hAnsiTheme="minorEastAsia"/>
          <w:b/>
          <w:color w:val="auto"/>
          <w:kern w:val="0"/>
          <w:sz w:val="24"/>
          <w:szCs w:val="24"/>
        </w:rPr>
      </w:pPr>
      <w:bookmarkStart w:id="36" w:name="_Toc7306"/>
      <w:r>
        <w:rPr>
          <w:rFonts w:hint="eastAsia" w:asciiTheme="minorEastAsia" w:hAnsiTheme="minorEastAsia"/>
          <w:b/>
          <w:bCs/>
          <w:color w:val="auto"/>
          <w:kern w:val="0"/>
          <w:sz w:val="24"/>
          <w:szCs w:val="24"/>
        </w:rPr>
        <w:t>5.3</w:t>
      </w:r>
      <w:r>
        <w:rPr>
          <w:rFonts w:hint="eastAsia" w:asciiTheme="minorEastAsia" w:hAnsiTheme="minorEastAsia"/>
          <w:b/>
          <w:color w:val="auto"/>
          <w:kern w:val="0"/>
          <w:sz w:val="24"/>
          <w:szCs w:val="24"/>
        </w:rPr>
        <w:t>开标结束后由招标人或招标代理机构对投标人已解密的电子投标文件进行资格审查（详见资格审查标准）。</w:t>
      </w:r>
      <w:bookmarkEnd w:id="36"/>
    </w:p>
    <w:p>
      <w:pPr>
        <w:tabs>
          <w:tab w:val="center" w:pos="4832"/>
          <w:tab w:val="left" w:pos="7140"/>
        </w:tabs>
        <w:spacing w:line="360" w:lineRule="auto"/>
        <w:ind w:firstLine="472" w:firstLineChars="196"/>
        <w:jc w:val="left"/>
        <w:outlineLvl w:val="1"/>
        <w:rPr>
          <w:rFonts w:cs="宋体" w:asciiTheme="minorEastAsia" w:hAnsiTheme="minorEastAsia"/>
          <w:b/>
          <w:color w:val="auto"/>
          <w:sz w:val="24"/>
          <w:szCs w:val="24"/>
        </w:rPr>
      </w:pPr>
      <w:bookmarkStart w:id="37" w:name="_Toc12517"/>
      <w:r>
        <w:rPr>
          <w:rFonts w:cs="宋体" w:asciiTheme="minorEastAsia" w:hAnsiTheme="minorEastAsia"/>
          <w:b/>
          <w:color w:val="auto"/>
          <w:sz w:val="24"/>
          <w:szCs w:val="24"/>
        </w:rPr>
        <w:t>6</w:t>
      </w:r>
      <w:r>
        <w:rPr>
          <w:rFonts w:hint="eastAsia" w:cs="宋体" w:asciiTheme="minorEastAsia" w:hAnsiTheme="minorEastAsia"/>
          <w:b/>
          <w:color w:val="auto"/>
          <w:sz w:val="24"/>
          <w:szCs w:val="24"/>
        </w:rPr>
        <w:t>．评标</w:t>
      </w:r>
      <w:bookmarkEnd w:id="35"/>
      <w:bookmarkEnd w:id="37"/>
    </w:p>
    <w:p>
      <w:pPr>
        <w:widowControl/>
        <w:shd w:val="clear" w:color="auto" w:fill="FFFFFF"/>
        <w:snapToGrid w:val="0"/>
        <w:spacing w:line="360" w:lineRule="auto"/>
        <w:ind w:firstLine="480" w:firstLineChars="200"/>
        <w:rPr>
          <w:rFonts w:cs="Arial" w:asciiTheme="minorEastAsia" w:hAnsiTheme="minorEastAsia"/>
          <w:color w:val="auto"/>
          <w:kern w:val="0"/>
          <w:sz w:val="24"/>
          <w:szCs w:val="24"/>
        </w:rPr>
      </w:pPr>
      <w:r>
        <w:rPr>
          <w:rFonts w:cs="Arial" w:asciiTheme="minorEastAsia" w:hAnsiTheme="minorEastAsia"/>
          <w:color w:val="auto"/>
          <w:kern w:val="0"/>
          <w:sz w:val="24"/>
          <w:szCs w:val="24"/>
        </w:rPr>
        <w:t xml:space="preserve">6.1 </w:t>
      </w:r>
      <w:r>
        <w:rPr>
          <w:rFonts w:hint="eastAsia" w:cs="Arial" w:asciiTheme="minorEastAsia" w:hAnsiTheme="minorEastAsia"/>
          <w:color w:val="auto"/>
          <w:kern w:val="0"/>
          <w:sz w:val="24"/>
          <w:szCs w:val="24"/>
        </w:rPr>
        <w:t>评标委员会</w:t>
      </w:r>
    </w:p>
    <w:p>
      <w:pPr>
        <w:widowControl/>
        <w:shd w:val="clear" w:color="auto" w:fill="FFFFFF"/>
        <w:snapToGrid w:val="0"/>
        <w:spacing w:line="360" w:lineRule="auto"/>
        <w:ind w:firstLine="480" w:firstLineChars="200"/>
        <w:rPr>
          <w:rFonts w:cs="Arial" w:asciiTheme="minorEastAsia" w:hAnsiTheme="minorEastAsia"/>
          <w:color w:val="auto"/>
          <w:kern w:val="0"/>
          <w:sz w:val="24"/>
          <w:szCs w:val="24"/>
        </w:rPr>
      </w:pPr>
      <w:r>
        <w:rPr>
          <w:rFonts w:cs="Arial" w:asciiTheme="minorEastAsia" w:hAnsiTheme="minorEastAsia"/>
          <w:color w:val="auto"/>
          <w:kern w:val="0"/>
          <w:sz w:val="24"/>
          <w:szCs w:val="24"/>
        </w:rPr>
        <w:t>6.1.1</w:t>
      </w:r>
      <w:r>
        <w:rPr>
          <w:rFonts w:hint="eastAsia" w:cs="Arial" w:asciiTheme="minorEastAsia" w:hAnsiTheme="minorEastAsia"/>
          <w:color w:val="auto"/>
          <w:kern w:val="0"/>
          <w:sz w:val="24"/>
          <w:szCs w:val="24"/>
        </w:rPr>
        <w:t>评标由招标人依法组建的评标委员会负责。评标委员会由招标人熟悉相关业务的代表，以及有关技术、经济等方面的专家组成。</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hint="eastAsia" w:cs="Arial" w:asciiTheme="minorEastAsia" w:hAnsiTheme="minorEastAsia"/>
          <w:kern w:val="0"/>
          <w:sz w:val="24"/>
          <w:szCs w:val="24"/>
        </w:rPr>
        <w:t>招标人评标代表须具备中级专业技术职称或同等专业水平且从事相关领域工作满8年,或者具有高级专业技术职称或同等专业水平。评标委员会负责评标工作，并向招标人提交书面评标报告。</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 xml:space="preserve">6.1.2 </w:t>
      </w:r>
      <w:r>
        <w:rPr>
          <w:rFonts w:hint="eastAsia" w:cs="Arial" w:asciiTheme="minorEastAsia" w:hAnsiTheme="minorEastAsia"/>
          <w:kern w:val="0"/>
          <w:sz w:val="24"/>
          <w:szCs w:val="24"/>
        </w:rPr>
        <w:t>评标委员会成员有下列情形之一的，应当回避：</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hint="eastAsia" w:cs="Arial" w:asciiTheme="minorEastAsia" w:hAnsiTheme="minorEastAsia"/>
          <w:kern w:val="0"/>
          <w:sz w:val="24"/>
          <w:szCs w:val="24"/>
        </w:rPr>
        <w:t>（</w:t>
      </w:r>
      <w:r>
        <w:rPr>
          <w:rFonts w:cs="Arial" w:asciiTheme="minorEastAsia" w:hAnsiTheme="minorEastAsia"/>
          <w:kern w:val="0"/>
          <w:sz w:val="24"/>
          <w:szCs w:val="24"/>
        </w:rPr>
        <w:t>1</w:t>
      </w:r>
      <w:r>
        <w:rPr>
          <w:rFonts w:hint="eastAsia" w:cs="Arial" w:asciiTheme="minorEastAsia" w:hAnsiTheme="minorEastAsia"/>
          <w:kern w:val="0"/>
          <w:sz w:val="24"/>
          <w:szCs w:val="24"/>
        </w:rPr>
        <w:t>）参加采购活动前三年内,与投标人存在劳动关系,或者担任过投标人的董事、监事,或者是投标人的控股股东或实际控制人。</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hint="eastAsia" w:cs="Arial" w:asciiTheme="minorEastAsia" w:hAnsiTheme="minorEastAsia"/>
          <w:kern w:val="0"/>
          <w:sz w:val="24"/>
          <w:szCs w:val="24"/>
        </w:rPr>
        <w:t>（</w:t>
      </w:r>
      <w:r>
        <w:rPr>
          <w:rFonts w:cs="Arial" w:asciiTheme="minorEastAsia" w:hAnsiTheme="minorEastAsia"/>
          <w:kern w:val="0"/>
          <w:sz w:val="24"/>
          <w:szCs w:val="24"/>
        </w:rPr>
        <w:t>2</w:t>
      </w:r>
      <w:r>
        <w:rPr>
          <w:rFonts w:hint="eastAsia" w:cs="Arial" w:asciiTheme="minorEastAsia" w:hAnsiTheme="minorEastAsia"/>
          <w:kern w:val="0"/>
          <w:sz w:val="24"/>
          <w:szCs w:val="24"/>
        </w:rPr>
        <w:t>）与投标人的法定代表人或者负责人有夫妻、直系血亲、三代以内旁系血亲或者近姻亲关系。</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hint="eastAsia" w:cs="Arial" w:asciiTheme="minorEastAsia" w:hAnsiTheme="minorEastAsia"/>
          <w:kern w:val="0"/>
          <w:sz w:val="24"/>
          <w:szCs w:val="24"/>
        </w:rPr>
        <w:t>（</w:t>
      </w:r>
      <w:r>
        <w:rPr>
          <w:rFonts w:cs="Arial" w:asciiTheme="minorEastAsia" w:hAnsiTheme="minorEastAsia"/>
          <w:kern w:val="0"/>
          <w:sz w:val="24"/>
          <w:szCs w:val="24"/>
        </w:rPr>
        <w:t>3</w:t>
      </w:r>
      <w:r>
        <w:rPr>
          <w:rFonts w:hint="eastAsia" w:cs="Arial" w:asciiTheme="minorEastAsia" w:hAnsiTheme="minorEastAsia"/>
          <w:kern w:val="0"/>
          <w:sz w:val="24"/>
          <w:szCs w:val="24"/>
        </w:rPr>
        <w:t>）与投标人有其它可能影响政府采购活动公平、公正进行的关系。</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 xml:space="preserve">6.2 </w:t>
      </w:r>
      <w:r>
        <w:rPr>
          <w:rFonts w:hint="eastAsia" w:cs="Arial" w:asciiTheme="minorEastAsia" w:hAnsiTheme="minorEastAsia"/>
          <w:kern w:val="0"/>
          <w:sz w:val="24"/>
          <w:szCs w:val="24"/>
        </w:rPr>
        <w:t>评标原则</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hint="eastAsia" w:cs="Arial" w:asciiTheme="minorEastAsia" w:hAnsiTheme="minorEastAsia"/>
          <w:kern w:val="0"/>
          <w:sz w:val="24"/>
          <w:szCs w:val="24"/>
        </w:rPr>
        <w:t>评标活动遵循公平、公正、科学和择优的原则。</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 xml:space="preserve">6.3 </w:t>
      </w:r>
      <w:r>
        <w:rPr>
          <w:rFonts w:hint="eastAsia" w:cs="Arial" w:asciiTheme="minorEastAsia" w:hAnsiTheme="minorEastAsia"/>
          <w:kern w:val="0"/>
          <w:sz w:val="24"/>
          <w:szCs w:val="24"/>
        </w:rPr>
        <w:t>评标</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hint="eastAsia" w:cs="Arial" w:asciiTheme="minorEastAsia" w:hAnsiTheme="minorEastAsia"/>
          <w:kern w:val="0"/>
          <w:sz w:val="24"/>
          <w:szCs w:val="24"/>
        </w:rPr>
        <w:t>评标委员会按照招标文件中规定的方法、评审因素、标准和程序对投标文件进行评审。</w:t>
      </w:r>
    </w:p>
    <w:p>
      <w:pPr>
        <w:tabs>
          <w:tab w:val="center" w:pos="4832"/>
          <w:tab w:val="left" w:pos="7140"/>
        </w:tabs>
        <w:spacing w:line="360" w:lineRule="auto"/>
        <w:ind w:firstLine="472" w:firstLineChars="196"/>
        <w:jc w:val="left"/>
        <w:outlineLvl w:val="1"/>
        <w:rPr>
          <w:rFonts w:cs="宋体" w:asciiTheme="minorEastAsia" w:hAnsiTheme="minorEastAsia"/>
          <w:b/>
          <w:sz w:val="24"/>
          <w:szCs w:val="24"/>
        </w:rPr>
      </w:pPr>
      <w:bookmarkStart w:id="38" w:name="_BookMark_10"/>
      <w:bookmarkEnd w:id="38"/>
      <w:bookmarkStart w:id="39" w:name="_Toc24540"/>
      <w:bookmarkStart w:id="40" w:name="_Toc31061"/>
      <w:r>
        <w:rPr>
          <w:rFonts w:cs="宋体" w:asciiTheme="minorEastAsia" w:hAnsiTheme="minorEastAsia"/>
          <w:b/>
          <w:sz w:val="24"/>
          <w:szCs w:val="24"/>
        </w:rPr>
        <w:t>7</w:t>
      </w:r>
      <w:r>
        <w:rPr>
          <w:rFonts w:hint="eastAsia" w:cs="宋体" w:asciiTheme="minorEastAsia" w:hAnsiTheme="minorEastAsia"/>
          <w:b/>
          <w:sz w:val="24"/>
          <w:szCs w:val="24"/>
        </w:rPr>
        <w:t>．定标及合同授予</w:t>
      </w:r>
      <w:bookmarkEnd w:id="39"/>
      <w:bookmarkEnd w:id="40"/>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 xml:space="preserve">7.1 </w:t>
      </w:r>
      <w:r>
        <w:rPr>
          <w:rFonts w:hint="eastAsia" w:cs="Arial" w:asciiTheme="minorEastAsia" w:hAnsiTheme="minorEastAsia"/>
          <w:kern w:val="0"/>
          <w:sz w:val="24"/>
          <w:szCs w:val="24"/>
        </w:rPr>
        <w:t>定标方法</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 xml:space="preserve">7.1.1 </w:t>
      </w:r>
      <w:r>
        <w:rPr>
          <w:rFonts w:hint="eastAsia" w:cs="Arial" w:asciiTheme="minorEastAsia" w:hAnsiTheme="minorEastAsia"/>
          <w:kern w:val="0"/>
          <w:sz w:val="24"/>
          <w:szCs w:val="24"/>
        </w:rPr>
        <w:t>评标活动遵循公平、公正、科学和择优的原则。评标委员会按照招标文件中规定的方法、评审因素、标准和程序对投标文件进行评审，并按投标人须知前附表的规定向招标人推荐中标候选人。招标人依据评标委员会推荐的中标候选人确定中标人。</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7.1.</w:t>
      </w:r>
      <w:r>
        <w:rPr>
          <w:rFonts w:hint="eastAsia" w:cs="Arial" w:asciiTheme="minorEastAsia" w:hAnsiTheme="minorEastAsia"/>
          <w:kern w:val="0"/>
          <w:sz w:val="24"/>
          <w:szCs w:val="24"/>
        </w:rPr>
        <w:t>2招标人从中标候选人中确定出中标人的原则：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名依次确定其它中标候选人为中标人。</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 xml:space="preserve">7.2 </w:t>
      </w:r>
      <w:r>
        <w:rPr>
          <w:rFonts w:hint="eastAsia" w:cs="Arial" w:asciiTheme="minorEastAsia" w:hAnsiTheme="minorEastAsia"/>
          <w:kern w:val="0"/>
          <w:sz w:val="24"/>
          <w:szCs w:val="24"/>
        </w:rPr>
        <w:t>中标候选人公示</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hint="eastAsia" w:cs="Arial" w:asciiTheme="minorEastAsia" w:hAnsiTheme="minorEastAsia"/>
          <w:kern w:val="0"/>
          <w:sz w:val="24"/>
          <w:szCs w:val="24"/>
        </w:rPr>
        <w:t>在中标通知书发出前，中标候选人的情况将在招标公告发布的媒体上公示，公示期不得少于1个工作日。</w:t>
      </w:r>
    </w:p>
    <w:p>
      <w:pPr>
        <w:widowControl/>
        <w:shd w:val="clear" w:color="auto" w:fill="FFFFFF"/>
        <w:snapToGrid w:val="0"/>
        <w:spacing w:line="360" w:lineRule="auto"/>
        <w:ind w:firstLine="480" w:firstLineChars="200"/>
        <w:rPr>
          <w:rFonts w:cs="Arial" w:asciiTheme="minorEastAsia" w:hAnsiTheme="minorEastAsia"/>
          <w:color w:val="auto"/>
          <w:kern w:val="0"/>
          <w:sz w:val="24"/>
          <w:szCs w:val="24"/>
        </w:rPr>
      </w:pPr>
      <w:r>
        <w:rPr>
          <w:rFonts w:cs="Arial" w:asciiTheme="minorEastAsia" w:hAnsiTheme="minorEastAsia"/>
          <w:color w:val="auto"/>
          <w:kern w:val="0"/>
          <w:sz w:val="24"/>
          <w:szCs w:val="24"/>
        </w:rPr>
        <w:t xml:space="preserve">7.3 </w:t>
      </w:r>
      <w:r>
        <w:rPr>
          <w:rFonts w:hint="eastAsia" w:cs="Arial" w:asciiTheme="minorEastAsia" w:hAnsiTheme="minorEastAsia"/>
          <w:color w:val="auto"/>
          <w:kern w:val="0"/>
          <w:sz w:val="24"/>
          <w:szCs w:val="24"/>
        </w:rPr>
        <w:t>中标通知</w:t>
      </w:r>
    </w:p>
    <w:p>
      <w:pPr>
        <w:widowControl/>
        <w:shd w:val="clear" w:color="auto" w:fill="FFFFFF"/>
        <w:snapToGrid w:val="0"/>
        <w:spacing w:line="360" w:lineRule="auto"/>
        <w:ind w:firstLine="480" w:firstLineChars="200"/>
        <w:rPr>
          <w:rFonts w:cs="Arial" w:asciiTheme="minorEastAsia" w:hAnsiTheme="minorEastAsia"/>
          <w:color w:val="auto"/>
          <w:kern w:val="0"/>
          <w:sz w:val="24"/>
          <w:szCs w:val="24"/>
        </w:rPr>
      </w:pPr>
      <w:r>
        <w:rPr>
          <w:rFonts w:hint="eastAsia" w:cs="Arial" w:asciiTheme="minorEastAsia" w:hAnsiTheme="minorEastAsia"/>
          <w:color w:val="auto"/>
          <w:kern w:val="0"/>
          <w:sz w:val="24"/>
          <w:szCs w:val="24"/>
        </w:rPr>
        <w:t>中标公示发布同时，招标人向中标单位发出中标通知书，并及时通知其它投标人中标结果。</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 xml:space="preserve">7.4 </w:t>
      </w:r>
      <w:r>
        <w:rPr>
          <w:rFonts w:hint="eastAsia" w:cs="Arial" w:asciiTheme="minorEastAsia" w:hAnsiTheme="minorEastAsia"/>
          <w:kern w:val="0"/>
          <w:sz w:val="24"/>
          <w:szCs w:val="24"/>
        </w:rPr>
        <w:t>履约保证金</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 xml:space="preserve">7.4.1 </w:t>
      </w:r>
      <w:r>
        <w:rPr>
          <w:rFonts w:hint="eastAsia" w:cs="Arial" w:asciiTheme="minorEastAsia" w:hAnsiTheme="minorEastAsia"/>
          <w:kern w:val="0"/>
          <w:sz w:val="24"/>
          <w:szCs w:val="24"/>
        </w:rPr>
        <w:t>在签订合同前，中标人应按投标人须知前附表规定的金额、形式向招标人提交履约保证金。联合体中标的，其履约保证金由牵头人提交，并应符合投标人须知前附表的规定。</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 xml:space="preserve">7.4.2 </w:t>
      </w:r>
      <w:r>
        <w:rPr>
          <w:rFonts w:hint="eastAsia" w:cs="Arial" w:asciiTheme="minorEastAsia" w:hAnsiTheme="minorEastAsia"/>
          <w:kern w:val="0"/>
          <w:sz w:val="24"/>
          <w:szCs w:val="24"/>
        </w:rPr>
        <w:t>中标人不能按本章第</w:t>
      </w:r>
      <w:r>
        <w:rPr>
          <w:rFonts w:cs="Arial" w:asciiTheme="minorEastAsia" w:hAnsiTheme="minorEastAsia"/>
          <w:kern w:val="0"/>
          <w:sz w:val="24"/>
          <w:szCs w:val="24"/>
        </w:rPr>
        <w:t>7.4.1</w:t>
      </w:r>
      <w:r>
        <w:rPr>
          <w:rFonts w:hint="eastAsia" w:cs="Arial" w:asciiTheme="minorEastAsia" w:hAnsiTheme="minorEastAsia"/>
          <w:kern w:val="0"/>
          <w:sz w:val="24"/>
          <w:szCs w:val="24"/>
        </w:rPr>
        <w:t>款要求提交履约保证金的，视为放弃中标，其投标保证金不予退还；给招标人造成的损失超过投标保证金数额的，中标人还应当对超过部分予以赔偿。</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 xml:space="preserve">7.5 </w:t>
      </w:r>
      <w:r>
        <w:rPr>
          <w:rFonts w:hint="eastAsia" w:cs="Arial" w:asciiTheme="minorEastAsia" w:hAnsiTheme="minorEastAsia"/>
          <w:kern w:val="0"/>
          <w:sz w:val="24"/>
          <w:szCs w:val="24"/>
        </w:rPr>
        <w:t>签订合同</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7.5.1</w:t>
      </w:r>
      <w:r>
        <w:rPr>
          <w:rFonts w:hint="eastAsia" w:cs="Arial" w:asciiTheme="minorEastAsia" w:hAnsiTheme="minorEastAsia"/>
          <w:kern w:val="0"/>
          <w:sz w:val="24"/>
          <w:szCs w:val="24"/>
        </w:rPr>
        <w:t>招标人应当自中标通知书发出之日起30日内，按照招标文件和中标人投标文件的规定，与中标人签订书面合同。所签订的合同不得对招标文件确定的事项和中标人投标文件作实质性修改。招标人不得向中标人提出任何不合理的要求作为签订合同的条件。</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hint="eastAsia" w:cs="Arial" w:asciiTheme="minorEastAsia" w:hAnsiTheme="minorEastAsia"/>
          <w:kern w:val="0"/>
          <w:sz w:val="24"/>
          <w:szCs w:val="24"/>
        </w:rPr>
        <w:t>7.5.2发出中标通知书后，招标人无正当理由拒签合同的，给中标人造成损失的，还应当赔偿中标人损失。</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7.5.</w:t>
      </w:r>
      <w:r>
        <w:rPr>
          <w:rFonts w:hint="eastAsia" w:cs="Arial" w:asciiTheme="minorEastAsia" w:hAnsiTheme="minorEastAsia"/>
          <w:kern w:val="0"/>
          <w:sz w:val="24"/>
          <w:szCs w:val="24"/>
        </w:rPr>
        <w:t>3发出中标通知书后，中标人无正当理由拒签合同的，招标人取消其中标资格，其投标保证金不予退还；给招标人造成的损失超过投标保证金数额的，中标人还应当对超过部分予以赔偿。</w:t>
      </w:r>
    </w:p>
    <w:p>
      <w:pPr>
        <w:tabs>
          <w:tab w:val="center" w:pos="4832"/>
          <w:tab w:val="left" w:pos="7140"/>
        </w:tabs>
        <w:spacing w:line="360" w:lineRule="auto"/>
        <w:ind w:firstLine="472" w:firstLineChars="196"/>
        <w:jc w:val="left"/>
        <w:outlineLvl w:val="1"/>
        <w:rPr>
          <w:rFonts w:cs="宋体" w:asciiTheme="minorEastAsia" w:hAnsiTheme="minorEastAsia"/>
          <w:b/>
          <w:sz w:val="24"/>
          <w:szCs w:val="24"/>
        </w:rPr>
      </w:pPr>
      <w:bookmarkStart w:id="41" w:name="_BookMark_11"/>
      <w:bookmarkEnd w:id="41"/>
      <w:bookmarkStart w:id="42" w:name="_Toc29083"/>
      <w:bookmarkStart w:id="43" w:name="_Toc16039"/>
      <w:r>
        <w:rPr>
          <w:rFonts w:cs="宋体" w:asciiTheme="minorEastAsia" w:hAnsiTheme="minorEastAsia"/>
          <w:b/>
          <w:sz w:val="24"/>
          <w:szCs w:val="24"/>
        </w:rPr>
        <w:t>8</w:t>
      </w:r>
      <w:r>
        <w:rPr>
          <w:rFonts w:hint="eastAsia" w:cs="宋体" w:asciiTheme="minorEastAsia" w:hAnsiTheme="minorEastAsia"/>
          <w:b/>
          <w:sz w:val="24"/>
          <w:szCs w:val="24"/>
        </w:rPr>
        <w:t>．纪律和监督</w:t>
      </w:r>
      <w:bookmarkEnd w:id="42"/>
      <w:bookmarkEnd w:id="43"/>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 xml:space="preserve">8.1 </w:t>
      </w:r>
      <w:r>
        <w:rPr>
          <w:rFonts w:hint="eastAsia" w:cs="Arial" w:asciiTheme="minorEastAsia" w:hAnsiTheme="minorEastAsia"/>
          <w:kern w:val="0"/>
          <w:sz w:val="24"/>
          <w:szCs w:val="24"/>
        </w:rPr>
        <w:t>对招标人的纪律要求</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hint="eastAsia" w:cs="Arial" w:asciiTheme="minorEastAsia" w:hAnsiTheme="minorEastAsia"/>
          <w:kern w:val="0"/>
          <w:sz w:val="24"/>
          <w:szCs w:val="24"/>
        </w:rPr>
        <w:t>招标人不得泄漏招标投标活动中应当保密的情况和资料，不得与投标人串通损害国家利益、社会公共利益或者他人合法权益。</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 xml:space="preserve">8.2 </w:t>
      </w:r>
      <w:r>
        <w:rPr>
          <w:rFonts w:hint="eastAsia" w:cs="Arial" w:asciiTheme="minorEastAsia" w:hAnsiTheme="minorEastAsia"/>
          <w:kern w:val="0"/>
          <w:sz w:val="24"/>
          <w:szCs w:val="24"/>
        </w:rPr>
        <w:t>对投标人的纪律要求</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hint="eastAsia" w:cs="Arial" w:asciiTheme="minorEastAsia" w:hAnsiTheme="minorEastAsia"/>
          <w:kern w:val="0"/>
          <w:sz w:val="24"/>
          <w:szCs w:val="24"/>
        </w:rPr>
        <w:t>投标人不得相互串通投标或者与招标人串通投标，不得向招标人或者评标委员会成员行贿谋取中标，不得以他人名义投标或者以其它方式弄虚作假骗取中标；投标人不得以任何方式干扰、影响评标工作。</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 xml:space="preserve">8.3 </w:t>
      </w:r>
      <w:r>
        <w:rPr>
          <w:rFonts w:hint="eastAsia" w:cs="Arial" w:asciiTheme="minorEastAsia" w:hAnsiTheme="minorEastAsia"/>
          <w:kern w:val="0"/>
          <w:sz w:val="24"/>
          <w:szCs w:val="24"/>
        </w:rPr>
        <w:t>对评标委员会成员的纪律要求</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hint="eastAsia" w:cs="Arial" w:asciiTheme="minorEastAsia" w:hAnsiTheme="minorEastAsia"/>
          <w:kern w:val="0"/>
          <w:sz w:val="24"/>
          <w:szCs w:val="24"/>
        </w:rPr>
        <w:t>评标委员会成员不得收受他人的财物或者其它好处，不得向他人透漏对投标文件的评审和比较、中标候选人的推荐情况以及评标有关的其它情况。在评标活动中，评标委员会成员不得擅离职守，影响评标程序正常进行，不得使用评标办法没有规定的评审因素和标准进行评标。</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 xml:space="preserve">8.4 </w:t>
      </w:r>
      <w:r>
        <w:rPr>
          <w:rFonts w:hint="eastAsia" w:cs="Arial" w:asciiTheme="minorEastAsia" w:hAnsiTheme="minorEastAsia"/>
          <w:kern w:val="0"/>
          <w:sz w:val="24"/>
          <w:szCs w:val="24"/>
        </w:rPr>
        <w:t>对与评标活动有关的工作人员的纪律要求</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hint="eastAsia" w:cs="Arial" w:asciiTheme="minorEastAsia" w:hAnsiTheme="minorEastAsia"/>
          <w:kern w:val="0"/>
          <w:sz w:val="24"/>
          <w:szCs w:val="24"/>
        </w:rPr>
        <w:t>与评标活动有关的工作人员不得收受他人的财物或者其它好处，不得向他人透漏对投标文件的评审和比较、中标候选人的推荐情况以及评标有关的其它情况。在评标活动中，与评标活动有关的工作人员不得擅离职守，影响评标程序正常进行。</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 xml:space="preserve">8.5 </w:t>
      </w:r>
      <w:r>
        <w:rPr>
          <w:rFonts w:hint="eastAsia" w:cs="Arial" w:asciiTheme="minorEastAsia" w:hAnsiTheme="minorEastAsia"/>
          <w:kern w:val="0"/>
          <w:sz w:val="24"/>
          <w:szCs w:val="24"/>
        </w:rPr>
        <w:t>监督</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hint="eastAsia" w:cs="Arial" w:asciiTheme="minorEastAsia" w:hAnsiTheme="minorEastAsia"/>
          <w:kern w:val="0"/>
          <w:sz w:val="24"/>
          <w:szCs w:val="24"/>
        </w:rPr>
        <w:t>本项目的招标投标活动及其相关当事人应当接受有管辖权的监督部门依法实施的监督。</w:t>
      </w:r>
    </w:p>
    <w:p>
      <w:pPr>
        <w:widowControl/>
        <w:shd w:val="clear" w:color="auto" w:fill="FFFFFF"/>
        <w:snapToGrid w:val="0"/>
        <w:spacing w:line="360" w:lineRule="auto"/>
        <w:ind w:firstLine="480" w:firstLineChars="200"/>
        <w:rPr>
          <w:rFonts w:cs="Arial" w:asciiTheme="minorEastAsia" w:hAnsiTheme="minorEastAsia"/>
          <w:kern w:val="0"/>
          <w:sz w:val="24"/>
          <w:szCs w:val="24"/>
        </w:rPr>
      </w:pPr>
    </w:p>
    <w:p>
      <w:pPr>
        <w:spacing w:line="440" w:lineRule="exact"/>
        <w:jc w:val="center"/>
        <w:outlineLvl w:val="0"/>
        <w:rPr>
          <w:rFonts w:cs="宋体" w:asciiTheme="minorEastAsia" w:hAnsiTheme="minorEastAsia"/>
          <w:b/>
          <w:sz w:val="24"/>
          <w:szCs w:val="24"/>
        </w:rPr>
      </w:pPr>
      <w:r>
        <w:rPr>
          <w:rFonts w:cs="Arial" w:asciiTheme="minorEastAsia" w:hAnsiTheme="minorEastAsia"/>
          <w:bCs/>
          <w:kern w:val="0"/>
          <w:sz w:val="24"/>
          <w:szCs w:val="24"/>
        </w:rPr>
        <w:br w:type="page"/>
      </w:r>
      <w:bookmarkStart w:id="44" w:name="_Toc25443"/>
      <w:r>
        <w:rPr>
          <w:rFonts w:hint="eastAsia" w:cs="宋体" w:asciiTheme="minorEastAsia" w:hAnsiTheme="minorEastAsia"/>
          <w:b/>
          <w:sz w:val="24"/>
          <w:szCs w:val="24"/>
        </w:rPr>
        <w:t>第二章评标办法</w:t>
      </w:r>
      <w:bookmarkEnd w:id="44"/>
    </w:p>
    <w:p>
      <w:pPr>
        <w:tabs>
          <w:tab w:val="center" w:pos="4832"/>
          <w:tab w:val="left" w:pos="7140"/>
        </w:tabs>
        <w:spacing w:line="360" w:lineRule="auto"/>
        <w:ind w:firstLine="482"/>
        <w:jc w:val="center"/>
        <w:outlineLvl w:val="1"/>
        <w:rPr>
          <w:rFonts w:cs="宋体" w:asciiTheme="minorEastAsia" w:hAnsiTheme="minorEastAsia"/>
          <w:b/>
          <w:sz w:val="24"/>
          <w:szCs w:val="24"/>
        </w:rPr>
      </w:pPr>
      <w:bookmarkStart w:id="45" w:name="_BookMark_1"/>
      <w:bookmarkEnd w:id="45"/>
      <w:bookmarkStart w:id="46" w:name="_Toc20529"/>
      <w:r>
        <w:rPr>
          <w:rFonts w:hint="eastAsia" w:cs="宋体" w:asciiTheme="minorEastAsia" w:hAnsiTheme="minorEastAsia"/>
          <w:b/>
          <w:sz w:val="24"/>
          <w:szCs w:val="24"/>
        </w:rPr>
        <w:t>第一节 综合评分法</w:t>
      </w:r>
      <w:bookmarkEnd w:id="46"/>
    </w:p>
    <w:p>
      <w:pPr>
        <w:tabs>
          <w:tab w:val="center" w:pos="4832"/>
          <w:tab w:val="left" w:pos="7140"/>
        </w:tabs>
        <w:spacing w:line="360" w:lineRule="auto"/>
        <w:ind w:firstLine="482"/>
        <w:jc w:val="center"/>
        <w:outlineLvl w:val="2"/>
        <w:rPr>
          <w:rFonts w:cs="宋体" w:asciiTheme="minorEastAsia" w:hAnsiTheme="minorEastAsia"/>
          <w:b/>
          <w:sz w:val="24"/>
          <w:szCs w:val="24"/>
        </w:rPr>
      </w:pPr>
      <w:bookmarkStart w:id="47" w:name="_Toc10658"/>
      <w:r>
        <w:rPr>
          <w:rFonts w:hint="eastAsia" w:cs="宋体" w:asciiTheme="minorEastAsia" w:hAnsiTheme="minorEastAsia"/>
          <w:b/>
          <w:sz w:val="24"/>
          <w:szCs w:val="24"/>
        </w:rPr>
        <w:t>评标办法前附表</w:t>
      </w:r>
      <w:bookmarkEnd w:id="47"/>
    </w:p>
    <w:tbl>
      <w:tblPr>
        <w:tblStyle w:val="34"/>
        <w:tblW w:w="0" w:type="auto"/>
        <w:jc w:val="center"/>
        <w:tblLayout w:type="autofit"/>
        <w:tblCellMar>
          <w:top w:w="0" w:type="dxa"/>
          <w:left w:w="0" w:type="dxa"/>
          <w:bottom w:w="0" w:type="dxa"/>
          <w:right w:w="0" w:type="dxa"/>
        </w:tblCellMar>
      </w:tblPr>
      <w:tblGrid>
        <w:gridCol w:w="610"/>
        <w:gridCol w:w="2771"/>
        <w:gridCol w:w="5745"/>
      </w:tblGrid>
      <w:tr>
        <w:tblPrEx>
          <w:tblCellMar>
            <w:top w:w="0" w:type="dxa"/>
            <w:left w:w="0" w:type="dxa"/>
            <w:bottom w:w="0" w:type="dxa"/>
            <w:right w:w="0" w:type="dxa"/>
          </w:tblCellMar>
        </w:tblPrEx>
        <w:trPr>
          <w:cantSplit/>
          <w:trHeight w:val="325" w:hRule="atLeast"/>
          <w:jc w:val="center"/>
        </w:trPr>
        <w:tc>
          <w:tcPr>
            <w:tcW w:w="610"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jc w:val="center"/>
              <w:rPr>
                <w:rFonts w:cs="Times New Roman" w:asciiTheme="minorEastAsia" w:hAnsiTheme="minorEastAsia"/>
                <w:sz w:val="24"/>
                <w:szCs w:val="24"/>
              </w:rPr>
            </w:pPr>
            <w:r>
              <w:rPr>
                <w:rFonts w:hint="eastAsia" w:cs="Times New Roman" w:asciiTheme="minorEastAsia" w:hAnsiTheme="minorEastAsia"/>
                <w:sz w:val="24"/>
                <w:szCs w:val="24"/>
              </w:rPr>
              <w:t>序号</w:t>
            </w:r>
          </w:p>
        </w:tc>
        <w:tc>
          <w:tcPr>
            <w:tcW w:w="2771"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jc w:val="center"/>
              <w:rPr>
                <w:rFonts w:cs="Times New Roman" w:asciiTheme="minorEastAsia" w:hAnsiTheme="minorEastAsia"/>
                <w:sz w:val="24"/>
                <w:szCs w:val="24"/>
              </w:rPr>
            </w:pPr>
            <w:r>
              <w:rPr>
                <w:rFonts w:hint="eastAsia" w:cs="Times New Roman" w:asciiTheme="minorEastAsia" w:hAnsiTheme="minorEastAsia"/>
                <w:sz w:val="24"/>
                <w:szCs w:val="24"/>
              </w:rPr>
              <w:t>条款内容</w:t>
            </w:r>
          </w:p>
        </w:tc>
        <w:tc>
          <w:tcPr>
            <w:tcW w:w="5745"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jc w:val="center"/>
              <w:rPr>
                <w:rFonts w:cs="Times New Roman" w:asciiTheme="minorEastAsia" w:hAnsiTheme="minorEastAsia"/>
                <w:sz w:val="24"/>
                <w:szCs w:val="24"/>
              </w:rPr>
            </w:pPr>
            <w:r>
              <w:rPr>
                <w:rFonts w:hint="eastAsia" w:cs="Times New Roman" w:asciiTheme="minorEastAsia" w:hAnsiTheme="minorEastAsia"/>
                <w:sz w:val="24"/>
                <w:szCs w:val="24"/>
              </w:rPr>
              <w:t>编列内容</w:t>
            </w:r>
          </w:p>
        </w:tc>
      </w:tr>
      <w:tr>
        <w:tblPrEx>
          <w:tblCellMar>
            <w:top w:w="0" w:type="dxa"/>
            <w:left w:w="0" w:type="dxa"/>
            <w:bottom w:w="0" w:type="dxa"/>
            <w:right w:w="0" w:type="dxa"/>
          </w:tblCellMar>
        </w:tblPrEx>
        <w:trPr>
          <w:cantSplit/>
          <w:trHeight w:val="630" w:hRule="atLeast"/>
          <w:jc w:val="center"/>
        </w:trPr>
        <w:tc>
          <w:tcPr>
            <w:tcW w:w="610"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jc w:val="center"/>
              <w:rPr>
                <w:rFonts w:cs="Times New Roman" w:asciiTheme="minorEastAsia" w:hAnsiTheme="minorEastAsia"/>
                <w:sz w:val="24"/>
                <w:szCs w:val="24"/>
              </w:rPr>
            </w:pPr>
            <w:r>
              <w:rPr>
                <w:rFonts w:cs="Times New Roman" w:asciiTheme="minorEastAsia" w:hAnsiTheme="minorEastAsia"/>
                <w:sz w:val="24"/>
                <w:szCs w:val="24"/>
              </w:rPr>
              <w:t>1</w:t>
            </w:r>
          </w:p>
        </w:tc>
        <w:tc>
          <w:tcPr>
            <w:tcW w:w="2771"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rPr>
                <w:rFonts w:cs="Times New Roman" w:asciiTheme="minorEastAsia" w:hAnsiTheme="minorEastAsia"/>
                <w:sz w:val="24"/>
                <w:szCs w:val="24"/>
              </w:rPr>
            </w:pPr>
            <w:r>
              <w:rPr>
                <w:rFonts w:hint="eastAsia" w:cs="Times New Roman" w:asciiTheme="minorEastAsia" w:hAnsiTheme="minorEastAsia"/>
                <w:sz w:val="24"/>
                <w:szCs w:val="24"/>
              </w:rPr>
              <w:t>分值构成及权重</w:t>
            </w:r>
          </w:p>
          <w:p>
            <w:pPr>
              <w:rPr>
                <w:rFonts w:cs="Times New Roman" w:asciiTheme="minorEastAsia" w:hAnsiTheme="minorEastAsia"/>
                <w:sz w:val="24"/>
                <w:szCs w:val="24"/>
              </w:rPr>
            </w:pPr>
            <w:r>
              <w:rPr>
                <w:rFonts w:cs="Times New Roman" w:asciiTheme="minorEastAsia" w:hAnsiTheme="minorEastAsia"/>
                <w:sz w:val="24"/>
                <w:szCs w:val="24"/>
              </w:rPr>
              <w:t>(</w:t>
            </w:r>
            <w:r>
              <w:rPr>
                <w:rFonts w:hint="eastAsia" w:cs="Times New Roman" w:asciiTheme="minorEastAsia" w:hAnsiTheme="minorEastAsia"/>
                <w:sz w:val="24"/>
                <w:szCs w:val="24"/>
              </w:rPr>
              <w:t>总分</w:t>
            </w:r>
            <w:r>
              <w:rPr>
                <w:rFonts w:cs="Times New Roman" w:asciiTheme="minorEastAsia" w:hAnsiTheme="minorEastAsia"/>
                <w:sz w:val="24"/>
                <w:szCs w:val="24"/>
              </w:rPr>
              <w:t>100</w:t>
            </w:r>
            <w:r>
              <w:rPr>
                <w:rFonts w:hint="eastAsia" w:cs="Times New Roman" w:asciiTheme="minorEastAsia" w:hAnsiTheme="minorEastAsia"/>
                <w:sz w:val="24"/>
                <w:szCs w:val="24"/>
              </w:rPr>
              <w:t>分</w:t>
            </w:r>
            <w:r>
              <w:rPr>
                <w:rFonts w:cs="Times New Roman" w:asciiTheme="minorEastAsia" w:hAnsiTheme="minorEastAsia"/>
                <w:sz w:val="24"/>
                <w:szCs w:val="24"/>
              </w:rPr>
              <w:t>)</w:t>
            </w:r>
          </w:p>
        </w:tc>
        <w:tc>
          <w:tcPr>
            <w:tcW w:w="5745"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rPr>
                <w:rFonts w:cs="Times New Roman" w:asciiTheme="minorEastAsia" w:hAnsiTheme="minorEastAsia"/>
                <w:sz w:val="24"/>
                <w:szCs w:val="24"/>
              </w:rPr>
            </w:pPr>
            <w:r>
              <w:rPr>
                <w:rFonts w:cs="Times New Roman" w:asciiTheme="minorEastAsia" w:hAnsiTheme="minorEastAsia"/>
                <w:sz w:val="24"/>
                <w:szCs w:val="24"/>
              </w:rPr>
              <w:t>1.</w:t>
            </w:r>
            <w:r>
              <w:rPr>
                <w:rFonts w:hint="eastAsia" w:cs="Times New Roman" w:asciiTheme="minorEastAsia" w:hAnsiTheme="minorEastAsia"/>
                <w:sz w:val="24"/>
                <w:szCs w:val="24"/>
              </w:rPr>
              <w:t>详细评审部分权重</w:t>
            </w:r>
            <w:r>
              <w:rPr>
                <w:rFonts w:cs="Times New Roman" w:asciiTheme="minorEastAsia" w:hAnsiTheme="minorEastAsia"/>
                <w:sz w:val="24"/>
                <w:szCs w:val="24"/>
              </w:rPr>
              <w:t>Q1=</w:t>
            </w:r>
            <w:r>
              <w:rPr>
                <w:rFonts w:hint="eastAsia" w:cs="Times New Roman" w:asciiTheme="minorEastAsia" w:hAnsiTheme="minorEastAsia"/>
                <w:sz w:val="24"/>
                <w:szCs w:val="24"/>
              </w:rPr>
              <w:t>9</w:t>
            </w:r>
            <w:r>
              <w:rPr>
                <w:rFonts w:cs="Times New Roman" w:asciiTheme="minorEastAsia" w:hAnsiTheme="minorEastAsia"/>
                <w:sz w:val="24"/>
                <w:szCs w:val="24"/>
              </w:rPr>
              <w:t>0%</w:t>
            </w:r>
          </w:p>
          <w:p>
            <w:pPr>
              <w:rPr>
                <w:rFonts w:cs="Times New Roman" w:asciiTheme="minorEastAsia" w:hAnsiTheme="minorEastAsia"/>
                <w:sz w:val="24"/>
                <w:szCs w:val="24"/>
              </w:rPr>
            </w:pPr>
            <w:r>
              <w:rPr>
                <w:rFonts w:cs="Times New Roman" w:asciiTheme="minorEastAsia" w:hAnsiTheme="minorEastAsia"/>
                <w:sz w:val="24"/>
                <w:szCs w:val="24"/>
              </w:rPr>
              <w:t>2.</w:t>
            </w:r>
            <w:r>
              <w:rPr>
                <w:rFonts w:hint="eastAsia" w:cs="Times New Roman" w:asciiTheme="minorEastAsia" w:hAnsiTheme="minorEastAsia"/>
                <w:sz w:val="24"/>
                <w:szCs w:val="24"/>
              </w:rPr>
              <w:t>投标报价权重</w:t>
            </w:r>
            <w:r>
              <w:rPr>
                <w:rFonts w:cs="Times New Roman" w:asciiTheme="minorEastAsia" w:hAnsiTheme="minorEastAsia"/>
                <w:sz w:val="24"/>
                <w:szCs w:val="24"/>
              </w:rPr>
              <w:t>Q2=</w:t>
            </w:r>
            <w:r>
              <w:rPr>
                <w:rFonts w:hint="eastAsia" w:cs="Times New Roman" w:asciiTheme="minorEastAsia" w:hAnsiTheme="minorEastAsia"/>
                <w:sz w:val="24"/>
                <w:szCs w:val="24"/>
              </w:rPr>
              <w:t>1</w:t>
            </w:r>
            <w:r>
              <w:rPr>
                <w:rFonts w:cs="Times New Roman" w:asciiTheme="minorEastAsia" w:hAnsiTheme="minorEastAsia"/>
                <w:sz w:val="24"/>
                <w:szCs w:val="24"/>
              </w:rPr>
              <w:t>0%</w:t>
            </w:r>
          </w:p>
        </w:tc>
      </w:tr>
      <w:tr>
        <w:tblPrEx>
          <w:tblCellMar>
            <w:top w:w="0" w:type="dxa"/>
            <w:left w:w="0" w:type="dxa"/>
            <w:bottom w:w="0" w:type="dxa"/>
            <w:right w:w="0" w:type="dxa"/>
          </w:tblCellMar>
        </w:tblPrEx>
        <w:trPr>
          <w:cantSplit/>
          <w:trHeight w:val="147" w:hRule="atLeast"/>
          <w:jc w:val="center"/>
        </w:trPr>
        <w:tc>
          <w:tcPr>
            <w:tcW w:w="610"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jc w:val="center"/>
              <w:rPr>
                <w:rFonts w:cs="Times New Roman" w:asciiTheme="minorEastAsia" w:hAnsiTheme="minorEastAsia"/>
                <w:sz w:val="24"/>
                <w:szCs w:val="24"/>
              </w:rPr>
            </w:pPr>
            <w:r>
              <w:rPr>
                <w:rFonts w:hint="eastAsia" w:cs="Times New Roman" w:asciiTheme="minorEastAsia" w:hAnsiTheme="minorEastAsia"/>
                <w:sz w:val="24"/>
                <w:szCs w:val="24"/>
              </w:rPr>
              <w:t>2</w:t>
            </w:r>
          </w:p>
        </w:tc>
        <w:tc>
          <w:tcPr>
            <w:tcW w:w="2771"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rPr>
                <w:rFonts w:cs="Times New Roman" w:asciiTheme="minorEastAsia" w:hAnsiTheme="minorEastAsia"/>
                <w:sz w:val="24"/>
                <w:szCs w:val="24"/>
              </w:rPr>
            </w:pPr>
            <w:r>
              <w:rPr>
                <w:rFonts w:hint="eastAsia" w:cs="Times New Roman" w:asciiTheme="minorEastAsia" w:hAnsiTheme="minorEastAsia"/>
                <w:sz w:val="24"/>
                <w:szCs w:val="24"/>
              </w:rPr>
              <w:t>资格审查</w:t>
            </w:r>
          </w:p>
        </w:tc>
        <w:tc>
          <w:tcPr>
            <w:tcW w:w="5745"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rPr>
                <w:rFonts w:cs="Times New Roman" w:asciiTheme="minorEastAsia" w:hAnsiTheme="minorEastAsia"/>
                <w:sz w:val="24"/>
                <w:szCs w:val="24"/>
              </w:rPr>
            </w:pPr>
            <w:r>
              <w:rPr>
                <w:rFonts w:hint="eastAsia" w:cs="Times New Roman" w:asciiTheme="minorEastAsia" w:hAnsiTheme="minorEastAsia"/>
                <w:sz w:val="24"/>
                <w:szCs w:val="24"/>
              </w:rPr>
              <w:t>详见《资格审查标准》</w:t>
            </w:r>
          </w:p>
        </w:tc>
      </w:tr>
      <w:tr>
        <w:tblPrEx>
          <w:tblCellMar>
            <w:top w:w="0" w:type="dxa"/>
            <w:left w:w="0" w:type="dxa"/>
            <w:bottom w:w="0" w:type="dxa"/>
            <w:right w:w="0" w:type="dxa"/>
          </w:tblCellMar>
        </w:tblPrEx>
        <w:trPr>
          <w:cantSplit/>
          <w:trHeight w:val="325" w:hRule="atLeast"/>
          <w:jc w:val="center"/>
        </w:trPr>
        <w:tc>
          <w:tcPr>
            <w:tcW w:w="610"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jc w:val="center"/>
              <w:rPr>
                <w:rFonts w:cs="Times New Roman" w:asciiTheme="minorEastAsia" w:hAnsiTheme="minorEastAsia"/>
                <w:sz w:val="24"/>
                <w:szCs w:val="24"/>
              </w:rPr>
            </w:pPr>
            <w:r>
              <w:rPr>
                <w:rFonts w:hint="eastAsia" w:cs="Times New Roman" w:asciiTheme="minorEastAsia" w:hAnsiTheme="minorEastAsia"/>
                <w:sz w:val="24"/>
                <w:szCs w:val="24"/>
              </w:rPr>
              <w:t>3</w:t>
            </w:r>
          </w:p>
        </w:tc>
        <w:tc>
          <w:tcPr>
            <w:tcW w:w="2771"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rPr>
                <w:rFonts w:cs="Times New Roman" w:asciiTheme="minorEastAsia" w:hAnsiTheme="minorEastAsia"/>
                <w:sz w:val="24"/>
                <w:szCs w:val="24"/>
              </w:rPr>
            </w:pPr>
            <w:r>
              <w:rPr>
                <w:rFonts w:hint="eastAsia" w:cs="Times New Roman" w:asciiTheme="minorEastAsia" w:hAnsiTheme="minorEastAsia"/>
                <w:sz w:val="24"/>
                <w:szCs w:val="24"/>
              </w:rPr>
              <w:t>完备性及符合性审查</w:t>
            </w:r>
          </w:p>
        </w:tc>
        <w:tc>
          <w:tcPr>
            <w:tcW w:w="5745"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rPr>
                <w:rFonts w:cs="Times New Roman" w:asciiTheme="minorEastAsia" w:hAnsiTheme="minorEastAsia"/>
                <w:sz w:val="24"/>
                <w:szCs w:val="24"/>
              </w:rPr>
            </w:pPr>
            <w:r>
              <w:rPr>
                <w:rFonts w:hint="eastAsia" w:cs="Times New Roman" w:asciiTheme="minorEastAsia" w:hAnsiTheme="minorEastAsia"/>
                <w:sz w:val="24"/>
                <w:szCs w:val="24"/>
              </w:rPr>
              <w:t>详见《完备性及符合性审查标准》</w:t>
            </w:r>
          </w:p>
        </w:tc>
      </w:tr>
      <w:tr>
        <w:tblPrEx>
          <w:tblCellMar>
            <w:top w:w="0" w:type="dxa"/>
            <w:left w:w="0" w:type="dxa"/>
            <w:bottom w:w="0" w:type="dxa"/>
            <w:right w:w="0" w:type="dxa"/>
          </w:tblCellMar>
        </w:tblPrEx>
        <w:trPr>
          <w:cantSplit/>
          <w:trHeight w:val="325" w:hRule="atLeast"/>
          <w:jc w:val="center"/>
        </w:trPr>
        <w:tc>
          <w:tcPr>
            <w:tcW w:w="610" w:type="dxa"/>
            <w:vMerge w:val="restart"/>
            <w:tcBorders>
              <w:top w:val="single" w:color="auto" w:sz="8" w:space="0"/>
              <w:left w:val="single" w:color="auto" w:sz="8" w:space="0"/>
              <w:right w:val="single" w:color="auto" w:sz="8" w:space="0"/>
            </w:tcBorders>
            <w:tcMar>
              <w:top w:w="0" w:type="dxa"/>
              <w:left w:w="28" w:type="dxa"/>
              <w:bottom w:w="0" w:type="dxa"/>
              <w:right w:w="28" w:type="dxa"/>
            </w:tcMar>
            <w:vAlign w:val="center"/>
          </w:tcPr>
          <w:p>
            <w:pPr>
              <w:jc w:val="center"/>
              <w:rPr>
                <w:rFonts w:cs="Times New Roman" w:asciiTheme="minorEastAsia" w:hAnsiTheme="minorEastAsia"/>
                <w:sz w:val="24"/>
                <w:szCs w:val="24"/>
              </w:rPr>
            </w:pPr>
            <w:r>
              <w:rPr>
                <w:rFonts w:hint="eastAsia" w:cs="Times New Roman" w:asciiTheme="minorEastAsia" w:hAnsiTheme="minorEastAsia"/>
                <w:sz w:val="24"/>
                <w:szCs w:val="24"/>
              </w:rPr>
              <w:t>4</w:t>
            </w:r>
          </w:p>
        </w:tc>
        <w:tc>
          <w:tcPr>
            <w:tcW w:w="2771" w:type="dxa"/>
            <w:vMerge w:val="restart"/>
            <w:tcBorders>
              <w:top w:val="single" w:color="auto" w:sz="8" w:space="0"/>
              <w:left w:val="single" w:color="auto" w:sz="8" w:space="0"/>
              <w:right w:val="single" w:color="auto" w:sz="8" w:space="0"/>
            </w:tcBorders>
            <w:tcMar>
              <w:top w:w="0" w:type="dxa"/>
              <w:left w:w="28" w:type="dxa"/>
              <w:bottom w:w="0" w:type="dxa"/>
              <w:right w:w="28" w:type="dxa"/>
            </w:tcMar>
            <w:vAlign w:val="center"/>
          </w:tcPr>
          <w:p>
            <w:pP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详细评审</w:t>
            </w:r>
          </w:p>
        </w:tc>
        <w:tc>
          <w:tcPr>
            <w:tcW w:w="5745"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详见《详细评审标准》及</w:t>
            </w:r>
            <w:r>
              <w:rPr>
                <w:rFonts w:hint="eastAsia" w:cs="Arial" w:asciiTheme="minorEastAsia" w:hAnsiTheme="minorEastAsia"/>
                <w:color w:val="auto"/>
                <w:kern w:val="0"/>
                <w:sz w:val="24"/>
                <w:szCs w:val="24"/>
              </w:rPr>
              <w:t>本节第3.7款</w:t>
            </w:r>
          </w:p>
        </w:tc>
      </w:tr>
      <w:tr>
        <w:tblPrEx>
          <w:tblCellMar>
            <w:top w:w="0" w:type="dxa"/>
            <w:left w:w="0" w:type="dxa"/>
            <w:bottom w:w="0" w:type="dxa"/>
            <w:right w:w="0" w:type="dxa"/>
          </w:tblCellMar>
        </w:tblPrEx>
        <w:trPr>
          <w:cantSplit/>
          <w:trHeight w:val="2577" w:hRule="atLeast"/>
          <w:jc w:val="center"/>
        </w:trPr>
        <w:tc>
          <w:tcPr>
            <w:tcW w:w="610" w:type="dxa"/>
            <w:vMerge w:val="continue"/>
            <w:tcBorders>
              <w:left w:val="single" w:color="auto" w:sz="8" w:space="0"/>
              <w:bottom w:val="single" w:color="auto" w:sz="8" w:space="0"/>
              <w:right w:val="single" w:color="auto" w:sz="8" w:space="0"/>
            </w:tcBorders>
            <w:tcMar>
              <w:top w:w="0" w:type="dxa"/>
              <w:left w:w="28" w:type="dxa"/>
              <w:bottom w:w="0" w:type="dxa"/>
              <w:right w:w="28" w:type="dxa"/>
            </w:tcMar>
            <w:vAlign w:val="center"/>
          </w:tcPr>
          <w:p>
            <w:pPr>
              <w:jc w:val="center"/>
              <w:rPr>
                <w:rFonts w:cs="Times New Roman" w:asciiTheme="minorEastAsia" w:hAnsiTheme="minorEastAsia"/>
                <w:sz w:val="24"/>
                <w:szCs w:val="24"/>
              </w:rPr>
            </w:pPr>
          </w:p>
        </w:tc>
        <w:tc>
          <w:tcPr>
            <w:tcW w:w="2771" w:type="dxa"/>
            <w:vMerge w:val="continue"/>
            <w:tcBorders>
              <w:left w:val="single" w:color="auto" w:sz="8" w:space="0"/>
              <w:bottom w:val="single" w:color="auto" w:sz="8" w:space="0"/>
              <w:right w:val="single" w:color="auto" w:sz="8" w:space="0"/>
            </w:tcBorders>
            <w:tcMar>
              <w:top w:w="0" w:type="dxa"/>
              <w:left w:w="28" w:type="dxa"/>
              <w:bottom w:w="0" w:type="dxa"/>
              <w:right w:w="28" w:type="dxa"/>
            </w:tcMar>
            <w:vAlign w:val="center"/>
          </w:tcPr>
          <w:p>
            <w:pPr>
              <w:rPr>
                <w:rFonts w:cs="Times New Roman" w:asciiTheme="minorEastAsia" w:hAnsiTheme="minorEastAsia"/>
                <w:color w:val="auto"/>
                <w:sz w:val="24"/>
                <w:szCs w:val="24"/>
              </w:rPr>
            </w:pPr>
          </w:p>
        </w:tc>
        <w:tc>
          <w:tcPr>
            <w:tcW w:w="5745"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tcPr>
          <w:p>
            <w:pP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投标报价得分计算方法：</w:t>
            </w:r>
          </w:p>
          <w:p>
            <w:pPr>
              <w:rPr>
                <w:rFonts w:cs="Times New Roman" w:asciiTheme="minorEastAsia" w:hAnsiTheme="minorEastAsia"/>
                <w:bCs/>
                <w:color w:val="auto"/>
                <w:sz w:val="24"/>
                <w:szCs w:val="24"/>
              </w:rPr>
            </w:pPr>
            <w:r>
              <w:rPr>
                <w:rFonts w:hint="eastAsia" w:cs="Times New Roman" w:asciiTheme="minorEastAsia" w:hAnsiTheme="minorEastAsia"/>
                <w:color w:val="auto"/>
                <w:sz w:val="24"/>
                <w:szCs w:val="24"/>
              </w:rPr>
              <w:t>1</w:t>
            </w:r>
            <w:r>
              <w:rPr>
                <w:rFonts w:hint="eastAsia" w:cs="Times New Roman" w:asciiTheme="minorEastAsia" w:hAnsiTheme="minorEastAsia"/>
                <w:bCs/>
                <w:color w:val="auto"/>
                <w:sz w:val="24"/>
                <w:szCs w:val="24"/>
              </w:rPr>
              <w:t>.投标报价的确定</w:t>
            </w:r>
          </w:p>
          <w:p>
            <w:pPr>
              <w:rPr>
                <w:rFonts w:cs="Times New Roman" w:asciiTheme="minorEastAsia" w:hAnsiTheme="minorEastAsia"/>
                <w:bCs/>
                <w:color w:val="auto"/>
                <w:sz w:val="24"/>
                <w:szCs w:val="24"/>
              </w:rPr>
            </w:pPr>
            <w:r>
              <w:rPr>
                <w:rFonts w:hint="eastAsia" w:cs="Times New Roman" w:asciiTheme="minorEastAsia" w:hAnsiTheme="minorEastAsia"/>
                <w:bCs/>
                <w:color w:val="auto"/>
                <w:sz w:val="24"/>
                <w:szCs w:val="24"/>
              </w:rPr>
              <w:t>投标报价是指经评审的且不超过采购预算金额的投标价格</w:t>
            </w:r>
          </w:p>
          <w:p>
            <w:pPr>
              <w:rPr>
                <w:rFonts w:cs="Times New Roman" w:asciiTheme="minorEastAsia" w:hAnsiTheme="minorEastAsia"/>
                <w:bCs/>
                <w:color w:val="auto"/>
                <w:sz w:val="24"/>
                <w:szCs w:val="24"/>
              </w:rPr>
            </w:pPr>
            <w:r>
              <w:rPr>
                <w:rFonts w:hint="eastAsia" w:cs="Times New Roman" w:asciiTheme="minorEastAsia" w:hAnsiTheme="minorEastAsia"/>
                <w:bCs/>
                <w:color w:val="auto"/>
                <w:sz w:val="24"/>
                <w:szCs w:val="24"/>
              </w:rPr>
              <w:t>2.评标基准价的确定</w:t>
            </w:r>
          </w:p>
          <w:p>
            <w:pPr>
              <w:rPr>
                <w:rFonts w:cs="Times New Roman" w:asciiTheme="minorEastAsia" w:hAnsiTheme="minorEastAsia"/>
                <w:bCs/>
                <w:color w:val="auto"/>
                <w:sz w:val="24"/>
                <w:szCs w:val="24"/>
              </w:rPr>
            </w:pPr>
            <w:r>
              <w:rPr>
                <w:rFonts w:cs="Times New Roman" w:asciiTheme="minorEastAsia" w:hAnsiTheme="minorEastAsia"/>
                <w:bCs/>
                <w:color w:val="auto"/>
                <w:sz w:val="24"/>
                <w:szCs w:val="24"/>
              </w:rPr>
              <w:t>满足招标文件要求且</w:t>
            </w:r>
            <w:r>
              <w:rPr>
                <w:rFonts w:hint="eastAsia" w:cs="Times New Roman" w:asciiTheme="minorEastAsia" w:hAnsiTheme="minorEastAsia"/>
                <w:bCs/>
                <w:color w:val="auto"/>
                <w:sz w:val="24"/>
                <w:szCs w:val="24"/>
              </w:rPr>
              <w:t>投标报价</w:t>
            </w:r>
            <w:r>
              <w:rPr>
                <w:rFonts w:cs="Times New Roman" w:asciiTheme="minorEastAsia" w:hAnsiTheme="minorEastAsia"/>
                <w:bCs/>
                <w:color w:val="auto"/>
                <w:sz w:val="24"/>
                <w:szCs w:val="24"/>
              </w:rPr>
              <w:t>最低的为评标基准价</w:t>
            </w:r>
          </w:p>
          <w:p>
            <w:pPr>
              <w:rPr>
                <w:rFonts w:cs="Times New Roman" w:asciiTheme="minorEastAsia" w:hAnsiTheme="minorEastAsia"/>
                <w:bCs/>
                <w:color w:val="auto"/>
                <w:sz w:val="24"/>
                <w:szCs w:val="24"/>
              </w:rPr>
            </w:pPr>
            <w:r>
              <w:rPr>
                <w:rFonts w:hint="eastAsia" w:cs="Times New Roman" w:asciiTheme="minorEastAsia" w:hAnsiTheme="minorEastAsia"/>
                <w:bCs/>
                <w:color w:val="auto"/>
                <w:sz w:val="24"/>
                <w:szCs w:val="24"/>
              </w:rPr>
              <w:t>3.</w:t>
            </w:r>
            <w:r>
              <w:rPr>
                <w:rFonts w:cs="Times New Roman" w:asciiTheme="minorEastAsia" w:hAnsiTheme="minorEastAsia"/>
                <w:bCs/>
                <w:color w:val="auto"/>
                <w:sz w:val="24"/>
                <w:szCs w:val="24"/>
              </w:rPr>
              <w:t>投标报价得分=(评标基准价／投标报价)×100×</w:t>
            </w:r>
            <w:r>
              <w:rPr>
                <w:rFonts w:hint="eastAsia" w:cs="Times New Roman" w:asciiTheme="minorEastAsia" w:hAnsiTheme="minorEastAsia"/>
                <w:bCs/>
                <w:color w:val="auto"/>
                <w:sz w:val="24"/>
                <w:szCs w:val="24"/>
              </w:rPr>
              <w:t>Q2</w:t>
            </w:r>
          </w:p>
          <w:p>
            <w:pPr>
              <w:rPr>
                <w:rFonts w:cs="Times New Roman" w:asciiTheme="minorEastAsia" w:hAnsiTheme="minorEastAsia"/>
                <w:color w:val="auto"/>
                <w:sz w:val="24"/>
                <w:szCs w:val="24"/>
              </w:rPr>
            </w:pPr>
            <w:r>
              <w:rPr>
                <w:rFonts w:hint="eastAsia" w:cs="Times New Roman" w:asciiTheme="minorEastAsia" w:hAnsiTheme="minorEastAsia"/>
                <w:bCs/>
                <w:color w:val="auto"/>
                <w:sz w:val="24"/>
                <w:szCs w:val="24"/>
              </w:rPr>
              <w:t>4.</w:t>
            </w:r>
            <w:r>
              <w:rPr>
                <w:rFonts w:hint="eastAsia" w:cs="Times New Roman" w:asciiTheme="minorEastAsia" w:hAnsiTheme="minorEastAsia"/>
                <w:color w:val="auto"/>
                <w:sz w:val="24"/>
                <w:szCs w:val="24"/>
              </w:rPr>
              <w:t>评分分值计算保留小数点后两位，小数点后三位“四舍五入”。</w:t>
            </w:r>
          </w:p>
          <w:p>
            <w:pPr>
              <w:rPr>
                <w:rFonts w:cs="Times New Roman" w:asciiTheme="minorEastAsia" w:hAnsiTheme="minorEastAsia"/>
                <w:color w:val="auto"/>
                <w:sz w:val="24"/>
                <w:szCs w:val="24"/>
              </w:rPr>
            </w:pPr>
            <w:r>
              <w:rPr>
                <w:rFonts w:hint="eastAsia" w:asciiTheme="minorEastAsia" w:hAnsiTheme="minorEastAsia"/>
                <w:b/>
                <w:color w:val="auto"/>
                <w:szCs w:val="21"/>
              </w:rPr>
              <w:t>5. 本项目专门面对小微企业，不再执行价格评审优惠的扶持政策。本项目采购行业所属为其他未列明行业。</w:t>
            </w:r>
          </w:p>
        </w:tc>
      </w:tr>
    </w:tbl>
    <w:p>
      <w:pPr>
        <w:widowControl/>
        <w:shd w:val="clear" w:color="auto" w:fill="FFFFFF"/>
        <w:snapToGrid w:val="0"/>
        <w:ind w:firstLine="482"/>
        <w:jc w:val="center"/>
        <w:rPr>
          <w:rFonts w:cs="Arial" w:asciiTheme="minorEastAsia" w:hAnsiTheme="minorEastAsia"/>
          <w:b/>
          <w:kern w:val="0"/>
          <w:sz w:val="24"/>
          <w:szCs w:val="24"/>
        </w:rPr>
      </w:pPr>
      <w:bookmarkStart w:id="48" w:name="_Toc501719166"/>
      <w:r>
        <w:rPr>
          <w:rFonts w:hint="eastAsia" w:cs="Arial" w:asciiTheme="minorEastAsia" w:hAnsiTheme="minorEastAsia"/>
          <w:b/>
          <w:kern w:val="0"/>
          <w:sz w:val="24"/>
          <w:szCs w:val="24"/>
        </w:rPr>
        <w:t>《资格审查标准》</w:t>
      </w:r>
      <w:bookmarkEnd w:id="48"/>
    </w:p>
    <w:tbl>
      <w:tblPr>
        <w:tblStyle w:val="34"/>
        <w:tblW w:w="9090" w:type="dxa"/>
        <w:jc w:val="center"/>
        <w:tblLayout w:type="autofit"/>
        <w:tblCellMar>
          <w:top w:w="0" w:type="dxa"/>
          <w:left w:w="0" w:type="dxa"/>
          <w:bottom w:w="0" w:type="dxa"/>
          <w:right w:w="0" w:type="dxa"/>
        </w:tblCellMar>
      </w:tblPr>
      <w:tblGrid>
        <w:gridCol w:w="623"/>
        <w:gridCol w:w="8467"/>
      </w:tblGrid>
      <w:tr>
        <w:tblPrEx>
          <w:tblCellMar>
            <w:top w:w="0" w:type="dxa"/>
            <w:left w:w="0" w:type="dxa"/>
            <w:bottom w:w="0" w:type="dxa"/>
            <w:right w:w="0" w:type="dxa"/>
          </w:tblCellMar>
        </w:tblPrEx>
        <w:trPr>
          <w:cantSplit/>
          <w:trHeight w:val="314" w:hRule="atLeast"/>
          <w:jc w:val="center"/>
        </w:trPr>
        <w:tc>
          <w:tcPr>
            <w:tcW w:w="623" w:type="dxa"/>
            <w:tcBorders>
              <w:top w:val="single" w:color="auto" w:sz="8" w:space="0"/>
              <w:left w:val="single" w:color="auto" w:sz="8" w:space="0"/>
              <w:bottom w:val="single" w:color="auto" w:sz="8" w:space="0"/>
              <w:right w:val="single" w:color="auto" w:sz="8" w:space="0"/>
            </w:tcBorders>
            <w:vAlign w:val="center"/>
          </w:tcPr>
          <w:p>
            <w:pPr>
              <w:widowControl/>
              <w:shd w:val="clear" w:color="auto" w:fill="FFFFFF"/>
              <w:snapToGrid w:val="0"/>
              <w:jc w:val="center"/>
              <w:rPr>
                <w:rFonts w:cs="Arial" w:asciiTheme="minorEastAsia" w:hAnsiTheme="minorEastAsia"/>
                <w:kern w:val="0"/>
                <w:sz w:val="24"/>
                <w:szCs w:val="24"/>
              </w:rPr>
            </w:pPr>
            <w:r>
              <w:rPr>
                <w:rFonts w:hint="eastAsia" w:cs="Arial" w:asciiTheme="minorEastAsia" w:hAnsiTheme="minorEastAsia"/>
                <w:kern w:val="0"/>
                <w:sz w:val="24"/>
                <w:szCs w:val="24"/>
              </w:rPr>
              <w:t>序号</w:t>
            </w:r>
          </w:p>
        </w:tc>
        <w:tc>
          <w:tcPr>
            <w:tcW w:w="8467" w:type="dxa"/>
            <w:tcBorders>
              <w:top w:val="single" w:color="auto" w:sz="8" w:space="0"/>
              <w:left w:val="single" w:color="auto" w:sz="8" w:space="0"/>
              <w:bottom w:val="single" w:color="auto" w:sz="8" w:space="0"/>
              <w:right w:val="single" w:color="auto" w:sz="8" w:space="0"/>
            </w:tcBorders>
            <w:vAlign w:val="center"/>
          </w:tcPr>
          <w:p>
            <w:pPr>
              <w:widowControl/>
              <w:shd w:val="clear" w:color="auto" w:fill="FFFFFF"/>
              <w:snapToGrid w:val="0"/>
              <w:jc w:val="center"/>
              <w:rPr>
                <w:rFonts w:cs="Arial" w:asciiTheme="minorEastAsia" w:hAnsiTheme="minorEastAsia"/>
                <w:kern w:val="0"/>
                <w:sz w:val="24"/>
                <w:szCs w:val="24"/>
              </w:rPr>
            </w:pPr>
            <w:r>
              <w:rPr>
                <w:rFonts w:hint="eastAsia" w:cs="Arial" w:asciiTheme="minorEastAsia" w:hAnsiTheme="minorEastAsia"/>
                <w:kern w:val="0"/>
                <w:sz w:val="24"/>
                <w:szCs w:val="24"/>
              </w:rPr>
              <w:t>审查标准</w:t>
            </w:r>
          </w:p>
        </w:tc>
      </w:tr>
      <w:tr>
        <w:tblPrEx>
          <w:tblCellMar>
            <w:top w:w="0" w:type="dxa"/>
            <w:left w:w="0" w:type="dxa"/>
            <w:bottom w:w="0" w:type="dxa"/>
            <w:right w:w="0" w:type="dxa"/>
          </w:tblCellMar>
        </w:tblPrEx>
        <w:trPr>
          <w:cantSplit/>
          <w:trHeight w:val="314" w:hRule="atLeast"/>
          <w:jc w:val="center"/>
        </w:trPr>
        <w:tc>
          <w:tcPr>
            <w:tcW w:w="623" w:type="dxa"/>
            <w:tcBorders>
              <w:top w:val="single" w:color="auto" w:sz="8" w:space="0"/>
              <w:left w:val="single" w:color="auto" w:sz="8" w:space="0"/>
              <w:bottom w:val="single" w:color="auto" w:sz="8" w:space="0"/>
              <w:right w:val="single" w:color="auto" w:sz="8" w:space="0"/>
            </w:tcBorders>
            <w:vAlign w:val="center"/>
          </w:tcPr>
          <w:p>
            <w:pPr>
              <w:widowControl/>
              <w:shd w:val="clear" w:color="auto" w:fill="FFFFFF"/>
              <w:snapToGrid w:val="0"/>
              <w:jc w:val="center"/>
              <w:rPr>
                <w:rFonts w:cs="Arial" w:asciiTheme="minorEastAsia" w:hAnsiTheme="minorEastAsia"/>
                <w:color w:val="auto"/>
                <w:kern w:val="0"/>
                <w:sz w:val="24"/>
                <w:szCs w:val="24"/>
              </w:rPr>
            </w:pPr>
            <w:r>
              <w:rPr>
                <w:rFonts w:cs="Arial" w:asciiTheme="minorEastAsia" w:hAnsiTheme="minorEastAsia"/>
                <w:color w:val="auto"/>
                <w:kern w:val="0"/>
                <w:sz w:val="24"/>
                <w:szCs w:val="24"/>
              </w:rPr>
              <w:t>1</w:t>
            </w:r>
          </w:p>
        </w:tc>
        <w:tc>
          <w:tcPr>
            <w:tcW w:w="8467" w:type="dxa"/>
            <w:tcBorders>
              <w:top w:val="single" w:color="auto" w:sz="8" w:space="0"/>
              <w:left w:val="single" w:color="auto" w:sz="8" w:space="0"/>
              <w:bottom w:val="single" w:color="auto" w:sz="8" w:space="0"/>
              <w:right w:val="single" w:color="auto" w:sz="8" w:space="0"/>
            </w:tcBorders>
            <w:vAlign w:val="center"/>
          </w:tcPr>
          <w:p>
            <w:pPr>
              <w:widowControl/>
              <w:shd w:val="clear" w:color="auto" w:fill="FFFFFF"/>
              <w:snapToGrid w:val="0"/>
              <w:jc w:val="left"/>
              <w:rPr>
                <w:rFonts w:cs="Arial" w:asciiTheme="minorEastAsia" w:hAnsiTheme="minorEastAsia"/>
                <w:color w:val="auto"/>
                <w:kern w:val="0"/>
                <w:sz w:val="24"/>
                <w:szCs w:val="24"/>
              </w:rPr>
            </w:pPr>
            <w:r>
              <w:rPr>
                <w:rFonts w:hint="eastAsia" w:cs="Arial" w:asciiTheme="minorEastAsia" w:hAnsiTheme="minorEastAsia"/>
                <w:color w:val="auto"/>
                <w:kern w:val="0"/>
                <w:sz w:val="24"/>
                <w:szCs w:val="24"/>
              </w:rPr>
              <w:t>投标人必须</w:t>
            </w:r>
            <w:r>
              <w:rPr>
                <w:rFonts w:cs="Arial" w:asciiTheme="minorEastAsia" w:hAnsiTheme="minorEastAsia"/>
                <w:color w:val="auto"/>
                <w:kern w:val="0"/>
                <w:sz w:val="24"/>
                <w:szCs w:val="24"/>
              </w:rPr>
              <w:t>满足《中华人民共和国政府采购法》第二十二条规定</w:t>
            </w:r>
            <w:r>
              <w:rPr>
                <w:rFonts w:hint="eastAsia" w:cs="Arial" w:asciiTheme="minorEastAsia" w:hAnsiTheme="minorEastAsia"/>
                <w:color w:val="auto"/>
                <w:kern w:val="0"/>
                <w:sz w:val="24"/>
                <w:szCs w:val="24"/>
              </w:rPr>
              <w:t>；</w:t>
            </w:r>
          </w:p>
        </w:tc>
      </w:tr>
      <w:tr>
        <w:tblPrEx>
          <w:tblCellMar>
            <w:top w:w="0" w:type="dxa"/>
            <w:left w:w="0" w:type="dxa"/>
            <w:bottom w:w="0" w:type="dxa"/>
            <w:right w:w="0" w:type="dxa"/>
          </w:tblCellMar>
        </w:tblPrEx>
        <w:trPr>
          <w:cantSplit/>
          <w:trHeight w:val="314" w:hRule="atLeast"/>
          <w:jc w:val="center"/>
        </w:trPr>
        <w:tc>
          <w:tcPr>
            <w:tcW w:w="623" w:type="dxa"/>
            <w:tcBorders>
              <w:top w:val="single" w:color="auto" w:sz="8" w:space="0"/>
              <w:left w:val="single" w:color="auto" w:sz="8" w:space="0"/>
              <w:bottom w:val="single" w:color="auto" w:sz="8" w:space="0"/>
              <w:right w:val="single" w:color="auto" w:sz="8" w:space="0"/>
            </w:tcBorders>
            <w:vAlign w:val="center"/>
          </w:tcPr>
          <w:p>
            <w:pPr>
              <w:widowControl/>
              <w:shd w:val="clear" w:color="auto" w:fill="FFFFFF"/>
              <w:snapToGrid w:val="0"/>
              <w:jc w:val="center"/>
              <w:rPr>
                <w:rFonts w:cs="Arial" w:asciiTheme="minorEastAsia" w:hAnsiTheme="minorEastAsia"/>
                <w:color w:val="auto"/>
                <w:kern w:val="0"/>
                <w:sz w:val="24"/>
                <w:szCs w:val="24"/>
              </w:rPr>
            </w:pPr>
            <w:r>
              <w:rPr>
                <w:rFonts w:hint="eastAsia" w:cs="Arial" w:asciiTheme="minorEastAsia" w:hAnsiTheme="minorEastAsia"/>
                <w:color w:val="auto"/>
                <w:kern w:val="0"/>
                <w:sz w:val="24"/>
                <w:szCs w:val="24"/>
              </w:rPr>
              <w:t>2</w:t>
            </w:r>
          </w:p>
        </w:tc>
        <w:tc>
          <w:tcPr>
            <w:tcW w:w="8467" w:type="dxa"/>
            <w:tcBorders>
              <w:top w:val="single" w:color="auto" w:sz="8" w:space="0"/>
              <w:left w:val="single" w:color="auto" w:sz="8" w:space="0"/>
              <w:bottom w:val="single" w:color="auto" w:sz="8" w:space="0"/>
              <w:right w:val="single" w:color="auto" w:sz="8" w:space="0"/>
            </w:tcBorders>
            <w:vAlign w:val="center"/>
          </w:tcPr>
          <w:p>
            <w:pPr>
              <w:widowControl/>
              <w:shd w:val="clear" w:color="auto" w:fill="FFFFFF"/>
              <w:snapToGrid w:val="0"/>
              <w:jc w:val="left"/>
              <w:rPr>
                <w:rFonts w:cs="Arial" w:asciiTheme="minorEastAsia" w:hAnsiTheme="minorEastAsia"/>
                <w:color w:val="auto"/>
                <w:kern w:val="0"/>
                <w:sz w:val="24"/>
                <w:szCs w:val="24"/>
              </w:rPr>
            </w:pPr>
            <w:r>
              <w:rPr>
                <w:rFonts w:hint="eastAsia" w:cs="Arial" w:asciiTheme="minorEastAsia" w:hAnsiTheme="minorEastAsia"/>
                <w:color w:val="auto"/>
                <w:kern w:val="0"/>
                <w:sz w:val="24"/>
                <w:szCs w:val="24"/>
              </w:rPr>
              <w:t>投标人必须是中华人民共和国境内注册，具有有效的营业执照（或事业单位法人证书）；</w:t>
            </w:r>
          </w:p>
        </w:tc>
      </w:tr>
      <w:tr>
        <w:tblPrEx>
          <w:tblCellMar>
            <w:top w:w="0" w:type="dxa"/>
            <w:left w:w="0" w:type="dxa"/>
            <w:bottom w:w="0" w:type="dxa"/>
            <w:right w:w="0" w:type="dxa"/>
          </w:tblCellMar>
        </w:tblPrEx>
        <w:trPr>
          <w:cantSplit/>
          <w:trHeight w:val="409" w:hRule="atLeast"/>
          <w:jc w:val="center"/>
        </w:trPr>
        <w:tc>
          <w:tcPr>
            <w:tcW w:w="623"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pPr>
              <w:widowControl/>
              <w:shd w:val="clear" w:color="auto" w:fill="FFFFFF"/>
              <w:snapToGrid w:val="0"/>
              <w:jc w:val="center"/>
              <w:rPr>
                <w:rFonts w:cs="Arial" w:asciiTheme="minorEastAsia" w:hAnsiTheme="minorEastAsia"/>
                <w:color w:val="auto"/>
                <w:kern w:val="0"/>
                <w:sz w:val="24"/>
                <w:szCs w:val="24"/>
              </w:rPr>
            </w:pPr>
            <w:r>
              <w:rPr>
                <w:rFonts w:hint="eastAsia" w:cs="Arial" w:asciiTheme="minorEastAsia" w:hAnsiTheme="minorEastAsia"/>
                <w:color w:val="auto"/>
                <w:kern w:val="0"/>
                <w:sz w:val="24"/>
                <w:szCs w:val="24"/>
              </w:rPr>
              <w:t>3</w:t>
            </w:r>
          </w:p>
        </w:tc>
        <w:tc>
          <w:tcPr>
            <w:tcW w:w="8467" w:type="dxa"/>
            <w:tcBorders>
              <w:top w:val="nil"/>
              <w:left w:val="nil"/>
              <w:bottom w:val="single" w:color="auto" w:sz="8" w:space="0"/>
              <w:right w:val="single" w:color="auto" w:sz="8" w:space="0"/>
            </w:tcBorders>
            <w:tcMar>
              <w:top w:w="0" w:type="dxa"/>
              <w:left w:w="28" w:type="dxa"/>
              <w:bottom w:w="0" w:type="dxa"/>
              <w:right w:w="28" w:type="dxa"/>
            </w:tcMar>
            <w:vAlign w:val="center"/>
          </w:tcPr>
          <w:p>
            <w:pPr>
              <w:widowControl/>
              <w:shd w:val="clear" w:color="auto" w:fill="FFFFFF"/>
              <w:snapToGrid w:val="0"/>
              <w:rPr>
                <w:rFonts w:cs="Arial" w:asciiTheme="minorEastAsia" w:hAnsiTheme="minorEastAsia"/>
                <w:color w:val="auto"/>
                <w:kern w:val="0"/>
                <w:sz w:val="24"/>
                <w:szCs w:val="24"/>
              </w:rPr>
            </w:pPr>
            <w:r>
              <w:rPr>
                <w:rFonts w:cs="Arial" w:asciiTheme="minorEastAsia" w:hAnsiTheme="minorEastAsia"/>
                <w:color w:val="auto"/>
                <w:kern w:val="0"/>
                <w:sz w:val="24"/>
                <w:szCs w:val="24"/>
              </w:rPr>
              <w:t>投标人须是在“信用中国”网站（WWW.creditchina.gov.cn）和中国政府采购网（www.ccgp.gov.cn）网站中未被列入失信被执行人、重大税收违法案件当事人名单以及政府采购严重违法失信行为记录名单（尚在处罚期内的）</w:t>
            </w:r>
            <w:r>
              <w:rPr>
                <w:rFonts w:hint="eastAsia" w:cs="Arial" w:asciiTheme="minorEastAsia" w:hAnsiTheme="minorEastAsia"/>
                <w:color w:val="auto"/>
                <w:kern w:val="0"/>
                <w:sz w:val="24"/>
                <w:szCs w:val="24"/>
              </w:rPr>
              <w:t>；</w:t>
            </w:r>
          </w:p>
        </w:tc>
      </w:tr>
      <w:tr>
        <w:tblPrEx>
          <w:tblCellMar>
            <w:top w:w="0" w:type="dxa"/>
            <w:left w:w="0" w:type="dxa"/>
            <w:bottom w:w="0" w:type="dxa"/>
            <w:right w:w="0" w:type="dxa"/>
          </w:tblCellMar>
        </w:tblPrEx>
        <w:trPr>
          <w:cantSplit/>
          <w:trHeight w:val="377" w:hRule="atLeast"/>
          <w:jc w:val="center"/>
        </w:trPr>
        <w:tc>
          <w:tcPr>
            <w:tcW w:w="623"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pPr>
              <w:widowControl/>
              <w:shd w:val="clear" w:color="auto" w:fill="FFFFFF"/>
              <w:snapToGrid w:val="0"/>
              <w:jc w:val="center"/>
              <w:rPr>
                <w:rFonts w:cs="Arial" w:asciiTheme="minorEastAsia" w:hAnsiTheme="minorEastAsia"/>
                <w:color w:val="auto"/>
                <w:kern w:val="0"/>
                <w:sz w:val="24"/>
                <w:szCs w:val="24"/>
              </w:rPr>
            </w:pPr>
            <w:r>
              <w:rPr>
                <w:rFonts w:hint="eastAsia" w:cs="Arial" w:asciiTheme="minorEastAsia" w:hAnsiTheme="minorEastAsia"/>
                <w:color w:val="auto"/>
                <w:kern w:val="0"/>
                <w:sz w:val="24"/>
                <w:szCs w:val="24"/>
              </w:rPr>
              <w:t>4</w:t>
            </w:r>
          </w:p>
        </w:tc>
        <w:tc>
          <w:tcPr>
            <w:tcW w:w="8467" w:type="dxa"/>
            <w:tcBorders>
              <w:top w:val="nil"/>
              <w:left w:val="nil"/>
              <w:bottom w:val="single" w:color="auto" w:sz="8" w:space="0"/>
              <w:right w:val="single" w:color="auto" w:sz="8" w:space="0"/>
            </w:tcBorders>
            <w:tcMar>
              <w:top w:w="0" w:type="dxa"/>
              <w:left w:w="28" w:type="dxa"/>
              <w:bottom w:w="0" w:type="dxa"/>
              <w:right w:w="28" w:type="dxa"/>
            </w:tcMar>
            <w:vAlign w:val="center"/>
          </w:tcPr>
          <w:p>
            <w:pPr>
              <w:widowControl/>
              <w:shd w:val="clear" w:color="auto" w:fill="FFFFFF"/>
              <w:snapToGrid w:val="0"/>
              <w:rPr>
                <w:rFonts w:cs="Arial" w:asciiTheme="minorEastAsia" w:hAnsiTheme="minorEastAsia"/>
                <w:color w:val="auto"/>
                <w:kern w:val="0"/>
                <w:sz w:val="24"/>
                <w:szCs w:val="24"/>
              </w:rPr>
            </w:pPr>
            <w:r>
              <w:rPr>
                <w:rFonts w:hint="eastAsia" w:cs="Arial" w:asciiTheme="minorEastAsia" w:hAnsiTheme="minorEastAsia"/>
                <w:color w:val="auto"/>
                <w:kern w:val="0"/>
                <w:sz w:val="24"/>
                <w:szCs w:val="21"/>
              </w:rPr>
              <w:t>投标人须是小微企业并且出具《中小企业声明函》；</w:t>
            </w:r>
          </w:p>
        </w:tc>
      </w:tr>
      <w:tr>
        <w:tblPrEx>
          <w:tblCellMar>
            <w:top w:w="0" w:type="dxa"/>
            <w:left w:w="0" w:type="dxa"/>
            <w:bottom w:w="0" w:type="dxa"/>
            <w:right w:w="0" w:type="dxa"/>
          </w:tblCellMar>
        </w:tblPrEx>
        <w:trPr>
          <w:cantSplit/>
          <w:trHeight w:val="411" w:hRule="atLeast"/>
          <w:jc w:val="center"/>
        </w:trPr>
        <w:tc>
          <w:tcPr>
            <w:tcW w:w="623"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pPr>
              <w:widowControl/>
              <w:shd w:val="clear" w:color="auto" w:fill="FFFFFF"/>
              <w:snapToGrid w:val="0"/>
              <w:jc w:val="center"/>
              <w:rPr>
                <w:rFonts w:cs="Arial" w:asciiTheme="minorEastAsia" w:hAnsiTheme="minorEastAsia"/>
                <w:color w:val="auto"/>
                <w:kern w:val="0"/>
                <w:sz w:val="24"/>
                <w:szCs w:val="24"/>
              </w:rPr>
            </w:pPr>
            <w:r>
              <w:rPr>
                <w:rFonts w:hint="eastAsia" w:cs="Arial" w:asciiTheme="minorEastAsia" w:hAnsiTheme="minorEastAsia"/>
                <w:color w:val="auto"/>
                <w:kern w:val="0"/>
                <w:sz w:val="24"/>
                <w:szCs w:val="24"/>
              </w:rPr>
              <w:t>5</w:t>
            </w:r>
          </w:p>
        </w:tc>
        <w:tc>
          <w:tcPr>
            <w:tcW w:w="8467" w:type="dxa"/>
            <w:tcBorders>
              <w:top w:val="nil"/>
              <w:left w:val="nil"/>
              <w:bottom w:val="single" w:color="auto" w:sz="8" w:space="0"/>
              <w:right w:val="single" w:color="auto" w:sz="8" w:space="0"/>
            </w:tcBorders>
            <w:tcMar>
              <w:top w:w="0" w:type="dxa"/>
              <w:left w:w="28" w:type="dxa"/>
              <w:bottom w:w="0" w:type="dxa"/>
              <w:right w:w="28" w:type="dxa"/>
            </w:tcMar>
            <w:vAlign w:val="center"/>
          </w:tcPr>
          <w:p>
            <w:pPr>
              <w:widowControl/>
              <w:shd w:val="clear" w:color="auto" w:fill="FFFFFF"/>
              <w:snapToGrid w:val="0"/>
              <w:rPr>
                <w:rFonts w:cs="Arial" w:asciiTheme="minorEastAsia" w:hAnsiTheme="minorEastAsia"/>
                <w:color w:val="auto"/>
                <w:kern w:val="0"/>
                <w:sz w:val="24"/>
                <w:szCs w:val="24"/>
              </w:rPr>
            </w:pPr>
            <w:r>
              <w:rPr>
                <w:rFonts w:hint="eastAsia" w:cs="Arial" w:asciiTheme="minorEastAsia" w:hAnsiTheme="minorEastAsia"/>
                <w:color w:val="auto"/>
                <w:kern w:val="0"/>
                <w:sz w:val="24"/>
                <w:szCs w:val="24"/>
              </w:rPr>
              <w:t>投标保证金是否按照招标文件要求缴纳。</w:t>
            </w:r>
          </w:p>
        </w:tc>
      </w:tr>
      <w:tr>
        <w:tblPrEx>
          <w:tblCellMar>
            <w:top w:w="0" w:type="dxa"/>
            <w:left w:w="0" w:type="dxa"/>
            <w:bottom w:w="0" w:type="dxa"/>
            <w:right w:w="0" w:type="dxa"/>
          </w:tblCellMar>
        </w:tblPrEx>
        <w:trPr>
          <w:cantSplit/>
          <w:trHeight w:val="411" w:hRule="atLeast"/>
          <w:jc w:val="center"/>
        </w:trPr>
        <w:tc>
          <w:tcPr>
            <w:tcW w:w="623"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pPr>
              <w:widowControl/>
              <w:shd w:val="clear" w:color="auto" w:fill="FFFFFF"/>
              <w:snapToGrid w:val="0"/>
              <w:jc w:val="center"/>
              <w:rPr>
                <w:rFonts w:hint="eastAsia" w:cs="Arial" w:asciiTheme="minorEastAsia" w:hAnsiTheme="minorEastAsia" w:eastAsiaTheme="minorEastAsia"/>
                <w:color w:val="auto"/>
                <w:kern w:val="0"/>
                <w:sz w:val="24"/>
                <w:szCs w:val="24"/>
                <w:lang w:val="en-US" w:eastAsia="zh-CN"/>
              </w:rPr>
            </w:pPr>
            <w:r>
              <w:rPr>
                <w:rFonts w:hint="eastAsia" w:cs="Arial" w:asciiTheme="minorEastAsia" w:hAnsiTheme="minorEastAsia"/>
                <w:color w:val="auto"/>
                <w:kern w:val="0"/>
                <w:sz w:val="24"/>
                <w:szCs w:val="24"/>
                <w:lang w:val="en-US" w:eastAsia="zh-CN"/>
              </w:rPr>
              <w:t>6</w:t>
            </w:r>
          </w:p>
        </w:tc>
        <w:tc>
          <w:tcPr>
            <w:tcW w:w="8467" w:type="dxa"/>
            <w:tcBorders>
              <w:top w:val="nil"/>
              <w:left w:val="nil"/>
              <w:bottom w:val="single" w:color="auto" w:sz="8" w:space="0"/>
              <w:right w:val="single" w:color="auto" w:sz="8" w:space="0"/>
            </w:tcBorders>
            <w:tcMar>
              <w:top w:w="0" w:type="dxa"/>
              <w:left w:w="28" w:type="dxa"/>
              <w:bottom w:w="0" w:type="dxa"/>
              <w:right w:w="28" w:type="dxa"/>
            </w:tcMar>
            <w:vAlign w:val="center"/>
          </w:tcPr>
          <w:p>
            <w:pPr>
              <w:widowControl/>
              <w:shd w:val="clear" w:color="auto" w:fill="FFFFFF"/>
              <w:snapToGrid w:val="0"/>
              <w:rPr>
                <w:rFonts w:hint="eastAsia" w:cs="Arial" w:asciiTheme="minorEastAsia" w:hAnsiTheme="minorEastAsia"/>
                <w:color w:val="auto"/>
                <w:kern w:val="0"/>
                <w:sz w:val="24"/>
                <w:szCs w:val="24"/>
              </w:rPr>
            </w:pPr>
            <w:r>
              <w:rPr>
                <w:rFonts w:cs="仿宋" w:asciiTheme="minorEastAsia" w:hAnsiTheme="minorEastAsia"/>
                <w:color w:val="auto"/>
                <w:sz w:val="24"/>
                <w:szCs w:val="24"/>
              </w:rPr>
              <w:t>①与</w:t>
            </w:r>
            <w:r>
              <w:rPr>
                <w:rFonts w:hint="eastAsia" w:cs="仿宋" w:asciiTheme="minorEastAsia" w:hAnsiTheme="minorEastAsia"/>
                <w:color w:val="auto"/>
                <w:sz w:val="24"/>
                <w:szCs w:val="24"/>
              </w:rPr>
              <w:t>招标人</w:t>
            </w:r>
            <w:r>
              <w:rPr>
                <w:rFonts w:cs="仿宋" w:asciiTheme="minorEastAsia" w:hAnsiTheme="minorEastAsia"/>
                <w:color w:val="auto"/>
                <w:sz w:val="24"/>
                <w:szCs w:val="24"/>
              </w:rPr>
              <w:t>存在利害关系可能影响招标公正性的法人、其他组织或者个人，不得参加投标。②</w:t>
            </w:r>
            <w:r>
              <w:rPr>
                <w:rFonts w:hint="eastAsia" w:cs="仿宋" w:asciiTheme="minorEastAsia" w:hAnsiTheme="minorEastAsia"/>
                <w:color w:val="auto"/>
                <w:sz w:val="24"/>
                <w:szCs w:val="24"/>
              </w:rPr>
              <w:t>单位负责人为同一人或者存在控股、管理关系的不同投标人，不得参加同一合同项下的政府采购活动。</w:t>
            </w:r>
            <w:r>
              <w:rPr>
                <w:rFonts w:cs="仿宋" w:asciiTheme="minorEastAsia" w:hAnsiTheme="minorEastAsia"/>
                <w:color w:val="auto"/>
                <w:sz w:val="24"/>
                <w:szCs w:val="24"/>
              </w:rPr>
              <w:t>违反前两款规定的，相关投标均无效。</w:t>
            </w:r>
          </w:p>
        </w:tc>
      </w:tr>
      <w:tr>
        <w:tblPrEx>
          <w:tblCellMar>
            <w:top w:w="0" w:type="dxa"/>
            <w:left w:w="0" w:type="dxa"/>
            <w:bottom w:w="0" w:type="dxa"/>
            <w:right w:w="0" w:type="dxa"/>
          </w:tblCellMar>
        </w:tblPrEx>
        <w:trPr>
          <w:cantSplit/>
          <w:trHeight w:val="411" w:hRule="atLeast"/>
          <w:jc w:val="center"/>
        </w:trPr>
        <w:tc>
          <w:tcPr>
            <w:tcW w:w="623"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pPr>
              <w:widowControl/>
              <w:shd w:val="clear" w:color="auto" w:fill="FFFFFF"/>
              <w:snapToGrid w:val="0"/>
              <w:jc w:val="center"/>
              <w:rPr>
                <w:rFonts w:hint="eastAsia" w:cs="Arial" w:asciiTheme="minorEastAsia" w:hAnsiTheme="minorEastAsia" w:eastAsiaTheme="minorEastAsia"/>
                <w:kern w:val="0"/>
                <w:sz w:val="24"/>
                <w:szCs w:val="24"/>
                <w:lang w:eastAsia="zh-CN"/>
              </w:rPr>
            </w:pPr>
            <w:r>
              <w:rPr>
                <w:rFonts w:hint="eastAsia" w:cs="Arial" w:asciiTheme="minorEastAsia" w:hAnsiTheme="minorEastAsia"/>
                <w:kern w:val="0"/>
                <w:sz w:val="24"/>
                <w:szCs w:val="24"/>
                <w:lang w:val="en-US" w:eastAsia="zh-CN"/>
              </w:rPr>
              <w:t>7</w:t>
            </w:r>
          </w:p>
        </w:tc>
        <w:tc>
          <w:tcPr>
            <w:tcW w:w="8467" w:type="dxa"/>
            <w:tcBorders>
              <w:top w:val="nil"/>
              <w:left w:val="nil"/>
              <w:bottom w:val="single" w:color="auto" w:sz="8" w:space="0"/>
              <w:right w:val="single" w:color="auto" w:sz="8" w:space="0"/>
            </w:tcBorders>
            <w:tcMar>
              <w:top w:w="0" w:type="dxa"/>
              <w:left w:w="28" w:type="dxa"/>
              <w:bottom w:w="0" w:type="dxa"/>
              <w:right w:w="28" w:type="dxa"/>
            </w:tcMar>
            <w:vAlign w:val="center"/>
          </w:tcPr>
          <w:p>
            <w:pPr>
              <w:widowControl/>
              <w:shd w:val="clear" w:color="auto" w:fill="FFFFFF"/>
              <w:snapToGrid w:val="0"/>
              <w:rPr>
                <w:rFonts w:cs="Arial" w:asciiTheme="minorEastAsia" w:hAnsiTheme="minorEastAsia"/>
                <w:kern w:val="0"/>
                <w:sz w:val="24"/>
                <w:szCs w:val="24"/>
              </w:rPr>
            </w:pPr>
            <w:r>
              <w:rPr>
                <w:rFonts w:hint="eastAsia" w:cs="Arial" w:asciiTheme="minorEastAsia" w:hAnsiTheme="minorEastAsia"/>
                <w:kern w:val="0"/>
                <w:sz w:val="24"/>
                <w:szCs w:val="24"/>
              </w:rPr>
              <w:t>本项目可兼投不可</w:t>
            </w:r>
            <w:r>
              <w:rPr>
                <w:rFonts w:hint="eastAsia" w:cs="Arial" w:asciiTheme="minorEastAsia" w:hAnsiTheme="minorEastAsia"/>
                <w:color w:val="000000" w:themeColor="text1"/>
                <w:kern w:val="0"/>
                <w:sz w:val="24"/>
                <w:szCs w:val="24"/>
                <w14:textFill>
                  <w14:solidFill>
                    <w14:schemeClr w14:val="tx1"/>
                  </w14:solidFill>
                </w14:textFill>
              </w:rPr>
              <w:t>兼中，开标顺序为2包→1包→3包→5包→4包→11包→6包→12包→10包→8包→9包→13包→16包→14包→15包→7包,本标段前排名第一的中标候选人不得参与本标段评审。</w:t>
            </w:r>
          </w:p>
        </w:tc>
      </w:tr>
      <w:tr>
        <w:tblPrEx>
          <w:tblCellMar>
            <w:top w:w="0" w:type="dxa"/>
            <w:left w:w="0" w:type="dxa"/>
            <w:bottom w:w="0" w:type="dxa"/>
            <w:right w:w="0" w:type="dxa"/>
          </w:tblCellMar>
        </w:tblPrEx>
        <w:trPr>
          <w:cantSplit/>
          <w:trHeight w:val="950" w:hRule="atLeast"/>
          <w:jc w:val="center"/>
        </w:trPr>
        <w:tc>
          <w:tcPr>
            <w:tcW w:w="9090" w:type="dxa"/>
            <w:gridSpan w:val="2"/>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widowControl/>
              <w:shd w:val="clear" w:color="auto" w:fill="FFFFFF"/>
              <w:snapToGrid w:val="0"/>
              <w:rPr>
                <w:rFonts w:cs="Arial" w:asciiTheme="minorEastAsia" w:hAnsiTheme="minorEastAsia"/>
                <w:kern w:val="0"/>
                <w:sz w:val="24"/>
                <w:szCs w:val="24"/>
              </w:rPr>
            </w:pPr>
            <w:r>
              <w:rPr>
                <w:rFonts w:hint="eastAsia" w:cs="Arial" w:asciiTheme="minorEastAsia" w:hAnsiTheme="minorEastAsia"/>
                <w:kern w:val="0"/>
                <w:sz w:val="24"/>
                <w:szCs w:val="24"/>
              </w:rPr>
              <w:t>备注：如果资格评审中有一项不满足审查标准的，采购人将认定该投标人不通过资格审查，投标文件将被拒绝评审。并且不允许投标人通过修改或撤销其不符合要求的差异或保留，使之成为具有响应性的投标。</w:t>
            </w:r>
          </w:p>
        </w:tc>
      </w:tr>
    </w:tbl>
    <w:p>
      <w:pPr>
        <w:widowControl/>
        <w:shd w:val="clear" w:color="auto" w:fill="FFFFFF"/>
        <w:snapToGrid w:val="0"/>
        <w:ind w:firstLine="482"/>
        <w:jc w:val="center"/>
        <w:rPr>
          <w:rFonts w:cs="Arial" w:asciiTheme="minorEastAsia" w:hAnsiTheme="minorEastAsia"/>
          <w:b/>
          <w:kern w:val="0"/>
          <w:sz w:val="24"/>
          <w:szCs w:val="24"/>
        </w:rPr>
      </w:pPr>
      <w:bookmarkStart w:id="49" w:name="_Toc501719167"/>
      <w:r>
        <w:rPr>
          <w:rFonts w:hint="eastAsia" w:cs="Arial" w:asciiTheme="minorEastAsia" w:hAnsiTheme="minorEastAsia"/>
          <w:b/>
          <w:kern w:val="0"/>
          <w:sz w:val="24"/>
          <w:szCs w:val="24"/>
        </w:rPr>
        <w:t>《完备性及符合性审查标准》</w:t>
      </w:r>
      <w:bookmarkEnd w:id="49"/>
    </w:p>
    <w:tbl>
      <w:tblPr>
        <w:tblStyle w:val="34"/>
        <w:tblW w:w="9177" w:type="dxa"/>
        <w:jc w:val="center"/>
        <w:tblLayout w:type="fixed"/>
        <w:tblCellMar>
          <w:top w:w="0" w:type="dxa"/>
          <w:left w:w="0" w:type="dxa"/>
          <w:bottom w:w="0" w:type="dxa"/>
          <w:right w:w="0" w:type="dxa"/>
        </w:tblCellMar>
      </w:tblPr>
      <w:tblGrid>
        <w:gridCol w:w="621"/>
        <w:gridCol w:w="8556"/>
      </w:tblGrid>
      <w:tr>
        <w:tblPrEx>
          <w:tblCellMar>
            <w:top w:w="0" w:type="dxa"/>
            <w:left w:w="0" w:type="dxa"/>
            <w:bottom w:w="0" w:type="dxa"/>
            <w:right w:w="0" w:type="dxa"/>
          </w:tblCellMar>
        </w:tblPrEx>
        <w:trPr>
          <w:cantSplit/>
          <w:trHeight w:val="465" w:hRule="atLeast"/>
          <w:jc w:val="center"/>
        </w:trPr>
        <w:tc>
          <w:tcPr>
            <w:tcW w:w="621" w:type="dxa"/>
            <w:tcBorders>
              <w:top w:val="single" w:color="auto" w:sz="8" w:space="0"/>
              <w:left w:val="single" w:color="auto" w:sz="8" w:space="0"/>
              <w:bottom w:val="single" w:color="auto" w:sz="8" w:space="0"/>
              <w:right w:val="single" w:color="auto" w:sz="8" w:space="0"/>
            </w:tcBorders>
            <w:vAlign w:val="center"/>
          </w:tcPr>
          <w:p>
            <w:pPr>
              <w:widowControl/>
              <w:shd w:val="clear" w:color="auto" w:fill="FFFFFF"/>
              <w:snapToGrid w:val="0"/>
              <w:rPr>
                <w:rFonts w:cs="Arial" w:asciiTheme="minorEastAsia" w:hAnsiTheme="minorEastAsia"/>
                <w:kern w:val="0"/>
                <w:sz w:val="24"/>
                <w:szCs w:val="24"/>
              </w:rPr>
            </w:pPr>
            <w:r>
              <w:rPr>
                <w:rFonts w:hint="eastAsia" w:cs="Arial" w:asciiTheme="minorEastAsia" w:hAnsiTheme="minorEastAsia"/>
                <w:kern w:val="0"/>
                <w:sz w:val="24"/>
                <w:szCs w:val="24"/>
              </w:rPr>
              <w:t>序号</w:t>
            </w:r>
          </w:p>
        </w:tc>
        <w:tc>
          <w:tcPr>
            <w:tcW w:w="8556" w:type="dxa"/>
            <w:tcBorders>
              <w:top w:val="single" w:color="auto" w:sz="8" w:space="0"/>
              <w:left w:val="single" w:color="auto" w:sz="8" w:space="0"/>
              <w:bottom w:val="single" w:color="auto" w:sz="8" w:space="0"/>
              <w:right w:val="single" w:color="auto" w:sz="8" w:space="0"/>
            </w:tcBorders>
            <w:vAlign w:val="center"/>
          </w:tcPr>
          <w:p>
            <w:pPr>
              <w:widowControl/>
              <w:shd w:val="clear" w:color="auto" w:fill="FFFFFF"/>
              <w:snapToGrid w:val="0"/>
              <w:jc w:val="center"/>
              <w:rPr>
                <w:rFonts w:cs="Arial" w:asciiTheme="minorEastAsia" w:hAnsiTheme="minorEastAsia"/>
                <w:kern w:val="0"/>
                <w:sz w:val="24"/>
                <w:szCs w:val="24"/>
              </w:rPr>
            </w:pPr>
            <w:r>
              <w:rPr>
                <w:rFonts w:hint="eastAsia" w:cs="Arial" w:asciiTheme="minorEastAsia" w:hAnsiTheme="minorEastAsia"/>
                <w:kern w:val="0"/>
                <w:sz w:val="24"/>
                <w:szCs w:val="24"/>
              </w:rPr>
              <w:t>评审标准</w:t>
            </w:r>
          </w:p>
        </w:tc>
      </w:tr>
      <w:tr>
        <w:tblPrEx>
          <w:tblCellMar>
            <w:top w:w="0" w:type="dxa"/>
            <w:left w:w="0" w:type="dxa"/>
            <w:bottom w:w="0" w:type="dxa"/>
            <w:right w:w="0" w:type="dxa"/>
          </w:tblCellMar>
        </w:tblPrEx>
        <w:trPr>
          <w:cantSplit/>
          <w:trHeight w:val="20" w:hRule="atLeast"/>
          <w:jc w:val="center"/>
        </w:trPr>
        <w:tc>
          <w:tcPr>
            <w:tcW w:w="621"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pPr>
              <w:widowControl/>
              <w:shd w:val="clear" w:color="auto" w:fill="FFFFFF"/>
              <w:snapToGrid w:val="0"/>
              <w:jc w:val="center"/>
              <w:rPr>
                <w:rFonts w:cs="Arial" w:asciiTheme="minorEastAsia" w:hAnsiTheme="minorEastAsia"/>
                <w:kern w:val="0"/>
                <w:sz w:val="24"/>
                <w:szCs w:val="24"/>
              </w:rPr>
            </w:pPr>
            <w:r>
              <w:rPr>
                <w:rFonts w:cs="Arial" w:asciiTheme="minorEastAsia" w:hAnsiTheme="minorEastAsia"/>
                <w:kern w:val="0"/>
                <w:sz w:val="24"/>
                <w:szCs w:val="24"/>
              </w:rPr>
              <w:t>1</w:t>
            </w:r>
          </w:p>
        </w:tc>
        <w:tc>
          <w:tcPr>
            <w:tcW w:w="8556" w:type="dxa"/>
            <w:tcBorders>
              <w:top w:val="nil"/>
              <w:left w:val="nil"/>
              <w:bottom w:val="single" w:color="auto" w:sz="8" w:space="0"/>
              <w:right w:val="single" w:color="auto" w:sz="8" w:space="0"/>
            </w:tcBorders>
            <w:tcMar>
              <w:top w:w="0" w:type="dxa"/>
              <w:left w:w="28" w:type="dxa"/>
              <w:bottom w:w="0" w:type="dxa"/>
              <w:right w:w="28" w:type="dxa"/>
            </w:tcMar>
            <w:vAlign w:val="center"/>
          </w:tcPr>
          <w:p>
            <w:pPr>
              <w:widowControl/>
              <w:shd w:val="clear" w:color="auto" w:fill="FFFFFF"/>
              <w:snapToGrid w:val="0"/>
              <w:rPr>
                <w:rFonts w:cs="Arial" w:asciiTheme="minorEastAsia" w:hAnsiTheme="minorEastAsia"/>
                <w:kern w:val="0"/>
                <w:sz w:val="24"/>
                <w:szCs w:val="24"/>
              </w:rPr>
            </w:pPr>
            <w:r>
              <w:rPr>
                <w:rFonts w:hint="eastAsia" w:cs="Arial" w:asciiTheme="minorEastAsia" w:hAnsiTheme="minorEastAsia"/>
                <w:kern w:val="0"/>
                <w:sz w:val="24"/>
                <w:szCs w:val="24"/>
              </w:rPr>
              <w:t>投标文件要求加盖投标人章、法定代表人章处未加盖的；</w:t>
            </w:r>
          </w:p>
        </w:tc>
      </w:tr>
      <w:tr>
        <w:tblPrEx>
          <w:tblCellMar>
            <w:top w:w="0" w:type="dxa"/>
            <w:left w:w="0" w:type="dxa"/>
            <w:bottom w:w="0" w:type="dxa"/>
            <w:right w:w="0" w:type="dxa"/>
          </w:tblCellMar>
        </w:tblPrEx>
        <w:trPr>
          <w:cantSplit/>
          <w:trHeight w:val="295" w:hRule="atLeast"/>
          <w:jc w:val="center"/>
        </w:trPr>
        <w:tc>
          <w:tcPr>
            <w:tcW w:w="621"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pPr>
              <w:widowControl/>
              <w:shd w:val="clear" w:color="auto" w:fill="FFFFFF"/>
              <w:snapToGrid w:val="0"/>
              <w:jc w:val="center"/>
              <w:rPr>
                <w:rFonts w:cs="Arial" w:asciiTheme="minorEastAsia" w:hAnsiTheme="minorEastAsia"/>
                <w:kern w:val="0"/>
                <w:sz w:val="24"/>
                <w:szCs w:val="24"/>
              </w:rPr>
            </w:pPr>
            <w:r>
              <w:rPr>
                <w:rFonts w:cs="Arial" w:asciiTheme="minorEastAsia" w:hAnsiTheme="minorEastAsia"/>
                <w:kern w:val="0"/>
                <w:sz w:val="24"/>
                <w:szCs w:val="24"/>
              </w:rPr>
              <w:t>2</w:t>
            </w:r>
          </w:p>
        </w:tc>
        <w:tc>
          <w:tcPr>
            <w:tcW w:w="8556" w:type="dxa"/>
            <w:tcBorders>
              <w:top w:val="nil"/>
              <w:left w:val="nil"/>
              <w:bottom w:val="single" w:color="auto" w:sz="8" w:space="0"/>
              <w:right w:val="single" w:color="auto" w:sz="8" w:space="0"/>
            </w:tcBorders>
            <w:tcMar>
              <w:top w:w="0" w:type="dxa"/>
              <w:left w:w="28" w:type="dxa"/>
              <w:bottom w:w="0" w:type="dxa"/>
              <w:right w:w="28" w:type="dxa"/>
            </w:tcMar>
            <w:vAlign w:val="center"/>
          </w:tcPr>
          <w:p>
            <w:pPr>
              <w:widowControl/>
              <w:shd w:val="clear" w:color="auto" w:fill="FFFFFF"/>
              <w:snapToGrid w:val="0"/>
              <w:rPr>
                <w:rFonts w:cs="Arial" w:asciiTheme="minorEastAsia" w:hAnsiTheme="minorEastAsia"/>
                <w:kern w:val="0"/>
                <w:sz w:val="24"/>
                <w:szCs w:val="24"/>
              </w:rPr>
            </w:pPr>
            <w:r>
              <w:rPr>
                <w:rFonts w:hint="eastAsia" w:cs="Arial" w:asciiTheme="minorEastAsia" w:hAnsiTheme="minorEastAsia"/>
                <w:kern w:val="0"/>
                <w:sz w:val="24"/>
                <w:szCs w:val="24"/>
              </w:rPr>
              <w:t>投标文件未按招标文件要求编制，内容不全或字迹模糊、辨认不清的；</w:t>
            </w:r>
          </w:p>
        </w:tc>
      </w:tr>
      <w:tr>
        <w:tblPrEx>
          <w:tblCellMar>
            <w:top w:w="0" w:type="dxa"/>
            <w:left w:w="0" w:type="dxa"/>
            <w:bottom w:w="0" w:type="dxa"/>
            <w:right w:w="0" w:type="dxa"/>
          </w:tblCellMar>
        </w:tblPrEx>
        <w:trPr>
          <w:cantSplit/>
          <w:trHeight w:val="20" w:hRule="atLeast"/>
          <w:jc w:val="center"/>
        </w:trPr>
        <w:tc>
          <w:tcPr>
            <w:tcW w:w="621"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pPr>
              <w:widowControl/>
              <w:shd w:val="clear" w:color="auto" w:fill="FFFFFF"/>
              <w:snapToGrid w:val="0"/>
              <w:jc w:val="center"/>
              <w:rPr>
                <w:rFonts w:cs="Arial" w:asciiTheme="minorEastAsia" w:hAnsiTheme="minorEastAsia"/>
                <w:kern w:val="0"/>
                <w:sz w:val="24"/>
                <w:szCs w:val="24"/>
              </w:rPr>
            </w:pPr>
            <w:r>
              <w:rPr>
                <w:rFonts w:cs="Arial" w:asciiTheme="minorEastAsia" w:hAnsiTheme="minorEastAsia"/>
                <w:kern w:val="0"/>
                <w:sz w:val="24"/>
                <w:szCs w:val="24"/>
              </w:rPr>
              <w:t>3</w:t>
            </w:r>
          </w:p>
        </w:tc>
        <w:tc>
          <w:tcPr>
            <w:tcW w:w="8556" w:type="dxa"/>
            <w:tcBorders>
              <w:top w:val="nil"/>
              <w:left w:val="nil"/>
              <w:bottom w:val="single" w:color="auto" w:sz="8" w:space="0"/>
              <w:right w:val="single" w:color="auto" w:sz="8" w:space="0"/>
            </w:tcBorders>
            <w:tcMar>
              <w:top w:w="0" w:type="dxa"/>
              <w:left w:w="28" w:type="dxa"/>
              <w:bottom w:w="0" w:type="dxa"/>
              <w:right w:w="28" w:type="dxa"/>
            </w:tcMar>
            <w:vAlign w:val="center"/>
          </w:tcPr>
          <w:p>
            <w:pPr>
              <w:widowControl/>
              <w:shd w:val="clear" w:color="auto" w:fill="FFFFFF"/>
              <w:snapToGrid w:val="0"/>
              <w:rPr>
                <w:rFonts w:cs="Arial" w:asciiTheme="minorEastAsia" w:hAnsiTheme="minorEastAsia"/>
                <w:kern w:val="0"/>
                <w:sz w:val="24"/>
                <w:szCs w:val="24"/>
              </w:rPr>
            </w:pPr>
            <w:r>
              <w:rPr>
                <w:rFonts w:hint="eastAsia" w:cs="Arial" w:asciiTheme="minorEastAsia" w:hAnsiTheme="minorEastAsia"/>
                <w:kern w:val="0"/>
                <w:sz w:val="24"/>
                <w:szCs w:val="24"/>
              </w:rPr>
              <w:t>服务标准不满足招标文件要求的；投标价格明细表未完整填写的；</w:t>
            </w:r>
          </w:p>
        </w:tc>
      </w:tr>
      <w:tr>
        <w:tblPrEx>
          <w:tblCellMar>
            <w:top w:w="0" w:type="dxa"/>
            <w:left w:w="0" w:type="dxa"/>
            <w:bottom w:w="0" w:type="dxa"/>
            <w:right w:w="0" w:type="dxa"/>
          </w:tblCellMar>
        </w:tblPrEx>
        <w:trPr>
          <w:cantSplit/>
          <w:trHeight w:val="20" w:hRule="atLeast"/>
          <w:jc w:val="center"/>
        </w:trPr>
        <w:tc>
          <w:tcPr>
            <w:tcW w:w="621"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pPr>
              <w:widowControl/>
              <w:shd w:val="clear" w:color="auto" w:fill="FFFFFF"/>
              <w:snapToGrid w:val="0"/>
              <w:jc w:val="center"/>
              <w:rPr>
                <w:rFonts w:cs="Arial" w:asciiTheme="minorEastAsia" w:hAnsiTheme="minorEastAsia"/>
                <w:kern w:val="0"/>
                <w:sz w:val="24"/>
                <w:szCs w:val="24"/>
              </w:rPr>
            </w:pPr>
            <w:r>
              <w:rPr>
                <w:rFonts w:hint="eastAsia" w:cs="Arial" w:asciiTheme="minorEastAsia" w:hAnsiTheme="minorEastAsia"/>
                <w:kern w:val="0"/>
                <w:sz w:val="24"/>
                <w:szCs w:val="24"/>
              </w:rPr>
              <w:t>4</w:t>
            </w:r>
          </w:p>
        </w:tc>
        <w:tc>
          <w:tcPr>
            <w:tcW w:w="8556" w:type="dxa"/>
            <w:tcBorders>
              <w:top w:val="nil"/>
              <w:left w:val="nil"/>
              <w:bottom w:val="single" w:color="auto" w:sz="8" w:space="0"/>
              <w:right w:val="single" w:color="auto" w:sz="8" w:space="0"/>
            </w:tcBorders>
            <w:tcMar>
              <w:top w:w="0" w:type="dxa"/>
              <w:left w:w="28" w:type="dxa"/>
              <w:bottom w:w="0" w:type="dxa"/>
              <w:right w:w="28" w:type="dxa"/>
            </w:tcMar>
            <w:vAlign w:val="center"/>
          </w:tcPr>
          <w:p>
            <w:pPr>
              <w:widowControl/>
              <w:shd w:val="clear" w:color="auto" w:fill="FFFFFF"/>
              <w:snapToGrid w:val="0"/>
              <w:rPr>
                <w:rFonts w:cs="Arial" w:asciiTheme="minorEastAsia" w:hAnsiTheme="minorEastAsia"/>
                <w:kern w:val="0"/>
                <w:sz w:val="24"/>
                <w:szCs w:val="24"/>
              </w:rPr>
            </w:pPr>
            <w:r>
              <w:rPr>
                <w:rFonts w:hint="eastAsia" w:cs="Arial" w:asciiTheme="minorEastAsia" w:hAnsiTheme="minorEastAsia"/>
                <w:kern w:val="0"/>
                <w:sz w:val="24"/>
                <w:szCs w:val="24"/>
              </w:rPr>
              <w:t>投标价格不得超过投标人须知前附表中的最高限价及控制单价，暂估价不得更改；</w:t>
            </w:r>
          </w:p>
        </w:tc>
      </w:tr>
      <w:tr>
        <w:tblPrEx>
          <w:tblCellMar>
            <w:top w:w="0" w:type="dxa"/>
            <w:left w:w="0" w:type="dxa"/>
            <w:bottom w:w="0" w:type="dxa"/>
            <w:right w:w="0" w:type="dxa"/>
          </w:tblCellMar>
        </w:tblPrEx>
        <w:trPr>
          <w:cantSplit/>
          <w:trHeight w:val="20" w:hRule="atLeast"/>
          <w:jc w:val="center"/>
        </w:trPr>
        <w:tc>
          <w:tcPr>
            <w:tcW w:w="621"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pPr>
              <w:widowControl/>
              <w:shd w:val="clear" w:color="auto" w:fill="FFFFFF"/>
              <w:snapToGrid w:val="0"/>
              <w:jc w:val="center"/>
              <w:rPr>
                <w:rFonts w:cs="Arial" w:asciiTheme="minorEastAsia" w:hAnsiTheme="minorEastAsia"/>
                <w:kern w:val="0"/>
                <w:sz w:val="24"/>
                <w:szCs w:val="24"/>
              </w:rPr>
            </w:pPr>
            <w:r>
              <w:rPr>
                <w:rFonts w:hint="eastAsia" w:cs="Arial" w:asciiTheme="minorEastAsia" w:hAnsiTheme="minorEastAsia"/>
                <w:kern w:val="0"/>
                <w:sz w:val="24"/>
                <w:szCs w:val="24"/>
              </w:rPr>
              <w:t>5</w:t>
            </w:r>
          </w:p>
        </w:tc>
        <w:tc>
          <w:tcPr>
            <w:tcW w:w="8556" w:type="dxa"/>
            <w:tcBorders>
              <w:top w:val="nil"/>
              <w:left w:val="nil"/>
              <w:bottom w:val="single" w:color="auto" w:sz="8" w:space="0"/>
              <w:right w:val="single" w:color="auto" w:sz="8" w:space="0"/>
            </w:tcBorders>
            <w:tcMar>
              <w:top w:w="0" w:type="dxa"/>
              <w:left w:w="28" w:type="dxa"/>
              <w:bottom w:w="0" w:type="dxa"/>
              <w:right w:w="28" w:type="dxa"/>
            </w:tcMar>
            <w:vAlign w:val="center"/>
          </w:tcPr>
          <w:p>
            <w:pPr>
              <w:widowControl/>
              <w:shd w:val="clear" w:color="auto" w:fill="FFFFFF"/>
              <w:snapToGrid w:val="0"/>
              <w:rPr>
                <w:rFonts w:cs="Arial" w:asciiTheme="minorEastAsia" w:hAnsiTheme="minorEastAsia"/>
                <w:kern w:val="0"/>
                <w:sz w:val="24"/>
                <w:szCs w:val="24"/>
              </w:rPr>
            </w:pPr>
            <w:r>
              <w:rPr>
                <w:rFonts w:hint="eastAsia" w:cs="Arial" w:asciiTheme="minorEastAsia" w:hAnsiTheme="minorEastAsia"/>
                <w:kern w:val="0"/>
                <w:sz w:val="24"/>
                <w:szCs w:val="24"/>
              </w:rPr>
              <w:t>投标文件不符合招标文件实质性要求的。</w:t>
            </w:r>
          </w:p>
        </w:tc>
      </w:tr>
      <w:tr>
        <w:tblPrEx>
          <w:tblCellMar>
            <w:top w:w="0" w:type="dxa"/>
            <w:left w:w="0" w:type="dxa"/>
            <w:bottom w:w="0" w:type="dxa"/>
            <w:right w:w="0" w:type="dxa"/>
          </w:tblCellMar>
        </w:tblPrEx>
        <w:trPr>
          <w:cantSplit/>
          <w:trHeight w:val="20" w:hRule="atLeast"/>
          <w:jc w:val="center"/>
        </w:trPr>
        <w:tc>
          <w:tcPr>
            <w:tcW w:w="9177" w:type="dxa"/>
            <w:gridSpan w:val="2"/>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widowControl/>
              <w:shd w:val="clear" w:color="auto" w:fill="FFFFFF"/>
              <w:snapToGrid w:val="0"/>
              <w:rPr>
                <w:rFonts w:cs="Arial" w:asciiTheme="minorEastAsia" w:hAnsiTheme="minorEastAsia"/>
                <w:kern w:val="0"/>
                <w:sz w:val="24"/>
                <w:szCs w:val="24"/>
              </w:rPr>
            </w:pPr>
            <w:r>
              <w:rPr>
                <w:rFonts w:hint="eastAsia" w:cs="Arial" w:asciiTheme="minorEastAsia" w:hAnsiTheme="minorEastAsia"/>
                <w:kern w:val="0"/>
                <w:sz w:val="24"/>
                <w:szCs w:val="24"/>
              </w:rPr>
              <w:t>备注：完备性及符合性审查中有一项不满足评审标准的，评标委员会将认定该投标人不通过完备性及符合性审查，不得进入下一阶段评审。并且不允许投标人通过修改或撤销其不符合要求的差异或保留，使之成为具有响应性的投标。</w:t>
            </w:r>
          </w:p>
        </w:tc>
      </w:tr>
    </w:tbl>
    <w:p>
      <w:pPr>
        <w:ind w:firstLine="482"/>
        <w:jc w:val="center"/>
        <w:rPr>
          <w:rFonts w:cs="Arial" w:asciiTheme="minorEastAsia" w:hAnsiTheme="minorEastAsia"/>
          <w:b/>
          <w:kern w:val="0"/>
          <w:sz w:val="24"/>
          <w:szCs w:val="24"/>
        </w:rPr>
      </w:pPr>
      <w:r>
        <w:rPr>
          <w:rFonts w:hint="eastAsia" w:cs="Arial" w:asciiTheme="minorEastAsia" w:hAnsiTheme="minorEastAsia"/>
          <w:b/>
          <w:kern w:val="0"/>
          <w:sz w:val="24"/>
          <w:szCs w:val="24"/>
        </w:rPr>
        <w:t>《详细评审标准》</w:t>
      </w:r>
    </w:p>
    <w:tbl>
      <w:tblPr>
        <w:tblStyle w:val="34"/>
        <w:tblW w:w="5074" w:type="pct"/>
        <w:jc w:val="center"/>
        <w:tblLayout w:type="autofit"/>
        <w:tblCellMar>
          <w:top w:w="0" w:type="dxa"/>
          <w:left w:w="0" w:type="dxa"/>
          <w:bottom w:w="0" w:type="dxa"/>
          <w:right w:w="0" w:type="dxa"/>
        </w:tblCellMar>
      </w:tblPr>
      <w:tblGrid>
        <w:gridCol w:w="743"/>
        <w:gridCol w:w="1343"/>
        <w:gridCol w:w="1022"/>
        <w:gridCol w:w="6117"/>
      </w:tblGrid>
      <w:tr>
        <w:tblPrEx>
          <w:tblCellMar>
            <w:top w:w="0" w:type="dxa"/>
            <w:left w:w="0" w:type="dxa"/>
            <w:bottom w:w="0" w:type="dxa"/>
            <w:right w:w="0" w:type="dxa"/>
          </w:tblCellMar>
        </w:tblPrEx>
        <w:trPr>
          <w:trHeight w:val="90" w:hRule="atLeast"/>
          <w:jc w:val="center"/>
        </w:trPr>
        <w:tc>
          <w:tcPr>
            <w:tcW w:w="336" w:type="pct"/>
            <w:tcBorders>
              <w:top w:val="single" w:color="auto" w:sz="8" w:space="0"/>
              <w:left w:val="single" w:color="auto" w:sz="8" w:space="0"/>
              <w:bottom w:val="single" w:color="auto" w:sz="8" w:space="0"/>
              <w:right w:val="single" w:color="auto" w:sz="8" w:space="0"/>
            </w:tcBorders>
            <w:vAlign w:val="center"/>
          </w:tcPr>
          <w:p>
            <w:pPr>
              <w:widowControl/>
              <w:shd w:val="clear" w:color="auto" w:fill="FFFFFF"/>
              <w:snapToGrid w:val="0"/>
              <w:ind w:firstLine="482"/>
              <w:jc w:val="center"/>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序号</w:t>
            </w:r>
          </w:p>
        </w:tc>
        <w:tc>
          <w:tcPr>
            <w:tcW w:w="750" w:type="pct"/>
            <w:tcBorders>
              <w:top w:val="single" w:color="auto" w:sz="8" w:space="0"/>
              <w:left w:val="nil"/>
              <w:bottom w:val="single" w:color="auto" w:sz="8" w:space="0"/>
              <w:right w:val="single" w:color="auto" w:sz="8" w:space="0"/>
            </w:tcBorders>
            <w:vAlign w:val="center"/>
          </w:tcPr>
          <w:p>
            <w:pPr>
              <w:ind w:firstLine="482"/>
              <w:jc w:val="center"/>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评审项目</w:t>
            </w:r>
          </w:p>
        </w:tc>
        <w:tc>
          <w:tcPr>
            <w:tcW w:w="576" w:type="pct"/>
            <w:tcBorders>
              <w:top w:val="single" w:color="auto" w:sz="8" w:space="0"/>
              <w:left w:val="nil"/>
              <w:bottom w:val="single" w:color="auto" w:sz="8" w:space="0"/>
              <w:right w:val="single" w:color="auto" w:sz="8" w:space="0"/>
            </w:tcBorders>
            <w:vAlign w:val="center"/>
          </w:tcPr>
          <w:p>
            <w:pPr>
              <w:ind w:firstLine="482"/>
              <w:jc w:val="center"/>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标准分</w:t>
            </w:r>
          </w:p>
        </w:tc>
        <w:tc>
          <w:tcPr>
            <w:tcW w:w="3336" w:type="pct"/>
            <w:tcBorders>
              <w:top w:val="single" w:color="auto" w:sz="8" w:space="0"/>
              <w:left w:val="nil"/>
              <w:bottom w:val="single" w:color="auto" w:sz="8" w:space="0"/>
              <w:right w:val="single" w:color="auto" w:sz="8" w:space="0"/>
            </w:tcBorders>
            <w:vAlign w:val="center"/>
          </w:tcPr>
          <w:p>
            <w:pPr>
              <w:ind w:firstLine="482"/>
              <w:jc w:val="center"/>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评审标准</w:t>
            </w:r>
          </w:p>
        </w:tc>
      </w:tr>
      <w:tr>
        <w:tblPrEx>
          <w:tblCellMar>
            <w:top w:w="0" w:type="dxa"/>
            <w:left w:w="0" w:type="dxa"/>
            <w:bottom w:w="0" w:type="dxa"/>
            <w:right w:w="0" w:type="dxa"/>
          </w:tblCellMar>
        </w:tblPrEx>
        <w:trPr>
          <w:trHeight w:val="79" w:hRule="atLeast"/>
          <w:jc w:val="center"/>
        </w:trPr>
        <w:tc>
          <w:tcPr>
            <w:tcW w:w="336"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1</w:t>
            </w:r>
          </w:p>
        </w:tc>
        <w:tc>
          <w:tcPr>
            <w:tcW w:w="750" w:type="pct"/>
            <w:tcBorders>
              <w:top w:val="nil"/>
              <w:left w:val="nil"/>
              <w:bottom w:val="single" w:color="auto" w:sz="8" w:space="0"/>
              <w:right w:val="single" w:color="auto" w:sz="8" w:space="0"/>
            </w:tcBorders>
            <w:tcMar>
              <w:top w:w="0" w:type="dxa"/>
              <w:left w:w="108" w:type="dxa"/>
              <w:bottom w:w="0" w:type="dxa"/>
              <w:right w:w="108" w:type="dxa"/>
            </w:tcMar>
            <w:vAlign w:val="center"/>
          </w:tcPr>
          <w:p>
            <w:pPr>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业绩</w:t>
            </w:r>
          </w:p>
          <w:p>
            <w:pPr>
              <w:pStyle w:val="186"/>
              <w:spacing w:line="255" w:lineRule="exact"/>
              <w:ind w:left="89"/>
              <w:jc w:val="center"/>
              <w:rPr>
                <w:rFonts w:asciiTheme="minorEastAsia" w:hAnsiTheme="minorEastAsia" w:eastAsiaTheme="minorEastAsia" w:cstheme="minorEastAsia"/>
                <w:bCs/>
                <w:sz w:val="24"/>
                <w:szCs w:val="24"/>
              </w:rPr>
            </w:pPr>
          </w:p>
        </w:tc>
        <w:tc>
          <w:tcPr>
            <w:tcW w:w="576"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86"/>
              <w:spacing w:line="255" w:lineRule="exact"/>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lang w:val="en-US"/>
              </w:rPr>
              <w:t>9</w:t>
            </w:r>
          </w:p>
        </w:tc>
        <w:tc>
          <w:tcPr>
            <w:tcW w:w="3336" w:type="pct"/>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heme="minorEastAsia" w:hAnsiTheme="minorEastAsia" w:cstheme="minorEastAsia"/>
                <w:bCs/>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投标人提供2020年1月1日至今（以合同签订时间为准）类似业绩，1个项目得3分，此项满分9分。提供业绩的合同复印件。</w:t>
            </w:r>
          </w:p>
        </w:tc>
      </w:tr>
      <w:tr>
        <w:tblPrEx>
          <w:tblCellMar>
            <w:top w:w="0" w:type="dxa"/>
            <w:left w:w="0" w:type="dxa"/>
            <w:bottom w:w="0" w:type="dxa"/>
            <w:right w:w="0" w:type="dxa"/>
          </w:tblCellMar>
        </w:tblPrEx>
        <w:trPr>
          <w:trHeight w:val="79" w:hRule="atLeast"/>
          <w:jc w:val="center"/>
        </w:trPr>
        <w:tc>
          <w:tcPr>
            <w:tcW w:w="336"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w:t>
            </w:r>
          </w:p>
        </w:tc>
        <w:tc>
          <w:tcPr>
            <w:tcW w:w="750" w:type="pct"/>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Theme="minorEastAsia" w:hAnsiTheme="minorEastAsia" w:cstheme="minorEastAsia"/>
                <w:bCs/>
                <w:sz w:val="24"/>
                <w:szCs w:val="24"/>
              </w:rPr>
            </w:pPr>
            <w:r>
              <w:rPr>
                <w:rFonts w:hint="eastAsia" w:asciiTheme="minorEastAsia" w:hAnsiTheme="minorEastAsia" w:cstheme="minorEastAsia"/>
                <w:sz w:val="24"/>
                <w:szCs w:val="24"/>
              </w:rPr>
              <w:t>机械设备保障</w:t>
            </w:r>
          </w:p>
        </w:tc>
        <w:tc>
          <w:tcPr>
            <w:tcW w:w="576" w:type="pct"/>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Theme="minorEastAsia" w:hAnsiTheme="minorEastAsia" w:cstheme="minorEastAsia"/>
                <w:bCs/>
                <w:sz w:val="24"/>
                <w:szCs w:val="24"/>
              </w:rPr>
            </w:pPr>
            <w:r>
              <w:rPr>
                <w:rFonts w:hint="eastAsia" w:asciiTheme="minorEastAsia" w:hAnsiTheme="minorEastAsia" w:cstheme="minorEastAsia"/>
                <w:bCs/>
                <w:sz w:val="24"/>
                <w:szCs w:val="24"/>
              </w:rPr>
              <w:t>12</w:t>
            </w:r>
          </w:p>
        </w:tc>
        <w:tc>
          <w:tcPr>
            <w:tcW w:w="3336" w:type="pct"/>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heme="minorEastAsia" w:hAnsiTheme="minorEastAsia" w:cstheme="minorEastAsia"/>
                <w:bCs/>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投标人提供园林绿化适用作业车辆（水车、高空作业车、自卸车等车辆）证明，每提供一辆得2分，最高得12分。（作业车辆证明需提供自有发票或租赁合同、行驶证及车辆实物照（附牌照号）复印件）</w:t>
            </w:r>
          </w:p>
        </w:tc>
      </w:tr>
      <w:tr>
        <w:tblPrEx>
          <w:tblCellMar>
            <w:top w:w="0" w:type="dxa"/>
            <w:left w:w="0" w:type="dxa"/>
            <w:bottom w:w="0" w:type="dxa"/>
            <w:right w:w="0" w:type="dxa"/>
          </w:tblCellMar>
        </w:tblPrEx>
        <w:trPr>
          <w:trHeight w:val="79" w:hRule="atLeast"/>
          <w:jc w:val="center"/>
        </w:trPr>
        <w:tc>
          <w:tcPr>
            <w:tcW w:w="336" w:type="pct"/>
            <w:tcBorders>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3</w:t>
            </w:r>
          </w:p>
        </w:tc>
        <w:tc>
          <w:tcPr>
            <w:tcW w:w="750" w:type="pct"/>
            <w:tcBorders>
              <w:left w:val="nil"/>
              <w:bottom w:val="single" w:color="auto" w:sz="8" w:space="0"/>
              <w:right w:val="single" w:color="auto" w:sz="8" w:space="0"/>
            </w:tcBorders>
            <w:tcMar>
              <w:top w:w="0" w:type="dxa"/>
              <w:left w:w="108" w:type="dxa"/>
              <w:bottom w:w="0" w:type="dxa"/>
              <w:right w:w="108" w:type="dxa"/>
            </w:tcMar>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人员配置</w:t>
            </w:r>
          </w:p>
        </w:tc>
        <w:tc>
          <w:tcPr>
            <w:tcW w:w="576" w:type="pct"/>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10</w:t>
            </w:r>
          </w:p>
        </w:tc>
        <w:tc>
          <w:tcPr>
            <w:tcW w:w="3336"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21"/>
              <w:tabs>
                <w:tab w:val="left" w:pos="1260"/>
                <w:tab w:val="left" w:pos="1685"/>
                <w:tab w:val="right" w:leader="dot" w:pos="8400"/>
              </w:tabs>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养护人员的配置满足养护项目实际规模，有专人在现场负责绿化养护工作。</w:t>
            </w:r>
          </w:p>
          <w:p>
            <w:pPr>
              <w:pStyle w:val="21"/>
              <w:tabs>
                <w:tab w:val="left" w:pos="1260"/>
                <w:tab w:val="left" w:pos="1685"/>
                <w:tab w:val="right" w:leader="dot" w:pos="8400"/>
              </w:tabs>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养护期间须安排不少于20人（含项目负责人，项目负责人不得为退休人员）。应附聘用合同、身份证复印件（退休人员应附聘用合同及退休证明）扫描件等，完全满足要求的得10分，每少一位岗位人员扣0.5分，扣完为止。</w:t>
            </w:r>
          </w:p>
        </w:tc>
      </w:tr>
      <w:tr>
        <w:tblPrEx>
          <w:tblCellMar>
            <w:top w:w="0" w:type="dxa"/>
            <w:left w:w="0" w:type="dxa"/>
            <w:bottom w:w="0" w:type="dxa"/>
            <w:right w:w="0" w:type="dxa"/>
          </w:tblCellMar>
        </w:tblPrEx>
        <w:trPr>
          <w:trHeight w:val="79" w:hRule="atLeast"/>
          <w:jc w:val="center"/>
        </w:trPr>
        <w:tc>
          <w:tcPr>
            <w:tcW w:w="336"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4</w:t>
            </w:r>
          </w:p>
        </w:tc>
        <w:tc>
          <w:tcPr>
            <w:tcW w:w="750" w:type="pct"/>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Theme="minorEastAsia" w:hAnsiTheme="minorEastAsia" w:cstheme="minorEastAsia"/>
                <w:bCs/>
                <w:sz w:val="24"/>
                <w:szCs w:val="24"/>
              </w:rPr>
            </w:pPr>
            <w:r>
              <w:rPr>
                <w:rFonts w:hint="eastAsia" w:asciiTheme="minorEastAsia" w:hAnsiTheme="minorEastAsia" w:cstheme="minorEastAsia"/>
                <w:sz w:val="24"/>
                <w:szCs w:val="24"/>
                <w:lang w:val="zh-CN"/>
              </w:rPr>
              <w:t>合理化建议</w:t>
            </w:r>
          </w:p>
        </w:tc>
        <w:tc>
          <w:tcPr>
            <w:tcW w:w="576" w:type="pct"/>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Theme="minorEastAsia" w:hAnsiTheme="minorEastAsia" w:cstheme="minorEastAsia"/>
                <w:bCs/>
                <w:sz w:val="24"/>
                <w:szCs w:val="24"/>
              </w:rPr>
            </w:pPr>
            <w:r>
              <w:rPr>
                <w:rFonts w:hint="eastAsia" w:asciiTheme="minorEastAsia" w:hAnsiTheme="minorEastAsia" w:cstheme="minorEastAsia"/>
                <w:sz w:val="24"/>
                <w:szCs w:val="24"/>
              </w:rPr>
              <w:t>2</w:t>
            </w:r>
          </w:p>
        </w:tc>
        <w:tc>
          <w:tcPr>
            <w:tcW w:w="3336"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21"/>
              <w:tabs>
                <w:tab w:val="left" w:pos="1260"/>
                <w:tab w:val="left" w:pos="1685"/>
                <w:tab w:val="right" w:leader="dot" w:pos="8400"/>
              </w:tabs>
              <w:rPr>
                <w:rFonts w:asciiTheme="minorEastAsia" w:hAnsiTheme="minorEastAsia" w:eastAsiaTheme="minorEastAsia" w:cstheme="minorEastAsia"/>
                <w:bCs/>
                <w:sz w:val="24"/>
              </w:rPr>
            </w:pPr>
            <w:r>
              <w:rPr>
                <w:rFonts w:hint="eastAsia" w:asciiTheme="minorEastAsia" w:hAnsiTheme="minorEastAsia" w:eastAsiaTheme="minorEastAsia" w:cstheme="minorEastAsia"/>
                <w:kern w:val="0"/>
                <w:sz w:val="24"/>
              </w:rPr>
              <w:t>每提一条，可加1分，最多可得2分。</w:t>
            </w:r>
          </w:p>
        </w:tc>
      </w:tr>
      <w:tr>
        <w:tblPrEx>
          <w:tblCellMar>
            <w:top w:w="0" w:type="dxa"/>
            <w:left w:w="0" w:type="dxa"/>
            <w:bottom w:w="0" w:type="dxa"/>
            <w:right w:w="0" w:type="dxa"/>
          </w:tblCellMar>
        </w:tblPrEx>
        <w:trPr>
          <w:trHeight w:val="79" w:hRule="atLeast"/>
          <w:jc w:val="center"/>
        </w:trPr>
        <w:tc>
          <w:tcPr>
            <w:tcW w:w="336"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5</w:t>
            </w:r>
          </w:p>
        </w:tc>
        <w:tc>
          <w:tcPr>
            <w:tcW w:w="750" w:type="pct"/>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养护作业方案</w:t>
            </w:r>
          </w:p>
          <w:p>
            <w:pPr>
              <w:pStyle w:val="189"/>
              <w:spacing w:before="0" w:after="0" w:line="360" w:lineRule="auto"/>
              <w:jc w:val="center"/>
              <w:rPr>
                <w:rFonts w:asciiTheme="minorEastAsia" w:hAnsiTheme="minorEastAsia" w:eastAsiaTheme="minorEastAsia" w:cstheme="minorEastAsia"/>
                <w:bCs/>
                <w:szCs w:val="24"/>
              </w:rPr>
            </w:pPr>
          </w:p>
        </w:tc>
        <w:tc>
          <w:tcPr>
            <w:tcW w:w="576"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89"/>
              <w:spacing w:before="0" w:after="0" w:line="360" w:lineRule="auto"/>
              <w:ind w:firstLine="240" w:firstLineChars="100"/>
              <w:jc w:val="left"/>
              <w:rPr>
                <w:rFonts w:asciiTheme="minorEastAsia" w:hAnsiTheme="minorEastAsia" w:eastAsiaTheme="minorEastAsia" w:cstheme="minorEastAsia"/>
                <w:bCs/>
                <w:szCs w:val="24"/>
              </w:rPr>
            </w:pPr>
            <w:r>
              <w:rPr>
                <w:rFonts w:hint="eastAsia" w:asciiTheme="minorEastAsia" w:hAnsiTheme="minorEastAsia" w:eastAsiaTheme="minorEastAsia" w:cstheme="minorEastAsia"/>
                <w:szCs w:val="24"/>
              </w:rPr>
              <w:t>15</w:t>
            </w:r>
          </w:p>
        </w:tc>
        <w:tc>
          <w:tcPr>
            <w:tcW w:w="3336"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89"/>
              <w:spacing w:before="0" w:after="0" w:line="240" w:lineRule="auto"/>
              <w:jc w:val="left"/>
              <w:rPr>
                <w:rFonts w:asciiTheme="minorEastAsia" w:hAnsiTheme="minorEastAsia" w:eastAsiaTheme="minorEastAsia" w:cstheme="minorEastAsia"/>
                <w:color w:val="FF0000"/>
                <w:szCs w:val="24"/>
              </w:rPr>
            </w:pPr>
            <w:r>
              <w:rPr>
                <w:rFonts w:hint="eastAsia" w:asciiTheme="minorEastAsia" w:hAnsiTheme="minorEastAsia" w:eastAsiaTheme="minorEastAsia" w:cstheme="minorEastAsia"/>
                <w:szCs w:val="24"/>
              </w:rPr>
              <w:t>横向对比各供应商提供的投标文件：养护作业方案，根据本项目现场实际情况结合米东区园林管理局绿化养护费等级标准，编制养护方案，齐全的养护作业方案内容必须包含但不仅限于：1.日常维护计划；2.抗旱计划；3.病虫害防治计划；4.植物整形计划；5.植物换补栽计划；6.施肥计划；7.松土除草计划8.草花养护计划；9.绿化设施维护及巡查反馈计划；10.粉尘污染防治；11.绿化带清扫保洁；12. 绿化垃圾收运；13. 安保巡查。</w:t>
            </w:r>
          </w:p>
          <w:p>
            <w:pPr>
              <w:pStyle w:val="189"/>
              <w:spacing w:before="0" w:after="0" w:line="240" w:lineRule="auto"/>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养护方案详尽齐全，实施作业操作性强得15分；</w:t>
            </w:r>
          </w:p>
          <w:p>
            <w:pPr>
              <w:pStyle w:val="189"/>
              <w:spacing w:before="0" w:after="0" w:line="240" w:lineRule="auto"/>
              <w:jc w:val="left"/>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养护方案较明确、可行实施度一般10分，</w:t>
            </w:r>
          </w:p>
          <w:p>
            <w:pPr>
              <w:pStyle w:val="189"/>
              <w:spacing w:before="0" w:after="0" w:line="240" w:lineRule="auto"/>
              <w:jc w:val="left"/>
              <w:rPr>
                <w:rFonts w:asciiTheme="minorEastAsia" w:hAnsiTheme="minorEastAsia" w:eastAsiaTheme="minorEastAsia" w:cstheme="minorEastAsia"/>
                <w:bCs/>
                <w:szCs w:val="24"/>
              </w:rPr>
            </w:pPr>
            <w:r>
              <w:rPr>
                <w:rFonts w:hint="eastAsia" w:asciiTheme="minorEastAsia" w:hAnsiTheme="minorEastAsia" w:eastAsiaTheme="minorEastAsia" w:cstheme="minorEastAsia"/>
                <w:kern w:val="0"/>
                <w:szCs w:val="24"/>
              </w:rPr>
              <w:t>养护方案模糊，实施强度低5分，不提供不得分；</w:t>
            </w:r>
          </w:p>
        </w:tc>
      </w:tr>
      <w:tr>
        <w:tblPrEx>
          <w:tblCellMar>
            <w:top w:w="0" w:type="dxa"/>
            <w:left w:w="0" w:type="dxa"/>
            <w:bottom w:w="0" w:type="dxa"/>
            <w:right w:w="0" w:type="dxa"/>
          </w:tblCellMar>
        </w:tblPrEx>
        <w:trPr>
          <w:trHeight w:val="79" w:hRule="atLeast"/>
          <w:jc w:val="center"/>
        </w:trPr>
        <w:tc>
          <w:tcPr>
            <w:tcW w:w="336"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6</w:t>
            </w:r>
          </w:p>
        </w:tc>
        <w:tc>
          <w:tcPr>
            <w:tcW w:w="750"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86"/>
              <w:spacing w:line="255" w:lineRule="exact"/>
              <w:ind w:left="89"/>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质量管理方案</w:t>
            </w:r>
          </w:p>
        </w:tc>
        <w:tc>
          <w:tcPr>
            <w:tcW w:w="576"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86"/>
              <w:spacing w:line="255" w:lineRule="exact"/>
              <w:jc w:val="center"/>
              <w:rPr>
                <w:rFonts w:asciiTheme="minorEastAsia" w:hAnsiTheme="minorEastAsia" w:eastAsiaTheme="minorEastAsia" w:cstheme="minorEastAsia"/>
                <w:bCs/>
                <w:sz w:val="24"/>
                <w:szCs w:val="24"/>
                <w:lang w:val="en-US"/>
              </w:rPr>
            </w:pPr>
            <w:r>
              <w:rPr>
                <w:rFonts w:hint="eastAsia" w:asciiTheme="minorEastAsia" w:hAnsiTheme="minorEastAsia" w:eastAsiaTheme="minorEastAsia" w:cstheme="minorEastAsia"/>
                <w:sz w:val="24"/>
                <w:szCs w:val="24"/>
                <w:lang w:val="en-US" w:bidi="ar-SA"/>
              </w:rPr>
              <w:t>12</w:t>
            </w:r>
          </w:p>
        </w:tc>
        <w:tc>
          <w:tcPr>
            <w:tcW w:w="3336" w:type="pct"/>
            <w:tcBorders>
              <w:top w:val="nil"/>
              <w:left w:val="nil"/>
              <w:bottom w:val="single" w:color="auto" w:sz="8" w:space="0"/>
              <w:right w:val="single" w:color="auto" w:sz="8" w:space="0"/>
            </w:tcBorders>
            <w:tcMar>
              <w:top w:w="0" w:type="dxa"/>
              <w:left w:w="108" w:type="dxa"/>
              <w:bottom w:w="0" w:type="dxa"/>
              <w:right w:w="108" w:type="dxa"/>
            </w:tcMar>
            <w:vAlign w:val="center"/>
          </w:tcPr>
          <w:p>
            <w:pPr>
              <w:jc w:val="left"/>
              <w:rPr>
                <w:rFonts w:asciiTheme="minorEastAsia" w:hAnsiTheme="minorEastAsia" w:cstheme="minorEastAsia"/>
                <w:sz w:val="24"/>
                <w:szCs w:val="24"/>
              </w:rPr>
            </w:pPr>
            <w:r>
              <w:rPr>
                <w:rFonts w:hint="eastAsia" w:asciiTheme="minorEastAsia" w:hAnsiTheme="minorEastAsia" w:cstheme="minorEastAsia"/>
                <w:sz w:val="24"/>
                <w:szCs w:val="24"/>
              </w:rPr>
              <w:t>横向对比各供应商提供的投标文件：针对本项目拟采取的质量管理方案，包括但不限于管理方式、管理机制、质量管理目标；质量管理层级责任是否清晰、质量管理考核体系健全。</w:t>
            </w:r>
          </w:p>
          <w:p>
            <w:pPr>
              <w:jc w:val="left"/>
              <w:rPr>
                <w:rFonts w:asciiTheme="minorEastAsia" w:hAnsiTheme="minorEastAsia" w:cstheme="minorEastAsia"/>
                <w:kern w:val="0"/>
                <w:sz w:val="24"/>
                <w:szCs w:val="24"/>
              </w:rPr>
            </w:pPr>
            <w:r>
              <w:rPr>
                <w:rFonts w:hint="eastAsia" w:asciiTheme="minorEastAsia" w:hAnsiTheme="minorEastAsia" w:cstheme="minorEastAsia"/>
                <w:sz w:val="24"/>
                <w:szCs w:val="24"/>
              </w:rPr>
              <w:t>质量管理方案</w:t>
            </w:r>
            <w:r>
              <w:rPr>
                <w:rFonts w:hint="eastAsia" w:asciiTheme="minorEastAsia" w:hAnsiTheme="minorEastAsia" w:cstheme="minorEastAsia"/>
                <w:kern w:val="0"/>
                <w:sz w:val="24"/>
                <w:szCs w:val="24"/>
              </w:rPr>
              <w:t>方案清晰、可行度高得12分，</w:t>
            </w:r>
          </w:p>
          <w:p>
            <w:pPr>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方案实施力度一般、任务分配较明确得9分，</w:t>
            </w:r>
          </w:p>
          <w:p>
            <w:pPr>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方案可行性不高、任务及目标模糊不清晰的得6分，</w:t>
            </w:r>
          </w:p>
          <w:p>
            <w:pPr>
              <w:jc w:val="left"/>
              <w:rPr>
                <w:rFonts w:asciiTheme="minorEastAsia" w:hAnsiTheme="minorEastAsia" w:cstheme="minorEastAsia"/>
                <w:bCs/>
                <w:sz w:val="24"/>
                <w:szCs w:val="24"/>
              </w:rPr>
            </w:pPr>
            <w:r>
              <w:rPr>
                <w:rFonts w:hint="eastAsia" w:asciiTheme="minorEastAsia" w:hAnsiTheme="minorEastAsia" w:cstheme="minorEastAsia"/>
                <w:sz w:val="24"/>
                <w:szCs w:val="24"/>
              </w:rPr>
              <w:t>项目实施方案主要内容缺失或只有简单描述无实质性内容的得3，未提供方案不得分。</w:t>
            </w:r>
          </w:p>
        </w:tc>
      </w:tr>
      <w:tr>
        <w:tblPrEx>
          <w:tblCellMar>
            <w:top w:w="0" w:type="dxa"/>
            <w:left w:w="0" w:type="dxa"/>
            <w:bottom w:w="0" w:type="dxa"/>
            <w:right w:w="0" w:type="dxa"/>
          </w:tblCellMar>
        </w:tblPrEx>
        <w:trPr>
          <w:trHeight w:val="79" w:hRule="atLeast"/>
          <w:jc w:val="center"/>
        </w:trPr>
        <w:tc>
          <w:tcPr>
            <w:tcW w:w="336"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7</w:t>
            </w:r>
          </w:p>
        </w:tc>
        <w:tc>
          <w:tcPr>
            <w:tcW w:w="750" w:type="pct"/>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应急抢险方案</w:t>
            </w:r>
          </w:p>
          <w:p>
            <w:pPr>
              <w:pStyle w:val="186"/>
              <w:spacing w:line="255" w:lineRule="exact"/>
              <w:ind w:left="89"/>
              <w:jc w:val="center"/>
              <w:rPr>
                <w:rFonts w:asciiTheme="minorEastAsia" w:hAnsiTheme="minorEastAsia" w:eastAsiaTheme="minorEastAsia" w:cstheme="minorEastAsia"/>
                <w:bCs/>
                <w:sz w:val="24"/>
                <w:szCs w:val="24"/>
              </w:rPr>
            </w:pPr>
          </w:p>
        </w:tc>
        <w:tc>
          <w:tcPr>
            <w:tcW w:w="576"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86"/>
              <w:spacing w:line="255" w:lineRule="exact"/>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lang w:val="en-US" w:bidi="ar-SA"/>
              </w:rPr>
              <w:t>10</w:t>
            </w:r>
          </w:p>
        </w:tc>
        <w:tc>
          <w:tcPr>
            <w:tcW w:w="3336" w:type="pct"/>
            <w:tcBorders>
              <w:top w:val="nil"/>
              <w:left w:val="nil"/>
              <w:bottom w:val="single" w:color="auto" w:sz="8" w:space="0"/>
              <w:right w:val="single" w:color="auto" w:sz="8" w:space="0"/>
            </w:tcBorders>
            <w:tcMar>
              <w:top w:w="0" w:type="dxa"/>
              <w:left w:w="108" w:type="dxa"/>
              <w:bottom w:w="0" w:type="dxa"/>
              <w:right w:w="108" w:type="dxa"/>
            </w:tcMar>
            <w:vAlign w:val="center"/>
          </w:tcPr>
          <w:p>
            <w:pPr>
              <w:jc w:val="left"/>
              <w:rPr>
                <w:rFonts w:asciiTheme="minorEastAsia" w:hAnsiTheme="minorEastAsia" w:cstheme="minorEastAsia"/>
                <w:sz w:val="24"/>
                <w:szCs w:val="24"/>
              </w:rPr>
            </w:pPr>
            <w:r>
              <w:rPr>
                <w:rFonts w:hint="eastAsia" w:asciiTheme="minorEastAsia" w:hAnsiTheme="minorEastAsia" w:cstheme="minorEastAsia"/>
                <w:sz w:val="24"/>
                <w:szCs w:val="24"/>
              </w:rPr>
              <w:t>横向对比各供应商提供的投标文件：投标人根据本项目制定应急抢险方案（齐全的应急抢险方案内容必须包含但不限于：1.应急组织的建立与职责；2.应急人员配备；3.应急车辆和机具配置；4.应急抢险处置流程；5.各类自然灾害或极端天气应急抢险预案。）</w:t>
            </w:r>
          </w:p>
          <w:p>
            <w:pPr>
              <w:jc w:val="left"/>
              <w:rPr>
                <w:rFonts w:asciiTheme="minorEastAsia" w:hAnsiTheme="minorEastAsia" w:cstheme="minorEastAsia"/>
                <w:bCs/>
                <w:sz w:val="24"/>
                <w:szCs w:val="24"/>
              </w:rPr>
            </w:pPr>
            <w:r>
              <w:rPr>
                <w:rFonts w:hint="eastAsia" w:asciiTheme="minorEastAsia" w:hAnsiTheme="minorEastAsia" w:cstheme="minorEastAsia"/>
                <w:sz w:val="24"/>
                <w:szCs w:val="24"/>
              </w:rPr>
              <w:t>方案实施性强得10分，方案实施性可行性一般得7分，方案可行性弱、不能很好的操作得3分。</w:t>
            </w:r>
          </w:p>
        </w:tc>
      </w:tr>
      <w:tr>
        <w:tblPrEx>
          <w:tblCellMar>
            <w:top w:w="0" w:type="dxa"/>
            <w:left w:w="0" w:type="dxa"/>
            <w:bottom w:w="0" w:type="dxa"/>
            <w:right w:w="0" w:type="dxa"/>
          </w:tblCellMar>
        </w:tblPrEx>
        <w:trPr>
          <w:trHeight w:val="79" w:hRule="atLeast"/>
          <w:jc w:val="center"/>
        </w:trPr>
        <w:tc>
          <w:tcPr>
            <w:tcW w:w="336"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8</w:t>
            </w:r>
          </w:p>
        </w:tc>
        <w:tc>
          <w:tcPr>
            <w:tcW w:w="750" w:type="pct"/>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安全服务方案</w:t>
            </w:r>
          </w:p>
          <w:p>
            <w:pPr>
              <w:pStyle w:val="186"/>
              <w:spacing w:line="255" w:lineRule="exact"/>
              <w:ind w:left="89"/>
              <w:jc w:val="center"/>
              <w:rPr>
                <w:rFonts w:asciiTheme="minorEastAsia" w:hAnsiTheme="minorEastAsia" w:eastAsiaTheme="minorEastAsia" w:cstheme="minorEastAsia"/>
                <w:bCs/>
                <w:sz w:val="24"/>
                <w:szCs w:val="24"/>
              </w:rPr>
            </w:pPr>
          </w:p>
        </w:tc>
        <w:tc>
          <w:tcPr>
            <w:tcW w:w="576"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86"/>
              <w:spacing w:line="255" w:lineRule="exact"/>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lang w:val="en-US" w:bidi="ar-SA"/>
              </w:rPr>
              <w:t>10</w:t>
            </w:r>
          </w:p>
        </w:tc>
        <w:tc>
          <w:tcPr>
            <w:tcW w:w="3336" w:type="pct"/>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heme="minorEastAsia" w:hAnsiTheme="minorEastAsia" w:cstheme="minorEastAsia"/>
                <w:sz w:val="24"/>
                <w:szCs w:val="24"/>
              </w:rPr>
            </w:pPr>
            <w:r>
              <w:rPr>
                <w:rFonts w:hint="eastAsia" w:asciiTheme="minorEastAsia" w:hAnsiTheme="minorEastAsia" w:cstheme="minorEastAsia"/>
                <w:sz w:val="24"/>
                <w:szCs w:val="24"/>
              </w:rPr>
              <w:t>横向对比各供应商提供的投标文件：投标人根据本项目制定安全服务方案，齐全的安全服务方案内容必须包含但不限于：1.安全制度；2.安全作业措施；3.森林防火及消防安全措施；4.机具配置；5.安全事故善后处理。</w:t>
            </w:r>
          </w:p>
          <w:p>
            <w:pPr>
              <w:pStyle w:val="14"/>
              <w:snapToGrid w:val="0"/>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r>
              <w:rPr>
                <w:rFonts w:hint="eastAsia" w:asciiTheme="minorEastAsia" w:hAnsiTheme="minorEastAsia" w:eastAsiaTheme="minorEastAsia" w:cstheme="minorEastAsia"/>
                <w:color w:val="000000"/>
                <w:sz w:val="24"/>
                <w:szCs w:val="24"/>
              </w:rPr>
              <w:t>以上每项内容</w:t>
            </w:r>
            <w:r>
              <w:rPr>
                <w:rFonts w:hint="eastAsia" w:asciiTheme="minorEastAsia" w:hAnsiTheme="minorEastAsia" w:eastAsiaTheme="minorEastAsia" w:cstheme="minorEastAsia"/>
                <w:color w:val="000000"/>
                <w:kern w:val="0"/>
                <w:sz w:val="24"/>
                <w:szCs w:val="24"/>
              </w:rPr>
              <w:t>非常详实完整，针对性、可操作性强，完全满足项目需求得10分；</w:t>
            </w:r>
          </w:p>
          <w:p>
            <w:pPr>
              <w:pStyle w:val="14"/>
              <w:snapToGrid w:val="0"/>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w:t>
            </w:r>
            <w:r>
              <w:rPr>
                <w:rFonts w:hint="eastAsia" w:asciiTheme="minorEastAsia" w:hAnsiTheme="minorEastAsia" w:eastAsiaTheme="minorEastAsia" w:cstheme="minorEastAsia"/>
                <w:color w:val="000000"/>
                <w:sz w:val="24"/>
                <w:szCs w:val="24"/>
              </w:rPr>
              <w:t>以上每项内容</w:t>
            </w:r>
            <w:r>
              <w:rPr>
                <w:rFonts w:hint="eastAsia" w:asciiTheme="minorEastAsia" w:hAnsiTheme="minorEastAsia" w:eastAsiaTheme="minorEastAsia" w:cstheme="minorEastAsia"/>
                <w:color w:val="000000"/>
                <w:kern w:val="0"/>
                <w:sz w:val="24"/>
                <w:szCs w:val="24"/>
              </w:rPr>
              <w:t>较为详实，针对性、可操作性较强，能满足项目需求得7分；</w:t>
            </w:r>
          </w:p>
          <w:p>
            <w:pPr>
              <w:pStyle w:val="14"/>
              <w:snapToGrid w:val="0"/>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w:t>
            </w:r>
            <w:r>
              <w:rPr>
                <w:rFonts w:hint="eastAsia" w:asciiTheme="minorEastAsia" w:hAnsiTheme="minorEastAsia" w:eastAsiaTheme="minorEastAsia" w:cstheme="minorEastAsia"/>
                <w:color w:val="000000"/>
                <w:sz w:val="24"/>
                <w:szCs w:val="24"/>
              </w:rPr>
              <w:t>以上每项内容</w:t>
            </w:r>
            <w:r>
              <w:rPr>
                <w:rFonts w:hint="eastAsia" w:asciiTheme="minorEastAsia" w:hAnsiTheme="minorEastAsia" w:eastAsiaTheme="minorEastAsia" w:cstheme="minorEastAsia"/>
                <w:color w:val="000000"/>
                <w:kern w:val="0"/>
                <w:sz w:val="24"/>
                <w:szCs w:val="24"/>
              </w:rPr>
              <w:t>针对性、可操作性一般，基本满足项目需求得3分；</w:t>
            </w:r>
          </w:p>
          <w:p>
            <w:pPr>
              <w:rPr>
                <w:rFonts w:asciiTheme="minorEastAsia" w:hAnsiTheme="minorEastAsia" w:cstheme="minorEastAsia"/>
                <w:bCs/>
                <w:sz w:val="24"/>
                <w:szCs w:val="24"/>
              </w:rPr>
            </w:pPr>
            <w:r>
              <w:rPr>
                <w:rFonts w:hint="eastAsia" w:asciiTheme="minorEastAsia" w:hAnsiTheme="minorEastAsia" w:cstheme="minorEastAsia"/>
                <w:color w:val="000000"/>
                <w:kern w:val="0"/>
                <w:sz w:val="24"/>
                <w:szCs w:val="24"/>
              </w:rPr>
              <w:t>投标文件中未作针对性描述的不得分。</w:t>
            </w:r>
          </w:p>
        </w:tc>
      </w:tr>
      <w:tr>
        <w:tblPrEx>
          <w:tblCellMar>
            <w:top w:w="0" w:type="dxa"/>
            <w:left w:w="0" w:type="dxa"/>
            <w:bottom w:w="0" w:type="dxa"/>
            <w:right w:w="0" w:type="dxa"/>
          </w:tblCellMar>
        </w:tblPrEx>
        <w:trPr>
          <w:trHeight w:val="79" w:hRule="atLeast"/>
          <w:jc w:val="center"/>
        </w:trPr>
        <w:tc>
          <w:tcPr>
            <w:tcW w:w="336"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9</w:t>
            </w:r>
          </w:p>
        </w:tc>
        <w:tc>
          <w:tcPr>
            <w:tcW w:w="750" w:type="pct"/>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文明作业方案</w:t>
            </w:r>
          </w:p>
          <w:p>
            <w:pPr>
              <w:pStyle w:val="186"/>
              <w:spacing w:line="255" w:lineRule="exact"/>
              <w:ind w:left="89"/>
              <w:jc w:val="center"/>
              <w:rPr>
                <w:rFonts w:asciiTheme="minorEastAsia" w:hAnsiTheme="minorEastAsia" w:eastAsiaTheme="minorEastAsia" w:cstheme="minorEastAsia"/>
                <w:kern w:val="0"/>
                <w:sz w:val="24"/>
                <w:szCs w:val="24"/>
              </w:rPr>
            </w:pPr>
          </w:p>
        </w:tc>
        <w:tc>
          <w:tcPr>
            <w:tcW w:w="576"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86"/>
              <w:spacing w:line="255"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lang w:val="en-US" w:bidi="ar-SA"/>
              </w:rPr>
              <w:t>10</w:t>
            </w:r>
          </w:p>
        </w:tc>
        <w:tc>
          <w:tcPr>
            <w:tcW w:w="3336"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72" w:beforeLines="30"/>
              <w:rPr>
                <w:rFonts w:asciiTheme="minorEastAsia" w:hAnsiTheme="minorEastAsia" w:cstheme="minorEastAsia"/>
                <w:sz w:val="24"/>
                <w:szCs w:val="24"/>
              </w:rPr>
            </w:pPr>
            <w:r>
              <w:rPr>
                <w:rFonts w:hint="eastAsia" w:asciiTheme="minorEastAsia" w:hAnsiTheme="minorEastAsia" w:cstheme="minorEastAsia"/>
                <w:sz w:val="24"/>
                <w:szCs w:val="24"/>
              </w:rPr>
              <w:t>横向对比各供应商提供的投标文件：投标人根据本项目制定文明作业方案（齐全的文明作业方案内容必须包含但不限于：1.文明制度；2.文明作业措施；3.作业前的管理目标；4.作业中的管理目标；5.作业后的管理目标。）</w:t>
            </w:r>
          </w:p>
          <w:p>
            <w:pPr>
              <w:spacing w:before="72" w:beforeLines="30"/>
              <w:rPr>
                <w:rFonts w:asciiTheme="minorEastAsia" w:hAnsiTheme="minorEastAsia" w:cstheme="minorEastAsia"/>
                <w:sz w:val="24"/>
                <w:szCs w:val="24"/>
                <w:lang w:val="zh-CN"/>
              </w:rPr>
            </w:pPr>
            <w:r>
              <w:rPr>
                <w:rFonts w:hint="eastAsia" w:asciiTheme="minorEastAsia" w:hAnsiTheme="minorEastAsia" w:cstheme="minorEastAsia"/>
                <w:sz w:val="24"/>
                <w:szCs w:val="24"/>
                <w:lang w:val="zh-CN"/>
              </w:rPr>
              <w:t>项目文明作业方案具体、合理、可行、针对性强，能够持续提供完整、优质后续作业方案，得</w:t>
            </w:r>
            <w:r>
              <w:rPr>
                <w:rFonts w:hint="eastAsia" w:asciiTheme="minorEastAsia" w:hAnsiTheme="minorEastAsia" w:cstheme="minorEastAsia"/>
                <w:sz w:val="24"/>
                <w:szCs w:val="24"/>
              </w:rPr>
              <w:t>10</w:t>
            </w:r>
            <w:r>
              <w:rPr>
                <w:rFonts w:hint="eastAsia" w:asciiTheme="minorEastAsia" w:hAnsiTheme="minorEastAsia" w:cstheme="minorEastAsia"/>
                <w:sz w:val="24"/>
                <w:szCs w:val="24"/>
                <w:lang w:val="zh-CN"/>
              </w:rPr>
              <w:t>分；</w:t>
            </w:r>
          </w:p>
          <w:p>
            <w:pPr>
              <w:spacing w:before="72" w:beforeLines="30"/>
              <w:rPr>
                <w:rFonts w:asciiTheme="minorEastAsia" w:hAnsiTheme="minorEastAsia" w:cstheme="minorEastAsia"/>
                <w:sz w:val="24"/>
                <w:szCs w:val="24"/>
                <w:lang w:val="zh-CN"/>
              </w:rPr>
            </w:pPr>
            <w:r>
              <w:rPr>
                <w:rFonts w:hint="eastAsia" w:asciiTheme="minorEastAsia" w:hAnsiTheme="minorEastAsia" w:cstheme="minorEastAsia"/>
                <w:sz w:val="24"/>
                <w:szCs w:val="24"/>
                <w:lang w:val="zh-CN"/>
              </w:rPr>
              <w:t>文明作业方案安排基本满足任务要求，实施具体、可行、合理性得</w:t>
            </w:r>
            <w:r>
              <w:rPr>
                <w:rFonts w:hint="eastAsia" w:asciiTheme="minorEastAsia" w:hAnsiTheme="minorEastAsia" w:cstheme="minorEastAsia"/>
                <w:sz w:val="24"/>
                <w:szCs w:val="24"/>
              </w:rPr>
              <w:t>7</w:t>
            </w:r>
            <w:r>
              <w:rPr>
                <w:rFonts w:hint="eastAsia" w:asciiTheme="minorEastAsia" w:hAnsiTheme="minorEastAsia" w:cstheme="minorEastAsia"/>
                <w:sz w:val="24"/>
                <w:szCs w:val="24"/>
                <w:lang w:val="zh-CN"/>
              </w:rPr>
              <w:t>分；</w:t>
            </w:r>
          </w:p>
          <w:p>
            <w:pPr>
              <w:rPr>
                <w:rFonts w:asciiTheme="minorEastAsia" w:hAnsiTheme="minorEastAsia" w:cstheme="minorEastAsia"/>
                <w:kern w:val="0"/>
                <w:sz w:val="24"/>
                <w:szCs w:val="24"/>
              </w:rPr>
            </w:pPr>
            <w:r>
              <w:rPr>
                <w:rFonts w:hint="eastAsia" w:asciiTheme="minorEastAsia" w:hAnsiTheme="minorEastAsia" w:cstheme="minorEastAsia"/>
                <w:sz w:val="24"/>
                <w:szCs w:val="24"/>
                <w:lang w:val="zh-CN"/>
              </w:rPr>
              <w:t>文明作业方案安排不符合任务要求，进度安排不合理、可行度低薄弱得</w:t>
            </w:r>
            <w:r>
              <w:rPr>
                <w:rFonts w:hint="eastAsia" w:asciiTheme="minorEastAsia" w:hAnsiTheme="minorEastAsia" w:cstheme="minorEastAsia"/>
                <w:sz w:val="24"/>
                <w:szCs w:val="24"/>
              </w:rPr>
              <w:t>3</w:t>
            </w:r>
            <w:r>
              <w:rPr>
                <w:rFonts w:hint="eastAsia" w:asciiTheme="minorEastAsia" w:hAnsiTheme="minorEastAsia" w:cstheme="minorEastAsia"/>
                <w:sz w:val="24"/>
                <w:szCs w:val="24"/>
                <w:lang w:val="zh-CN"/>
              </w:rPr>
              <w:t>分。</w:t>
            </w:r>
          </w:p>
        </w:tc>
      </w:tr>
      <w:tr>
        <w:tblPrEx>
          <w:tblCellMar>
            <w:top w:w="0" w:type="dxa"/>
            <w:left w:w="0" w:type="dxa"/>
            <w:bottom w:w="0" w:type="dxa"/>
            <w:right w:w="0" w:type="dxa"/>
          </w:tblCellMar>
        </w:tblPrEx>
        <w:trPr>
          <w:trHeight w:val="112" w:hRule="atLeast"/>
          <w:jc w:val="center"/>
        </w:trPr>
        <w:tc>
          <w:tcPr>
            <w:tcW w:w="1086"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合计</w:t>
            </w:r>
          </w:p>
        </w:tc>
        <w:tc>
          <w:tcPr>
            <w:tcW w:w="576" w:type="pct"/>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90</w:t>
            </w:r>
          </w:p>
        </w:tc>
        <w:tc>
          <w:tcPr>
            <w:tcW w:w="3336" w:type="pct"/>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heme="minorEastAsia" w:hAnsiTheme="minorEastAsia" w:cstheme="minorEastAsia"/>
                <w:kern w:val="0"/>
                <w:sz w:val="24"/>
                <w:szCs w:val="24"/>
              </w:rPr>
            </w:pPr>
          </w:p>
        </w:tc>
      </w:tr>
    </w:tbl>
    <w:p>
      <w:pPr>
        <w:tabs>
          <w:tab w:val="center" w:pos="4832"/>
          <w:tab w:val="left" w:pos="7140"/>
        </w:tabs>
        <w:spacing w:line="360" w:lineRule="auto"/>
        <w:ind w:firstLine="472" w:firstLineChars="196"/>
        <w:jc w:val="left"/>
        <w:outlineLvl w:val="2"/>
        <w:rPr>
          <w:rFonts w:cs="宋体" w:asciiTheme="minorEastAsia" w:hAnsiTheme="minorEastAsia"/>
          <w:b/>
          <w:sz w:val="24"/>
          <w:szCs w:val="24"/>
        </w:rPr>
      </w:pPr>
      <w:bookmarkStart w:id="50" w:name="_Toc22050"/>
      <w:r>
        <w:rPr>
          <w:rFonts w:cs="宋体" w:asciiTheme="minorEastAsia" w:hAnsiTheme="minorEastAsia"/>
          <w:b/>
          <w:sz w:val="24"/>
          <w:szCs w:val="24"/>
        </w:rPr>
        <w:t xml:space="preserve">1. </w:t>
      </w:r>
      <w:r>
        <w:rPr>
          <w:rFonts w:hint="eastAsia" w:cs="宋体" w:asciiTheme="minorEastAsia" w:hAnsiTheme="minorEastAsia"/>
          <w:b/>
          <w:sz w:val="24"/>
          <w:szCs w:val="24"/>
        </w:rPr>
        <w:t>评标方法</w:t>
      </w:r>
      <w:bookmarkEnd w:id="50"/>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hint="eastAsia" w:cs="Arial" w:asciiTheme="minorEastAsia" w:hAnsiTheme="minorEastAsia"/>
          <w:kern w:val="0"/>
          <w:sz w:val="24"/>
          <w:szCs w:val="24"/>
        </w:rPr>
        <w:t>本次评标采用综合评分法。评标委员会对满足招标文件实质性要求的投标文件，按照本节规定的评审标准进行评审。评标中各评委若发生意见分歧，以少数服从多数原则确定。</w:t>
      </w:r>
    </w:p>
    <w:p>
      <w:pPr>
        <w:tabs>
          <w:tab w:val="center" w:pos="4832"/>
          <w:tab w:val="left" w:pos="7140"/>
        </w:tabs>
        <w:spacing w:line="360" w:lineRule="auto"/>
        <w:ind w:firstLine="472" w:firstLineChars="196"/>
        <w:jc w:val="left"/>
        <w:outlineLvl w:val="2"/>
        <w:rPr>
          <w:rFonts w:cs="宋体" w:asciiTheme="minorEastAsia" w:hAnsiTheme="minorEastAsia"/>
          <w:b/>
          <w:sz w:val="24"/>
          <w:szCs w:val="24"/>
        </w:rPr>
      </w:pPr>
      <w:bookmarkStart w:id="51" w:name="_Toc5818"/>
      <w:r>
        <w:rPr>
          <w:rFonts w:cs="宋体" w:asciiTheme="minorEastAsia" w:hAnsiTheme="minorEastAsia"/>
          <w:b/>
          <w:sz w:val="24"/>
          <w:szCs w:val="24"/>
        </w:rPr>
        <w:t xml:space="preserve">2. </w:t>
      </w:r>
      <w:r>
        <w:rPr>
          <w:rFonts w:hint="eastAsia" w:cs="宋体" w:asciiTheme="minorEastAsia" w:hAnsiTheme="minorEastAsia"/>
          <w:b/>
          <w:sz w:val="24"/>
          <w:szCs w:val="24"/>
        </w:rPr>
        <w:t>评审标准</w:t>
      </w:r>
      <w:bookmarkEnd w:id="51"/>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2.</w:t>
      </w:r>
      <w:r>
        <w:rPr>
          <w:rFonts w:hint="eastAsia" w:cs="Arial" w:asciiTheme="minorEastAsia" w:hAnsiTheme="minorEastAsia"/>
          <w:kern w:val="0"/>
          <w:sz w:val="24"/>
          <w:szCs w:val="24"/>
        </w:rPr>
        <w:t>1资格审查：评审因素和评审标准见《资格审查标准》。</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2.</w:t>
      </w:r>
      <w:r>
        <w:rPr>
          <w:rFonts w:hint="eastAsia" w:cs="Arial" w:asciiTheme="minorEastAsia" w:hAnsiTheme="minorEastAsia"/>
          <w:kern w:val="0"/>
          <w:sz w:val="24"/>
          <w:szCs w:val="24"/>
        </w:rPr>
        <w:t>2完备性及符合性审查：评审因素和评审标准见《完备性及符合性审查标准》。</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2.</w:t>
      </w:r>
      <w:r>
        <w:rPr>
          <w:rFonts w:hint="eastAsia" w:cs="Arial" w:asciiTheme="minorEastAsia" w:hAnsiTheme="minorEastAsia"/>
          <w:kern w:val="0"/>
          <w:sz w:val="24"/>
          <w:szCs w:val="24"/>
        </w:rPr>
        <w:t>3详细评审：</w:t>
      </w:r>
    </w:p>
    <w:p>
      <w:pPr>
        <w:widowControl/>
        <w:shd w:val="clear" w:color="auto" w:fill="FFFFFF"/>
        <w:snapToGrid w:val="0"/>
        <w:spacing w:line="360" w:lineRule="auto"/>
        <w:ind w:firstLine="480" w:firstLineChars="200"/>
        <w:rPr>
          <w:rFonts w:cs="Arial" w:asciiTheme="minorEastAsia" w:hAnsiTheme="minorEastAsia"/>
          <w:color w:val="000000" w:themeColor="text1"/>
          <w:kern w:val="0"/>
          <w:sz w:val="24"/>
          <w:szCs w:val="24"/>
          <w14:textFill>
            <w14:solidFill>
              <w14:schemeClr w14:val="tx1"/>
            </w14:solidFill>
          </w14:textFill>
        </w:rPr>
      </w:pPr>
      <w:r>
        <w:rPr>
          <w:rFonts w:hint="eastAsia" w:cs="Arial" w:asciiTheme="minorEastAsia" w:hAnsiTheme="minorEastAsia"/>
          <w:color w:val="000000" w:themeColor="text1"/>
          <w:kern w:val="0"/>
          <w:sz w:val="24"/>
          <w:szCs w:val="24"/>
          <w14:textFill>
            <w14:solidFill>
              <w14:schemeClr w14:val="tx1"/>
            </w14:solidFill>
          </w14:textFill>
        </w:rPr>
        <w:t>2.3.1详细评审：评审因素和评审标准见《详细评审标准》及本节第3.5款。</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2.</w:t>
      </w:r>
      <w:r>
        <w:rPr>
          <w:rFonts w:hint="eastAsia" w:cs="Arial" w:asciiTheme="minorEastAsia" w:hAnsiTheme="minorEastAsia"/>
          <w:kern w:val="0"/>
          <w:sz w:val="24"/>
          <w:szCs w:val="24"/>
        </w:rPr>
        <w:t>3</w:t>
      </w:r>
      <w:r>
        <w:rPr>
          <w:rFonts w:cs="Arial" w:asciiTheme="minorEastAsia" w:hAnsiTheme="minorEastAsia"/>
          <w:kern w:val="0"/>
          <w:sz w:val="24"/>
          <w:szCs w:val="24"/>
        </w:rPr>
        <w:t xml:space="preserve">.2 </w:t>
      </w:r>
      <w:r>
        <w:rPr>
          <w:rFonts w:hint="eastAsia" w:cs="Arial" w:asciiTheme="minorEastAsia" w:hAnsiTheme="minorEastAsia"/>
          <w:kern w:val="0"/>
          <w:sz w:val="24"/>
          <w:szCs w:val="24"/>
        </w:rPr>
        <w:t>投标报价评分标准：</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hint="eastAsia" w:cs="Arial" w:asciiTheme="minorEastAsia" w:hAnsiTheme="minorEastAsia"/>
          <w:kern w:val="0"/>
          <w:sz w:val="24"/>
          <w:szCs w:val="24"/>
        </w:rPr>
        <w:t>（</w:t>
      </w:r>
      <w:r>
        <w:rPr>
          <w:rFonts w:cs="Arial" w:asciiTheme="minorEastAsia" w:hAnsiTheme="minorEastAsia"/>
          <w:kern w:val="0"/>
          <w:sz w:val="24"/>
          <w:szCs w:val="24"/>
        </w:rPr>
        <w:t>1</w:t>
      </w:r>
      <w:r>
        <w:rPr>
          <w:rFonts w:hint="eastAsia" w:cs="Arial" w:asciiTheme="minorEastAsia" w:hAnsiTheme="minorEastAsia"/>
          <w:kern w:val="0"/>
          <w:sz w:val="24"/>
          <w:szCs w:val="24"/>
        </w:rPr>
        <w:t>）分值构成及权重：见评标办法前附表。</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hint="eastAsia" w:cs="Arial" w:asciiTheme="minorEastAsia" w:hAnsiTheme="minorEastAsia"/>
          <w:kern w:val="0"/>
          <w:sz w:val="24"/>
          <w:szCs w:val="24"/>
        </w:rPr>
        <w:t>（</w:t>
      </w:r>
      <w:r>
        <w:rPr>
          <w:rFonts w:cs="Arial" w:asciiTheme="minorEastAsia" w:hAnsiTheme="minorEastAsia"/>
          <w:kern w:val="0"/>
          <w:sz w:val="24"/>
          <w:szCs w:val="24"/>
        </w:rPr>
        <w:t>2</w:t>
      </w:r>
      <w:r>
        <w:rPr>
          <w:rFonts w:hint="eastAsia" w:cs="Arial" w:asciiTheme="minorEastAsia" w:hAnsiTheme="minorEastAsia"/>
          <w:kern w:val="0"/>
          <w:sz w:val="24"/>
          <w:szCs w:val="24"/>
        </w:rPr>
        <w:t>）评标基准价计算：见评标办法前附表。</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hint="eastAsia" w:cs="Arial" w:asciiTheme="minorEastAsia" w:hAnsiTheme="minorEastAsia"/>
          <w:kern w:val="0"/>
          <w:sz w:val="24"/>
          <w:szCs w:val="24"/>
        </w:rPr>
        <w:t>（3）投标报价得分的计算：见评标办法前附表。</w:t>
      </w:r>
    </w:p>
    <w:p>
      <w:pPr>
        <w:tabs>
          <w:tab w:val="center" w:pos="4832"/>
          <w:tab w:val="left" w:pos="7140"/>
        </w:tabs>
        <w:spacing w:line="360" w:lineRule="auto"/>
        <w:ind w:firstLine="472" w:firstLineChars="196"/>
        <w:jc w:val="left"/>
        <w:outlineLvl w:val="2"/>
        <w:rPr>
          <w:rFonts w:cs="宋体" w:asciiTheme="minorEastAsia" w:hAnsiTheme="minorEastAsia"/>
          <w:b/>
          <w:sz w:val="24"/>
          <w:szCs w:val="24"/>
        </w:rPr>
      </w:pPr>
      <w:bookmarkStart w:id="52" w:name="_Toc24599"/>
      <w:r>
        <w:rPr>
          <w:rFonts w:cs="宋体" w:asciiTheme="minorEastAsia" w:hAnsiTheme="minorEastAsia"/>
          <w:b/>
          <w:sz w:val="24"/>
          <w:szCs w:val="24"/>
        </w:rPr>
        <w:t xml:space="preserve">3. </w:t>
      </w:r>
      <w:r>
        <w:rPr>
          <w:rFonts w:hint="eastAsia" w:cs="宋体" w:asciiTheme="minorEastAsia" w:hAnsiTheme="minorEastAsia"/>
          <w:b/>
          <w:sz w:val="24"/>
          <w:szCs w:val="24"/>
        </w:rPr>
        <w:t>评标程序</w:t>
      </w:r>
      <w:bookmarkEnd w:id="52"/>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 xml:space="preserve">3.1 </w:t>
      </w:r>
      <w:r>
        <w:rPr>
          <w:rFonts w:hint="eastAsia" w:cs="Arial" w:asciiTheme="minorEastAsia" w:hAnsiTheme="minorEastAsia"/>
          <w:kern w:val="0"/>
          <w:sz w:val="24"/>
          <w:szCs w:val="24"/>
        </w:rPr>
        <w:t>基本程序</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hint="eastAsia" w:cs="Arial" w:asciiTheme="minorEastAsia" w:hAnsiTheme="minorEastAsia"/>
          <w:kern w:val="0"/>
          <w:sz w:val="24"/>
          <w:szCs w:val="24"/>
        </w:rPr>
        <w:t>评标活动将按以下步骤进行：</w:t>
      </w:r>
    </w:p>
    <w:p>
      <w:pPr>
        <w:pStyle w:val="57"/>
        <w:widowControl/>
        <w:numPr>
          <w:ilvl w:val="0"/>
          <w:numId w:val="1"/>
        </w:numPr>
        <w:shd w:val="clear" w:color="auto" w:fill="FFFFFF"/>
        <w:snapToGrid w:val="0"/>
        <w:spacing w:line="360" w:lineRule="auto"/>
        <w:ind w:firstLineChars="0"/>
        <w:rPr>
          <w:rFonts w:cs="Arial" w:asciiTheme="minorEastAsia" w:hAnsiTheme="minorEastAsia" w:eastAsiaTheme="minorEastAsia"/>
          <w:kern w:val="0"/>
          <w:sz w:val="24"/>
          <w:szCs w:val="24"/>
        </w:rPr>
      </w:pPr>
      <w:r>
        <w:rPr>
          <w:rFonts w:hint="eastAsia" w:cs="Arial" w:asciiTheme="minorEastAsia" w:hAnsiTheme="minorEastAsia" w:eastAsiaTheme="minorEastAsia"/>
          <w:kern w:val="0"/>
          <w:sz w:val="24"/>
          <w:szCs w:val="24"/>
        </w:rPr>
        <w:t>评标准备</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hint="eastAsia" w:cs="Arial" w:asciiTheme="minorEastAsia" w:hAnsiTheme="minorEastAsia"/>
          <w:kern w:val="0"/>
          <w:sz w:val="24"/>
          <w:szCs w:val="24"/>
        </w:rPr>
        <w:t>（2）资格审查</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hint="eastAsia" w:cs="Arial" w:asciiTheme="minorEastAsia" w:hAnsiTheme="minorEastAsia"/>
          <w:kern w:val="0"/>
          <w:sz w:val="24"/>
          <w:szCs w:val="24"/>
        </w:rPr>
        <w:t>（3）完备性及符合性审查</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hint="eastAsia" w:cs="Arial" w:asciiTheme="minorEastAsia" w:hAnsiTheme="minorEastAsia"/>
          <w:kern w:val="0"/>
          <w:sz w:val="24"/>
          <w:szCs w:val="24"/>
        </w:rPr>
        <w:t>（4）详细评审</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hint="eastAsia" w:cs="Arial" w:asciiTheme="minorEastAsia" w:hAnsiTheme="minorEastAsia"/>
          <w:kern w:val="0"/>
          <w:sz w:val="24"/>
          <w:szCs w:val="24"/>
        </w:rPr>
        <w:t>（5）澄清、说明或补正</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hint="eastAsia" w:cs="Arial" w:asciiTheme="minorEastAsia" w:hAnsiTheme="minorEastAsia"/>
          <w:kern w:val="0"/>
          <w:sz w:val="24"/>
          <w:szCs w:val="24"/>
        </w:rPr>
        <w:t>（6）推荐中标候选人及提交评标报告</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 xml:space="preserve">3.2 </w:t>
      </w:r>
      <w:r>
        <w:rPr>
          <w:rFonts w:hint="eastAsia" w:cs="Arial" w:asciiTheme="minorEastAsia" w:hAnsiTheme="minorEastAsia"/>
          <w:kern w:val="0"/>
          <w:sz w:val="24"/>
          <w:szCs w:val="24"/>
        </w:rPr>
        <w:t>评标准备</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3.2.1</w:t>
      </w:r>
      <w:r>
        <w:rPr>
          <w:rFonts w:hint="eastAsia" w:cs="Arial" w:asciiTheme="minorEastAsia" w:hAnsiTheme="minorEastAsia"/>
          <w:kern w:val="0"/>
          <w:sz w:val="24"/>
          <w:szCs w:val="24"/>
        </w:rPr>
        <w:t>评标委员会成员签到</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hint="eastAsia" w:cs="Arial" w:asciiTheme="minorEastAsia" w:hAnsiTheme="minorEastAsia"/>
          <w:kern w:val="0"/>
          <w:sz w:val="24"/>
          <w:szCs w:val="24"/>
        </w:rPr>
        <w:t>评标委员会成员到达评标现场时应当在签到表上签到以证明其出席。</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 xml:space="preserve">3.2.2 </w:t>
      </w:r>
      <w:r>
        <w:rPr>
          <w:rFonts w:hint="eastAsia" w:cs="Arial" w:asciiTheme="minorEastAsia" w:hAnsiTheme="minorEastAsia"/>
          <w:kern w:val="0"/>
          <w:sz w:val="24"/>
          <w:szCs w:val="24"/>
        </w:rPr>
        <w:t>评标委员会的分工</w:t>
      </w:r>
    </w:p>
    <w:p>
      <w:pPr>
        <w:widowControl/>
        <w:shd w:val="clear" w:color="auto" w:fill="FFFFFF"/>
        <w:snapToGrid w:val="0"/>
        <w:spacing w:line="360" w:lineRule="auto"/>
        <w:ind w:firstLine="480" w:firstLineChars="200"/>
        <w:rPr>
          <w:rFonts w:cs="Arial" w:asciiTheme="minorEastAsia" w:hAnsiTheme="minorEastAsia"/>
          <w:color w:val="auto"/>
          <w:kern w:val="0"/>
          <w:sz w:val="24"/>
          <w:szCs w:val="24"/>
        </w:rPr>
      </w:pPr>
      <w:r>
        <w:rPr>
          <w:rFonts w:cs="Arial" w:asciiTheme="minorEastAsia" w:hAnsiTheme="minorEastAsia"/>
          <w:color w:val="auto"/>
          <w:kern w:val="0"/>
          <w:sz w:val="24"/>
          <w:szCs w:val="24"/>
        </w:rPr>
        <w:t>3.2.2.1</w:t>
      </w:r>
      <w:r>
        <w:rPr>
          <w:rFonts w:hint="eastAsia" w:cs="Arial" w:asciiTheme="minorEastAsia" w:hAnsiTheme="minorEastAsia"/>
          <w:color w:val="auto"/>
          <w:kern w:val="0"/>
          <w:sz w:val="24"/>
          <w:szCs w:val="24"/>
        </w:rPr>
        <w:t>评标委员会首先推选一名评标委员会主任（除招标人代表）。评标委员会主任负责评标活动的组织领导工作。评标委员会主任与评标委员会其他成员具有同等的评标权力。</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 xml:space="preserve">3.2.2.2 </w:t>
      </w:r>
      <w:r>
        <w:rPr>
          <w:rFonts w:hint="eastAsia" w:cs="Arial" w:asciiTheme="minorEastAsia" w:hAnsiTheme="minorEastAsia"/>
          <w:kern w:val="0"/>
          <w:sz w:val="24"/>
          <w:szCs w:val="24"/>
        </w:rPr>
        <w:t>评标委员会主任除履行自己作为评标委员会成员独立评标的职责外，主要负责以下工作：</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hint="eastAsia" w:cs="Arial" w:asciiTheme="minorEastAsia" w:hAnsiTheme="minorEastAsia"/>
          <w:kern w:val="0"/>
          <w:sz w:val="24"/>
          <w:szCs w:val="24"/>
        </w:rPr>
        <w:t>（</w:t>
      </w:r>
      <w:r>
        <w:rPr>
          <w:rFonts w:cs="Arial" w:asciiTheme="minorEastAsia" w:hAnsiTheme="minorEastAsia"/>
          <w:kern w:val="0"/>
          <w:sz w:val="24"/>
          <w:szCs w:val="24"/>
        </w:rPr>
        <w:t>1</w:t>
      </w:r>
      <w:r>
        <w:rPr>
          <w:rFonts w:hint="eastAsia" w:cs="Arial" w:asciiTheme="minorEastAsia" w:hAnsiTheme="minorEastAsia"/>
          <w:kern w:val="0"/>
          <w:sz w:val="24"/>
          <w:szCs w:val="24"/>
        </w:rPr>
        <w:t>）组织评标委员会成员学习招标文件；</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hint="eastAsia" w:cs="Arial" w:asciiTheme="minorEastAsia" w:hAnsiTheme="minorEastAsia"/>
          <w:kern w:val="0"/>
          <w:sz w:val="24"/>
          <w:szCs w:val="24"/>
        </w:rPr>
        <w:t>（</w:t>
      </w:r>
      <w:r>
        <w:rPr>
          <w:rFonts w:cs="Arial" w:asciiTheme="minorEastAsia" w:hAnsiTheme="minorEastAsia"/>
          <w:kern w:val="0"/>
          <w:sz w:val="24"/>
          <w:szCs w:val="24"/>
        </w:rPr>
        <w:t>2</w:t>
      </w:r>
      <w:r>
        <w:rPr>
          <w:rFonts w:hint="eastAsia" w:cs="Arial" w:asciiTheme="minorEastAsia" w:hAnsiTheme="minorEastAsia"/>
          <w:kern w:val="0"/>
          <w:sz w:val="24"/>
          <w:szCs w:val="24"/>
        </w:rPr>
        <w:t>）汇总各评标委员会成员认为需要投标人澄清、说明或者补正的问题；</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hint="eastAsia" w:cs="Arial" w:asciiTheme="minorEastAsia" w:hAnsiTheme="minorEastAsia"/>
          <w:kern w:val="0"/>
          <w:sz w:val="24"/>
          <w:szCs w:val="24"/>
        </w:rPr>
        <w:t>（</w:t>
      </w:r>
      <w:r>
        <w:rPr>
          <w:rFonts w:cs="Arial" w:asciiTheme="minorEastAsia" w:hAnsiTheme="minorEastAsia"/>
          <w:kern w:val="0"/>
          <w:sz w:val="24"/>
          <w:szCs w:val="24"/>
        </w:rPr>
        <w:t>3</w:t>
      </w:r>
      <w:r>
        <w:rPr>
          <w:rFonts w:hint="eastAsia" w:cs="Arial" w:asciiTheme="minorEastAsia" w:hAnsiTheme="minorEastAsia"/>
          <w:kern w:val="0"/>
          <w:sz w:val="24"/>
          <w:szCs w:val="24"/>
        </w:rPr>
        <w:t>）组织评标委员会对投标人质询并对投标人的答复进行评审；</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hint="eastAsia" w:cs="Arial" w:asciiTheme="minorEastAsia" w:hAnsiTheme="minorEastAsia"/>
          <w:kern w:val="0"/>
          <w:sz w:val="24"/>
          <w:szCs w:val="24"/>
        </w:rPr>
        <w:t>（</w:t>
      </w:r>
      <w:r>
        <w:rPr>
          <w:rFonts w:cs="Arial" w:asciiTheme="minorEastAsia" w:hAnsiTheme="minorEastAsia"/>
          <w:kern w:val="0"/>
          <w:sz w:val="24"/>
          <w:szCs w:val="24"/>
        </w:rPr>
        <w:t>4</w:t>
      </w:r>
      <w:r>
        <w:rPr>
          <w:rFonts w:hint="eastAsia" w:cs="Arial" w:asciiTheme="minorEastAsia" w:hAnsiTheme="minorEastAsia"/>
          <w:kern w:val="0"/>
          <w:sz w:val="24"/>
          <w:szCs w:val="24"/>
        </w:rPr>
        <w:t>）对出现较大争议的事项进行书面记录；</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hint="eastAsia" w:cs="Arial" w:asciiTheme="minorEastAsia" w:hAnsiTheme="minorEastAsia"/>
          <w:kern w:val="0"/>
          <w:sz w:val="24"/>
          <w:szCs w:val="24"/>
        </w:rPr>
        <w:t>（</w:t>
      </w:r>
      <w:r>
        <w:rPr>
          <w:rFonts w:cs="Arial" w:asciiTheme="minorEastAsia" w:hAnsiTheme="minorEastAsia"/>
          <w:kern w:val="0"/>
          <w:sz w:val="24"/>
          <w:szCs w:val="24"/>
        </w:rPr>
        <w:t>5</w:t>
      </w:r>
      <w:r>
        <w:rPr>
          <w:rFonts w:hint="eastAsia" w:cs="Arial" w:asciiTheme="minorEastAsia" w:hAnsiTheme="minorEastAsia"/>
          <w:kern w:val="0"/>
          <w:sz w:val="24"/>
          <w:szCs w:val="24"/>
        </w:rPr>
        <w:t>）组织收回评标过程中使用的文件、表格和评标记录以及其他资料，并查验评标记录的完整性；</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hint="eastAsia" w:cs="Arial" w:asciiTheme="minorEastAsia" w:hAnsiTheme="minorEastAsia"/>
          <w:kern w:val="0"/>
          <w:sz w:val="24"/>
          <w:szCs w:val="24"/>
        </w:rPr>
        <w:t>（</w:t>
      </w:r>
      <w:r>
        <w:rPr>
          <w:rFonts w:cs="Arial" w:asciiTheme="minorEastAsia" w:hAnsiTheme="minorEastAsia"/>
          <w:kern w:val="0"/>
          <w:sz w:val="24"/>
          <w:szCs w:val="24"/>
        </w:rPr>
        <w:t>6</w:t>
      </w:r>
      <w:r>
        <w:rPr>
          <w:rFonts w:hint="eastAsia" w:cs="Arial" w:asciiTheme="minorEastAsia" w:hAnsiTheme="minorEastAsia"/>
          <w:kern w:val="0"/>
          <w:sz w:val="24"/>
          <w:szCs w:val="24"/>
        </w:rPr>
        <w:t>）组织对评标结论进行复核确认；</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hint="eastAsia" w:cs="Arial" w:asciiTheme="minorEastAsia" w:hAnsiTheme="minorEastAsia"/>
          <w:kern w:val="0"/>
          <w:sz w:val="24"/>
          <w:szCs w:val="24"/>
        </w:rPr>
        <w:t>（</w:t>
      </w:r>
      <w:r>
        <w:rPr>
          <w:rFonts w:cs="Arial" w:asciiTheme="minorEastAsia" w:hAnsiTheme="minorEastAsia"/>
          <w:kern w:val="0"/>
          <w:sz w:val="24"/>
          <w:szCs w:val="24"/>
        </w:rPr>
        <w:t>7</w:t>
      </w:r>
      <w:r>
        <w:rPr>
          <w:rFonts w:hint="eastAsia" w:cs="Arial" w:asciiTheme="minorEastAsia" w:hAnsiTheme="minorEastAsia"/>
          <w:kern w:val="0"/>
          <w:sz w:val="24"/>
          <w:szCs w:val="24"/>
        </w:rPr>
        <w:t>）组织编写评标报告。</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 xml:space="preserve">3.2.3 </w:t>
      </w:r>
      <w:r>
        <w:rPr>
          <w:rFonts w:hint="eastAsia" w:cs="Arial" w:asciiTheme="minorEastAsia" w:hAnsiTheme="minorEastAsia"/>
          <w:kern w:val="0"/>
          <w:sz w:val="24"/>
          <w:szCs w:val="24"/>
        </w:rPr>
        <w:t>熟悉文件资料</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 xml:space="preserve">3.2.3.1 </w:t>
      </w:r>
      <w:r>
        <w:rPr>
          <w:rFonts w:hint="eastAsia" w:cs="Arial" w:asciiTheme="minorEastAsia" w:hAnsiTheme="minorEastAsia"/>
          <w:kern w:val="0"/>
          <w:sz w:val="24"/>
          <w:szCs w:val="24"/>
        </w:rPr>
        <w:t>评标委员会主任应当组织评标委员会成员认真研究招标文件，了解和熟悉招标目的、招标范围、主要合同条件、技术标准、质量标准和要求，掌握评标标准和方法，熟悉本章及附件中包括的评标表格的使用，如果本章及附件所附的表格不能满足评标所需时，评标委员会应当补充编制评标所需的表格。</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 xml:space="preserve">3.2.3.2 </w:t>
      </w:r>
      <w:r>
        <w:rPr>
          <w:rFonts w:hint="eastAsia" w:cs="Arial" w:asciiTheme="minorEastAsia" w:hAnsiTheme="minorEastAsia"/>
          <w:kern w:val="0"/>
          <w:sz w:val="24"/>
          <w:szCs w:val="24"/>
        </w:rPr>
        <w:t>采购人或采购代理机构应当向评标委员会提供评标所需的信息和数据，包括：</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hint="eastAsia" w:cs="Arial" w:asciiTheme="minorEastAsia" w:hAnsiTheme="minorEastAsia"/>
          <w:kern w:val="0"/>
          <w:sz w:val="24"/>
          <w:szCs w:val="24"/>
        </w:rPr>
        <w:t>（</w:t>
      </w:r>
      <w:r>
        <w:rPr>
          <w:rFonts w:cs="Arial" w:asciiTheme="minorEastAsia" w:hAnsiTheme="minorEastAsia"/>
          <w:kern w:val="0"/>
          <w:sz w:val="24"/>
          <w:szCs w:val="24"/>
        </w:rPr>
        <w:t>1</w:t>
      </w:r>
      <w:r>
        <w:rPr>
          <w:rFonts w:hint="eastAsia" w:cs="Arial" w:asciiTheme="minorEastAsia" w:hAnsiTheme="minorEastAsia"/>
          <w:kern w:val="0"/>
          <w:sz w:val="24"/>
          <w:szCs w:val="24"/>
        </w:rPr>
        <w:t>）招标文件及其澄清修改等招标文件补充；</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hint="eastAsia" w:cs="Arial" w:asciiTheme="minorEastAsia" w:hAnsiTheme="minorEastAsia"/>
          <w:kern w:val="0"/>
          <w:sz w:val="24"/>
          <w:szCs w:val="24"/>
        </w:rPr>
        <w:t>（</w:t>
      </w:r>
      <w:r>
        <w:rPr>
          <w:rFonts w:cs="Arial" w:asciiTheme="minorEastAsia" w:hAnsiTheme="minorEastAsia"/>
          <w:kern w:val="0"/>
          <w:sz w:val="24"/>
          <w:szCs w:val="24"/>
        </w:rPr>
        <w:t>2</w:t>
      </w:r>
      <w:r>
        <w:rPr>
          <w:rFonts w:hint="eastAsia" w:cs="Arial" w:asciiTheme="minorEastAsia" w:hAnsiTheme="minorEastAsia"/>
          <w:kern w:val="0"/>
          <w:sz w:val="24"/>
          <w:szCs w:val="24"/>
        </w:rPr>
        <w:t>）未在开标会上当场拒绝的各投标文件；</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hint="eastAsia" w:cs="Arial" w:asciiTheme="minorEastAsia" w:hAnsiTheme="minorEastAsia"/>
          <w:kern w:val="0"/>
          <w:sz w:val="24"/>
          <w:szCs w:val="24"/>
        </w:rPr>
        <w:t>（</w:t>
      </w:r>
      <w:r>
        <w:rPr>
          <w:rFonts w:cs="Arial" w:asciiTheme="minorEastAsia" w:hAnsiTheme="minorEastAsia"/>
          <w:kern w:val="0"/>
          <w:sz w:val="24"/>
          <w:szCs w:val="24"/>
        </w:rPr>
        <w:t>3</w:t>
      </w:r>
      <w:r>
        <w:rPr>
          <w:rFonts w:hint="eastAsia" w:cs="Arial" w:asciiTheme="minorEastAsia" w:hAnsiTheme="minorEastAsia"/>
          <w:kern w:val="0"/>
          <w:sz w:val="24"/>
          <w:szCs w:val="24"/>
        </w:rPr>
        <w:t>）开标会记录；</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hint="eastAsia" w:cs="Arial" w:asciiTheme="minorEastAsia" w:hAnsiTheme="minorEastAsia"/>
          <w:kern w:val="0"/>
          <w:sz w:val="24"/>
          <w:szCs w:val="24"/>
        </w:rPr>
        <w:t>（</w:t>
      </w:r>
      <w:r>
        <w:rPr>
          <w:rFonts w:cs="Arial" w:asciiTheme="minorEastAsia" w:hAnsiTheme="minorEastAsia"/>
          <w:kern w:val="0"/>
          <w:sz w:val="24"/>
          <w:szCs w:val="24"/>
        </w:rPr>
        <w:t>4</w:t>
      </w:r>
      <w:r>
        <w:rPr>
          <w:rFonts w:hint="eastAsia" w:cs="Arial" w:asciiTheme="minorEastAsia" w:hAnsiTheme="minorEastAsia"/>
          <w:kern w:val="0"/>
          <w:sz w:val="24"/>
          <w:szCs w:val="24"/>
        </w:rPr>
        <w:t>）评标表格；</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hint="eastAsia" w:cs="Arial" w:asciiTheme="minorEastAsia" w:hAnsiTheme="minorEastAsia"/>
          <w:kern w:val="0"/>
          <w:sz w:val="24"/>
          <w:szCs w:val="24"/>
        </w:rPr>
        <w:t>（</w:t>
      </w:r>
      <w:r>
        <w:rPr>
          <w:rFonts w:cs="Arial" w:asciiTheme="minorEastAsia" w:hAnsiTheme="minorEastAsia"/>
          <w:kern w:val="0"/>
          <w:sz w:val="24"/>
          <w:szCs w:val="24"/>
        </w:rPr>
        <w:t>5</w:t>
      </w:r>
      <w:r>
        <w:rPr>
          <w:rFonts w:hint="eastAsia" w:cs="Arial" w:asciiTheme="minorEastAsia" w:hAnsiTheme="minorEastAsia"/>
          <w:kern w:val="0"/>
          <w:sz w:val="24"/>
          <w:szCs w:val="24"/>
        </w:rPr>
        <w:t>）其他信息和数据。</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hint="eastAsia" w:cs="Arial" w:asciiTheme="minorEastAsia" w:hAnsiTheme="minorEastAsia"/>
          <w:kern w:val="0"/>
          <w:sz w:val="24"/>
          <w:szCs w:val="24"/>
        </w:rPr>
        <w:t>3.3资格审查（适用于资格后审）</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hint="eastAsia" w:cs="Arial" w:asciiTheme="minorEastAsia" w:hAnsiTheme="minorEastAsia"/>
          <w:kern w:val="0"/>
          <w:sz w:val="24"/>
          <w:szCs w:val="24"/>
        </w:rPr>
        <w:t>采购人会依据本章规定的评审因素和审查标准，对投标人的资格审查资料进行资格审查。资格审查有一项未通过审查标准，采购人将认定整个投标文件不响应招标文件而否决其投标，并且不允许投标人通过修改或撤销其不符合要求的差异或保留，使之成为具有响应性的投标。</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3.</w:t>
      </w:r>
      <w:r>
        <w:rPr>
          <w:rFonts w:hint="eastAsia" w:cs="Arial" w:asciiTheme="minorEastAsia" w:hAnsiTheme="minorEastAsia"/>
          <w:kern w:val="0"/>
          <w:sz w:val="24"/>
          <w:szCs w:val="24"/>
        </w:rPr>
        <w:t>4完备性及符合性审查</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3.</w:t>
      </w:r>
      <w:r>
        <w:rPr>
          <w:rFonts w:hint="eastAsia" w:cs="Arial" w:asciiTheme="minorEastAsia" w:hAnsiTheme="minorEastAsia"/>
          <w:kern w:val="0"/>
          <w:sz w:val="24"/>
          <w:szCs w:val="24"/>
        </w:rPr>
        <w:t>4</w:t>
      </w:r>
      <w:r>
        <w:rPr>
          <w:rFonts w:cs="Arial" w:asciiTheme="minorEastAsia" w:hAnsiTheme="minorEastAsia"/>
          <w:kern w:val="0"/>
          <w:sz w:val="24"/>
          <w:szCs w:val="24"/>
        </w:rPr>
        <w:t xml:space="preserve">.1 </w:t>
      </w:r>
      <w:r>
        <w:rPr>
          <w:rFonts w:hint="eastAsia" w:cs="Arial" w:asciiTheme="minorEastAsia" w:hAnsiTheme="minorEastAsia"/>
          <w:kern w:val="0"/>
          <w:sz w:val="24"/>
          <w:szCs w:val="24"/>
        </w:rPr>
        <w:t>评标委员会依据本章规定的评审因素和评审标准，对投标人的投标文件进行完备性及符合性审查。完备性及符合性审查有一项未通过评审标准，评标委员会将认定整个投标文件不响应招标文件而否决其投标，并且不允许投标人通过修改或撤销其不符合要求的差异或保留，使之成为具有响应性的投标。</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3.</w:t>
      </w:r>
      <w:r>
        <w:rPr>
          <w:rFonts w:hint="eastAsia" w:cs="Arial" w:asciiTheme="minorEastAsia" w:hAnsiTheme="minorEastAsia"/>
          <w:kern w:val="0"/>
          <w:sz w:val="24"/>
          <w:szCs w:val="24"/>
        </w:rPr>
        <w:t>4</w:t>
      </w:r>
      <w:r>
        <w:rPr>
          <w:rFonts w:cs="Arial" w:asciiTheme="minorEastAsia" w:hAnsiTheme="minorEastAsia"/>
          <w:kern w:val="0"/>
          <w:sz w:val="24"/>
          <w:szCs w:val="24"/>
        </w:rPr>
        <w:t xml:space="preserve">.2 </w:t>
      </w:r>
      <w:r>
        <w:rPr>
          <w:rFonts w:hint="eastAsia" w:cs="Arial" w:asciiTheme="minorEastAsia" w:hAnsiTheme="minorEastAsia"/>
          <w:kern w:val="0"/>
          <w:sz w:val="24"/>
          <w:szCs w:val="24"/>
        </w:rPr>
        <w:t>完备性及符合性审查条款是指对本招标项目产生了重大影响的重大偏差，而且纠正此类偏差将会对响应本次招标的其他投标人的竞争地位产生不公正的影响。</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3.</w:t>
      </w:r>
      <w:r>
        <w:rPr>
          <w:rFonts w:hint="eastAsia" w:cs="Arial" w:asciiTheme="minorEastAsia" w:hAnsiTheme="minorEastAsia"/>
          <w:kern w:val="0"/>
          <w:sz w:val="24"/>
          <w:szCs w:val="24"/>
        </w:rPr>
        <w:t>4</w:t>
      </w:r>
      <w:r>
        <w:rPr>
          <w:rFonts w:cs="Arial" w:asciiTheme="minorEastAsia" w:hAnsiTheme="minorEastAsia"/>
          <w:kern w:val="0"/>
          <w:sz w:val="24"/>
          <w:szCs w:val="24"/>
        </w:rPr>
        <w:t>.3</w:t>
      </w:r>
      <w:r>
        <w:rPr>
          <w:rFonts w:hint="eastAsia" w:cs="Arial" w:asciiTheme="minorEastAsia" w:hAnsiTheme="minorEastAsia"/>
          <w:kern w:val="0"/>
          <w:sz w:val="24"/>
          <w:szCs w:val="24"/>
        </w:rPr>
        <w:t>细微偏差是指投标文件在实质上响应招标文件要求，但在个别地方存在疏漏或者提供了不完整的技术信息和数据等情况，并且补正这些遗漏和不完整不会对其他投标人造成不公平的结果。细微偏差不影响投标文件的，评标委员会可要求存在细微偏差的投标人予以补正。</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3.</w:t>
      </w:r>
      <w:r>
        <w:rPr>
          <w:rFonts w:hint="eastAsia" w:cs="Arial" w:asciiTheme="minorEastAsia" w:hAnsiTheme="minorEastAsia"/>
          <w:kern w:val="0"/>
          <w:sz w:val="24"/>
          <w:szCs w:val="24"/>
        </w:rPr>
        <w:t>5详细评审</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3.</w:t>
      </w:r>
      <w:r>
        <w:rPr>
          <w:rFonts w:hint="eastAsia" w:cs="Arial" w:asciiTheme="minorEastAsia" w:hAnsiTheme="minorEastAsia"/>
          <w:kern w:val="0"/>
          <w:sz w:val="24"/>
          <w:szCs w:val="24"/>
        </w:rPr>
        <w:t>5</w:t>
      </w:r>
      <w:r>
        <w:rPr>
          <w:rFonts w:cs="Arial" w:asciiTheme="minorEastAsia" w:hAnsiTheme="minorEastAsia"/>
          <w:kern w:val="0"/>
          <w:sz w:val="24"/>
          <w:szCs w:val="24"/>
        </w:rPr>
        <w:t>.1.</w:t>
      </w:r>
      <w:r>
        <w:rPr>
          <w:rFonts w:hint="eastAsia" w:cs="Arial" w:asciiTheme="minorEastAsia" w:hAnsiTheme="minorEastAsia"/>
          <w:kern w:val="0"/>
          <w:sz w:val="24"/>
          <w:szCs w:val="24"/>
        </w:rPr>
        <w:t>只有通过了资格审查、完备性及符合性审查且投标人不少于3个方可进入详细评审。</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3.</w:t>
      </w:r>
      <w:r>
        <w:rPr>
          <w:rFonts w:hint="eastAsia" w:cs="Arial" w:asciiTheme="minorEastAsia" w:hAnsiTheme="minorEastAsia"/>
          <w:kern w:val="0"/>
          <w:sz w:val="24"/>
          <w:szCs w:val="24"/>
        </w:rPr>
        <w:t>5</w:t>
      </w:r>
      <w:r>
        <w:rPr>
          <w:rFonts w:cs="Arial" w:asciiTheme="minorEastAsia" w:hAnsiTheme="minorEastAsia"/>
          <w:kern w:val="0"/>
          <w:sz w:val="24"/>
          <w:szCs w:val="24"/>
        </w:rPr>
        <w:t xml:space="preserve">.2 </w:t>
      </w:r>
      <w:r>
        <w:rPr>
          <w:rFonts w:hint="eastAsia" w:cs="Arial" w:asciiTheme="minorEastAsia" w:hAnsiTheme="minorEastAsia"/>
          <w:kern w:val="0"/>
          <w:sz w:val="24"/>
          <w:szCs w:val="24"/>
        </w:rPr>
        <w:t>澄清、说明和补正</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3.</w:t>
      </w:r>
      <w:r>
        <w:rPr>
          <w:rFonts w:hint="eastAsia" w:cs="Arial" w:asciiTheme="minorEastAsia" w:hAnsiTheme="minorEastAsia"/>
          <w:kern w:val="0"/>
          <w:sz w:val="24"/>
          <w:szCs w:val="24"/>
        </w:rPr>
        <w:t>5</w:t>
      </w:r>
      <w:r>
        <w:rPr>
          <w:rFonts w:cs="Arial" w:asciiTheme="minorEastAsia" w:hAnsiTheme="minorEastAsia"/>
          <w:kern w:val="0"/>
          <w:sz w:val="24"/>
          <w:szCs w:val="24"/>
        </w:rPr>
        <w:t>.2</w:t>
      </w:r>
      <w:r>
        <w:rPr>
          <w:rFonts w:hint="eastAsia" w:cs="Arial" w:asciiTheme="minorEastAsia" w:hAnsiTheme="minorEastAsia"/>
          <w:kern w:val="0"/>
          <w:sz w:val="24"/>
          <w:szCs w:val="24"/>
        </w:rPr>
        <w:t>.1在不改变投标人投标文件实质性内容的前提下，评标委员会应当对投标文件进行基础性数据分析和整理，从而发现并提取其中可能存在的对招标范围理解的偏差、技术响应偏离、投标价格的算术性错误、错漏项、投标价格构成不合理、不平衡报价等存在明显异常的问题。</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3.</w:t>
      </w:r>
      <w:r>
        <w:rPr>
          <w:rFonts w:hint="eastAsia" w:cs="Arial" w:asciiTheme="minorEastAsia" w:hAnsiTheme="minorEastAsia"/>
          <w:kern w:val="0"/>
          <w:sz w:val="24"/>
          <w:szCs w:val="24"/>
        </w:rPr>
        <w:t>5</w:t>
      </w:r>
      <w:r>
        <w:rPr>
          <w:rFonts w:cs="Arial" w:asciiTheme="minorEastAsia" w:hAnsiTheme="minorEastAsia"/>
          <w:kern w:val="0"/>
          <w:sz w:val="24"/>
          <w:szCs w:val="24"/>
        </w:rPr>
        <w:t>.2</w:t>
      </w:r>
      <w:r>
        <w:rPr>
          <w:rFonts w:hint="eastAsia" w:cs="Arial" w:asciiTheme="minorEastAsia" w:hAnsiTheme="minorEastAsia"/>
          <w:kern w:val="0"/>
          <w:sz w:val="24"/>
          <w:szCs w:val="24"/>
        </w:rPr>
        <w:t>.2澄清、说明和补正内容不得改变投标文件的实质性内容（算术性错误修正的除外）。投标人的书面澄清、说明和补正属于投标文件的组成部分。</w:t>
      </w:r>
    </w:p>
    <w:p>
      <w:pPr>
        <w:widowControl/>
        <w:shd w:val="clear" w:color="auto" w:fill="FFFFFF"/>
        <w:snapToGrid w:val="0"/>
        <w:spacing w:line="360" w:lineRule="auto"/>
        <w:ind w:firstLine="480" w:firstLineChars="200"/>
        <w:rPr>
          <w:rFonts w:cs="Arial" w:asciiTheme="minorEastAsia" w:hAnsiTheme="minorEastAsia"/>
          <w:color w:val="FF0000"/>
          <w:kern w:val="0"/>
          <w:sz w:val="24"/>
          <w:szCs w:val="24"/>
        </w:rPr>
      </w:pPr>
      <w:r>
        <w:rPr>
          <w:rFonts w:cs="Arial" w:asciiTheme="minorEastAsia" w:hAnsiTheme="minorEastAsia"/>
          <w:kern w:val="0"/>
          <w:sz w:val="24"/>
          <w:szCs w:val="24"/>
        </w:rPr>
        <w:t>3.</w:t>
      </w:r>
      <w:r>
        <w:rPr>
          <w:rFonts w:hint="eastAsia" w:cs="Arial" w:asciiTheme="minorEastAsia" w:hAnsiTheme="minorEastAsia"/>
          <w:kern w:val="0"/>
          <w:sz w:val="24"/>
          <w:szCs w:val="24"/>
        </w:rPr>
        <w:t>5</w:t>
      </w:r>
      <w:r>
        <w:rPr>
          <w:rFonts w:cs="Arial" w:asciiTheme="minorEastAsia" w:hAnsiTheme="minorEastAsia"/>
          <w:kern w:val="0"/>
          <w:sz w:val="24"/>
          <w:szCs w:val="24"/>
        </w:rPr>
        <w:t>.2</w:t>
      </w:r>
      <w:r>
        <w:rPr>
          <w:rFonts w:hint="eastAsia" w:cs="Arial" w:asciiTheme="minorEastAsia" w:hAnsiTheme="minorEastAsia"/>
          <w:kern w:val="0"/>
          <w:sz w:val="24"/>
          <w:szCs w:val="24"/>
        </w:rPr>
        <w:t>.3</w:t>
      </w:r>
      <w:r>
        <w:rPr>
          <w:rFonts w:hint="eastAsia" w:cs="Arial" w:asciiTheme="minorEastAsia" w:hAnsiTheme="minorEastAsia"/>
          <w:color w:val="000000" w:themeColor="text1"/>
          <w:kern w:val="0"/>
          <w:sz w:val="24"/>
          <w:szCs w:val="24"/>
          <w14:textFill>
            <w14:solidFill>
              <w14:schemeClr w14:val="tx1"/>
            </w14:solidFill>
          </w14:textFill>
        </w:rPr>
        <w:t>评标委员会</w:t>
      </w:r>
      <w:r>
        <w:rPr>
          <w:rFonts w:hint="eastAsia" w:cs="Arial" w:asciiTheme="minorEastAsia" w:hAnsiTheme="minorEastAsia"/>
          <w:kern w:val="0"/>
          <w:sz w:val="24"/>
          <w:szCs w:val="24"/>
        </w:rPr>
        <w:t>针对需要投标</w:t>
      </w:r>
      <w:r>
        <w:rPr>
          <w:rFonts w:hint="eastAsia" w:cs="Arial" w:asciiTheme="minorEastAsia" w:hAnsiTheme="minorEastAsia"/>
          <w:color w:val="000000" w:themeColor="text1"/>
          <w:kern w:val="0"/>
          <w:sz w:val="24"/>
          <w:szCs w:val="24"/>
          <w14:textFill>
            <w14:solidFill>
              <w14:schemeClr w14:val="tx1"/>
            </w14:solidFill>
          </w14:textFill>
        </w:rPr>
        <w:t>人对所提交投标文件中不明确的内容进行书面澄清、说明或补正。</w:t>
      </w:r>
      <w:r>
        <w:rPr>
          <w:rFonts w:hint="eastAsia" w:cs="Arial" w:asciiTheme="minorEastAsia" w:hAnsiTheme="minorEastAsia"/>
          <w:kern w:val="0"/>
          <w:sz w:val="24"/>
          <w:szCs w:val="24"/>
        </w:rPr>
        <w:t>澄清通知不得向投标人提出带有暗示性或诱导性问题，或向其明确投标文件中的遗漏和错误。</w:t>
      </w:r>
      <w:r>
        <w:rPr>
          <w:rFonts w:hint="eastAsia" w:cs="Arial" w:asciiTheme="minorEastAsia" w:hAnsiTheme="minorEastAsia"/>
          <w:color w:val="000000" w:themeColor="text1"/>
          <w:kern w:val="0"/>
          <w:sz w:val="24"/>
          <w:szCs w:val="24"/>
          <w14:textFill>
            <w14:solidFill>
              <w14:schemeClr w14:val="tx1"/>
            </w14:solidFill>
          </w14:textFill>
        </w:rPr>
        <w:t>投标人接到评标委员会发出的书面澄清通知后，应按评标委员会的要求提供书面澄清资料，并在规定的时间递交到指定地点。评标委员会不接受投标人主动提出的澄清、说明或补正。</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3.</w:t>
      </w:r>
      <w:r>
        <w:rPr>
          <w:rFonts w:hint="eastAsia" w:cs="Arial" w:asciiTheme="minorEastAsia" w:hAnsiTheme="minorEastAsia"/>
          <w:kern w:val="0"/>
          <w:sz w:val="24"/>
          <w:szCs w:val="24"/>
        </w:rPr>
        <w:t>5</w:t>
      </w:r>
      <w:r>
        <w:rPr>
          <w:rFonts w:cs="Arial" w:asciiTheme="minorEastAsia" w:hAnsiTheme="minorEastAsia"/>
          <w:kern w:val="0"/>
          <w:sz w:val="24"/>
          <w:szCs w:val="24"/>
        </w:rPr>
        <w:t>.2</w:t>
      </w:r>
      <w:r>
        <w:rPr>
          <w:rFonts w:hint="eastAsia" w:cs="Arial" w:asciiTheme="minorEastAsia" w:hAnsiTheme="minorEastAsia"/>
          <w:kern w:val="0"/>
          <w:sz w:val="24"/>
          <w:szCs w:val="24"/>
        </w:rPr>
        <w:t>.4评标委员会对投标人提交的澄清、说明或补正有疑问的，可以要求投标人进一步澄清、说明或补正，直至满足评标委员会的要求。</w:t>
      </w:r>
    </w:p>
    <w:p>
      <w:pPr>
        <w:widowControl/>
        <w:shd w:val="clear" w:color="auto" w:fill="FFFFFF"/>
        <w:snapToGrid w:val="0"/>
        <w:spacing w:line="360" w:lineRule="auto"/>
        <w:ind w:firstLine="480" w:firstLineChars="200"/>
        <w:rPr>
          <w:rFonts w:cs="Arial" w:asciiTheme="minorEastAsia" w:hAnsiTheme="minorEastAsia"/>
          <w:color w:val="000000" w:themeColor="text1"/>
          <w:kern w:val="0"/>
          <w:sz w:val="24"/>
          <w:szCs w:val="24"/>
          <w14:textFill>
            <w14:solidFill>
              <w14:schemeClr w14:val="tx1"/>
            </w14:solidFill>
          </w14:textFill>
        </w:rPr>
      </w:pPr>
      <w:r>
        <w:rPr>
          <w:rFonts w:cs="Arial" w:asciiTheme="minorEastAsia" w:hAnsiTheme="minorEastAsia"/>
          <w:color w:val="000000" w:themeColor="text1"/>
          <w:kern w:val="0"/>
          <w:sz w:val="24"/>
          <w:szCs w:val="24"/>
          <w14:textFill>
            <w14:solidFill>
              <w14:schemeClr w14:val="tx1"/>
            </w14:solidFill>
          </w14:textFill>
        </w:rPr>
        <w:t>3.</w:t>
      </w:r>
      <w:r>
        <w:rPr>
          <w:rFonts w:hint="eastAsia" w:cs="Arial" w:asciiTheme="minorEastAsia" w:hAnsiTheme="minorEastAsia"/>
          <w:color w:val="000000" w:themeColor="text1"/>
          <w:kern w:val="0"/>
          <w:sz w:val="24"/>
          <w:szCs w:val="24"/>
          <w14:textFill>
            <w14:solidFill>
              <w14:schemeClr w14:val="tx1"/>
            </w14:solidFill>
          </w14:textFill>
        </w:rPr>
        <w:t>5</w:t>
      </w:r>
      <w:r>
        <w:rPr>
          <w:rFonts w:cs="Arial" w:asciiTheme="minorEastAsia" w:hAnsiTheme="minorEastAsia"/>
          <w:color w:val="000000" w:themeColor="text1"/>
          <w:kern w:val="0"/>
          <w:sz w:val="24"/>
          <w:szCs w:val="24"/>
          <w14:textFill>
            <w14:solidFill>
              <w14:schemeClr w14:val="tx1"/>
            </w14:solidFill>
          </w14:textFill>
        </w:rPr>
        <w:t>.3</w:t>
      </w:r>
      <w:r>
        <w:rPr>
          <w:rFonts w:hint="eastAsia" w:cs="Arial" w:asciiTheme="minorEastAsia" w:hAnsiTheme="minorEastAsia"/>
          <w:color w:val="000000" w:themeColor="text1"/>
          <w:kern w:val="0"/>
          <w:sz w:val="24"/>
          <w:szCs w:val="24"/>
          <w14:textFill>
            <w14:solidFill>
              <w14:schemeClr w14:val="tx1"/>
            </w14:solidFill>
          </w14:textFill>
        </w:rPr>
        <w:t>评委评分：评委按照《详细评审标准》评分，投标人详细评审得分等于全部评委评分的算术平均值。</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3.</w:t>
      </w:r>
      <w:r>
        <w:rPr>
          <w:rFonts w:hint="eastAsia" w:cs="Arial" w:asciiTheme="minorEastAsia" w:hAnsiTheme="minorEastAsia"/>
          <w:kern w:val="0"/>
          <w:sz w:val="24"/>
          <w:szCs w:val="24"/>
        </w:rPr>
        <w:t>5</w:t>
      </w:r>
      <w:r>
        <w:rPr>
          <w:rFonts w:cs="Arial" w:asciiTheme="minorEastAsia" w:hAnsiTheme="minorEastAsia"/>
          <w:kern w:val="0"/>
          <w:sz w:val="24"/>
          <w:szCs w:val="24"/>
        </w:rPr>
        <w:t xml:space="preserve">.4 </w:t>
      </w:r>
      <w:r>
        <w:rPr>
          <w:rFonts w:hint="eastAsia" w:cs="Arial" w:asciiTheme="minorEastAsia" w:hAnsiTheme="minorEastAsia"/>
          <w:kern w:val="0"/>
          <w:sz w:val="24"/>
          <w:szCs w:val="24"/>
        </w:rPr>
        <w:t>算术错误修正：投标价格有算术错误的，评标委员会按以下原则对投标价格进行修正，修正的价格经投标人书面确认后具有约束力。投标人不接受修正价格的，其投标将被否决。</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hint="eastAsia" w:cs="Arial" w:asciiTheme="minorEastAsia" w:hAnsiTheme="minorEastAsia"/>
          <w:kern w:val="0"/>
          <w:sz w:val="24"/>
          <w:szCs w:val="24"/>
        </w:rPr>
        <w:t>（</w:t>
      </w:r>
      <w:r>
        <w:rPr>
          <w:rFonts w:cs="Arial" w:asciiTheme="minorEastAsia" w:hAnsiTheme="minorEastAsia"/>
          <w:kern w:val="0"/>
          <w:sz w:val="24"/>
          <w:szCs w:val="24"/>
        </w:rPr>
        <w:t>1</w:t>
      </w:r>
      <w:r>
        <w:rPr>
          <w:rFonts w:hint="eastAsia" w:cs="Arial" w:asciiTheme="minorEastAsia" w:hAnsiTheme="minorEastAsia"/>
          <w:kern w:val="0"/>
          <w:sz w:val="24"/>
          <w:szCs w:val="24"/>
        </w:rPr>
        <w:t>）投标文件中的大写金额与小写金额不一致的，以大写金额为准；</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hint="eastAsia" w:cs="Arial" w:asciiTheme="minorEastAsia" w:hAnsiTheme="minorEastAsia"/>
          <w:kern w:val="0"/>
          <w:sz w:val="24"/>
          <w:szCs w:val="24"/>
        </w:rPr>
        <w:t>（</w:t>
      </w:r>
      <w:r>
        <w:rPr>
          <w:rFonts w:cs="Arial" w:asciiTheme="minorEastAsia" w:hAnsiTheme="minorEastAsia"/>
          <w:kern w:val="0"/>
          <w:sz w:val="24"/>
          <w:szCs w:val="24"/>
        </w:rPr>
        <w:t>2</w:t>
      </w:r>
      <w:r>
        <w:rPr>
          <w:rFonts w:hint="eastAsia" w:cs="Arial" w:asciiTheme="minorEastAsia" w:hAnsiTheme="minorEastAsia"/>
          <w:kern w:val="0"/>
          <w:sz w:val="24"/>
          <w:szCs w:val="24"/>
        </w:rPr>
        <w:t>）总价金额与依据单价计算出的结果不一致的，以单价金额为准修正总价，但单价金额小数点有明显错误的除外。</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3.</w:t>
      </w:r>
      <w:r>
        <w:rPr>
          <w:rFonts w:hint="eastAsia" w:cs="Arial" w:asciiTheme="minorEastAsia" w:hAnsiTheme="minorEastAsia"/>
          <w:kern w:val="0"/>
          <w:sz w:val="24"/>
          <w:szCs w:val="24"/>
        </w:rPr>
        <w:t>5</w:t>
      </w:r>
      <w:r>
        <w:rPr>
          <w:rFonts w:cs="Arial" w:asciiTheme="minorEastAsia" w:hAnsiTheme="minorEastAsia"/>
          <w:kern w:val="0"/>
          <w:sz w:val="24"/>
          <w:szCs w:val="24"/>
        </w:rPr>
        <w:t xml:space="preserve">.5 </w:t>
      </w:r>
      <w:r>
        <w:rPr>
          <w:rFonts w:hint="eastAsia" w:cs="Arial" w:asciiTheme="minorEastAsia" w:hAnsiTheme="minorEastAsia"/>
          <w:kern w:val="0"/>
          <w:sz w:val="24"/>
          <w:szCs w:val="24"/>
        </w:rPr>
        <w:t>评标委员会发现投标人的报价明显低于其他投标人投标价格，使得其投标价格可能低于其成本的，应当要求该投标人作出书面说明并提供相应的证明材料。投标人不能合理说明或者不能提供相应证明材料的，由评标委员会认定该投标人以低于成本报价竞标，否决其投标。</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3.</w:t>
      </w:r>
      <w:r>
        <w:rPr>
          <w:rFonts w:hint="eastAsia" w:cs="Arial" w:asciiTheme="minorEastAsia" w:hAnsiTheme="minorEastAsia"/>
          <w:kern w:val="0"/>
          <w:sz w:val="24"/>
          <w:szCs w:val="24"/>
        </w:rPr>
        <w:t>5</w:t>
      </w:r>
      <w:r>
        <w:rPr>
          <w:rFonts w:cs="Arial" w:asciiTheme="minorEastAsia" w:hAnsiTheme="minorEastAsia"/>
          <w:kern w:val="0"/>
          <w:sz w:val="24"/>
          <w:szCs w:val="24"/>
        </w:rPr>
        <w:t xml:space="preserve">.6 </w:t>
      </w:r>
      <w:r>
        <w:rPr>
          <w:rFonts w:hint="eastAsia" w:cs="Arial" w:asciiTheme="minorEastAsia" w:hAnsiTheme="minorEastAsia"/>
          <w:kern w:val="0"/>
          <w:sz w:val="24"/>
          <w:szCs w:val="24"/>
        </w:rPr>
        <w:t>投标报价评分：对投标报价进行投标报价得分计算，计算方法详见评标办法前附表。</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3.</w:t>
      </w:r>
      <w:r>
        <w:rPr>
          <w:rFonts w:hint="eastAsia" w:cs="Arial" w:asciiTheme="minorEastAsia" w:hAnsiTheme="minorEastAsia"/>
          <w:kern w:val="0"/>
          <w:sz w:val="24"/>
          <w:szCs w:val="24"/>
        </w:rPr>
        <w:t>5</w:t>
      </w:r>
      <w:r>
        <w:rPr>
          <w:rFonts w:cs="Arial" w:asciiTheme="minorEastAsia" w:hAnsiTheme="minorEastAsia"/>
          <w:kern w:val="0"/>
          <w:sz w:val="24"/>
          <w:szCs w:val="24"/>
        </w:rPr>
        <w:t xml:space="preserve">.7 </w:t>
      </w:r>
      <w:r>
        <w:rPr>
          <w:rFonts w:hint="eastAsia" w:cs="Arial" w:asciiTheme="minorEastAsia" w:hAnsiTheme="minorEastAsia"/>
          <w:kern w:val="0"/>
          <w:sz w:val="24"/>
          <w:szCs w:val="24"/>
        </w:rPr>
        <w:t>汇总评分结果，评分分值计算保留小数点后两位，小数点后第三位“四舍五入”。</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3.</w:t>
      </w:r>
      <w:r>
        <w:rPr>
          <w:rFonts w:hint="eastAsia" w:cs="Arial" w:asciiTheme="minorEastAsia" w:hAnsiTheme="minorEastAsia"/>
          <w:kern w:val="0"/>
          <w:sz w:val="24"/>
          <w:szCs w:val="24"/>
        </w:rPr>
        <w:t>5</w:t>
      </w:r>
      <w:r>
        <w:rPr>
          <w:rFonts w:cs="Arial" w:asciiTheme="minorEastAsia" w:hAnsiTheme="minorEastAsia"/>
          <w:kern w:val="0"/>
          <w:sz w:val="24"/>
          <w:szCs w:val="24"/>
        </w:rPr>
        <w:t xml:space="preserve">.8 </w:t>
      </w:r>
      <w:r>
        <w:rPr>
          <w:rFonts w:hint="eastAsia" w:cs="Arial" w:asciiTheme="minorEastAsia" w:hAnsiTheme="minorEastAsia"/>
          <w:kern w:val="0"/>
          <w:sz w:val="24"/>
          <w:szCs w:val="24"/>
        </w:rPr>
        <w:t>详细评审工作全部结束后，投标人总得分排序按照以下原则进行。</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hint="eastAsia" w:cs="Arial" w:asciiTheme="minorEastAsia" w:hAnsiTheme="minorEastAsia"/>
          <w:kern w:val="0"/>
          <w:sz w:val="24"/>
          <w:szCs w:val="24"/>
        </w:rPr>
        <w:t>3.5.8.1按照总得分由高到低顺序对投标人进行排序；</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hint="eastAsia" w:cs="Arial" w:asciiTheme="minorEastAsia" w:hAnsiTheme="minorEastAsia"/>
          <w:kern w:val="0"/>
          <w:sz w:val="24"/>
          <w:szCs w:val="24"/>
        </w:rPr>
        <w:t>3.5.8.2总</w:t>
      </w:r>
      <w:r>
        <w:rPr>
          <w:rFonts w:cs="Arial" w:asciiTheme="minorEastAsia" w:hAnsiTheme="minorEastAsia"/>
          <w:kern w:val="0"/>
          <w:sz w:val="24"/>
          <w:szCs w:val="24"/>
        </w:rPr>
        <w:t>得分</w:t>
      </w:r>
      <w:r>
        <w:rPr>
          <w:rFonts w:hint="eastAsia" w:cs="Arial" w:asciiTheme="minorEastAsia" w:hAnsiTheme="minorEastAsia"/>
          <w:kern w:val="0"/>
          <w:sz w:val="24"/>
          <w:szCs w:val="24"/>
        </w:rPr>
        <w:t>相同时报价低的</w:t>
      </w:r>
      <w:r>
        <w:rPr>
          <w:rFonts w:cs="Arial" w:asciiTheme="minorEastAsia" w:hAnsiTheme="minorEastAsia"/>
          <w:kern w:val="0"/>
          <w:sz w:val="24"/>
          <w:szCs w:val="24"/>
        </w:rPr>
        <w:t>投标人</w:t>
      </w:r>
      <w:r>
        <w:rPr>
          <w:rFonts w:hint="eastAsia" w:cs="Arial" w:asciiTheme="minorEastAsia" w:hAnsiTheme="minorEastAsia"/>
          <w:kern w:val="0"/>
          <w:sz w:val="24"/>
          <w:szCs w:val="24"/>
        </w:rPr>
        <w:t>排序靠前；</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hint="eastAsia" w:cs="Arial" w:asciiTheme="minorEastAsia" w:hAnsiTheme="minorEastAsia"/>
          <w:kern w:val="0"/>
          <w:sz w:val="24"/>
          <w:szCs w:val="24"/>
        </w:rPr>
        <w:t>3.5.8.3总</w:t>
      </w:r>
      <w:r>
        <w:rPr>
          <w:rFonts w:cs="Arial" w:asciiTheme="minorEastAsia" w:hAnsiTheme="minorEastAsia"/>
          <w:kern w:val="0"/>
          <w:sz w:val="24"/>
          <w:szCs w:val="24"/>
        </w:rPr>
        <w:t>得分相同</w:t>
      </w:r>
      <w:r>
        <w:rPr>
          <w:rFonts w:hint="eastAsia" w:cs="Arial" w:asciiTheme="minorEastAsia" w:hAnsiTheme="minorEastAsia"/>
          <w:kern w:val="0"/>
          <w:sz w:val="24"/>
          <w:szCs w:val="24"/>
        </w:rPr>
        <w:t>且报价相同的</w:t>
      </w:r>
      <w:r>
        <w:rPr>
          <w:rFonts w:cs="Arial" w:asciiTheme="minorEastAsia" w:hAnsiTheme="minorEastAsia"/>
          <w:kern w:val="0"/>
          <w:sz w:val="24"/>
          <w:szCs w:val="24"/>
        </w:rPr>
        <w:t>，</w:t>
      </w:r>
      <w:r>
        <w:rPr>
          <w:rFonts w:hint="eastAsia" w:cs="Arial" w:asciiTheme="minorEastAsia" w:hAnsiTheme="minorEastAsia"/>
          <w:kern w:val="0"/>
          <w:sz w:val="24"/>
          <w:szCs w:val="24"/>
        </w:rPr>
        <w:t>采取随机抽取方式</w:t>
      </w:r>
      <w:r>
        <w:rPr>
          <w:rFonts w:cs="Arial" w:asciiTheme="minorEastAsia" w:hAnsiTheme="minorEastAsia"/>
          <w:kern w:val="0"/>
          <w:sz w:val="24"/>
          <w:szCs w:val="24"/>
        </w:rPr>
        <w:t>确定</w:t>
      </w:r>
      <w:r>
        <w:rPr>
          <w:rFonts w:hint="eastAsia" w:cs="Arial" w:asciiTheme="minorEastAsia" w:hAnsiTheme="minorEastAsia"/>
          <w:kern w:val="0"/>
          <w:sz w:val="24"/>
          <w:szCs w:val="24"/>
        </w:rPr>
        <w:t>排序顺序。</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3.</w:t>
      </w:r>
      <w:r>
        <w:rPr>
          <w:rFonts w:hint="eastAsia" w:cs="Arial" w:asciiTheme="minorEastAsia" w:hAnsiTheme="minorEastAsia"/>
          <w:kern w:val="0"/>
          <w:sz w:val="24"/>
          <w:szCs w:val="24"/>
        </w:rPr>
        <w:t>6推荐中标候选人及提交评标报告</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3.</w:t>
      </w:r>
      <w:r>
        <w:rPr>
          <w:rFonts w:hint="eastAsia" w:cs="Arial" w:asciiTheme="minorEastAsia" w:hAnsiTheme="minorEastAsia"/>
          <w:kern w:val="0"/>
          <w:sz w:val="24"/>
          <w:szCs w:val="24"/>
        </w:rPr>
        <w:t>6</w:t>
      </w:r>
      <w:r>
        <w:rPr>
          <w:rFonts w:cs="Arial" w:asciiTheme="minorEastAsia" w:hAnsiTheme="minorEastAsia"/>
          <w:kern w:val="0"/>
          <w:sz w:val="24"/>
          <w:szCs w:val="24"/>
        </w:rPr>
        <w:t>.1</w:t>
      </w:r>
      <w:r>
        <w:rPr>
          <w:rFonts w:hint="eastAsia" w:cs="Arial" w:asciiTheme="minorEastAsia" w:hAnsiTheme="minorEastAsia"/>
          <w:kern w:val="0"/>
          <w:sz w:val="24"/>
          <w:szCs w:val="24"/>
        </w:rPr>
        <w:t>评标委员会推荐中标候选人，总得分排序第一的投标人将被确定为第一中标候选人，以此类推确定出规定数量的的中标候选人。</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3.</w:t>
      </w:r>
      <w:r>
        <w:rPr>
          <w:rFonts w:hint="eastAsia" w:cs="Arial" w:asciiTheme="minorEastAsia" w:hAnsiTheme="minorEastAsia"/>
          <w:kern w:val="0"/>
          <w:sz w:val="24"/>
          <w:szCs w:val="24"/>
        </w:rPr>
        <w:t>6</w:t>
      </w:r>
      <w:r>
        <w:rPr>
          <w:rFonts w:cs="Arial" w:asciiTheme="minorEastAsia" w:hAnsiTheme="minorEastAsia"/>
          <w:kern w:val="0"/>
          <w:sz w:val="24"/>
          <w:szCs w:val="24"/>
        </w:rPr>
        <w:t>.2</w:t>
      </w:r>
      <w:r>
        <w:rPr>
          <w:rFonts w:hint="eastAsia" w:cs="Arial" w:asciiTheme="minorEastAsia" w:hAnsiTheme="minorEastAsia"/>
          <w:kern w:val="0"/>
          <w:sz w:val="24"/>
          <w:szCs w:val="24"/>
        </w:rPr>
        <w:t>当通过了资格审查、完备性及符合性审查后，投标人少于3个时，采购人应当依法重新招标。</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3.</w:t>
      </w:r>
      <w:r>
        <w:rPr>
          <w:rFonts w:hint="eastAsia" w:cs="Arial" w:asciiTheme="minorEastAsia" w:hAnsiTheme="minorEastAsia"/>
          <w:kern w:val="0"/>
          <w:sz w:val="24"/>
          <w:szCs w:val="24"/>
        </w:rPr>
        <w:t>6</w:t>
      </w:r>
      <w:r>
        <w:rPr>
          <w:rFonts w:cs="Arial" w:asciiTheme="minorEastAsia" w:hAnsiTheme="minorEastAsia"/>
          <w:kern w:val="0"/>
          <w:sz w:val="24"/>
          <w:szCs w:val="24"/>
        </w:rPr>
        <w:t xml:space="preserve">.3 </w:t>
      </w:r>
      <w:r>
        <w:rPr>
          <w:rFonts w:hint="eastAsia" w:cs="Arial" w:asciiTheme="minorEastAsia" w:hAnsiTheme="minorEastAsia"/>
          <w:kern w:val="0"/>
          <w:sz w:val="24"/>
          <w:szCs w:val="24"/>
        </w:rPr>
        <w:t>评标委员会完成评标后，应当向采购人提交书面评标报告。</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3.</w:t>
      </w:r>
      <w:r>
        <w:rPr>
          <w:rFonts w:hint="eastAsia" w:cs="Arial" w:asciiTheme="minorEastAsia" w:hAnsiTheme="minorEastAsia"/>
          <w:kern w:val="0"/>
          <w:sz w:val="24"/>
          <w:szCs w:val="24"/>
        </w:rPr>
        <w:t>7特殊情况的处置程序</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3.</w:t>
      </w:r>
      <w:r>
        <w:rPr>
          <w:rFonts w:hint="eastAsia" w:cs="Arial" w:asciiTheme="minorEastAsia" w:hAnsiTheme="minorEastAsia"/>
          <w:kern w:val="0"/>
          <w:sz w:val="24"/>
          <w:szCs w:val="24"/>
        </w:rPr>
        <w:t>7</w:t>
      </w:r>
      <w:r>
        <w:rPr>
          <w:rFonts w:cs="Arial" w:asciiTheme="minorEastAsia" w:hAnsiTheme="minorEastAsia"/>
          <w:kern w:val="0"/>
          <w:sz w:val="24"/>
          <w:szCs w:val="24"/>
        </w:rPr>
        <w:t xml:space="preserve">.1 </w:t>
      </w:r>
      <w:r>
        <w:rPr>
          <w:rFonts w:hint="eastAsia" w:cs="Arial" w:asciiTheme="minorEastAsia" w:hAnsiTheme="minorEastAsia"/>
          <w:kern w:val="0"/>
          <w:sz w:val="24"/>
          <w:szCs w:val="24"/>
        </w:rPr>
        <w:t>关于评标活动暂停</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hint="eastAsia" w:cs="Arial" w:asciiTheme="minorEastAsia" w:hAnsiTheme="minorEastAsia"/>
          <w:kern w:val="0"/>
          <w:sz w:val="24"/>
          <w:szCs w:val="24"/>
        </w:rPr>
        <w:t>评标委员会应当执行连续评标的原则，按评标办法中规定的程序、内容、方法、标准完成全部评标工作。只有发生不可抗力导致评标工作无法继续时，评标活动方可暂停。发生评标暂停情况时，应当封存全部投标文件和评标记录，待不可抗力的影响结束且具备继续评标的条件时，由原评标委员会继续评标。</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3.</w:t>
      </w:r>
      <w:r>
        <w:rPr>
          <w:rFonts w:hint="eastAsia" w:cs="Arial" w:asciiTheme="minorEastAsia" w:hAnsiTheme="minorEastAsia"/>
          <w:kern w:val="0"/>
          <w:sz w:val="24"/>
          <w:szCs w:val="24"/>
        </w:rPr>
        <w:t>7</w:t>
      </w:r>
      <w:r>
        <w:rPr>
          <w:rFonts w:cs="Arial" w:asciiTheme="minorEastAsia" w:hAnsiTheme="minorEastAsia"/>
          <w:kern w:val="0"/>
          <w:sz w:val="24"/>
          <w:szCs w:val="24"/>
        </w:rPr>
        <w:t>.2</w:t>
      </w:r>
      <w:r>
        <w:rPr>
          <w:rFonts w:hint="eastAsia" w:cs="Arial" w:asciiTheme="minorEastAsia" w:hAnsiTheme="minorEastAsia"/>
          <w:kern w:val="0"/>
          <w:sz w:val="24"/>
          <w:szCs w:val="24"/>
        </w:rPr>
        <w:t>关于评标中途更换评委</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3.</w:t>
      </w:r>
      <w:r>
        <w:rPr>
          <w:rFonts w:hint="eastAsia" w:cs="Arial" w:asciiTheme="minorEastAsia" w:hAnsiTheme="minorEastAsia"/>
          <w:kern w:val="0"/>
          <w:sz w:val="24"/>
          <w:szCs w:val="24"/>
        </w:rPr>
        <w:t>7</w:t>
      </w:r>
      <w:r>
        <w:rPr>
          <w:rFonts w:cs="Arial" w:asciiTheme="minorEastAsia" w:hAnsiTheme="minorEastAsia"/>
          <w:kern w:val="0"/>
          <w:sz w:val="24"/>
          <w:szCs w:val="24"/>
        </w:rPr>
        <w:t xml:space="preserve">.2.1 </w:t>
      </w:r>
      <w:r>
        <w:rPr>
          <w:rFonts w:hint="eastAsia" w:cs="Arial" w:asciiTheme="minorEastAsia" w:hAnsiTheme="minorEastAsia"/>
          <w:kern w:val="0"/>
          <w:sz w:val="24"/>
          <w:szCs w:val="24"/>
        </w:rPr>
        <w:t>除非发生下列情况之一，评标委员会成员不得在评标中途更换：</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hint="eastAsia" w:cs="Arial" w:asciiTheme="minorEastAsia" w:hAnsiTheme="minorEastAsia"/>
          <w:kern w:val="0"/>
          <w:sz w:val="24"/>
          <w:szCs w:val="24"/>
        </w:rPr>
        <w:t>（</w:t>
      </w:r>
      <w:r>
        <w:rPr>
          <w:rFonts w:cs="Arial" w:asciiTheme="minorEastAsia" w:hAnsiTheme="minorEastAsia"/>
          <w:kern w:val="0"/>
          <w:sz w:val="24"/>
          <w:szCs w:val="24"/>
        </w:rPr>
        <w:t>1</w:t>
      </w:r>
      <w:r>
        <w:rPr>
          <w:rFonts w:hint="eastAsia" w:cs="Arial" w:asciiTheme="minorEastAsia" w:hAnsiTheme="minorEastAsia"/>
          <w:kern w:val="0"/>
          <w:sz w:val="24"/>
          <w:szCs w:val="24"/>
        </w:rPr>
        <w:t>）因不可抗拒的客观原因，不能到场或需在评标中途退出评标活动。</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hint="eastAsia" w:cs="Arial" w:asciiTheme="minorEastAsia" w:hAnsiTheme="minorEastAsia"/>
          <w:kern w:val="0"/>
          <w:sz w:val="24"/>
          <w:szCs w:val="24"/>
        </w:rPr>
        <w:t>（</w:t>
      </w:r>
      <w:r>
        <w:rPr>
          <w:rFonts w:cs="Arial" w:asciiTheme="minorEastAsia" w:hAnsiTheme="minorEastAsia"/>
          <w:kern w:val="0"/>
          <w:sz w:val="24"/>
          <w:szCs w:val="24"/>
        </w:rPr>
        <w:t>2</w:t>
      </w:r>
      <w:r>
        <w:rPr>
          <w:rFonts w:hint="eastAsia" w:cs="Arial" w:asciiTheme="minorEastAsia" w:hAnsiTheme="minorEastAsia"/>
          <w:kern w:val="0"/>
          <w:sz w:val="24"/>
          <w:szCs w:val="24"/>
        </w:rPr>
        <w:t>）根据法律法规规定，某个或某几个评标委员会成员需要回避。</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3.</w:t>
      </w:r>
      <w:r>
        <w:rPr>
          <w:rFonts w:hint="eastAsia" w:cs="Arial" w:asciiTheme="minorEastAsia" w:hAnsiTheme="minorEastAsia"/>
          <w:kern w:val="0"/>
          <w:sz w:val="24"/>
          <w:szCs w:val="24"/>
        </w:rPr>
        <w:t>7</w:t>
      </w:r>
      <w:r>
        <w:rPr>
          <w:rFonts w:cs="Arial" w:asciiTheme="minorEastAsia" w:hAnsiTheme="minorEastAsia"/>
          <w:kern w:val="0"/>
          <w:sz w:val="24"/>
          <w:szCs w:val="24"/>
        </w:rPr>
        <w:t xml:space="preserve">.2.2 </w:t>
      </w:r>
      <w:r>
        <w:rPr>
          <w:rFonts w:hint="eastAsia" w:cs="Arial" w:asciiTheme="minorEastAsia" w:hAnsiTheme="minorEastAsia"/>
          <w:kern w:val="0"/>
          <w:sz w:val="24"/>
          <w:szCs w:val="24"/>
        </w:rPr>
        <w:t>退出评标的评标委员会成员，其已完成的评标行为无效，由更换的评委进行评标。</w:t>
      </w:r>
    </w:p>
    <w:p>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3.</w:t>
      </w:r>
      <w:r>
        <w:rPr>
          <w:rFonts w:hint="eastAsia" w:cs="Arial" w:asciiTheme="minorEastAsia" w:hAnsiTheme="minorEastAsia"/>
          <w:kern w:val="0"/>
          <w:sz w:val="24"/>
          <w:szCs w:val="24"/>
        </w:rPr>
        <w:t>7</w:t>
      </w:r>
      <w:r>
        <w:rPr>
          <w:rFonts w:cs="Arial" w:asciiTheme="minorEastAsia" w:hAnsiTheme="minorEastAsia"/>
          <w:kern w:val="0"/>
          <w:sz w:val="24"/>
          <w:szCs w:val="24"/>
        </w:rPr>
        <w:t xml:space="preserve">.3 </w:t>
      </w:r>
      <w:r>
        <w:rPr>
          <w:rFonts w:hint="eastAsia" w:cs="Arial" w:asciiTheme="minorEastAsia" w:hAnsiTheme="minorEastAsia"/>
          <w:kern w:val="0"/>
          <w:sz w:val="24"/>
          <w:szCs w:val="24"/>
        </w:rPr>
        <w:t>在评标环节中，需评标委员会就某项定性的评审结论做出表决的，由评标委员会全体成员按照少数服从多数的原则确定。</w:t>
      </w:r>
    </w:p>
    <w:p>
      <w:pPr>
        <w:widowControl/>
        <w:ind w:firstLine="482"/>
        <w:jc w:val="center"/>
        <w:rPr>
          <w:rFonts w:cs="宋体" w:asciiTheme="minorEastAsia" w:hAnsiTheme="minorEastAsia"/>
          <w:b/>
          <w:sz w:val="24"/>
          <w:szCs w:val="24"/>
        </w:rPr>
      </w:pPr>
      <w:r>
        <w:rPr>
          <w:rFonts w:cs="宋体" w:asciiTheme="minorEastAsia" w:hAnsiTheme="minorEastAsia"/>
          <w:b/>
          <w:sz w:val="24"/>
          <w:szCs w:val="24"/>
        </w:rPr>
        <w:br w:type="page"/>
      </w:r>
      <w:bookmarkStart w:id="53" w:name="_Toc485312286"/>
      <w:r>
        <w:rPr>
          <w:rFonts w:hint="eastAsia" w:cs="Times New Roman" w:asciiTheme="minorEastAsia" w:hAnsiTheme="minorEastAsia"/>
          <w:b/>
          <w:sz w:val="24"/>
          <w:szCs w:val="24"/>
        </w:rPr>
        <w:t>问题澄清通知</w:t>
      </w:r>
    </w:p>
    <w:p>
      <w:pPr>
        <w:rPr>
          <w:rFonts w:cs="Times New Roman" w:asciiTheme="minorEastAsia" w:hAnsiTheme="minorEastAsia"/>
          <w:sz w:val="24"/>
          <w:szCs w:val="24"/>
        </w:rPr>
      </w:pPr>
    </w:p>
    <w:p>
      <w:pPr>
        <w:rPr>
          <w:rFonts w:cs="Arial" w:asciiTheme="minorEastAsia" w:hAnsiTheme="minorEastAsia"/>
          <w:kern w:val="0"/>
          <w:sz w:val="24"/>
          <w:szCs w:val="24"/>
        </w:rPr>
      </w:pPr>
      <w:r>
        <w:rPr>
          <w:rFonts w:hint="eastAsia" w:cs="Arial" w:asciiTheme="minorEastAsia" w:hAnsiTheme="minorEastAsia"/>
          <w:kern w:val="0"/>
          <w:sz w:val="24"/>
          <w:szCs w:val="24"/>
        </w:rPr>
        <w:t>（投标人名称）：</w:t>
      </w:r>
    </w:p>
    <w:p>
      <w:pPr>
        <w:ind w:firstLine="480" w:firstLineChars="200"/>
        <w:rPr>
          <w:rFonts w:cs="Arial" w:asciiTheme="minorEastAsia" w:hAnsiTheme="minorEastAsia"/>
          <w:kern w:val="0"/>
          <w:sz w:val="24"/>
          <w:szCs w:val="24"/>
        </w:rPr>
      </w:pPr>
      <w:r>
        <w:rPr>
          <w:rFonts w:hint="eastAsia" w:cs="Arial" w:asciiTheme="minorEastAsia" w:hAnsiTheme="minorEastAsia"/>
          <w:kern w:val="0"/>
          <w:sz w:val="24"/>
          <w:szCs w:val="24"/>
        </w:rPr>
        <w:t>（招标项目名称）招标的评标委员会，对你方的投标文件进行了仔细的审查，现需你方对本通知所附质疑问卷中的问题以书面形式予以澄清、说明或者补正。</w:t>
      </w:r>
    </w:p>
    <w:p>
      <w:pPr>
        <w:rPr>
          <w:rFonts w:cs="Arial" w:asciiTheme="minorEastAsia" w:hAnsiTheme="minorEastAsia"/>
          <w:kern w:val="0"/>
          <w:sz w:val="24"/>
          <w:szCs w:val="24"/>
        </w:rPr>
      </w:pPr>
      <w:r>
        <w:rPr>
          <w:rFonts w:hint="eastAsia" w:cs="Arial" w:asciiTheme="minorEastAsia" w:hAnsiTheme="minorEastAsia"/>
          <w:kern w:val="0"/>
          <w:sz w:val="24"/>
          <w:szCs w:val="24"/>
        </w:rPr>
        <w:t>质疑问题：</w:t>
      </w:r>
    </w:p>
    <w:p>
      <w:pPr>
        <w:rPr>
          <w:rFonts w:cs="Arial" w:asciiTheme="minorEastAsia" w:hAnsiTheme="minorEastAsia"/>
          <w:kern w:val="0"/>
          <w:sz w:val="24"/>
          <w:szCs w:val="24"/>
        </w:rPr>
      </w:pPr>
    </w:p>
    <w:p>
      <w:pPr>
        <w:rPr>
          <w:rFonts w:cs="Arial" w:asciiTheme="minorEastAsia" w:hAnsiTheme="minorEastAsia"/>
          <w:kern w:val="0"/>
          <w:sz w:val="24"/>
          <w:szCs w:val="24"/>
        </w:rPr>
      </w:pPr>
    </w:p>
    <w:p>
      <w:pPr>
        <w:rPr>
          <w:rFonts w:cs="Arial" w:asciiTheme="minorEastAsia" w:hAnsiTheme="minorEastAsia"/>
          <w:kern w:val="0"/>
          <w:sz w:val="24"/>
          <w:szCs w:val="24"/>
        </w:rPr>
      </w:pPr>
    </w:p>
    <w:p>
      <w:pPr>
        <w:rPr>
          <w:rFonts w:cs="Arial" w:asciiTheme="minorEastAsia" w:hAnsiTheme="minorEastAsia"/>
          <w:kern w:val="0"/>
          <w:sz w:val="24"/>
          <w:szCs w:val="24"/>
        </w:rPr>
      </w:pPr>
    </w:p>
    <w:p>
      <w:pPr>
        <w:rPr>
          <w:rFonts w:cs="Arial" w:asciiTheme="minorEastAsia" w:hAnsiTheme="minorEastAsia"/>
          <w:kern w:val="0"/>
          <w:sz w:val="24"/>
          <w:szCs w:val="24"/>
        </w:rPr>
      </w:pPr>
    </w:p>
    <w:p>
      <w:pPr>
        <w:rPr>
          <w:rFonts w:cs="Arial" w:asciiTheme="minorEastAsia" w:hAnsiTheme="minorEastAsia"/>
          <w:kern w:val="0"/>
          <w:sz w:val="24"/>
          <w:szCs w:val="24"/>
        </w:rPr>
      </w:pPr>
    </w:p>
    <w:p>
      <w:pPr>
        <w:rPr>
          <w:rFonts w:cs="Arial" w:asciiTheme="minorEastAsia" w:hAnsiTheme="minorEastAsia"/>
          <w:kern w:val="0"/>
          <w:sz w:val="24"/>
          <w:szCs w:val="24"/>
        </w:rPr>
      </w:pPr>
    </w:p>
    <w:p>
      <w:pPr>
        <w:rPr>
          <w:rFonts w:cs="Arial" w:asciiTheme="minorEastAsia" w:hAnsiTheme="minorEastAsia"/>
          <w:kern w:val="0"/>
          <w:sz w:val="24"/>
          <w:szCs w:val="24"/>
        </w:rPr>
      </w:pPr>
    </w:p>
    <w:p>
      <w:pPr>
        <w:rPr>
          <w:rFonts w:cs="Arial" w:asciiTheme="minorEastAsia" w:hAnsiTheme="minorEastAsia"/>
          <w:kern w:val="0"/>
          <w:sz w:val="24"/>
          <w:szCs w:val="24"/>
        </w:rPr>
      </w:pPr>
    </w:p>
    <w:p>
      <w:pPr>
        <w:rPr>
          <w:rFonts w:cs="Arial" w:asciiTheme="minorEastAsia" w:hAnsiTheme="minorEastAsia"/>
          <w:kern w:val="0"/>
          <w:sz w:val="24"/>
          <w:szCs w:val="24"/>
        </w:rPr>
      </w:pPr>
    </w:p>
    <w:p>
      <w:pPr>
        <w:rPr>
          <w:rFonts w:cs="Arial" w:asciiTheme="minorEastAsia" w:hAnsiTheme="minorEastAsia"/>
          <w:kern w:val="0"/>
          <w:sz w:val="24"/>
          <w:szCs w:val="24"/>
        </w:rPr>
      </w:pPr>
      <w:r>
        <w:rPr>
          <w:rFonts w:hint="eastAsia" w:cs="Arial" w:asciiTheme="minorEastAsia" w:hAnsiTheme="minorEastAsia"/>
          <w:kern w:val="0"/>
          <w:sz w:val="24"/>
          <w:szCs w:val="24"/>
        </w:rPr>
        <w:t>评标委员会员（签字）：</w:t>
      </w:r>
    </w:p>
    <w:p>
      <w:pPr>
        <w:rPr>
          <w:rFonts w:cs="Arial" w:asciiTheme="minorEastAsia" w:hAnsiTheme="minorEastAsia"/>
          <w:kern w:val="0"/>
          <w:sz w:val="24"/>
          <w:szCs w:val="24"/>
        </w:rPr>
      </w:pPr>
    </w:p>
    <w:p>
      <w:pPr>
        <w:rPr>
          <w:rFonts w:cs="Arial" w:asciiTheme="minorEastAsia" w:hAnsiTheme="minorEastAsia"/>
          <w:kern w:val="0"/>
          <w:sz w:val="24"/>
          <w:szCs w:val="24"/>
        </w:rPr>
      </w:pPr>
      <w:r>
        <w:rPr>
          <w:rFonts w:hint="eastAsia" w:cs="Arial" w:asciiTheme="minorEastAsia" w:hAnsiTheme="minorEastAsia"/>
          <w:kern w:val="0"/>
          <w:sz w:val="24"/>
          <w:szCs w:val="24"/>
        </w:rPr>
        <w:t>日期：年月日</w:t>
      </w:r>
    </w:p>
    <w:p>
      <w:pPr>
        <w:jc w:val="center"/>
        <w:rPr>
          <w:rFonts w:cs="Times New Roman" w:asciiTheme="minorEastAsia" w:hAnsiTheme="minorEastAsia"/>
          <w:b/>
          <w:sz w:val="24"/>
          <w:szCs w:val="24"/>
        </w:rPr>
      </w:pPr>
      <w:r>
        <w:rPr>
          <w:rFonts w:cs="Arial" w:asciiTheme="minorEastAsia" w:hAnsiTheme="minorEastAsia"/>
          <w:kern w:val="0"/>
          <w:sz w:val="24"/>
          <w:szCs w:val="24"/>
        </w:rPr>
        <w:br w:type="page"/>
      </w:r>
      <w:r>
        <w:rPr>
          <w:rFonts w:hint="eastAsia" w:cs="Times New Roman" w:asciiTheme="minorEastAsia" w:hAnsiTheme="minorEastAsia"/>
          <w:b/>
          <w:sz w:val="24"/>
          <w:szCs w:val="24"/>
        </w:rPr>
        <w:t>问题的澄清、说明或补正</w:t>
      </w:r>
    </w:p>
    <w:p>
      <w:pPr>
        <w:rPr>
          <w:rFonts w:cs="Arial" w:asciiTheme="minorEastAsia" w:hAnsiTheme="minorEastAsia"/>
          <w:kern w:val="0"/>
          <w:sz w:val="24"/>
          <w:szCs w:val="24"/>
        </w:rPr>
      </w:pPr>
    </w:p>
    <w:p>
      <w:pPr>
        <w:rPr>
          <w:rFonts w:cs="Arial" w:asciiTheme="minorEastAsia" w:hAnsiTheme="minorEastAsia"/>
          <w:kern w:val="0"/>
          <w:sz w:val="24"/>
          <w:szCs w:val="24"/>
        </w:rPr>
      </w:pPr>
      <w:r>
        <w:rPr>
          <w:rFonts w:hint="eastAsia" w:cs="Arial" w:asciiTheme="minorEastAsia" w:hAnsiTheme="minorEastAsia"/>
          <w:kern w:val="0"/>
          <w:sz w:val="24"/>
          <w:szCs w:val="24"/>
        </w:rPr>
        <w:t>评标委员会：</w:t>
      </w:r>
    </w:p>
    <w:p>
      <w:pPr>
        <w:ind w:firstLine="480" w:firstLineChars="200"/>
        <w:rPr>
          <w:rFonts w:cs="Arial" w:asciiTheme="minorEastAsia" w:hAnsiTheme="minorEastAsia"/>
          <w:kern w:val="0"/>
          <w:sz w:val="24"/>
          <w:szCs w:val="24"/>
        </w:rPr>
      </w:pPr>
      <w:r>
        <w:rPr>
          <w:rFonts w:hint="eastAsia" w:cs="Arial" w:asciiTheme="minorEastAsia" w:hAnsiTheme="minorEastAsia"/>
          <w:kern w:val="0"/>
          <w:sz w:val="24"/>
          <w:szCs w:val="24"/>
        </w:rPr>
        <w:t>（招标项目名称）的问题澄清通知已收悉，现澄清、说明或者补正如下：</w:t>
      </w:r>
    </w:p>
    <w:p>
      <w:pPr>
        <w:rPr>
          <w:rFonts w:cs="Arial" w:asciiTheme="minorEastAsia" w:hAnsiTheme="minorEastAsia"/>
          <w:kern w:val="0"/>
          <w:sz w:val="24"/>
          <w:szCs w:val="24"/>
        </w:rPr>
      </w:pPr>
    </w:p>
    <w:p>
      <w:pPr>
        <w:rPr>
          <w:rFonts w:cs="Arial" w:asciiTheme="minorEastAsia" w:hAnsiTheme="minorEastAsia"/>
          <w:kern w:val="0"/>
          <w:sz w:val="24"/>
          <w:szCs w:val="24"/>
        </w:rPr>
      </w:pPr>
    </w:p>
    <w:p>
      <w:pPr>
        <w:rPr>
          <w:rFonts w:cs="Arial" w:asciiTheme="minorEastAsia" w:hAnsiTheme="minorEastAsia"/>
          <w:kern w:val="0"/>
          <w:sz w:val="24"/>
          <w:szCs w:val="24"/>
        </w:rPr>
      </w:pPr>
    </w:p>
    <w:p>
      <w:pPr>
        <w:rPr>
          <w:rFonts w:cs="Arial" w:asciiTheme="minorEastAsia" w:hAnsiTheme="minorEastAsia"/>
          <w:kern w:val="0"/>
          <w:sz w:val="24"/>
          <w:szCs w:val="24"/>
        </w:rPr>
      </w:pPr>
    </w:p>
    <w:p>
      <w:pPr>
        <w:rPr>
          <w:rFonts w:cs="Arial" w:asciiTheme="minorEastAsia" w:hAnsiTheme="minorEastAsia"/>
          <w:kern w:val="0"/>
          <w:sz w:val="24"/>
          <w:szCs w:val="24"/>
        </w:rPr>
      </w:pPr>
    </w:p>
    <w:p>
      <w:pPr>
        <w:rPr>
          <w:rFonts w:cs="Arial" w:asciiTheme="minorEastAsia" w:hAnsiTheme="minorEastAsia"/>
          <w:kern w:val="0"/>
          <w:sz w:val="24"/>
          <w:szCs w:val="24"/>
        </w:rPr>
      </w:pPr>
    </w:p>
    <w:p>
      <w:pPr>
        <w:rPr>
          <w:rFonts w:cs="Arial" w:asciiTheme="minorEastAsia" w:hAnsiTheme="minorEastAsia"/>
          <w:kern w:val="0"/>
          <w:sz w:val="24"/>
          <w:szCs w:val="24"/>
        </w:rPr>
      </w:pPr>
    </w:p>
    <w:p>
      <w:pPr>
        <w:rPr>
          <w:rFonts w:cs="Arial" w:asciiTheme="minorEastAsia" w:hAnsiTheme="minorEastAsia"/>
          <w:kern w:val="0"/>
          <w:sz w:val="24"/>
          <w:szCs w:val="24"/>
        </w:rPr>
      </w:pPr>
    </w:p>
    <w:p>
      <w:pPr>
        <w:rPr>
          <w:rFonts w:cs="Arial" w:asciiTheme="minorEastAsia" w:hAnsiTheme="minorEastAsia"/>
          <w:kern w:val="0"/>
          <w:sz w:val="24"/>
          <w:szCs w:val="24"/>
        </w:rPr>
      </w:pPr>
    </w:p>
    <w:p>
      <w:pPr>
        <w:rPr>
          <w:rFonts w:cs="Arial" w:asciiTheme="minorEastAsia" w:hAnsiTheme="minorEastAsia"/>
          <w:kern w:val="0"/>
          <w:sz w:val="24"/>
          <w:szCs w:val="24"/>
        </w:rPr>
      </w:pPr>
      <w:r>
        <w:rPr>
          <w:rFonts w:hint="eastAsia" w:cs="Arial" w:asciiTheme="minorEastAsia" w:hAnsiTheme="minorEastAsia"/>
          <w:kern w:val="0"/>
          <w:sz w:val="24"/>
          <w:szCs w:val="24"/>
        </w:rPr>
        <w:t>法定代表人或其授权委托人（签字）：</w:t>
      </w:r>
    </w:p>
    <w:p>
      <w:pPr>
        <w:rPr>
          <w:rFonts w:cs="Arial" w:asciiTheme="minorEastAsia" w:hAnsiTheme="minorEastAsia"/>
          <w:kern w:val="0"/>
          <w:sz w:val="24"/>
          <w:szCs w:val="24"/>
        </w:rPr>
      </w:pPr>
    </w:p>
    <w:p>
      <w:pPr>
        <w:rPr>
          <w:rFonts w:cs="Arial" w:asciiTheme="minorEastAsia" w:hAnsiTheme="minorEastAsia"/>
          <w:kern w:val="0"/>
          <w:sz w:val="24"/>
          <w:szCs w:val="24"/>
        </w:rPr>
      </w:pPr>
      <w:r>
        <w:rPr>
          <w:rFonts w:hint="eastAsia" w:cs="Arial" w:asciiTheme="minorEastAsia" w:hAnsiTheme="minorEastAsia"/>
          <w:kern w:val="0"/>
          <w:sz w:val="24"/>
          <w:szCs w:val="24"/>
        </w:rPr>
        <w:t>日期：年月日</w:t>
      </w:r>
    </w:p>
    <w:p>
      <w:pPr>
        <w:spacing w:line="440" w:lineRule="exact"/>
        <w:jc w:val="center"/>
        <w:outlineLvl w:val="0"/>
        <w:rPr>
          <w:rFonts w:cs="宋体" w:asciiTheme="minorEastAsia" w:hAnsiTheme="minorEastAsia"/>
          <w:b/>
          <w:sz w:val="24"/>
          <w:szCs w:val="24"/>
        </w:rPr>
      </w:pPr>
      <w:r>
        <w:rPr>
          <w:rFonts w:cs="Arial" w:asciiTheme="minorEastAsia" w:hAnsiTheme="minorEastAsia"/>
          <w:kern w:val="0"/>
          <w:sz w:val="24"/>
          <w:szCs w:val="24"/>
        </w:rPr>
        <w:br w:type="page"/>
      </w:r>
      <w:r>
        <w:rPr>
          <w:rFonts w:hint="eastAsia" w:cs="Arial" w:asciiTheme="minorEastAsia" w:hAnsiTheme="minorEastAsia"/>
          <w:kern w:val="0"/>
          <w:sz w:val="24"/>
          <w:szCs w:val="24"/>
        </w:rPr>
        <w:t xml:space="preserve"> </w:t>
      </w:r>
      <w:bookmarkStart w:id="54" w:name="_Toc2622"/>
      <w:r>
        <w:rPr>
          <w:rFonts w:hint="eastAsia" w:cs="宋体" w:asciiTheme="minorEastAsia" w:hAnsiTheme="minorEastAsia"/>
          <w:b/>
          <w:sz w:val="24"/>
          <w:szCs w:val="24"/>
        </w:rPr>
        <w:t>第三章合同</w:t>
      </w:r>
      <w:bookmarkEnd w:id="53"/>
      <w:bookmarkEnd w:id="54"/>
    </w:p>
    <w:p>
      <w:pPr>
        <w:keepNext w:val="0"/>
        <w:keepLines w:val="0"/>
        <w:pageBreakBefore w:val="0"/>
        <w:widowControl/>
        <w:kinsoku/>
        <w:wordWrap/>
        <w:overflowPunct/>
        <w:topLinePunct w:val="0"/>
        <w:autoSpaceDE/>
        <w:autoSpaceDN/>
        <w:bidi w:val="0"/>
        <w:adjustRightInd/>
        <w:snapToGrid/>
        <w:spacing w:before="240" w:line="240" w:lineRule="auto"/>
        <w:jc w:val="center"/>
        <w:textAlignment w:val="auto"/>
        <w:rPr>
          <w:rFonts w:asciiTheme="minorEastAsia" w:hAnsiTheme="minorEastAsia" w:cstheme="minorEastAsia"/>
          <w:b/>
          <w:bCs/>
          <w:color w:val="333333"/>
          <w:kern w:val="0"/>
          <w:sz w:val="24"/>
          <w:szCs w:val="24"/>
        </w:rPr>
      </w:pPr>
      <w:r>
        <w:rPr>
          <w:rFonts w:hint="eastAsia" w:asciiTheme="minorEastAsia" w:hAnsiTheme="minorEastAsia" w:cstheme="minorEastAsia"/>
          <w:b/>
          <w:bCs/>
          <w:color w:val="333333"/>
          <w:kern w:val="0"/>
          <w:sz w:val="24"/>
          <w:szCs w:val="24"/>
        </w:rPr>
        <w:t>绿化养护承包合同</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heme="minorEastAsia" w:hAnsiTheme="minorEastAsia" w:cstheme="minorEastAsia"/>
          <w:color w:val="333333"/>
          <w:kern w:val="0"/>
          <w:sz w:val="24"/>
          <w:szCs w:val="24"/>
        </w:rPr>
      </w:pPr>
      <w:r>
        <w:rPr>
          <w:rFonts w:hint="eastAsia" w:asciiTheme="minorEastAsia" w:hAnsiTheme="minorEastAsia" w:cstheme="minorEastAsia"/>
          <w:color w:val="333333"/>
          <w:kern w:val="0"/>
          <w:sz w:val="24"/>
          <w:szCs w:val="24"/>
        </w:rPr>
        <w:t xml:space="preserve"> </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heme="minorEastAsia" w:hAnsiTheme="minorEastAsia" w:cstheme="minorEastAsia"/>
          <w:b/>
          <w:color w:val="333333"/>
          <w:kern w:val="0"/>
          <w:sz w:val="24"/>
          <w:szCs w:val="24"/>
        </w:rPr>
      </w:pPr>
      <w:r>
        <w:rPr>
          <w:rFonts w:hint="eastAsia" w:asciiTheme="minorEastAsia" w:hAnsiTheme="minorEastAsia" w:cstheme="minorEastAsia"/>
          <w:b/>
          <w:color w:val="333333"/>
          <w:kern w:val="0"/>
          <w:sz w:val="24"/>
          <w:szCs w:val="24"/>
        </w:rPr>
        <w:t>甲方：乌鲁木齐市米东区园林管理局</w:t>
      </w:r>
    </w:p>
    <w:p>
      <w:pPr>
        <w:keepNext w:val="0"/>
        <w:keepLines w:val="0"/>
        <w:pageBreakBefore w:val="0"/>
        <w:widowControl/>
        <w:kinsoku/>
        <w:wordWrap/>
        <w:overflowPunct/>
        <w:topLinePunct w:val="0"/>
        <w:autoSpaceDE/>
        <w:autoSpaceDN/>
        <w:bidi w:val="0"/>
        <w:adjustRightInd/>
        <w:snapToGrid/>
        <w:spacing w:line="240" w:lineRule="auto"/>
        <w:ind w:firstLine="482"/>
        <w:jc w:val="left"/>
        <w:textAlignment w:val="auto"/>
        <w:rPr>
          <w:rFonts w:asciiTheme="minorEastAsia" w:hAnsiTheme="minorEastAsia" w:cstheme="minorEastAsia"/>
          <w:b/>
          <w:color w:val="333333"/>
          <w:kern w:val="0"/>
          <w:sz w:val="24"/>
          <w:szCs w:val="24"/>
        </w:rPr>
      </w:pP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heme="minorEastAsia" w:hAnsiTheme="minorEastAsia" w:cstheme="minorEastAsia"/>
          <w:color w:val="333333"/>
          <w:kern w:val="0"/>
          <w:sz w:val="24"/>
          <w:szCs w:val="24"/>
        </w:rPr>
      </w:pPr>
      <w:r>
        <w:rPr>
          <w:rFonts w:hint="eastAsia" w:asciiTheme="minorEastAsia" w:hAnsiTheme="minorEastAsia" w:cstheme="minorEastAsia"/>
          <w:b/>
          <w:color w:val="333333"/>
          <w:kern w:val="0"/>
          <w:sz w:val="24"/>
          <w:szCs w:val="24"/>
        </w:rPr>
        <w:t>乙方：</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heme="minorEastAsia" w:hAnsiTheme="minorEastAsia" w:cstheme="minorEastAsia"/>
          <w:color w:val="333333"/>
          <w:kern w:val="0"/>
          <w:sz w:val="24"/>
          <w:szCs w:val="24"/>
        </w:rPr>
      </w:pPr>
      <w:r>
        <w:rPr>
          <w:rFonts w:hint="eastAsia" w:asciiTheme="minorEastAsia" w:hAnsiTheme="minorEastAsia" w:cstheme="minorEastAsia"/>
          <w:color w:val="333333"/>
          <w:kern w:val="0"/>
          <w:sz w:val="24"/>
          <w:szCs w:val="24"/>
        </w:rPr>
        <w:t xml:space="preserve">    为了进一步提高米东区的绿化养护水平，确保各类树木花草的正常生长,甲方将辖区管理的绿地承包给乙方进行养护,经双方平等协商,签订本合同。</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heme="minorEastAsia" w:hAnsiTheme="minorEastAsia" w:cstheme="minorEastAsia"/>
          <w:color w:val="333333"/>
          <w:kern w:val="0"/>
          <w:sz w:val="24"/>
          <w:szCs w:val="24"/>
        </w:rPr>
      </w:pPr>
      <w:r>
        <w:rPr>
          <w:rFonts w:hint="eastAsia" w:asciiTheme="minorEastAsia" w:hAnsiTheme="minorEastAsia" w:cstheme="minorEastAsia"/>
          <w:b/>
          <w:color w:val="333333"/>
          <w:kern w:val="0"/>
          <w:sz w:val="24"/>
          <w:szCs w:val="24"/>
        </w:rPr>
        <w:t>一、绿地养护的期限:</w:t>
      </w:r>
      <w:r>
        <w:rPr>
          <w:rFonts w:hint="eastAsia" w:asciiTheme="minorEastAsia" w:hAnsiTheme="minorEastAsia" w:cstheme="minorEastAsia"/>
          <w:color w:val="333333"/>
          <w:kern w:val="0"/>
          <w:sz w:val="24"/>
          <w:szCs w:val="24"/>
        </w:rPr>
        <w:t xml:space="preserve">   年  月  日 至   年  月  日</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heme="minorEastAsia" w:hAnsiTheme="minorEastAsia" w:cstheme="minorEastAsia"/>
          <w:b/>
          <w:color w:val="333333"/>
          <w:kern w:val="0"/>
          <w:sz w:val="24"/>
          <w:szCs w:val="24"/>
        </w:rPr>
      </w:pPr>
      <w:r>
        <w:rPr>
          <w:rFonts w:hint="eastAsia" w:asciiTheme="minorEastAsia" w:hAnsiTheme="minorEastAsia" w:cstheme="minorEastAsia"/>
          <w:b/>
          <w:color w:val="333333"/>
          <w:kern w:val="0"/>
          <w:sz w:val="24"/>
          <w:szCs w:val="24"/>
        </w:rPr>
        <w:t>二、绿地养护的面积：     平方米</w:t>
      </w:r>
    </w:p>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asciiTheme="minorEastAsia" w:hAnsiTheme="minorEastAsia" w:cstheme="minorEastAsia"/>
          <w:color w:val="333333"/>
          <w:kern w:val="0"/>
          <w:sz w:val="24"/>
          <w:szCs w:val="24"/>
        </w:rPr>
      </w:pPr>
      <w:r>
        <w:rPr>
          <w:rFonts w:hint="eastAsia" w:asciiTheme="minorEastAsia" w:hAnsiTheme="minorEastAsia" w:cstheme="minorEastAsia"/>
          <w:color w:val="333333"/>
          <w:kern w:val="0"/>
          <w:sz w:val="24"/>
          <w:szCs w:val="24"/>
        </w:rPr>
        <w:t>绿地养护地址、范围、标准详见清单</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heme="minorEastAsia" w:hAnsiTheme="minorEastAsia" w:cstheme="minorEastAsia"/>
          <w:b/>
          <w:color w:val="333333"/>
          <w:kern w:val="0"/>
          <w:sz w:val="24"/>
          <w:szCs w:val="24"/>
        </w:rPr>
      </w:pPr>
      <w:r>
        <w:rPr>
          <w:rFonts w:hint="eastAsia" w:asciiTheme="minorEastAsia" w:hAnsiTheme="minorEastAsia" w:cstheme="minorEastAsia"/>
          <w:b/>
          <w:color w:val="333333"/>
          <w:kern w:val="0"/>
          <w:sz w:val="24"/>
          <w:szCs w:val="24"/>
        </w:rPr>
        <w:t>三、本年度养护费总金额：     元（其中绿化养护费：   元，设施维护费：   元）。</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heme="minorEastAsia" w:hAnsiTheme="minorEastAsia" w:cstheme="minorEastAsia"/>
          <w:b/>
          <w:bCs/>
          <w:color w:val="333333"/>
          <w:kern w:val="0"/>
          <w:sz w:val="24"/>
          <w:szCs w:val="24"/>
        </w:rPr>
      </w:pPr>
      <w:r>
        <w:rPr>
          <w:rFonts w:hint="eastAsia" w:asciiTheme="minorEastAsia" w:hAnsiTheme="minorEastAsia" w:cstheme="minorEastAsia"/>
          <w:b/>
          <w:bCs/>
          <w:color w:val="333333"/>
          <w:kern w:val="0"/>
          <w:sz w:val="24"/>
          <w:szCs w:val="24"/>
        </w:rPr>
        <w:t>四、绿化养护及设施维护</w:t>
      </w:r>
    </w:p>
    <w:p>
      <w:pPr>
        <w:keepNext w:val="0"/>
        <w:keepLines w:val="0"/>
        <w:pageBreakBefore w:val="0"/>
        <w:widowControl/>
        <w:kinsoku/>
        <w:wordWrap/>
        <w:overflowPunct/>
        <w:topLinePunct w:val="0"/>
        <w:autoSpaceDE/>
        <w:autoSpaceDN/>
        <w:bidi w:val="0"/>
        <w:adjustRightInd/>
        <w:snapToGrid/>
        <w:spacing w:line="240" w:lineRule="auto"/>
        <w:ind w:firstLine="482" w:firstLineChars="200"/>
        <w:jc w:val="left"/>
        <w:textAlignment w:val="auto"/>
        <w:rPr>
          <w:rFonts w:asciiTheme="minorEastAsia" w:hAnsiTheme="minorEastAsia" w:cstheme="minorEastAsia"/>
          <w:color w:val="333333"/>
          <w:kern w:val="0"/>
          <w:sz w:val="24"/>
          <w:szCs w:val="24"/>
        </w:rPr>
      </w:pPr>
      <w:r>
        <w:rPr>
          <w:rFonts w:hint="eastAsia" w:asciiTheme="minorEastAsia" w:hAnsiTheme="minorEastAsia" w:cstheme="minorEastAsia"/>
          <w:b/>
          <w:color w:val="333333"/>
          <w:kern w:val="0"/>
          <w:sz w:val="24"/>
          <w:szCs w:val="24"/>
        </w:rPr>
        <w:t>绿化养护内容:</w:t>
      </w:r>
      <w:r>
        <w:rPr>
          <w:rFonts w:hint="eastAsia" w:asciiTheme="minorEastAsia" w:hAnsiTheme="minorEastAsia" w:cstheme="minorEastAsia"/>
          <w:color w:val="333333"/>
          <w:kern w:val="0"/>
          <w:sz w:val="24"/>
          <w:szCs w:val="24"/>
        </w:rPr>
        <w:t>绿地灌溉、管网维修（含管线、喷头、滴头、自来水井、阀门、井盖等）、机井维修（含水泵、变压器、配电箱及元器件、线路等）、水资源费、电费、病虫害防治、乔灌木草坪修剪、中耕除草施肥（不含肥料）、花卉栽植（不含花卉）、苗木补植（含苗木）、卫生保洁、全年养护巡查。包含所有人工、机械及材料。</w:t>
      </w:r>
    </w:p>
    <w:p>
      <w:pPr>
        <w:keepNext w:val="0"/>
        <w:keepLines w:val="0"/>
        <w:pageBreakBefore w:val="0"/>
        <w:widowControl/>
        <w:kinsoku/>
        <w:wordWrap/>
        <w:overflowPunct/>
        <w:topLinePunct w:val="0"/>
        <w:autoSpaceDE/>
        <w:autoSpaceDN/>
        <w:bidi w:val="0"/>
        <w:adjustRightInd/>
        <w:snapToGrid/>
        <w:spacing w:line="240" w:lineRule="auto"/>
        <w:ind w:firstLine="482" w:firstLineChars="200"/>
        <w:jc w:val="left"/>
        <w:textAlignment w:val="auto"/>
        <w:rPr>
          <w:rFonts w:asciiTheme="minorEastAsia" w:hAnsiTheme="minorEastAsia" w:cstheme="minorEastAsia"/>
          <w:color w:val="333333"/>
          <w:kern w:val="0"/>
          <w:sz w:val="24"/>
          <w:szCs w:val="24"/>
        </w:rPr>
      </w:pPr>
      <w:r>
        <w:rPr>
          <w:rFonts w:hint="eastAsia" w:asciiTheme="minorEastAsia" w:hAnsiTheme="minorEastAsia" w:cstheme="minorEastAsia"/>
          <w:b/>
          <w:bCs/>
          <w:color w:val="333333"/>
          <w:kern w:val="0"/>
          <w:sz w:val="24"/>
          <w:szCs w:val="24"/>
        </w:rPr>
        <w:t>设施维护内容：</w:t>
      </w:r>
      <w:r>
        <w:rPr>
          <w:rFonts w:hint="eastAsia" w:asciiTheme="minorEastAsia" w:hAnsiTheme="minorEastAsia" w:cstheme="minorEastAsia"/>
          <w:color w:val="333333"/>
          <w:kern w:val="0"/>
          <w:sz w:val="24"/>
          <w:szCs w:val="24"/>
        </w:rPr>
        <w:t>园林建筑（厕所）、园林小品（园灯、导游牌、宣传牌、果皮箱、园桌椅、栏杆、健身器材等）、园路及铺装场地、园艺设施、园林电器设备（主要为广播、景观照明、配电箱、线路等）     设施维护是指设施的日常维修保养（含保洁），即为保持设施的完整和正常运行所进行的预防性保养和轻微损坏部分的修补，不包括设施更新和园林建筑主体结构的修复；为保证设施的正常运转及维护设施的缘由功能而进行的清洁、紧固、调整、润滑及检修等，不包括设施大修。此设施维护费标准不包含水电费。</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heme="minorEastAsia" w:hAnsiTheme="minorEastAsia" w:cstheme="minorEastAsia"/>
          <w:b/>
          <w:color w:val="333333"/>
          <w:kern w:val="0"/>
          <w:sz w:val="24"/>
          <w:szCs w:val="24"/>
        </w:rPr>
      </w:pPr>
      <w:r>
        <w:rPr>
          <w:rFonts w:hint="eastAsia" w:asciiTheme="minorEastAsia" w:hAnsiTheme="minorEastAsia" w:cstheme="minorEastAsia"/>
          <w:b/>
          <w:color w:val="333333"/>
          <w:kern w:val="0"/>
          <w:sz w:val="24"/>
          <w:szCs w:val="24"/>
        </w:rPr>
        <w:t>五、付款方式及金额：</w:t>
      </w:r>
    </w:p>
    <w:p>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asciiTheme="minorEastAsia" w:hAnsiTheme="minorEastAsia" w:cstheme="minorEastAsia"/>
          <w:b/>
          <w:bCs/>
          <w:color w:val="333333"/>
          <w:kern w:val="0"/>
          <w:sz w:val="24"/>
          <w:szCs w:val="24"/>
        </w:rPr>
      </w:pPr>
      <w:r>
        <w:rPr>
          <w:rFonts w:hint="eastAsia" w:asciiTheme="minorEastAsia" w:hAnsiTheme="minorEastAsia" w:cstheme="minorEastAsia"/>
          <w:b/>
          <w:bCs/>
          <w:color w:val="333333"/>
          <w:kern w:val="0"/>
          <w:sz w:val="24"/>
          <w:szCs w:val="24"/>
        </w:rPr>
        <w:t>绿化养护费支付方式：</w:t>
      </w:r>
    </w:p>
    <w:p>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asciiTheme="minorEastAsia" w:hAnsiTheme="minorEastAsia" w:cstheme="minorEastAsia"/>
          <w:color w:val="333333"/>
          <w:kern w:val="0"/>
          <w:sz w:val="24"/>
          <w:szCs w:val="24"/>
        </w:rPr>
      </w:pPr>
      <w:r>
        <w:rPr>
          <w:rFonts w:hint="eastAsia" w:asciiTheme="minorEastAsia" w:hAnsiTheme="minorEastAsia" w:cstheme="minorEastAsia"/>
          <w:color w:val="333333"/>
          <w:kern w:val="0"/>
          <w:sz w:val="24"/>
          <w:szCs w:val="24"/>
        </w:rPr>
        <w:t>1、分季度付款。根据工作内容的不同，12—2月份每月支付养护金额的3.33%， 3—11月份每月支付养护总金额的10%。</w:t>
      </w:r>
    </w:p>
    <w:p>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asciiTheme="minorEastAsia" w:hAnsiTheme="minorEastAsia" w:cstheme="minorEastAsia"/>
          <w:color w:val="333333"/>
          <w:kern w:val="0"/>
          <w:sz w:val="24"/>
          <w:szCs w:val="24"/>
        </w:rPr>
      </w:pPr>
      <w:r>
        <w:rPr>
          <w:rFonts w:hint="eastAsia" w:asciiTheme="minorEastAsia" w:hAnsiTheme="minorEastAsia" w:cstheme="minorEastAsia"/>
          <w:color w:val="333333"/>
          <w:kern w:val="0"/>
          <w:sz w:val="24"/>
          <w:szCs w:val="24"/>
        </w:rPr>
        <w:t>2、养护科每月按照养护考核标准考核一次，依据考核得分确定当月支付金额，每季度进行汇总，确定支付金额后由养护公司开具发票，甲方支付养护费；</w:t>
      </w:r>
    </w:p>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asciiTheme="minorEastAsia" w:hAnsiTheme="minorEastAsia" w:cstheme="minorEastAsia"/>
          <w:color w:val="333333"/>
          <w:kern w:val="0"/>
          <w:sz w:val="24"/>
          <w:szCs w:val="24"/>
        </w:rPr>
      </w:pPr>
      <w:r>
        <w:rPr>
          <w:rFonts w:hint="eastAsia" w:asciiTheme="minorEastAsia" w:hAnsiTheme="minorEastAsia" w:cstheme="minorEastAsia"/>
          <w:color w:val="333333"/>
          <w:kern w:val="0"/>
          <w:sz w:val="24"/>
          <w:szCs w:val="24"/>
        </w:rPr>
        <w:t>3、考核得分的高低确定支付金额：</w:t>
      </w:r>
    </w:p>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asciiTheme="minorEastAsia" w:hAnsiTheme="minorEastAsia" w:cstheme="minorEastAsia"/>
          <w:color w:val="333333"/>
          <w:kern w:val="0"/>
          <w:sz w:val="24"/>
          <w:szCs w:val="24"/>
        </w:rPr>
      </w:pPr>
      <w:r>
        <w:rPr>
          <w:rFonts w:hint="eastAsia" w:asciiTheme="minorEastAsia" w:hAnsiTheme="minorEastAsia" w:cstheme="minorEastAsia"/>
          <w:color w:val="333333"/>
          <w:kern w:val="0"/>
          <w:sz w:val="24"/>
          <w:szCs w:val="24"/>
        </w:rPr>
        <w:t>96—100分：按合同支付，高于95分的分值，作为年终奖励依据，进行奖励。</w:t>
      </w:r>
    </w:p>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asciiTheme="minorEastAsia" w:hAnsiTheme="minorEastAsia" w:cstheme="minorEastAsia"/>
          <w:color w:val="333333"/>
          <w:kern w:val="0"/>
          <w:sz w:val="24"/>
          <w:szCs w:val="24"/>
        </w:rPr>
      </w:pPr>
      <w:r>
        <w:rPr>
          <w:rFonts w:hint="eastAsia" w:asciiTheme="minorEastAsia" w:hAnsiTheme="minorEastAsia" w:cstheme="minorEastAsia"/>
          <w:color w:val="333333"/>
          <w:kern w:val="0"/>
          <w:sz w:val="24"/>
          <w:szCs w:val="24"/>
        </w:rPr>
        <w:t>86—95分：按合同支付，不奖不罚；</w:t>
      </w:r>
    </w:p>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asciiTheme="minorEastAsia" w:hAnsiTheme="minorEastAsia" w:cstheme="minorEastAsia"/>
          <w:color w:val="333333"/>
          <w:kern w:val="0"/>
          <w:sz w:val="24"/>
          <w:szCs w:val="24"/>
        </w:rPr>
      </w:pPr>
      <w:r>
        <w:rPr>
          <w:rFonts w:hint="eastAsia" w:asciiTheme="minorEastAsia" w:hAnsiTheme="minorEastAsia" w:cstheme="minorEastAsia"/>
          <w:color w:val="333333"/>
          <w:kern w:val="0"/>
          <w:sz w:val="24"/>
          <w:szCs w:val="24"/>
        </w:rPr>
        <w:t>60—85分：低于86分的分值，每分扣除当月养护金额的1%；</w:t>
      </w:r>
    </w:p>
    <w:p>
      <w:pPr>
        <w:keepNext w:val="0"/>
        <w:keepLines w:val="0"/>
        <w:pageBreakBefore w:val="0"/>
        <w:widowControl/>
        <w:kinsoku/>
        <w:wordWrap/>
        <w:overflowPunct/>
        <w:topLinePunct w:val="0"/>
        <w:autoSpaceDE/>
        <w:autoSpaceDN/>
        <w:bidi w:val="0"/>
        <w:adjustRightInd/>
        <w:snapToGrid/>
        <w:spacing w:line="240" w:lineRule="auto"/>
        <w:ind w:left="1" w:firstLine="480" w:firstLineChars="200"/>
        <w:jc w:val="left"/>
        <w:textAlignment w:val="auto"/>
        <w:rPr>
          <w:rFonts w:asciiTheme="minorEastAsia" w:hAnsiTheme="minorEastAsia" w:cstheme="minorEastAsia"/>
          <w:color w:val="333333"/>
          <w:kern w:val="0"/>
          <w:sz w:val="24"/>
          <w:szCs w:val="24"/>
        </w:rPr>
      </w:pPr>
      <w:r>
        <w:rPr>
          <w:rFonts w:hint="eastAsia" w:asciiTheme="minorEastAsia" w:hAnsiTheme="minorEastAsia" w:cstheme="minorEastAsia"/>
          <w:color w:val="333333"/>
          <w:kern w:val="0"/>
          <w:sz w:val="24"/>
          <w:szCs w:val="24"/>
        </w:rPr>
        <w:t>59分以下：60--85分的分值，每分扣除当月养护金额的1%，低于60分的分值，每分扣除当月养护金额的2%；</w:t>
      </w:r>
    </w:p>
    <w:p>
      <w:pPr>
        <w:keepNext w:val="0"/>
        <w:keepLines w:val="0"/>
        <w:pageBreakBefore w:val="0"/>
        <w:widowControl/>
        <w:kinsoku/>
        <w:wordWrap/>
        <w:overflowPunct/>
        <w:topLinePunct w:val="0"/>
        <w:autoSpaceDE/>
        <w:autoSpaceDN/>
        <w:bidi w:val="0"/>
        <w:adjustRightInd/>
        <w:snapToGrid/>
        <w:spacing w:line="240" w:lineRule="auto"/>
        <w:ind w:left="1199" w:leftChars="228" w:hanging="720" w:hangingChars="300"/>
        <w:jc w:val="left"/>
        <w:textAlignment w:val="auto"/>
        <w:rPr>
          <w:rFonts w:asciiTheme="minorEastAsia" w:hAnsiTheme="minorEastAsia" w:cstheme="minorEastAsia"/>
          <w:color w:val="333333"/>
          <w:kern w:val="0"/>
          <w:sz w:val="24"/>
          <w:szCs w:val="24"/>
        </w:rPr>
      </w:pPr>
      <w:r>
        <w:rPr>
          <w:rFonts w:hint="eastAsia" w:asciiTheme="minorEastAsia" w:hAnsiTheme="minorEastAsia" w:cstheme="minorEastAsia"/>
          <w:color w:val="333333"/>
          <w:kern w:val="0"/>
          <w:sz w:val="24"/>
          <w:szCs w:val="24"/>
        </w:rPr>
        <w:t>第二次59分以下：60--85分的分值，每分扣除当月养护金额的1%，低于60分的分值，每分扣除当月养护金额的4%；</w:t>
      </w:r>
    </w:p>
    <w:p>
      <w:pPr>
        <w:keepNext w:val="0"/>
        <w:keepLines w:val="0"/>
        <w:pageBreakBefore w:val="0"/>
        <w:widowControl/>
        <w:kinsoku/>
        <w:wordWrap/>
        <w:overflowPunct/>
        <w:topLinePunct w:val="0"/>
        <w:autoSpaceDE/>
        <w:autoSpaceDN/>
        <w:bidi w:val="0"/>
        <w:adjustRightInd/>
        <w:snapToGrid/>
        <w:spacing w:line="240" w:lineRule="auto"/>
        <w:ind w:left="1079" w:leftChars="228" w:hanging="600" w:hangingChars="250"/>
        <w:jc w:val="left"/>
        <w:textAlignment w:val="auto"/>
        <w:rPr>
          <w:rFonts w:asciiTheme="minorEastAsia" w:hAnsiTheme="minorEastAsia" w:cstheme="minorEastAsia"/>
          <w:color w:val="333333"/>
          <w:kern w:val="0"/>
          <w:sz w:val="24"/>
          <w:szCs w:val="24"/>
        </w:rPr>
      </w:pPr>
      <w:r>
        <w:rPr>
          <w:rFonts w:hint="eastAsia" w:asciiTheme="minorEastAsia" w:hAnsiTheme="minorEastAsia" w:cstheme="minorEastAsia"/>
          <w:color w:val="333333"/>
          <w:kern w:val="0"/>
          <w:sz w:val="24"/>
          <w:szCs w:val="24"/>
        </w:rPr>
        <w:t>第三次59分以下：60--85分的分值，每分扣除当月养护金额的1%，低于60分的分值，每分扣除当月养护金额的8%；</w:t>
      </w:r>
    </w:p>
    <w:p>
      <w:pPr>
        <w:keepNext w:val="0"/>
        <w:keepLines w:val="0"/>
        <w:pageBreakBefore w:val="0"/>
        <w:widowControl/>
        <w:kinsoku/>
        <w:wordWrap/>
        <w:overflowPunct/>
        <w:topLinePunct w:val="0"/>
        <w:autoSpaceDE/>
        <w:autoSpaceDN/>
        <w:bidi w:val="0"/>
        <w:adjustRightInd/>
        <w:snapToGrid/>
        <w:spacing w:line="240" w:lineRule="auto"/>
        <w:ind w:left="1203" w:leftChars="286" w:hanging="602" w:hangingChars="250"/>
        <w:jc w:val="left"/>
        <w:textAlignment w:val="auto"/>
        <w:rPr>
          <w:rFonts w:asciiTheme="minorEastAsia" w:hAnsiTheme="minorEastAsia" w:cstheme="minorEastAsia"/>
          <w:b/>
          <w:bCs/>
          <w:color w:val="333333"/>
          <w:kern w:val="0"/>
          <w:sz w:val="24"/>
          <w:szCs w:val="24"/>
        </w:rPr>
      </w:pPr>
      <w:r>
        <w:rPr>
          <w:rFonts w:hint="eastAsia" w:asciiTheme="minorEastAsia" w:hAnsiTheme="minorEastAsia" w:cstheme="minorEastAsia"/>
          <w:b/>
          <w:bCs/>
          <w:color w:val="333333"/>
          <w:kern w:val="0"/>
          <w:sz w:val="24"/>
          <w:szCs w:val="24"/>
        </w:rPr>
        <w:t>设施维护费支付方式：</w:t>
      </w:r>
    </w:p>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asciiTheme="minorEastAsia" w:hAnsiTheme="minorEastAsia" w:cstheme="minorEastAsia"/>
          <w:color w:val="333333"/>
          <w:kern w:val="0"/>
          <w:sz w:val="24"/>
          <w:szCs w:val="24"/>
        </w:rPr>
      </w:pPr>
      <w:r>
        <w:rPr>
          <w:rFonts w:hint="eastAsia" w:asciiTheme="minorEastAsia" w:hAnsiTheme="minorEastAsia" w:cstheme="minorEastAsia"/>
          <w:color w:val="333333"/>
          <w:kern w:val="0"/>
          <w:sz w:val="24"/>
          <w:szCs w:val="24"/>
        </w:rPr>
        <w:t>设施维护费以实际发生审计结算价为准，年底一次性支付。</w:t>
      </w:r>
    </w:p>
    <w:p>
      <w:pPr>
        <w:keepNext w:val="0"/>
        <w:keepLines w:val="0"/>
        <w:pageBreakBefore w:val="0"/>
        <w:widowControl/>
        <w:kinsoku/>
        <w:wordWrap/>
        <w:overflowPunct/>
        <w:topLinePunct w:val="0"/>
        <w:autoSpaceDE/>
        <w:autoSpaceDN/>
        <w:bidi w:val="0"/>
        <w:adjustRightInd/>
        <w:snapToGrid/>
        <w:spacing w:line="240" w:lineRule="auto"/>
        <w:ind w:firstLine="482" w:firstLineChars="200"/>
        <w:jc w:val="left"/>
        <w:textAlignment w:val="auto"/>
        <w:rPr>
          <w:rFonts w:asciiTheme="minorEastAsia" w:hAnsiTheme="minorEastAsia" w:cstheme="minorEastAsia"/>
          <w:b/>
          <w:color w:val="333333"/>
          <w:kern w:val="0"/>
          <w:sz w:val="24"/>
          <w:szCs w:val="24"/>
        </w:rPr>
      </w:pPr>
      <w:r>
        <w:rPr>
          <w:rFonts w:hint="eastAsia" w:asciiTheme="minorEastAsia" w:hAnsiTheme="minorEastAsia" w:cstheme="minorEastAsia"/>
          <w:b/>
          <w:color w:val="333333"/>
          <w:kern w:val="0"/>
          <w:sz w:val="24"/>
          <w:szCs w:val="24"/>
        </w:rPr>
        <w:t>六、甲方的权利和义务 ：</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asciiTheme="minorEastAsia" w:hAnsiTheme="minorEastAsia" w:cstheme="minorEastAsia"/>
          <w:color w:val="333333"/>
          <w:kern w:val="0"/>
          <w:sz w:val="24"/>
          <w:szCs w:val="24"/>
        </w:rPr>
      </w:pPr>
      <w:r>
        <w:rPr>
          <w:rFonts w:hint="eastAsia" w:asciiTheme="minorEastAsia" w:hAnsiTheme="minorEastAsia" w:cstheme="minorEastAsia"/>
          <w:color w:val="333333"/>
          <w:kern w:val="0"/>
          <w:sz w:val="24"/>
          <w:szCs w:val="24"/>
        </w:rPr>
        <w:t>1、制定各类绿地的检查考核标准，并根据实际情况调整标准；</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asciiTheme="minorEastAsia" w:hAnsiTheme="minorEastAsia" w:cstheme="minorEastAsia"/>
          <w:color w:val="333333"/>
          <w:kern w:val="0"/>
          <w:sz w:val="24"/>
          <w:szCs w:val="24"/>
        </w:rPr>
      </w:pPr>
      <w:r>
        <w:rPr>
          <w:rFonts w:hint="eastAsia" w:asciiTheme="minorEastAsia" w:hAnsiTheme="minorEastAsia" w:cstheme="minorEastAsia"/>
          <w:color w:val="333333"/>
          <w:kern w:val="0"/>
          <w:sz w:val="24"/>
          <w:szCs w:val="24"/>
        </w:rPr>
        <w:t>2、检查养护公司的年、季、月工作计划并提出意见；</w:t>
      </w:r>
    </w:p>
    <w:p>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asciiTheme="minorEastAsia" w:hAnsiTheme="minorEastAsia" w:cstheme="minorEastAsia"/>
          <w:color w:val="333333"/>
          <w:kern w:val="0"/>
          <w:sz w:val="24"/>
          <w:szCs w:val="24"/>
        </w:rPr>
      </w:pPr>
      <w:r>
        <w:rPr>
          <w:rFonts w:hint="eastAsia" w:asciiTheme="minorEastAsia" w:hAnsiTheme="minorEastAsia" w:cstheme="minorEastAsia"/>
          <w:color w:val="333333"/>
          <w:kern w:val="0"/>
          <w:sz w:val="24"/>
          <w:szCs w:val="24"/>
        </w:rPr>
        <w:t>3、定期或不定期对养护公司的养护工作进行检查并考核打分；</w:t>
      </w:r>
    </w:p>
    <w:p>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asciiTheme="minorEastAsia" w:hAnsiTheme="minorEastAsia" w:cstheme="minorEastAsia"/>
          <w:color w:val="333333"/>
          <w:kern w:val="0"/>
          <w:sz w:val="24"/>
          <w:szCs w:val="24"/>
        </w:rPr>
      </w:pPr>
      <w:r>
        <w:rPr>
          <w:rFonts w:hint="eastAsia" w:asciiTheme="minorEastAsia" w:hAnsiTheme="minorEastAsia" w:cstheme="minorEastAsia"/>
          <w:color w:val="333333"/>
          <w:kern w:val="0"/>
          <w:sz w:val="24"/>
          <w:szCs w:val="24"/>
        </w:rPr>
        <w:t>4、定期或不定期对养护公司的养护工作进行检查，在检查中如发现养护工作存在重大问题，严重问题，一般问题的将进行罚款1-10万元。</w:t>
      </w:r>
    </w:p>
    <w:p>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asciiTheme="minorEastAsia" w:hAnsiTheme="minorEastAsia" w:cstheme="minorEastAsia"/>
          <w:color w:val="333333"/>
          <w:kern w:val="0"/>
          <w:sz w:val="24"/>
          <w:szCs w:val="24"/>
        </w:rPr>
      </w:pPr>
      <w:r>
        <w:rPr>
          <w:rFonts w:hint="eastAsia" w:asciiTheme="minorEastAsia" w:hAnsiTheme="minorEastAsia" w:cstheme="minorEastAsia"/>
          <w:color w:val="333333"/>
          <w:kern w:val="0"/>
          <w:sz w:val="24"/>
          <w:szCs w:val="24"/>
        </w:rPr>
        <w:t>5、苗木养护成活当年的保存率：（扣除交通事故，自然灾害因素）一级（含游园）：95%，二级：92%，三级：90%，四级（含防护林）：88%。</w:t>
      </w:r>
    </w:p>
    <w:p>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asciiTheme="minorEastAsia" w:hAnsiTheme="minorEastAsia" w:cstheme="minorEastAsia"/>
          <w:color w:val="333333"/>
          <w:kern w:val="0"/>
          <w:sz w:val="24"/>
          <w:szCs w:val="24"/>
        </w:rPr>
      </w:pPr>
      <w:r>
        <w:rPr>
          <w:rFonts w:hint="eastAsia" w:asciiTheme="minorEastAsia" w:hAnsiTheme="minorEastAsia" w:cstheme="minorEastAsia"/>
          <w:color w:val="333333"/>
          <w:kern w:val="0"/>
          <w:sz w:val="24"/>
          <w:szCs w:val="24"/>
        </w:rPr>
        <w:t>6、因养护工作不到位造成苗木死亡且低于当年养护成活的保存率，由养护公司自行购置同品种，同规格，同数量的苗木。原则上当月补植完，因温度，成活率等其它因素可在本年度年底一次性栽植，如未完成补植工作将在年底一次性扣除同等价值的养护费用。</w:t>
      </w:r>
    </w:p>
    <w:p>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asciiTheme="minorEastAsia" w:hAnsiTheme="minorEastAsia" w:cstheme="minorEastAsia"/>
          <w:color w:val="333333"/>
          <w:kern w:val="0"/>
          <w:sz w:val="24"/>
          <w:szCs w:val="24"/>
        </w:rPr>
      </w:pPr>
      <w:r>
        <w:rPr>
          <w:rFonts w:hint="eastAsia" w:asciiTheme="minorEastAsia" w:hAnsiTheme="minorEastAsia" w:cstheme="minorEastAsia"/>
          <w:color w:val="333333"/>
          <w:kern w:val="0"/>
          <w:sz w:val="24"/>
          <w:szCs w:val="24"/>
        </w:rPr>
        <w:t>7、年底将根据养护考核平均分进行年终评优活动，优秀单位将颁发荣誉证书，表彰先进个人。同时将在行业内通报落后单位。</w:t>
      </w:r>
    </w:p>
    <w:p>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asciiTheme="minorEastAsia" w:hAnsiTheme="minorEastAsia" w:cstheme="minorEastAsia"/>
          <w:color w:val="333333"/>
          <w:kern w:val="0"/>
          <w:sz w:val="24"/>
          <w:szCs w:val="24"/>
        </w:rPr>
      </w:pPr>
      <w:r>
        <w:rPr>
          <w:rFonts w:hint="eastAsia" w:asciiTheme="minorEastAsia" w:hAnsiTheme="minorEastAsia" w:cstheme="minorEastAsia"/>
          <w:color w:val="333333"/>
          <w:kern w:val="0"/>
          <w:sz w:val="24"/>
          <w:szCs w:val="24"/>
        </w:rPr>
        <w:t>8、将各项检查结果以书面形式通知养护公司并监督其进行整改；</w:t>
      </w:r>
    </w:p>
    <w:p>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asciiTheme="minorEastAsia" w:hAnsiTheme="minorEastAsia" w:cstheme="minorEastAsia"/>
          <w:color w:val="333333"/>
          <w:kern w:val="0"/>
          <w:sz w:val="24"/>
          <w:szCs w:val="24"/>
        </w:rPr>
      </w:pPr>
      <w:r>
        <w:rPr>
          <w:rFonts w:hint="eastAsia" w:asciiTheme="minorEastAsia" w:hAnsiTheme="minorEastAsia" w:cstheme="minorEastAsia"/>
          <w:color w:val="333333"/>
          <w:kern w:val="0"/>
          <w:sz w:val="24"/>
          <w:szCs w:val="24"/>
        </w:rPr>
        <w:t>9、如遇以下情况，甲方有权与养护公司提前解除合同，并追究相应的经济和法律责任：</w:t>
      </w:r>
    </w:p>
    <w:p>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asciiTheme="minorEastAsia" w:hAnsiTheme="minorEastAsia" w:cstheme="minorEastAsia"/>
          <w:color w:val="333333"/>
          <w:kern w:val="0"/>
          <w:sz w:val="24"/>
          <w:szCs w:val="24"/>
        </w:rPr>
      </w:pPr>
      <w:r>
        <w:rPr>
          <w:rFonts w:hint="eastAsia" w:asciiTheme="minorEastAsia" w:hAnsiTheme="minorEastAsia" w:cstheme="minorEastAsia"/>
          <w:color w:val="333333"/>
          <w:kern w:val="0"/>
          <w:sz w:val="24"/>
          <w:szCs w:val="24"/>
        </w:rPr>
        <w:t>养护公司擅自将养护绿地全部或部分转包第三方；</w:t>
      </w:r>
    </w:p>
    <w:p>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asciiTheme="minorEastAsia" w:hAnsiTheme="minorEastAsia" w:cstheme="minorEastAsia"/>
          <w:color w:val="333333"/>
          <w:kern w:val="0"/>
          <w:sz w:val="24"/>
          <w:szCs w:val="24"/>
        </w:rPr>
      </w:pPr>
      <w:r>
        <w:rPr>
          <w:rFonts w:hint="eastAsia" w:asciiTheme="minorEastAsia" w:hAnsiTheme="minorEastAsia" w:cstheme="minorEastAsia"/>
          <w:color w:val="333333"/>
          <w:kern w:val="0"/>
          <w:sz w:val="24"/>
          <w:szCs w:val="24"/>
        </w:rPr>
        <w:t>养护公司在养护期内累计三次考核不合格（低于60分）；</w:t>
      </w:r>
    </w:p>
    <w:p>
      <w:pPr>
        <w:keepNext w:val="0"/>
        <w:keepLines w:val="0"/>
        <w:pageBreakBefore w:val="0"/>
        <w:widowControl/>
        <w:kinsoku/>
        <w:wordWrap/>
        <w:overflowPunct/>
        <w:topLinePunct w:val="0"/>
        <w:autoSpaceDE/>
        <w:autoSpaceDN/>
        <w:bidi w:val="0"/>
        <w:adjustRightInd/>
        <w:snapToGrid/>
        <w:spacing w:line="240" w:lineRule="auto"/>
        <w:textAlignment w:val="auto"/>
        <w:rPr>
          <w:rFonts w:asciiTheme="minorEastAsia" w:hAnsiTheme="minorEastAsia" w:cstheme="minorEastAsia"/>
          <w:color w:val="333333"/>
          <w:kern w:val="0"/>
          <w:sz w:val="24"/>
          <w:szCs w:val="24"/>
        </w:rPr>
      </w:pPr>
      <w:r>
        <w:rPr>
          <w:rFonts w:hint="eastAsia" w:asciiTheme="minorEastAsia" w:hAnsiTheme="minorEastAsia" w:cstheme="minorEastAsia"/>
          <w:color w:val="333333"/>
          <w:kern w:val="0"/>
          <w:sz w:val="24"/>
          <w:szCs w:val="24"/>
        </w:rPr>
        <w:t xml:space="preserve">    因养护责任未尽职，造成植物大量死亡的；</w:t>
      </w:r>
    </w:p>
    <w:p>
      <w:pPr>
        <w:keepNext w:val="0"/>
        <w:keepLines w:val="0"/>
        <w:pageBreakBefore w:val="0"/>
        <w:widowControl/>
        <w:kinsoku/>
        <w:wordWrap/>
        <w:overflowPunct/>
        <w:topLinePunct w:val="0"/>
        <w:autoSpaceDE/>
        <w:autoSpaceDN/>
        <w:bidi w:val="0"/>
        <w:adjustRightInd/>
        <w:snapToGrid/>
        <w:spacing w:line="240" w:lineRule="auto"/>
        <w:ind w:firstLine="480"/>
        <w:textAlignment w:val="auto"/>
        <w:rPr>
          <w:rFonts w:asciiTheme="minorEastAsia" w:hAnsiTheme="minorEastAsia" w:cstheme="minorEastAsia"/>
          <w:color w:val="333333"/>
          <w:kern w:val="0"/>
          <w:sz w:val="24"/>
          <w:szCs w:val="24"/>
        </w:rPr>
      </w:pPr>
      <w:r>
        <w:rPr>
          <w:rFonts w:hint="eastAsia" w:asciiTheme="minorEastAsia" w:hAnsiTheme="minorEastAsia" w:cstheme="minorEastAsia"/>
          <w:color w:val="333333"/>
          <w:kern w:val="0"/>
          <w:sz w:val="24"/>
          <w:szCs w:val="24"/>
        </w:rPr>
        <w:t>因看管责任未尽职，导致绿地被人为严重破坏、损失的；</w:t>
      </w:r>
    </w:p>
    <w:p>
      <w:pPr>
        <w:keepNext w:val="0"/>
        <w:keepLines w:val="0"/>
        <w:pageBreakBefore w:val="0"/>
        <w:widowControl/>
        <w:kinsoku/>
        <w:wordWrap/>
        <w:overflowPunct/>
        <w:topLinePunct w:val="0"/>
        <w:autoSpaceDE/>
        <w:autoSpaceDN/>
        <w:bidi w:val="0"/>
        <w:adjustRightInd/>
        <w:snapToGrid/>
        <w:spacing w:line="240" w:lineRule="auto"/>
        <w:ind w:firstLine="480"/>
        <w:textAlignment w:val="auto"/>
        <w:rPr>
          <w:rFonts w:asciiTheme="minorEastAsia" w:hAnsiTheme="minorEastAsia" w:cstheme="minorEastAsia"/>
          <w:color w:val="333333"/>
          <w:kern w:val="0"/>
          <w:sz w:val="24"/>
          <w:szCs w:val="24"/>
        </w:rPr>
      </w:pPr>
      <w:r>
        <w:rPr>
          <w:rFonts w:hint="eastAsia" w:asciiTheme="minorEastAsia" w:hAnsiTheme="minorEastAsia" w:cstheme="minorEastAsia"/>
          <w:color w:val="333333"/>
          <w:kern w:val="0"/>
          <w:sz w:val="24"/>
          <w:szCs w:val="24"/>
        </w:rPr>
        <w:t>因养护公司工作期间出现重大安全事故，造成重大经济损失的；</w:t>
      </w:r>
    </w:p>
    <w:p>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asciiTheme="minorEastAsia" w:hAnsiTheme="minorEastAsia" w:cstheme="minorEastAsia"/>
          <w:color w:val="333333"/>
          <w:kern w:val="0"/>
          <w:sz w:val="24"/>
          <w:szCs w:val="24"/>
        </w:rPr>
      </w:pPr>
      <w:r>
        <w:rPr>
          <w:rFonts w:hint="eastAsia" w:asciiTheme="minorEastAsia" w:hAnsiTheme="minorEastAsia" w:cstheme="minorEastAsia"/>
          <w:color w:val="333333"/>
          <w:kern w:val="0"/>
          <w:sz w:val="24"/>
          <w:szCs w:val="24"/>
        </w:rPr>
        <w:t>10、核实因城市建设、绿地改造而变更的养护面积及养护费；</w:t>
      </w:r>
    </w:p>
    <w:p>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asciiTheme="minorEastAsia" w:hAnsiTheme="minorEastAsia" w:cstheme="minorEastAsia"/>
          <w:color w:val="333333"/>
          <w:kern w:val="0"/>
          <w:sz w:val="24"/>
          <w:szCs w:val="24"/>
        </w:rPr>
      </w:pPr>
      <w:r>
        <w:rPr>
          <w:rFonts w:hint="eastAsia" w:asciiTheme="minorEastAsia" w:hAnsiTheme="minorEastAsia" w:cstheme="minorEastAsia"/>
          <w:color w:val="333333"/>
          <w:kern w:val="0"/>
          <w:sz w:val="24"/>
          <w:szCs w:val="24"/>
        </w:rPr>
        <w:t>11、为养护公司绿化用水提供便利；</w:t>
      </w:r>
    </w:p>
    <w:p>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asciiTheme="minorEastAsia" w:hAnsiTheme="minorEastAsia" w:cstheme="minorEastAsia"/>
          <w:color w:val="333333"/>
          <w:kern w:val="0"/>
          <w:sz w:val="24"/>
          <w:szCs w:val="24"/>
        </w:rPr>
      </w:pPr>
      <w:r>
        <w:rPr>
          <w:rFonts w:hint="eastAsia" w:asciiTheme="minorEastAsia" w:hAnsiTheme="minorEastAsia" w:cstheme="minorEastAsia"/>
          <w:color w:val="333333"/>
          <w:kern w:val="0"/>
          <w:sz w:val="24"/>
          <w:szCs w:val="24"/>
        </w:rPr>
        <w:t>12、依据考核结果及时准确支付养护费用；</w:t>
      </w:r>
    </w:p>
    <w:p>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asciiTheme="minorEastAsia" w:hAnsiTheme="minorEastAsia" w:cstheme="minorEastAsia"/>
          <w:color w:val="333333"/>
          <w:kern w:val="0"/>
          <w:sz w:val="24"/>
          <w:szCs w:val="24"/>
        </w:rPr>
      </w:pPr>
      <w:r>
        <w:rPr>
          <w:rFonts w:hint="eastAsia" w:asciiTheme="minorEastAsia" w:hAnsiTheme="minorEastAsia" w:cstheme="minorEastAsia"/>
          <w:color w:val="333333"/>
          <w:kern w:val="0"/>
          <w:sz w:val="24"/>
          <w:szCs w:val="24"/>
        </w:rPr>
        <w:t>13、定期举办形式多样的专业技术培训班，逐年提高养护公司的管养水平。</w:t>
      </w:r>
    </w:p>
    <w:p>
      <w:pPr>
        <w:keepNext w:val="0"/>
        <w:keepLines w:val="0"/>
        <w:pageBreakBefore w:val="0"/>
        <w:widowControl/>
        <w:kinsoku/>
        <w:wordWrap/>
        <w:overflowPunct/>
        <w:topLinePunct w:val="0"/>
        <w:autoSpaceDE/>
        <w:autoSpaceDN/>
        <w:bidi w:val="0"/>
        <w:adjustRightInd/>
        <w:snapToGrid/>
        <w:spacing w:line="240" w:lineRule="auto"/>
        <w:ind w:firstLine="482" w:firstLineChars="200"/>
        <w:jc w:val="left"/>
        <w:textAlignment w:val="auto"/>
        <w:rPr>
          <w:rFonts w:asciiTheme="minorEastAsia" w:hAnsiTheme="minorEastAsia" w:cstheme="minorEastAsia"/>
          <w:b/>
          <w:color w:val="333333"/>
          <w:kern w:val="0"/>
          <w:sz w:val="24"/>
          <w:szCs w:val="24"/>
        </w:rPr>
      </w:pPr>
      <w:r>
        <w:rPr>
          <w:rFonts w:hint="eastAsia" w:asciiTheme="minorEastAsia" w:hAnsiTheme="minorEastAsia" w:cstheme="minorEastAsia"/>
          <w:b/>
          <w:color w:val="333333"/>
          <w:kern w:val="0"/>
          <w:sz w:val="24"/>
          <w:szCs w:val="24"/>
        </w:rPr>
        <w:t xml:space="preserve">七、乙方的权利和义务： </w:t>
      </w:r>
    </w:p>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asciiTheme="minorEastAsia" w:hAnsiTheme="minorEastAsia" w:cstheme="minorEastAsia"/>
          <w:color w:val="333333"/>
          <w:kern w:val="0"/>
          <w:sz w:val="24"/>
          <w:szCs w:val="24"/>
        </w:rPr>
      </w:pPr>
      <w:r>
        <w:rPr>
          <w:rFonts w:hint="eastAsia" w:asciiTheme="minorEastAsia" w:hAnsiTheme="minorEastAsia" w:cstheme="minorEastAsia"/>
          <w:bCs/>
          <w:color w:val="333333"/>
          <w:kern w:val="0"/>
          <w:sz w:val="24"/>
          <w:szCs w:val="24"/>
        </w:rPr>
        <w:t>1、</w:t>
      </w:r>
      <w:r>
        <w:rPr>
          <w:rFonts w:hint="eastAsia" w:asciiTheme="minorEastAsia" w:hAnsiTheme="minorEastAsia" w:cstheme="minorEastAsia"/>
          <w:color w:val="333333"/>
          <w:kern w:val="0"/>
          <w:sz w:val="24"/>
          <w:szCs w:val="24"/>
        </w:rPr>
        <w:t xml:space="preserve">每月向甲方提供详细的月工作计划，主要工作人员的工作安排和工作区域以书面形式提供给甲方； </w:t>
      </w:r>
    </w:p>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asciiTheme="minorEastAsia" w:hAnsiTheme="minorEastAsia" w:cstheme="minorEastAsia"/>
          <w:color w:val="333333"/>
          <w:kern w:val="0"/>
          <w:sz w:val="24"/>
          <w:szCs w:val="24"/>
        </w:rPr>
      </w:pPr>
      <w:r>
        <w:rPr>
          <w:rFonts w:hint="eastAsia" w:asciiTheme="minorEastAsia" w:hAnsiTheme="minorEastAsia" w:cstheme="minorEastAsia"/>
          <w:color w:val="333333"/>
          <w:kern w:val="0"/>
          <w:sz w:val="24"/>
          <w:szCs w:val="24"/>
        </w:rPr>
        <w:t>2、按工作计划及养护标准认真进行各类绿地的养护，对甲方提出的整改要求立即执行，保质保量完成各项养护任务；</w:t>
      </w:r>
    </w:p>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asciiTheme="minorEastAsia" w:hAnsiTheme="minorEastAsia" w:cstheme="minorEastAsia"/>
          <w:color w:val="333333"/>
          <w:kern w:val="0"/>
          <w:sz w:val="24"/>
          <w:szCs w:val="24"/>
        </w:rPr>
      </w:pPr>
      <w:r>
        <w:rPr>
          <w:rFonts w:hint="eastAsia" w:asciiTheme="minorEastAsia" w:hAnsiTheme="minorEastAsia" w:cstheme="minorEastAsia"/>
          <w:color w:val="333333"/>
          <w:kern w:val="0"/>
          <w:sz w:val="24"/>
          <w:szCs w:val="24"/>
        </w:rPr>
        <w:t>3、因工作失误造成养护绿地减少和损毁的，乙方应及时补栽和修复，并自行承担所有费用；</w:t>
      </w:r>
    </w:p>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asciiTheme="minorEastAsia" w:hAnsiTheme="minorEastAsia" w:cstheme="minorEastAsia"/>
          <w:color w:val="333333"/>
          <w:kern w:val="0"/>
          <w:sz w:val="24"/>
          <w:szCs w:val="24"/>
        </w:rPr>
      </w:pPr>
      <w:r>
        <w:rPr>
          <w:rFonts w:hint="eastAsia" w:asciiTheme="minorEastAsia" w:hAnsiTheme="minorEastAsia" w:cstheme="minorEastAsia"/>
          <w:color w:val="333333"/>
          <w:kern w:val="0"/>
          <w:sz w:val="24"/>
          <w:szCs w:val="24"/>
        </w:rPr>
        <w:t>4、因自然灾害、交通事故等不可抗因素造成养护绿地减少和损毁的，乙方应及时清点数量并上报甲方，甲方核实后提供主材，乙方负责补栽及修复，费用自理；</w:t>
      </w:r>
    </w:p>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asciiTheme="minorEastAsia" w:hAnsiTheme="minorEastAsia" w:cstheme="minorEastAsia"/>
          <w:color w:val="333333"/>
          <w:kern w:val="0"/>
          <w:sz w:val="24"/>
          <w:szCs w:val="24"/>
        </w:rPr>
      </w:pPr>
      <w:r>
        <w:rPr>
          <w:rFonts w:hint="eastAsia" w:asciiTheme="minorEastAsia" w:hAnsiTheme="minorEastAsia" w:cstheme="minorEastAsia"/>
          <w:color w:val="333333"/>
          <w:kern w:val="0"/>
          <w:sz w:val="24"/>
          <w:szCs w:val="24"/>
        </w:rPr>
        <w:t>5、配合甲方完成临时性、突发性、紧急性工作任务；</w:t>
      </w:r>
    </w:p>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asciiTheme="minorEastAsia" w:hAnsiTheme="minorEastAsia" w:cstheme="minorEastAsia"/>
          <w:color w:val="333333"/>
          <w:kern w:val="0"/>
          <w:sz w:val="24"/>
          <w:szCs w:val="24"/>
        </w:rPr>
      </w:pPr>
      <w:r>
        <w:rPr>
          <w:rFonts w:hint="eastAsia" w:asciiTheme="minorEastAsia" w:hAnsiTheme="minorEastAsia" w:cstheme="minorEastAsia"/>
          <w:color w:val="333333"/>
          <w:kern w:val="0"/>
          <w:sz w:val="24"/>
          <w:szCs w:val="24"/>
        </w:rPr>
        <w:t>6、自行负责养护管理过程中所产生的人员工资、社保、福利以及材料、工具、车辆等费用；</w:t>
      </w:r>
    </w:p>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asciiTheme="minorEastAsia" w:hAnsiTheme="minorEastAsia" w:cstheme="minorEastAsia"/>
          <w:color w:val="333333"/>
          <w:kern w:val="0"/>
          <w:sz w:val="24"/>
          <w:szCs w:val="24"/>
        </w:rPr>
      </w:pPr>
      <w:r>
        <w:rPr>
          <w:rFonts w:hint="eastAsia" w:asciiTheme="minorEastAsia" w:hAnsiTheme="minorEastAsia" w:cstheme="minorEastAsia"/>
          <w:color w:val="333333"/>
          <w:kern w:val="0"/>
          <w:sz w:val="24"/>
          <w:szCs w:val="24"/>
        </w:rPr>
        <w:t>7、高度重视安全生产，确保全年无安全事故，由此产生的一切责任及损失由乙方负责。</w:t>
      </w:r>
    </w:p>
    <w:p>
      <w:pPr>
        <w:keepNext w:val="0"/>
        <w:keepLines w:val="0"/>
        <w:pageBreakBefore w:val="0"/>
        <w:widowControl/>
        <w:kinsoku/>
        <w:wordWrap/>
        <w:overflowPunct/>
        <w:topLinePunct w:val="0"/>
        <w:autoSpaceDE/>
        <w:autoSpaceDN/>
        <w:bidi w:val="0"/>
        <w:adjustRightInd/>
        <w:snapToGrid/>
        <w:spacing w:line="240" w:lineRule="auto"/>
        <w:ind w:firstLine="482" w:firstLineChars="200"/>
        <w:jc w:val="left"/>
        <w:textAlignment w:val="auto"/>
        <w:rPr>
          <w:rFonts w:asciiTheme="minorEastAsia" w:hAnsiTheme="minorEastAsia" w:cstheme="minorEastAsia"/>
          <w:b/>
          <w:color w:val="333333"/>
          <w:kern w:val="0"/>
          <w:sz w:val="24"/>
          <w:szCs w:val="24"/>
        </w:rPr>
      </w:pPr>
      <w:r>
        <w:rPr>
          <w:rFonts w:hint="eastAsia" w:asciiTheme="minorEastAsia" w:hAnsiTheme="minorEastAsia" w:cstheme="minorEastAsia"/>
          <w:b/>
          <w:color w:val="333333"/>
          <w:kern w:val="0"/>
          <w:sz w:val="24"/>
          <w:szCs w:val="24"/>
        </w:rPr>
        <w:t>八、违约责任</w:t>
      </w:r>
    </w:p>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asciiTheme="minorEastAsia" w:hAnsiTheme="minorEastAsia" w:cstheme="minorEastAsia"/>
          <w:color w:val="333333"/>
          <w:kern w:val="0"/>
          <w:sz w:val="24"/>
          <w:szCs w:val="24"/>
        </w:rPr>
      </w:pPr>
      <w:r>
        <w:rPr>
          <w:rFonts w:hint="eastAsia" w:asciiTheme="minorEastAsia" w:hAnsiTheme="minorEastAsia" w:cstheme="minorEastAsia"/>
          <w:color w:val="333333"/>
          <w:kern w:val="0"/>
          <w:sz w:val="24"/>
          <w:szCs w:val="24"/>
        </w:rPr>
        <w:t>1、甲方未及时按照考核结果办理支付程序，导致乙方养护费拖欠的（因区财政原因除外），甲方向乙方支付滞纳金，标准为养护费的1‰/日。</w:t>
      </w:r>
    </w:p>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asciiTheme="minorEastAsia" w:hAnsiTheme="minorEastAsia" w:cstheme="minorEastAsia"/>
          <w:color w:val="333333"/>
          <w:kern w:val="0"/>
          <w:sz w:val="24"/>
          <w:szCs w:val="24"/>
        </w:rPr>
      </w:pPr>
      <w:r>
        <w:rPr>
          <w:rFonts w:hint="eastAsia" w:asciiTheme="minorEastAsia" w:hAnsiTheme="minorEastAsia" w:cstheme="minorEastAsia"/>
          <w:color w:val="333333"/>
          <w:kern w:val="0"/>
          <w:sz w:val="24"/>
          <w:szCs w:val="24"/>
        </w:rPr>
        <w:t>2、乙方未按合同进行正常养护，造成养护绿地大面积死亡、苗木生长缓慢、病虫害蔓延等现象的，甲方将扣除全年养护费用，同时，乙方赔偿甲方经济损失二倍的违约金。</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heme="minorEastAsia" w:hAnsiTheme="minorEastAsia" w:cstheme="minorEastAsia"/>
          <w:color w:val="333333"/>
          <w:kern w:val="0"/>
          <w:sz w:val="24"/>
          <w:szCs w:val="24"/>
        </w:rPr>
      </w:pPr>
    </w:p>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asciiTheme="minorEastAsia" w:hAnsiTheme="minorEastAsia" w:cstheme="minorEastAsia"/>
          <w:color w:val="333333"/>
          <w:kern w:val="0"/>
          <w:sz w:val="24"/>
          <w:szCs w:val="24"/>
        </w:rPr>
      </w:pPr>
      <w:r>
        <w:rPr>
          <w:rFonts w:hint="eastAsia" w:asciiTheme="minorEastAsia" w:hAnsiTheme="minorEastAsia" w:cstheme="minorEastAsia"/>
          <w:color w:val="333333"/>
          <w:kern w:val="0"/>
          <w:sz w:val="24"/>
          <w:szCs w:val="24"/>
        </w:rPr>
        <w:t>3、合同生效后，乙方毁约不再进行养护，必须向甲方支付合同价款二倍的违约金。</w:t>
      </w:r>
    </w:p>
    <w:p>
      <w:pPr>
        <w:keepNext w:val="0"/>
        <w:keepLines w:val="0"/>
        <w:pageBreakBefore w:val="0"/>
        <w:widowControl/>
        <w:kinsoku/>
        <w:wordWrap/>
        <w:overflowPunct/>
        <w:topLinePunct w:val="0"/>
        <w:autoSpaceDE/>
        <w:autoSpaceDN/>
        <w:bidi w:val="0"/>
        <w:adjustRightInd/>
        <w:snapToGrid/>
        <w:spacing w:line="240" w:lineRule="auto"/>
        <w:ind w:firstLine="482" w:firstLineChars="200"/>
        <w:jc w:val="left"/>
        <w:textAlignment w:val="auto"/>
        <w:rPr>
          <w:rFonts w:asciiTheme="minorEastAsia" w:hAnsiTheme="minorEastAsia" w:cstheme="minorEastAsia"/>
          <w:b/>
          <w:color w:val="333333"/>
          <w:kern w:val="0"/>
          <w:sz w:val="24"/>
          <w:szCs w:val="24"/>
        </w:rPr>
      </w:pPr>
      <w:r>
        <w:rPr>
          <w:rFonts w:hint="eastAsia" w:asciiTheme="minorEastAsia" w:hAnsiTheme="minorEastAsia" w:cstheme="minorEastAsia"/>
          <w:b/>
          <w:color w:val="333333"/>
          <w:kern w:val="0"/>
          <w:sz w:val="24"/>
          <w:szCs w:val="24"/>
        </w:rPr>
        <w:t>九、合同争议</w:t>
      </w:r>
    </w:p>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asciiTheme="minorEastAsia" w:hAnsiTheme="minorEastAsia" w:cstheme="minorEastAsia"/>
          <w:color w:val="333333"/>
          <w:kern w:val="0"/>
          <w:sz w:val="24"/>
          <w:szCs w:val="24"/>
        </w:rPr>
      </w:pPr>
      <w:r>
        <w:rPr>
          <w:rFonts w:hint="eastAsia" w:asciiTheme="minorEastAsia" w:hAnsiTheme="minorEastAsia" w:cstheme="minorEastAsia"/>
          <w:color w:val="333333"/>
          <w:kern w:val="0"/>
          <w:sz w:val="24"/>
          <w:szCs w:val="24"/>
        </w:rPr>
        <w:t>合同执行过程中发生争议的，双方协商解决，无法达成协议可申请劳动仲裁或向米东区人民法院起诉。</w:t>
      </w:r>
    </w:p>
    <w:p>
      <w:pPr>
        <w:keepNext w:val="0"/>
        <w:keepLines w:val="0"/>
        <w:pageBreakBefore w:val="0"/>
        <w:widowControl/>
        <w:kinsoku/>
        <w:wordWrap/>
        <w:overflowPunct/>
        <w:topLinePunct w:val="0"/>
        <w:autoSpaceDE/>
        <w:autoSpaceDN/>
        <w:bidi w:val="0"/>
        <w:adjustRightInd/>
        <w:snapToGrid/>
        <w:spacing w:line="240" w:lineRule="auto"/>
        <w:ind w:firstLine="482" w:firstLineChars="200"/>
        <w:jc w:val="left"/>
        <w:textAlignment w:val="auto"/>
        <w:rPr>
          <w:rFonts w:asciiTheme="minorEastAsia" w:hAnsiTheme="minorEastAsia" w:cstheme="minorEastAsia"/>
          <w:b/>
          <w:color w:val="333333"/>
          <w:kern w:val="0"/>
          <w:sz w:val="24"/>
          <w:szCs w:val="24"/>
        </w:rPr>
      </w:pPr>
      <w:r>
        <w:rPr>
          <w:rFonts w:hint="eastAsia" w:asciiTheme="minorEastAsia" w:hAnsiTheme="minorEastAsia" w:cstheme="minorEastAsia"/>
          <w:b/>
          <w:color w:val="333333"/>
          <w:kern w:val="0"/>
          <w:sz w:val="24"/>
          <w:szCs w:val="24"/>
        </w:rPr>
        <w:t xml:space="preserve">十、合同的生效、变更和终止 </w:t>
      </w:r>
    </w:p>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asciiTheme="minorEastAsia" w:hAnsiTheme="minorEastAsia" w:cstheme="minorEastAsia"/>
          <w:color w:val="333333"/>
          <w:sz w:val="24"/>
          <w:szCs w:val="24"/>
        </w:rPr>
      </w:pPr>
      <w:r>
        <w:rPr>
          <w:rFonts w:hint="eastAsia" w:asciiTheme="minorEastAsia" w:hAnsiTheme="minorEastAsia" w:cstheme="minorEastAsia"/>
          <w:color w:val="333333"/>
          <w:kern w:val="0"/>
          <w:sz w:val="24"/>
          <w:szCs w:val="24"/>
        </w:rPr>
        <w:t>本合同双方签字盖章后生效；有效期满，双方结算完成，合同自行终止；未尽事宜，由双方另行签订补充协议。</w:t>
      </w:r>
    </w:p>
    <w:p>
      <w:pPr>
        <w:keepNext w:val="0"/>
        <w:keepLines w:val="0"/>
        <w:pageBreakBefore w:val="0"/>
        <w:widowControl/>
        <w:kinsoku/>
        <w:wordWrap/>
        <w:overflowPunct/>
        <w:topLinePunct w:val="0"/>
        <w:autoSpaceDE/>
        <w:autoSpaceDN/>
        <w:bidi w:val="0"/>
        <w:adjustRightInd/>
        <w:snapToGrid/>
        <w:spacing w:line="240" w:lineRule="auto"/>
        <w:ind w:firstLine="482" w:firstLineChars="200"/>
        <w:jc w:val="left"/>
        <w:textAlignment w:val="auto"/>
        <w:rPr>
          <w:rFonts w:asciiTheme="minorEastAsia" w:hAnsiTheme="minorEastAsia" w:cstheme="minorEastAsia"/>
          <w:b/>
          <w:color w:val="333333"/>
          <w:kern w:val="0"/>
          <w:sz w:val="24"/>
          <w:szCs w:val="24"/>
        </w:rPr>
      </w:pPr>
      <w:r>
        <w:rPr>
          <w:rFonts w:hint="eastAsia" w:asciiTheme="minorEastAsia" w:hAnsiTheme="minorEastAsia" w:cstheme="minorEastAsia"/>
          <w:b/>
          <w:color w:val="333333"/>
          <w:kern w:val="0"/>
          <w:sz w:val="24"/>
          <w:szCs w:val="24"/>
        </w:rPr>
        <w:t>十一、本合同一式四份，甲乙双方各执两份。</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heme="minorEastAsia" w:hAnsiTheme="minorEastAsia" w:cstheme="minorEastAsia"/>
          <w:color w:val="333333"/>
          <w:kern w:val="0"/>
          <w:sz w:val="24"/>
          <w:szCs w:val="24"/>
        </w:rPr>
      </w:pPr>
    </w:p>
    <w:p>
      <w:pPr>
        <w:keepNext w:val="0"/>
        <w:keepLines w:val="0"/>
        <w:pageBreakBefore w:val="0"/>
        <w:widowControl/>
        <w:kinsoku/>
        <w:wordWrap/>
        <w:overflowPunct/>
        <w:topLinePunct w:val="0"/>
        <w:autoSpaceDE/>
        <w:autoSpaceDN/>
        <w:bidi w:val="0"/>
        <w:adjustRightInd/>
        <w:snapToGrid/>
        <w:spacing w:line="240" w:lineRule="auto"/>
        <w:ind w:firstLine="482"/>
        <w:jc w:val="left"/>
        <w:textAlignment w:val="auto"/>
        <w:rPr>
          <w:rFonts w:asciiTheme="minorEastAsia" w:hAnsiTheme="minorEastAsia" w:cstheme="minorEastAsia"/>
          <w:b/>
          <w:color w:val="333333"/>
          <w:kern w:val="0"/>
          <w:sz w:val="24"/>
          <w:szCs w:val="24"/>
        </w:rPr>
      </w:pPr>
    </w:p>
    <w:p>
      <w:pPr>
        <w:keepNext w:val="0"/>
        <w:keepLines w:val="0"/>
        <w:pageBreakBefore w:val="0"/>
        <w:widowControl/>
        <w:kinsoku/>
        <w:wordWrap/>
        <w:overflowPunct/>
        <w:topLinePunct w:val="0"/>
        <w:autoSpaceDE/>
        <w:autoSpaceDN/>
        <w:bidi w:val="0"/>
        <w:adjustRightInd/>
        <w:snapToGrid/>
        <w:spacing w:line="240" w:lineRule="auto"/>
        <w:ind w:firstLine="482"/>
        <w:jc w:val="left"/>
        <w:textAlignment w:val="auto"/>
        <w:rPr>
          <w:rFonts w:asciiTheme="minorEastAsia" w:hAnsiTheme="minorEastAsia" w:cstheme="minorEastAsia"/>
          <w:b w:val="0"/>
          <w:bCs/>
          <w:color w:val="333333"/>
          <w:kern w:val="0"/>
          <w:sz w:val="24"/>
          <w:szCs w:val="24"/>
        </w:rPr>
      </w:pPr>
    </w:p>
    <w:p>
      <w:pPr>
        <w:keepNext w:val="0"/>
        <w:keepLines w:val="0"/>
        <w:pageBreakBefore w:val="0"/>
        <w:widowControl/>
        <w:kinsoku/>
        <w:wordWrap/>
        <w:overflowPunct/>
        <w:topLinePunct w:val="0"/>
        <w:autoSpaceDE/>
        <w:autoSpaceDN/>
        <w:bidi w:val="0"/>
        <w:adjustRightInd/>
        <w:snapToGrid/>
        <w:spacing w:line="240" w:lineRule="auto"/>
        <w:ind w:firstLine="482"/>
        <w:jc w:val="left"/>
        <w:textAlignment w:val="auto"/>
        <w:rPr>
          <w:rFonts w:asciiTheme="minorEastAsia" w:hAnsiTheme="minorEastAsia" w:cstheme="minorEastAsia"/>
          <w:b w:val="0"/>
          <w:bCs/>
          <w:color w:val="333333"/>
          <w:kern w:val="0"/>
          <w:sz w:val="24"/>
          <w:szCs w:val="24"/>
        </w:rPr>
      </w:pPr>
      <w:r>
        <w:rPr>
          <w:rFonts w:hint="eastAsia" w:asciiTheme="minorEastAsia" w:hAnsiTheme="minorEastAsia" w:cstheme="minorEastAsia"/>
          <w:b w:val="0"/>
          <w:bCs/>
          <w:color w:val="333333"/>
          <w:kern w:val="0"/>
          <w:sz w:val="24"/>
          <w:szCs w:val="24"/>
        </w:rPr>
        <w:t>甲方：（盖章）                    乙方：（盖章）</w:t>
      </w:r>
    </w:p>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asciiTheme="minorEastAsia" w:hAnsiTheme="minorEastAsia" w:cstheme="minorEastAsia"/>
          <w:b w:val="0"/>
          <w:bCs/>
          <w:color w:val="333333"/>
          <w:kern w:val="0"/>
          <w:sz w:val="24"/>
          <w:szCs w:val="24"/>
        </w:rPr>
      </w:pPr>
      <w:r>
        <w:rPr>
          <w:rFonts w:hint="eastAsia" w:asciiTheme="minorEastAsia" w:hAnsiTheme="minorEastAsia" w:cstheme="minorEastAsia"/>
          <w:b w:val="0"/>
          <w:bCs/>
          <w:color w:val="333333"/>
          <w:kern w:val="0"/>
          <w:sz w:val="24"/>
          <w:szCs w:val="24"/>
        </w:rPr>
        <w:t>法人代表：                        法人代表：</w:t>
      </w:r>
    </w:p>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asciiTheme="minorEastAsia" w:hAnsiTheme="minorEastAsia" w:cstheme="minorEastAsia"/>
          <w:b w:val="0"/>
          <w:bCs/>
          <w:color w:val="333333"/>
          <w:sz w:val="24"/>
          <w:szCs w:val="24"/>
        </w:rPr>
      </w:pPr>
      <w:r>
        <w:rPr>
          <w:rFonts w:hint="eastAsia" w:asciiTheme="minorEastAsia" w:hAnsiTheme="minorEastAsia" w:cstheme="minorEastAsia"/>
          <w:b w:val="0"/>
          <w:bCs/>
          <w:color w:val="333333"/>
          <w:kern w:val="0"/>
          <w:sz w:val="24"/>
          <w:szCs w:val="24"/>
        </w:rPr>
        <w:t>委托人：                          委托人：</w:t>
      </w:r>
    </w:p>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asciiTheme="minorEastAsia" w:hAnsiTheme="minorEastAsia" w:cstheme="minorEastAsia"/>
          <w:b w:val="0"/>
          <w:bCs/>
          <w:color w:val="333333"/>
          <w:sz w:val="24"/>
          <w:szCs w:val="24"/>
        </w:rPr>
      </w:pPr>
      <w:r>
        <w:rPr>
          <w:rFonts w:hint="eastAsia" w:asciiTheme="minorEastAsia" w:hAnsiTheme="minorEastAsia" w:cstheme="minorEastAsia"/>
          <w:b w:val="0"/>
          <w:bCs/>
          <w:color w:val="333333"/>
          <w:kern w:val="0"/>
          <w:sz w:val="24"/>
          <w:szCs w:val="24"/>
        </w:rPr>
        <w:t>日 期：                           日期：</w:t>
      </w:r>
    </w:p>
    <w:p>
      <w:pPr>
        <w:keepNext w:val="0"/>
        <w:keepLines w:val="0"/>
        <w:pageBreakBefore w:val="0"/>
        <w:widowControl/>
        <w:kinsoku/>
        <w:wordWrap/>
        <w:overflowPunct/>
        <w:topLinePunct w:val="0"/>
        <w:autoSpaceDE/>
        <w:autoSpaceDN/>
        <w:bidi w:val="0"/>
        <w:adjustRightInd/>
        <w:snapToGrid/>
        <w:spacing w:line="240" w:lineRule="auto"/>
        <w:ind w:firstLine="600"/>
        <w:jc w:val="left"/>
        <w:textAlignment w:val="auto"/>
        <w:rPr>
          <w:rFonts w:asciiTheme="minorEastAsia" w:hAnsiTheme="minorEastAsia"/>
          <w:sz w:val="24"/>
          <w:szCs w:val="24"/>
        </w:rPr>
      </w:pP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cs="楷体_GB2312" w:asciiTheme="minorEastAsia" w:hAnsiTheme="minorEastAsia"/>
          <w:color w:val="333333"/>
          <w:sz w:val="24"/>
          <w:szCs w:val="24"/>
        </w:rPr>
      </w:pPr>
    </w:p>
    <w:p>
      <w:pPr>
        <w:keepNext w:val="0"/>
        <w:keepLines w:val="0"/>
        <w:pageBreakBefore w:val="0"/>
        <w:kinsoku/>
        <w:wordWrap/>
        <w:overflowPunct/>
        <w:topLinePunct w:val="0"/>
        <w:autoSpaceDE/>
        <w:autoSpaceDN/>
        <w:bidi w:val="0"/>
        <w:adjustRightInd/>
        <w:snapToGrid/>
        <w:spacing w:line="240" w:lineRule="auto"/>
        <w:ind w:firstLine="600"/>
        <w:textAlignment w:val="auto"/>
        <w:rPr>
          <w:rFonts w:asciiTheme="minorEastAsia" w:hAnsiTheme="minorEastAsia"/>
          <w:sz w:val="24"/>
          <w:szCs w:val="24"/>
        </w:rPr>
      </w:pPr>
    </w:p>
    <w:p>
      <w:pPr>
        <w:keepNext w:val="0"/>
        <w:keepLines w:val="0"/>
        <w:pageBreakBefore w:val="0"/>
        <w:kinsoku/>
        <w:wordWrap/>
        <w:overflowPunct/>
        <w:topLinePunct w:val="0"/>
        <w:autoSpaceDE/>
        <w:autoSpaceDN/>
        <w:bidi w:val="0"/>
        <w:adjustRightInd/>
        <w:snapToGrid/>
        <w:spacing w:line="240" w:lineRule="auto"/>
        <w:ind w:firstLine="482"/>
        <w:textAlignment w:val="auto"/>
        <w:rPr>
          <w:rFonts w:cs="宋体" w:asciiTheme="minorEastAsia" w:hAnsiTheme="minorEastAsia"/>
          <w:b/>
          <w:sz w:val="24"/>
          <w:szCs w:val="24"/>
        </w:rPr>
      </w:pPr>
    </w:p>
    <w:p>
      <w:pPr>
        <w:spacing w:line="440" w:lineRule="exact"/>
        <w:ind w:firstLine="482"/>
        <w:jc w:val="center"/>
        <w:outlineLvl w:val="0"/>
        <w:rPr>
          <w:rFonts w:cs="宋体" w:asciiTheme="minorEastAsia" w:hAnsiTheme="minorEastAsia"/>
          <w:b/>
          <w:sz w:val="24"/>
          <w:szCs w:val="24"/>
        </w:rPr>
        <w:sectPr>
          <w:headerReference r:id="rId6" w:type="default"/>
          <w:footerReference r:id="rId7" w:type="default"/>
          <w:pgSz w:w="11906" w:h="16838"/>
          <w:pgMar w:top="1134" w:right="1418" w:bottom="1134" w:left="1418" w:header="851" w:footer="992" w:gutter="0"/>
          <w:pgNumType w:start="1"/>
          <w:cols w:space="425" w:num="1"/>
          <w:docGrid w:linePitch="312" w:charSpace="0"/>
        </w:sectPr>
      </w:pPr>
      <w:r>
        <w:rPr>
          <w:rFonts w:cs="宋体" w:asciiTheme="minorEastAsia" w:hAnsiTheme="minorEastAsia"/>
          <w:b/>
          <w:sz w:val="24"/>
          <w:szCs w:val="24"/>
        </w:rPr>
        <w:br w:type="page"/>
      </w:r>
    </w:p>
    <w:tbl>
      <w:tblPr>
        <w:tblStyle w:val="34"/>
        <w:tblW w:w="5000" w:type="pct"/>
        <w:tblInd w:w="0" w:type="dxa"/>
        <w:tblLayout w:type="autofit"/>
        <w:tblCellMar>
          <w:top w:w="0" w:type="dxa"/>
          <w:left w:w="108" w:type="dxa"/>
          <w:bottom w:w="0" w:type="dxa"/>
          <w:right w:w="108" w:type="dxa"/>
        </w:tblCellMar>
      </w:tblPr>
      <w:tblGrid>
        <w:gridCol w:w="1176"/>
        <w:gridCol w:w="4116"/>
        <w:gridCol w:w="756"/>
        <w:gridCol w:w="936"/>
        <w:gridCol w:w="1368"/>
        <w:gridCol w:w="936"/>
      </w:tblGrid>
      <w:tr>
        <w:tblPrEx>
          <w:tblCellMar>
            <w:top w:w="0" w:type="dxa"/>
            <w:left w:w="108" w:type="dxa"/>
            <w:bottom w:w="0" w:type="dxa"/>
            <w:right w:w="108" w:type="dxa"/>
          </w:tblCellMar>
        </w:tblPrEx>
        <w:trPr>
          <w:trHeight w:val="660" w:hRule="atLeast"/>
        </w:trPr>
        <w:tc>
          <w:tcPr>
            <w:tcW w:w="5000" w:type="pct"/>
            <w:gridSpan w:val="6"/>
            <w:tcBorders>
              <w:top w:val="nil"/>
              <w:left w:val="nil"/>
              <w:bottom w:val="nil"/>
              <w:right w:val="nil"/>
            </w:tcBorders>
            <w:shd w:val="clear" w:color="auto" w:fill="auto"/>
            <w:noWrap/>
            <w:vAlign w:val="center"/>
          </w:tcPr>
          <w:p>
            <w:pPr>
              <w:widowControl/>
              <w:ind w:firstLine="482"/>
              <w:jc w:val="center"/>
              <w:textAlignment w:val="center"/>
              <w:rPr>
                <w:rFonts w:asciiTheme="minorEastAsia" w:hAnsiTheme="minorEastAsia" w:cstheme="minorEastAsia"/>
                <w:b/>
                <w:bCs/>
                <w:color w:val="000000"/>
                <w:sz w:val="24"/>
                <w:szCs w:val="24"/>
              </w:rPr>
            </w:pPr>
            <w:r>
              <w:rPr>
                <w:rFonts w:hint="eastAsia" w:asciiTheme="minorEastAsia" w:hAnsiTheme="minorEastAsia" w:cstheme="minorEastAsia"/>
                <w:b/>
                <w:bCs/>
                <w:color w:val="000000"/>
                <w:kern w:val="0"/>
                <w:sz w:val="24"/>
                <w:szCs w:val="24"/>
                <w:lang w:bidi="ar"/>
              </w:rPr>
              <w:t>3月4月米东区绿地养护考核评分表(公园级、游园一级）</w:t>
            </w:r>
          </w:p>
        </w:tc>
      </w:tr>
      <w:tr>
        <w:tblPrEx>
          <w:tblCellMar>
            <w:top w:w="0" w:type="dxa"/>
            <w:left w:w="108" w:type="dxa"/>
            <w:bottom w:w="0" w:type="dxa"/>
            <w:right w:w="108" w:type="dxa"/>
          </w:tblCellMar>
        </w:tblPrEx>
        <w:trPr>
          <w:trHeight w:val="460" w:hRule="atLeast"/>
        </w:trPr>
        <w:tc>
          <w:tcPr>
            <w:tcW w:w="5000" w:type="pct"/>
            <w:gridSpan w:val="6"/>
            <w:tcBorders>
              <w:top w:val="nil"/>
              <w:left w:val="nil"/>
              <w:bottom w:val="nil"/>
              <w:right w:val="nil"/>
            </w:tcBorders>
            <w:shd w:val="clear" w:color="auto" w:fill="auto"/>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 xml:space="preserve">   日期：                   养护公司：                         养护面积：</w:t>
            </w:r>
          </w:p>
        </w:tc>
      </w:tr>
      <w:tr>
        <w:tblPrEx>
          <w:tblCellMar>
            <w:top w:w="0" w:type="dxa"/>
            <w:left w:w="108" w:type="dxa"/>
            <w:bottom w:w="0" w:type="dxa"/>
            <w:right w:w="108" w:type="dxa"/>
          </w:tblCellMar>
        </w:tblPrEx>
        <w:trPr>
          <w:trHeight w:val="72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考核项目</w:t>
            </w:r>
          </w:p>
        </w:tc>
        <w:tc>
          <w:tcPr>
            <w:tcW w:w="1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考核内容</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评分标准</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 xml:space="preserve"> 得 分</w:t>
            </w:r>
          </w:p>
        </w:tc>
        <w:tc>
          <w:tcPr>
            <w:tcW w:w="1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扣分原因</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备  注</w:t>
            </w:r>
          </w:p>
        </w:tc>
      </w:tr>
      <w:tr>
        <w:tblPrEx>
          <w:tblCellMar>
            <w:top w:w="0" w:type="dxa"/>
            <w:left w:w="108" w:type="dxa"/>
            <w:bottom w:w="0" w:type="dxa"/>
            <w:right w:w="108" w:type="dxa"/>
          </w:tblCellMar>
        </w:tblPrEx>
        <w:trPr>
          <w:trHeight w:val="700" w:hRule="atLeast"/>
        </w:trPr>
        <w:tc>
          <w:tcPr>
            <w:tcW w:w="4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乔灌木修剪22分</w:t>
            </w:r>
          </w:p>
        </w:tc>
        <w:tc>
          <w:tcPr>
            <w:tcW w:w="15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1、乔灌木生长势好，树形完整，层次清楚，没有人为偏冠</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6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每月考核时随机抽选5-10处，每处1000㎡。分别打分，最后计算得出本月得分。</w:t>
            </w:r>
          </w:p>
        </w:tc>
      </w:tr>
      <w:tr>
        <w:tblPrEx>
          <w:tblCellMar>
            <w:top w:w="0" w:type="dxa"/>
            <w:left w:w="108" w:type="dxa"/>
            <w:bottom w:w="0" w:type="dxa"/>
            <w:right w:w="108" w:type="dxa"/>
          </w:tblCellMar>
        </w:tblPrEx>
        <w:trPr>
          <w:trHeight w:val="600"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2、枯死枝、徒长枝、下垂枝、折枝、病虫枝、过密枝及时清理</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6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880"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3、在规定时间内完成灌木，绿篱、绿雕修剪，确保株形完美、线条整齐、形态逼真。</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00"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4、苗木要按照生长习性和花期进行修剪。</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20"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5、灌木，绿篱、绿雕徒长枝不能高于5CM</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480"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6、死树及时伐掉、倒树及时扶正</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60"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7、按规定时间完成修剪工作，修剪枝当天清理</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540"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8、3㎝以上剪口、损伤部位涂防护剂</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560"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9、草坪修剪整齐，没有杂草斑秃</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580"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10、及时清除林地内杂草</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580" w:hRule="atLeast"/>
        </w:trPr>
        <w:tc>
          <w:tcPr>
            <w:tcW w:w="4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花卉管理6分</w:t>
            </w:r>
          </w:p>
        </w:tc>
        <w:tc>
          <w:tcPr>
            <w:tcW w:w="15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1、按要求及时完成栽植花卉工作</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每月考核时随机抽选5-10处，每处1000㎡。分别打分，最后计算得出本月得分。</w:t>
            </w:r>
          </w:p>
        </w:tc>
      </w:tr>
      <w:tr>
        <w:tblPrEx>
          <w:tblCellMar>
            <w:top w:w="0" w:type="dxa"/>
            <w:left w:w="108" w:type="dxa"/>
            <w:bottom w:w="0" w:type="dxa"/>
            <w:right w:w="108" w:type="dxa"/>
          </w:tblCellMar>
        </w:tblPrEx>
        <w:trPr>
          <w:trHeight w:val="580"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2、按要求及时施肥，及时中耕除草</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820"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3、花卉整齐，长势好、没有缺株，倒伏，没有残花败叶。</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60" w:hRule="atLeast"/>
        </w:trPr>
        <w:tc>
          <w:tcPr>
            <w:tcW w:w="42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乔灌木栽植8分</w:t>
            </w:r>
          </w:p>
        </w:tc>
        <w:tc>
          <w:tcPr>
            <w:tcW w:w="1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1、按要求合理规范施工</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00"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2、苗木当天需栽植并完成浇水工作</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00"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3、确保苗木的成活率</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00"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4、在规定时间内完成</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840" w:hRule="atLeast"/>
        </w:trPr>
        <w:tc>
          <w:tcPr>
            <w:tcW w:w="4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病虫害防治8分</w:t>
            </w:r>
          </w:p>
        </w:tc>
        <w:tc>
          <w:tcPr>
            <w:tcW w:w="15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2、按要求及时完成涂白工作</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60"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3、涂白高度整齐</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1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20"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4、涂白剂涂抹均匀</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580"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5、按标准进行药物配比</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900" w:hRule="atLeast"/>
        </w:trPr>
        <w:tc>
          <w:tcPr>
            <w:tcW w:w="4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绿地整理17分</w:t>
            </w:r>
          </w:p>
        </w:tc>
        <w:tc>
          <w:tcPr>
            <w:tcW w:w="1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1、及时清理林带内的枯枝败叶及垃圾，卫生打扫干净，保持林带内环境优美整洁。</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 xml:space="preserve">每月考核时随机抽选5-10处，每处1000㎡。分别打分，最后计算得出本月得分。   </w:t>
            </w:r>
          </w:p>
        </w:tc>
      </w:tr>
      <w:tr>
        <w:tblPrEx>
          <w:tblCellMar>
            <w:top w:w="0" w:type="dxa"/>
            <w:left w:w="108" w:type="dxa"/>
            <w:bottom w:w="0" w:type="dxa"/>
            <w:right w:w="108" w:type="dxa"/>
          </w:tblCellMar>
        </w:tblPrEx>
        <w:trPr>
          <w:trHeight w:val="720"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2、林带内没有悬挂物、私搭乱建现象</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80"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3、平整林带并进行中耕除草，松土</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60"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4、确保树穴为下沉式</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00"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5、保质保量完成各类灌溉设施到位，摆放整齐，并且能正常使用。</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60"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6、及时完成花卉种植区的整理及中耕除草工作</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00"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7、肥料需施在树穴并深翻</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00"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8、在规定时间保质保量完成施肥工作</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00" w:hRule="atLeast"/>
        </w:trPr>
        <w:tc>
          <w:tcPr>
            <w:tcW w:w="428" w:type="pct"/>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 xml:space="preserve">水系及硬化路面管理15分                                                                                                                                                                                                                                     </w:t>
            </w:r>
          </w:p>
        </w:tc>
        <w:tc>
          <w:tcPr>
            <w:tcW w:w="1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1、水系保持干净整洁。</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5分</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00" w:hRule="atLeast"/>
        </w:trPr>
        <w:tc>
          <w:tcPr>
            <w:tcW w:w="428"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3、硬化路面保持卫生干净整洁</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10分</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60" w:hRule="atLeast"/>
        </w:trPr>
        <w:tc>
          <w:tcPr>
            <w:tcW w:w="42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安全生产管理10分</w:t>
            </w:r>
          </w:p>
        </w:tc>
        <w:tc>
          <w:tcPr>
            <w:tcW w:w="1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1、及时排查处理安全隐患</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80"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2、配备安全保护器材</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60"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3、合理规范操作机械</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40"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4、做好安全警示标志</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820" w:hRule="atLeast"/>
        </w:trPr>
        <w:tc>
          <w:tcPr>
            <w:tcW w:w="4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日常管理9分</w:t>
            </w:r>
          </w:p>
        </w:tc>
        <w:tc>
          <w:tcPr>
            <w:tcW w:w="1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1、养护单位对园林队安排的工作及时落实到位</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15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6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 xml:space="preserve">每月考核时随机抽选5-10处，每处1000㎡。分别打分，最后计算得出本月得分。 </w:t>
            </w:r>
          </w:p>
        </w:tc>
      </w:tr>
      <w:tr>
        <w:tblPrEx>
          <w:tblCellMar>
            <w:top w:w="0" w:type="dxa"/>
            <w:left w:w="108" w:type="dxa"/>
            <w:bottom w:w="0" w:type="dxa"/>
            <w:right w:w="108" w:type="dxa"/>
          </w:tblCellMar>
        </w:tblPrEx>
        <w:trPr>
          <w:trHeight w:val="740"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2、服从单位安排的应急事件，并保质保量完成。</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15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6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820"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3、及时按要求上报工作计划、工作小结</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6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20"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4、养护人员配置到位</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6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900" w:hRule="atLeast"/>
        </w:trPr>
        <w:tc>
          <w:tcPr>
            <w:tcW w:w="4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设施设备维修5分</w:t>
            </w:r>
          </w:p>
        </w:tc>
        <w:tc>
          <w:tcPr>
            <w:tcW w:w="15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1、各种标牌、标志物、辅助设施损坏及时修复</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6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820"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2、林地内的水井盖完好</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6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80" w:hRule="atLeast"/>
        </w:trPr>
        <w:tc>
          <w:tcPr>
            <w:tcW w:w="19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当月考核分数</w:t>
            </w:r>
          </w:p>
        </w:tc>
        <w:tc>
          <w:tcPr>
            <w:tcW w:w="239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cstheme="minorEastAsia"/>
                <w:color w:val="000000"/>
                <w:sz w:val="24"/>
                <w:szCs w:val="24"/>
              </w:rPr>
            </w:pPr>
          </w:p>
        </w:tc>
        <w:tc>
          <w:tcPr>
            <w:tcW w:w="6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57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考核人签字：                                       养护单位负责人签字：</w:t>
            </w:r>
          </w:p>
        </w:tc>
      </w:tr>
    </w:tbl>
    <w:p>
      <w:pPr>
        <w:ind w:firstLine="482"/>
        <w:rPr>
          <w:rFonts w:cs="宋体" w:asciiTheme="minorEastAsia" w:hAnsiTheme="minorEastAsia"/>
          <w:b/>
          <w:sz w:val="24"/>
          <w:szCs w:val="24"/>
        </w:rPr>
      </w:pPr>
      <w:r>
        <w:rPr>
          <w:rFonts w:hint="eastAsia" w:cs="宋体" w:asciiTheme="minorEastAsia" w:hAnsiTheme="minorEastAsia"/>
          <w:b/>
          <w:sz w:val="24"/>
          <w:szCs w:val="24"/>
        </w:rPr>
        <w:br w:type="page"/>
      </w:r>
    </w:p>
    <w:tbl>
      <w:tblPr>
        <w:tblStyle w:val="34"/>
        <w:tblW w:w="5000" w:type="pct"/>
        <w:tblInd w:w="0" w:type="dxa"/>
        <w:tblLayout w:type="autofit"/>
        <w:tblCellMar>
          <w:top w:w="0" w:type="dxa"/>
          <w:left w:w="108" w:type="dxa"/>
          <w:bottom w:w="0" w:type="dxa"/>
          <w:right w:w="108" w:type="dxa"/>
        </w:tblCellMar>
      </w:tblPr>
      <w:tblGrid>
        <w:gridCol w:w="1296"/>
        <w:gridCol w:w="4176"/>
        <w:gridCol w:w="756"/>
        <w:gridCol w:w="936"/>
        <w:gridCol w:w="1188"/>
        <w:gridCol w:w="936"/>
      </w:tblGrid>
      <w:tr>
        <w:tblPrEx>
          <w:tblCellMar>
            <w:top w:w="0" w:type="dxa"/>
            <w:left w:w="108" w:type="dxa"/>
            <w:bottom w:w="0" w:type="dxa"/>
            <w:right w:w="108" w:type="dxa"/>
          </w:tblCellMar>
        </w:tblPrEx>
        <w:trPr>
          <w:trHeight w:val="540" w:hRule="atLeast"/>
        </w:trPr>
        <w:tc>
          <w:tcPr>
            <w:tcW w:w="5000" w:type="pct"/>
            <w:gridSpan w:val="6"/>
            <w:tcBorders>
              <w:top w:val="nil"/>
              <w:left w:val="nil"/>
              <w:bottom w:val="nil"/>
              <w:right w:val="nil"/>
            </w:tcBorders>
            <w:shd w:val="clear" w:color="auto" w:fill="auto"/>
            <w:noWrap/>
            <w:vAlign w:val="center"/>
          </w:tcPr>
          <w:p>
            <w:pPr>
              <w:widowControl/>
              <w:ind w:firstLine="482"/>
              <w:jc w:val="center"/>
              <w:textAlignment w:val="center"/>
              <w:rPr>
                <w:rFonts w:asciiTheme="minorEastAsia" w:hAnsiTheme="minorEastAsia" w:cstheme="minorEastAsia"/>
                <w:b/>
                <w:bCs/>
                <w:color w:val="000000"/>
                <w:sz w:val="24"/>
                <w:szCs w:val="24"/>
              </w:rPr>
            </w:pPr>
            <w:r>
              <w:rPr>
                <w:rFonts w:hint="eastAsia" w:asciiTheme="minorEastAsia" w:hAnsiTheme="minorEastAsia" w:cstheme="minorEastAsia"/>
                <w:b/>
                <w:bCs/>
                <w:color w:val="000000"/>
                <w:kern w:val="0"/>
                <w:sz w:val="24"/>
                <w:szCs w:val="24"/>
                <w:lang w:bidi="ar"/>
              </w:rPr>
              <w:t>5月-9月 米东区绿地养护考核评分表(公园级、游园一级）</w:t>
            </w:r>
          </w:p>
        </w:tc>
      </w:tr>
      <w:tr>
        <w:tblPrEx>
          <w:tblCellMar>
            <w:top w:w="0" w:type="dxa"/>
            <w:left w:w="108" w:type="dxa"/>
            <w:bottom w:w="0" w:type="dxa"/>
            <w:right w:w="108" w:type="dxa"/>
          </w:tblCellMar>
        </w:tblPrEx>
        <w:trPr>
          <w:trHeight w:val="375" w:hRule="atLeast"/>
        </w:trPr>
        <w:tc>
          <w:tcPr>
            <w:tcW w:w="5000" w:type="pct"/>
            <w:gridSpan w:val="6"/>
            <w:tcBorders>
              <w:top w:val="nil"/>
              <w:left w:val="nil"/>
              <w:bottom w:val="nil"/>
              <w:right w:val="nil"/>
            </w:tcBorders>
            <w:shd w:val="clear" w:color="auto" w:fill="auto"/>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 xml:space="preserve"> 日期：                       养护公司：                       养护面积：               </w:t>
            </w:r>
          </w:p>
        </w:tc>
      </w:tr>
      <w:tr>
        <w:tblPrEx>
          <w:tblCellMar>
            <w:top w:w="0" w:type="dxa"/>
            <w:left w:w="108" w:type="dxa"/>
            <w:bottom w:w="0" w:type="dxa"/>
            <w:right w:w="108" w:type="dxa"/>
          </w:tblCellMar>
        </w:tblPrEx>
        <w:trPr>
          <w:trHeight w:val="450" w:hRule="atLeast"/>
        </w:trPr>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考核项目</w:t>
            </w:r>
          </w:p>
        </w:tc>
        <w:tc>
          <w:tcPr>
            <w:tcW w:w="1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考核内容</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评分标准</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得  分</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扣分原因</w:t>
            </w:r>
          </w:p>
        </w:tc>
        <w:tc>
          <w:tcPr>
            <w:tcW w:w="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备  注</w:t>
            </w:r>
          </w:p>
        </w:tc>
      </w:tr>
      <w:tr>
        <w:tblPrEx>
          <w:tblCellMar>
            <w:top w:w="0" w:type="dxa"/>
            <w:left w:w="108" w:type="dxa"/>
            <w:bottom w:w="0" w:type="dxa"/>
            <w:right w:w="108" w:type="dxa"/>
          </w:tblCellMar>
        </w:tblPrEx>
        <w:trPr>
          <w:trHeight w:val="760" w:hRule="atLeast"/>
        </w:trPr>
        <w:tc>
          <w:tcPr>
            <w:tcW w:w="4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乔灌木绿篱修剪20分</w:t>
            </w:r>
          </w:p>
        </w:tc>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1、乔灌木生长势好，树形完整，层次清楚，没有人为偏冠</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cstheme="minorEastAsia"/>
                <w:color w:val="000000"/>
                <w:sz w:val="24"/>
                <w:szCs w:val="24"/>
              </w:rPr>
            </w:pP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cstheme="minorEastAsia"/>
                <w:color w:val="000000"/>
                <w:sz w:val="24"/>
                <w:szCs w:val="24"/>
              </w:rPr>
            </w:pPr>
          </w:p>
        </w:tc>
        <w:tc>
          <w:tcPr>
            <w:tcW w:w="6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 xml:space="preserve">                                                                                                                 每月考核时随机抽选5-10处，每处1000㎡。分别打分，最后计算得出本月得分。</w:t>
            </w:r>
          </w:p>
        </w:tc>
      </w:tr>
      <w:tr>
        <w:tblPrEx>
          <w:tblCellMar>
            <w:top w:w="0" w:type="dxa"/>
            <w:left w:w="108" w:type="dxa"/>
            <w:bottom w:w="0" w:type="dxa"/>
            <w:right w:w="108" w:type="dxa"/>
          </w:tblCellMar>
        </w:tblPrEx>
        <w:trPr>
          <w:trHeight w:val="940" w:hRule="atLeast"/>
        </w:trPr>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2、枯死枝、徒长枝、下垂枝、折枝、病虫枝、过密枝，萌蘖枝及时清理</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6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60" w:hRule="atLeast"/>
        </w:trPr>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3、灌木，绿篱、绿雕徒长枝不能高于5CM</w:t>
            </w:r>
          </w:p>
        </w:tc>
        <w:tc>
          <w:tcPr>
            <w:tcW w:w="4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5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375" w:hRule="atLeast"/>
        </w:trPr>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0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4、在规定时间内完成灌木，绿篱、绿雕修剪，确保株形完美、线条整齐、形态逼真。</w:t>
            </w:r>
          </w:p>
        </w:tc>
        <w:tc>
          <w:tcPr>
            <w:tcW w:w="459"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367"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heme="minorEastAsia" w:hAnsiTheme="minorEastAsia" w:cstheme="minorEastAsia"/>
                <w:color w:val="000000"/>
                <w:sz w:val="24"/>
                <w:szCs w:val="24"/>
              </w:rPr>
            </w:pPr>
          </w:p>
        </w:tc>
        <w:tc>
          <w:tcPr>
            <w:tcW w:w="1535"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heme="minorEastAsia" w:hAnsiTheme="minorEastAsia" w:cstheme="minorEastAsia"/>
                <w:color w:val="000000"/>
                <w:sz w:val="24"/>
                <w:szCs w:val="24"/>
              </w:rPr>
            </w:pPr>
          </w:p>
        </w:tc>
        <w:tc>
          <w:tcPr>
            <w:tcW w:w="6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540" w:hRule="atLeast"/>
        </w:trPr>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0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Theme="minorEastAsia" w:hAnsiTheme="minorEastAsia" w:cstheme="minorEastAsia"/>
                <w:color w:val="000000"/>
                <w:sz w:val="24"/>
                <w:szCs w:val="24"/>
              </w:rPr>
            </w:pP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heme="minorEastAsia" w:hAnsiTheme="minorEastAsia" w:cstheme="minorEastAsia"/>
                <w:color w:val="000000"/>
                <w:sz w:val="24"/>
                <w:szCs w:val="24"/>
              </w:rPr>
            </w:pPr>
          </w:p>
        </w:tc>
        <w:tc>
          <w:tcPr>
            <w:tcW w:w="36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heme="minorEastAsia" w:hAnsiTheme="minorEastAsia" w:cstheme="minorEastAsia"/>
                <w:color w:val="000000"/>
                <w:sz w:val="24"/>
                <w:szCs w:val="24"/>
              </w:rPr>
            </w:pPr>
          </w:p>
        </w:tc>
        <w:tc>
          <w:tcPr>
            <w:tcW w:w="1535"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heme="minorEastAsia" w:hAnsiTheme="minorEastAsia" w:cstheme="minorEastAsia"/>
                <w:color w:val="000000"/>
                <w:sz w:val="24"/>
                <w:szCs w:val="24"/>
              </w:rPr>
            </w:pPr>
          </w:p>
        </w:tc>
        <w:tc>
          <w:tcPr>
            <w:tcW w:w="6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860" w:hRule="atLeast"/>
        </w:trPr>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5、苗木要按照生长习性和花期进行修剪。</w:t>
            </w:r>
          </w:p>
        </w:tc>
        <w:tc>
          <w:tcPr>
            <w:tcW w:w="4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5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80" w:hRule="atLeast"/>
        </w:trPr>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6、死树及时伐掉、倒树及时扶正</w:t>
            </w:r>
          </w:p>
        </w:tc>
        <w:tc>
          <w:tcPr>
            <w:tcW w:w="4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5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20" w:hRule="atLeast"/>
        </w:trPr>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7、规定时间完成修剪工作，修剪枝当天及时清理</w:t>
            </w:r>
          </w:p>
        </w:tc>
        <w:tc>
          <w:tcPr>
            <w:tcW w:w="4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5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60" w:hRule="atLeast"/>
        </w:trPr>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8、草坪修剪整齐，草坪没有杂草斑秃</w:t>
            </w:r>
          </w:p>
        </w:tc>
        <w:tc>
          <w:tcPr>
            <w:tcW w:w="4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5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560" w:hRule="atLeast"/>
        </w:trPr>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9、及时清除林地内杂草</w:t>
            </w:r>
          </w:p>
        </w:tc>
        <w:tc>
          <w:tcPr>
            <w:tcW w:w="4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5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510" w:hRule="atLeast"/>
        </w:trPr>
        <w:tc>
          <w:tcPr>
            <w:tcW w:w="4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花卉管理8分</w:t>
            </w:r>
          </w:p>
        </w:tc>
        <w:tc>
          <w:tcPr>
            <w:tcW w:w="15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1、按要求及时完成栽植花卉工作</w:t>
            </w:r>
          </w:p>
        </w:tc>
        <w:tc>
          <w:tcPr>
            <w:tcW w:w="4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5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每月考核时随机抽选5-10处，每处1000㎡。分别打分，最后计算得出本月得分。</w:t>
            </w:r>
          </w:p>
        </w:tc>
      </w:tr>
      <w:tr>
        <w:tblPrEx>
          <w:tblCellMar>
            <w:top w:w="0" w:type="dxa"/>
            <w:left w:w="108" w:type="dxa"/>
            <w:bottom w:w="0" w:type="dxa"/>
            <w:right w:w="108" w:type="dxa"/>
          </w:tblCellMar>
        </w:tblPrEx>
        <w:trPr>
          <w:trHeight w:val="640" w:hRule="atLeast"/>
        </w:trPr>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2、按要求及时施肥，及时中耕除草</w:t>
            </w:r>
          </w:p>
        </w:tc>
        <w:tc>
          <w:tcPr>
            <w:tcW w:w="4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5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00" w:hRule="atLeast"/>
        </w:trPr>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3、花卉整齐，长势好</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6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40" w:hRule="atLeast"/>
        </w:trPr>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4、没有缺株，倒伏，没有残花败叶</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6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840" w:hRule="atLeast"/>
        </w:trPr>
        <w:tc>
          <w:tcPr>
            <w:tcW w:w="4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植物病虫害防治7分</w:t>
            </w:r>
          </w:p>
        </w:tc>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1、根据虫害发生情况及时以化学防治的方法打药预防</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6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80" w:hRule="atLeast"/>
        </w:trPr>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2、必须使用高效低毒农药</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6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45" w:hRule="atLeast"/>
        </w:trPr>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3、防治病虫害效果明显，在可控范围内</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6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80" w:hRule="atLeast"/>
        </w:trPr>
        <w:tc>
          <w:tcPr>
            <w:tcW w:w="46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浇水10分</w:t>
            </w:r>
          </w:p>
        </w:tc>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1、及时浇水，没有造成植物萎蔫，枝叶枯黄.</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6分</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6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40" w:hRule="atLeast"/>
        </w:trPr>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cstheme="minorEastAsia"/>
                <w:color w:val="000000"/>
                <w:sz w:val="24"/>
                <w:szCs w:val="24"/>
              </w:rPr>
            </w:pPr>
          </w:p>
        </w:tc>
        <w:tc>
          <w:tcPr>
            <w:tcW w:w="1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2、确保浇水浇到位</w:t>
            </w:r>
          </w:p>
        </w:tc>
        <w:tc>
          <w:tcPr>
            <w:tcW w:w="4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6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20" w:hRule="atLeast"/>
        </w:trPr>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cstheme="minorEastAsia"/>
                <w:color w:val="000000"/>
                <w:sz w:val="24"/>
                <w:szCs w:val="24"/>
              </w:rPr>
            </w:pPr>
          </w:p>
        </w:tc>
        <w:tc>
          <w:tcPr>
            <w:tcW w:w="1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3、确保浇水浇透</w:t>
            </w:r>
          </w:p>
        </w:tc>
        <w:tc>
          <w:tcPr>
            <w:tcW w:w="4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6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1080" w:hRule="atLeast"/>
        </w:trPr>
        <w:tc>
          <w:tcPr>
            <w:tcW w:w="4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绿地整理15分</w:t>
            </w:r>
          </w:p>
        </w:tc>
        <w:tc>
          <w:tcPr>
            <w:tcW w:w="1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1、及时清理林带内的枯枝败叶以及垃圾，卫生打扫干净，保持林带内环境优美整洁。</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4分</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6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 xml:space="preserve">每月考核时随机抽选5-10处，每处1000㎡。分别打分，最后计算得出本月得分  </w:t>
            </w:r>
          </w:p>
        </w:tc>
      </w:tr>
      <w:tr>
        <w:tblPrEx>
          <w:tblCellMar>
            <w:top w:w="0" w:type="dxa"/>
            <w:left w:w="108" w:type="dxa"/>
            <w:bottom w:w="0" w:type="dxa"/>
            <w:right w:w="108" w:type="dxa"/>
          </w:tblCellMar>
        </w:tblPrEx>
        <w:trPr>
          <w:trHeight w:val="840" w:hRule="atLeast"/>
        </w:trPr>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2、林带没有悬挂物及私搭乱建现象</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6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80" w:hRule="atLeast"/>
        </w:trPr>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3、平整林带并进行中耕松土</w:t>
            </w:r>
          </w:p>
        </w:tc>
        <w:tc>
          <w:tcPr>
            <w:tcW w:w="4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5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60" w:hRule="atLeast"/>
        </w:trPr>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4、确保树穴为下沉式</w:t>
            </w:r>
          </w:p>
        </w:tc>
        <w:tc>
          <w:tcPr>
            <w:tcW w:w="4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5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40" w:hRule="atLeast"/>
        </w:trPr>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5、肥料需施在树穴并深翻</w:t>
            </w:r>
          </w:p>
        </w:tc>
        <w:tc>
          <w:tcPr>
            <w:tcW w:w="4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5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960" w:hRule="atLeast"/>
        </w:trPr>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6、在规定时间保质保量完成施肥工作</w:t>
            </w:r>
          </w:p>
        </w:tc>
        <w:tc>
          <w:tcPr>
            <w:tcW w:w="4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5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960" w:hRule="atLeast"/>
        </w:trPr>
        <w:tc>
          <w:tcPr>
            <w:tcW w:w="4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 xml:space="preserve">水系及硬化路面管理16分                                                                                                                                                                                                                                     </w:t>
            </w:r>
          </w:p>
        </w:tc>
        <w:tc>
          <w:tcPr>
            <w:tcW w:w="1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1、水系无漂浮物、水藻，保持水体清洁。</w:t>
            </w:r>
          </w:p>
        </w:tc>
        <w:tc>
          <w:tcPr>
            <w:tcW w:w="4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5分</w:t>
            </w:r>
          </w:p>
        </w:tc>
        <w:tc>
          <w:tcPr>
            <w:tcW w:w="3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5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960" w:hRule="atLeast"/>
        </w:trPr>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2、禁止游人游泳</w:t>
            </w:r>
          </w:p>
        </w:tc>
        <w:tc>
          <w:tcPr>
            <w:tcW w:w="4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1分</w:t>
            </w:r>
          </w:p>
        </w:tc>
        <w:tc>
          <w:tcPr>
            <w:tcW w:w="3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5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960" w:hRule="atLeast"/>
        </w:trPr>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3、硬化路面保持卫生干净整洁</w:t>
            </w:r>
          </w:p>
        </w:tc>
        <w:tc>
          <w:tcPr>
            <w:tcW w:w="4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10分</w:t>
            </w:r>
          </w:p>
        </w:tc>
        <w:tc>
          <w:tcPr>
            <w:tcW w:w="3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5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1000" w:hRule="atLeast"/>
        </w:trPr>
        <w:tc>
          <w:tcPr>
            <w:tcW w:w="46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安全生产管理10分</w:t>
            </w:r>
          </w:p>
        </w:tc>
        <w:tc>
          <w:tcPr>
            <w:tcW w:w="1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1、及时排查处理安全隐患</w:t>
            </w:r>
          </w:p>
        </w:tc>
        <w:tc>
          <w:tcPr>
            <w:tcW w:w="4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3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5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40" w:hRule="atLeast"/>
        </w:trPr>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2、配备安全保护器材</w:t>
            </w:r>
          </w:p>
        </w:tc>
        <w:tc>
          <w:tcPr>
            <w:tcW w:w="4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3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5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840" w:hRule="atLeast"/>
        </w:trPr>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3、合理规范操作机械</w:t>
            </w:r>
          </w:p>
        </w:tc>
        <w:tc>
          <w:tcPr>
            <w:tcW w:w="4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5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80" w:hRule="atLeast"/>
        </w:trPr>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4、做好安全警示标志</w:t>
            </w:r>
          </w:p>
        </w:tc>
        <w:tc>
          <w:tcPr>
            <w:tcW w:w="4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5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880" w:hRule="atLeast"/>
        </w:trPr>
        <w:tc>
          <w:tcPr>
            <w:tcW w:w="4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日常管理9分</w:t>
            </w:r>
          </w:p>
        </w:tc>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1、养护单位对园林队的工作安排及时落实到位</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color w:val="000000"/>
                <w:sz w:val="24"/>
                <w:szCs w:val="24"/>
              </w:rPr>
            </w:pP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color w:val="000000"/>
                <w:sz w:val="24"/>
                <w:szCs w:val="24"/>
              </w:rPr>
            </w:pPr>
          </w:p>
        </w:tc>
        <w:tc>
          <w:tcPr>
            <w:tcW w:w="6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 xml:space="preserve">每月考核时随机抽选5-10处，每处1000㎡。分别打分，最后计算得出本月得分  </w:t>
            </w:r>
          </w:p>
        </w:tc>
      </w:tr>
      <w:tr>
        <w:tblPrEx>
          <w:tblCellMar>
            <w:top w:w="0" w:type="dxa"/>
            <w:left w:w="108" w:type="dxa"/>
            <w:bottom w:w="0" w:type="dxa"/>
            <w:right w:w="108" w:type="dxa"/>
          </w:tblCellMar>
        </w:tblPrEx>
        <w:trPr>
          <w:trHeight w:val="720" w:hRule="atLeast"/>
        </w:trPr>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2、服从单位安排的应急事件，并且保质保量完成。</w:t>
            </w:r>
          </w:p>
        </w:tc>
        <w:tc>
          <w:tcPr>
            <w:tcW w:w="4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15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6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40" w:hRule="atLeast"/>
        </w:trPr>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3、按要求上报工作计划、工作小结</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6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40" w:hRule="atLeast"/>
        </w:trPr>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4、养护人员配置到位</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6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900" w:hRule="atLeast"/>
        </w:trPr>
        <w:tc>
          <w:tcPr>
            <w:tcW w:w="4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设施设备维修5分</w:t>
            </w:r>
          </w:p>
        </w:tc>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1、各种标牌、标志物、辅助设施损坏及时修复</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6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80" w:hRule="atLeast"/>
        </w:trPr>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2、林地内的水井盖完好</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6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80" w:hRule="atLeast"/>
        </w:trPr>
        <w:tc>
          <w:tcPr>
            <w:tcW w:w="19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当月考核分数</w:t>
            </w:r>
          </w:p>
        </w:tc>
        <w:tc>
          <w:tcPr>
            <w:tcW w:w="236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cstheme="minorEastAsia"/>
                <w:color w:val="000000"/>
                <w:sz w:val="24"/>
                <w:szCs w:val="24"/>
              </w:rPr>
            </w:pPr>
          </w:p>
        </w:tc>
        <w:tc>
          <w:tcPr>
            <w:tcW w:w="6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bl>
    <w:p>
      <w:pPr>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t>考核人签字：                                       养护单位负责人签字：</w:t>
      </w:r>
    </w:p>
    <w:p>
      <w:pPr>
        <w:rPr>
          <w:rFonts w:asciiTheme="minorEastAsia" w:hAnsiTheme="minorEastAsia" w:cstheme="minorEastAsia"/>
          <w:color w:val="000000"/>
          <w:kern w:val="0"/>
          <w:sz w:val="24"/>
          <w:szCs w:val="24"/>
          <w:lang w:bidi="ar"/>
        </w:rPr>
      </w:pPr>
    </w:p>
    <w:p>
      <w:pPr>
        <w:ind w:firstLine="482"/>
        <w:rPr>
          <w:rFonts w:cs="宋体" w:asciiTheme="minorEastAsia" w:hAnsiTheme="minorEastAsia"/>
          <w:b/>
          <w:sz w:val="24"/>
          <w:szCs w:val="24"/>
        </w:rPr>
      </w:pPr>
      <w:r>
        <w:rPr>
          <w:rFonts w:hint="eastAsia" w:cs="宋体" w:asciiTheme="minorEastAsia" w:hAnsiTheme="minorEastAsia"/>
          <w:b/>
          <w:sz w:val="24"/>
          <w:szCs w:val="24"/>
        </w:rPr>
        <w:br w:type="page"/>
      </w:r>
    </w:p>
    <w:tbl>
      <w:tblPr>
        <w:tblStyle w:val="34"/>
        <w:tblW w:w="5000" w:type="pct"/>
        <w:tblInd w:w="0" w:type="dxa"/>
        <w:tblLayout w:type="autofit"/>
        <w:tblCellMar>
          <w:top w:w="0" w:type="dxa"/>
          <w:left w:w="108" w:type="dxa"/>
          <w:bottom w:w="0" w:type="dxa"/>
          <w:right w:w="108" w:type="dxa"/>
        </w:tblCellMar>
      </w:tblPr>
      <w:tblGrid>
        <w:gridCol w:w="1101"/>
        <w:gridCol w:w="3070"/>
        <w:gridCol w:w="661"/>
        <w:gridCol w:w="807"/>
        <w:gridCol w:w="2659"/>
        <w:gridCol w:w="990"/>
      </w:tblGrid>
      <w:tr>
        <w:tblPrEx>
          <w:tblCellMar>
            <w:top w:w="0" w:type="dxa"/>
            <w:left w:w="108" w:type="dxa"/>
            <w:bottom w:w="0" w:type="dxa"/>
            <w:right w:w="108" w:type="dxa"/>
          </w:tblCellMar>
        </w:tblPrEx>
        <w:trPr>
          <w:trHeight w:val="600" w:hRule="atLeast"/>
        </w:trPr>
        <w:tc>
          <w:tcPr>
            <w:tcW w:w="5000" w:type="pct"/>
            <w:gridSpan w:val="6"/>
            <w:tcBorders>
              <w:top w:val="nil"/>
              <w:left w:val="nil"/>
              <w:bottom w:val="nil"/>
              <w:right w:val="nil"/>
            </w:tcBorders>
            <w:shd w:val="clear" w:color="auto" w:fill="auto"/>
            <w:noWrap/>
            <w:vAlign w:val="center"/>
          </w:tcPr>
          <w:p>
            <w:pPr>
              <w:widowControl/>
              <w:ind w:firstLine="482"/>
              <w:jc w:val="center"/>
              <w:textAlignment w:val="center"/>
              <w:rPr>
                <w:rFonts w:asciiTheme="minorEastAsia" w:hAnsiTheme="minorEastAsia" w:cstheme="minorEastAsia"/>
                <w:b/>
                <w:bCs/>
                <w:color w:val="000000"/>
                <w:sz w:val="24"/>
                <w:szCs w:val="24"/>
              </w:rPr>
            </w:pPr>
            <w:r>
              <w:rPr>
                <w:rFonts w:hint="eastAsia" w:asciiTheme="minorEastAsia" w:hAnsiTheme="minorEastAsia" w:cstheme="minorEastAsia"/>
                <w:b/>
                <w:bCs/>
                <w:color w:val="000000"/>
                <w:kern w:val="0"/>
                <w:sz w:val="24"/>
                <w:szCs w:val="24"/>
                <w:lang w:bidi="ar"/>
              </w:rPr>
              <w:t>10月11月 米东区绿地养护考核评分表(公园级、游园一级）</w:t>
            </w:r>
          </w:p>
        </w:tc>
      </w:tr>
      <w:tr>
        <w:tblPrEx>
          <w:tblCellMar>
            <w:top w:w="0" w:type="dxa"/>
            <w:left w:w="108" w:type="dxa"/>
            <w:bottom w:w="0" w:type="dxa"/>
            <w:right w:w="108" w:type="dxa"/>
          </w:tblCellMar>
        </w:tblPrEx>
        <w:trPr>
          <w:trHeight w:val="540" w:hRule="atLeast"/>
        </w:trPr>
        <w:tc>
          <w:tcPr>
            <w:tcW w:w="5000" w:type="pct"/>
            <w:gridSpan w:val="6"/>
            <w:tcBorders>
              <w:top w:val="nil"/>
              <w:left w:val="nil"/>
              <w:bottom w:val="nil"/>
              <w:right w:val="nil"/>
            </w:tcBorders>
            <w:shd w:val="clear" w:color="auto" w:fill="auto"/>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日期：                    养护公司：                            养护面积：</w:t>
            </w:r>
          </w:p>
        </w:tc>
      </w:tr>
      <w:tr>
        <w:tblPrEx>
          <w:tblCellMar>
            <w:top w:w="0" w:type="dxa"/>
            <w:left w:w="108" w:type="dxa"/>
            <w:bottom w:w="0" w:type="dxa"/>
            <w:right w:w="108" w:type="dxa"/>
          </w:tblCellMar>
        </w:tblPrEx>
        <w:trPr>
          <w:trHeight w:val="660"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考核项目</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考核内容</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评分标准</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得  分</w:t>
            </w:r>
          </w:p>
        </w:tc>
        <w:tc>
          <w:tcPr>
            <w:tcW w:w="1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扣分原因</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备  注</w:t>
            </w:r>
          </w:p>
        </w:tc>
      </w:tr>
      <w:tr>
        <w:tblPrEx>
          <w:tblCellMar>
            <w:top w:w="0" w:type="dxa"/>
            <w:left w:w="108" w:type="dxa"/>
            <w:bottom w:w="0" w:type="dxa"/>
            <w:right w:w="108" w:type="dxa"/>
          </w:tblCellMar>
        </w:tblPrEx>
        <w:trPr>
          <w:trHeight w:val="680" w:hRule="atLeast"/>
        </w:trPr>
        <w:tc>
          <w:tcPr>
            <w:tcW w:w="4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乔灌木修剪20分</w:t>
            </w:r>
          </w:p>
        </w:tc>
        <w:tc>
          <w:tcPr>
            <w:tcW w:w="13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1、乔灌木生长势好，树形完整，层次清楚，没有人为偏冠</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6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 xml:space="preserve">                                                                                                              每月考核时随机抽选5-10处，每处1000㎡。分别打分，最后计算得出本月得分。</w:t>
            </w:r>
          </w:p>
        </w:tc>
      </w:tr>
      <w:tr>
        <w:tblPrEx>
          <w:tblCellMar>
            <w:top w:w="0" w:type="dxa"/>
            <w:left w:w="108" w:type="dxa"/>
            <w:bottom w:w="0" w:type="dxa"/>
            <w:right w:w="108" w:type="dxa"/>
          </w:tblCellMar>
        </w:tblPrEx>
        <w:trPr>
          <w:trHeight w:val="735" w:hRule="atLeast"/>
        </w:trPr>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3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2、枯死枝、徒长枝、下垂枝、折枝、病虫枝、过密枝及时清理</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6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960" w:hRule="atLeast"/>
        </w:trPr>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3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3、在规定时间内完成灌木，绿篱、绿雕修剪，确保株形完美、线条整齐、形态逼真。</w:t>
            </w: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3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7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920" w:hRule="atLeast"/>
        </w:trPr>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3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4、按苗木生长习性修剪，灌木，绿篱、绿雕徒长枝不能高于5CM</w:t>
            </w: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7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40" w:hRule="atLeast"/>
        </w:trPr>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3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5、按规定时间完成修剪工作，修剪枝当天及时清理</w:t>
            </w: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3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7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00" w:hRule="atLeast"/>
        </w:trPr>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3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6、死树及时伐掉、倒树及时扶正</w:t>
            </w: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7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80" w:hRule="atLeast"/>
        </w:trPr>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3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7、草坪修剪整齐，草坪没有杂草斑秃入冬前完成最后一次修剪</w:t>
            </w: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7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540" w:hRule="atLeast"/>
        </w:trPr>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3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8、及时清除林地内杂草</w:t>
            </w: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7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580" w:hRule="atLeast"/>
        </w:trPr>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3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9、3㎝以上剪口、损伤部位涂防护剂</w:t>
            </w: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7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40" w:hRule="atLeast"/>
        </w:trPr>
        <w:tc>
          <w:tcPr>
            <w:tcW w:w="4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花卉管理6分</w:t>
            </w:r>
          </w:p>
        </w:tc>
        <w:tc>
          <w:tcPr>
            <w:tcW w:w="13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1、花卉整齐、长势好</w:t>
            </w: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7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 xml:space="preserve">                                                                                                                每月考核时随机抽选5-10处，每处1000㎡。分别打分，最后计算得出本月得分。</w:t>
            </w:r>
          </w:p>
        </w:tc>
      </w:tr>
      <w:tr>
        <w:tblPrEx>
          <w:tblCellMar>
            <w:top w:w="0" w:type="dxa"/>
            <w:left w:w="108" w:type="dxa"/>
            <w:bottom w:w="0" w:type="dxa"/>
            <w:right w:w="108" w:type="dxa"/>
          </w:tblCellMar>
        </w:tblPrEx>
        <w:trPr>
          <w:trHeight w:val="760" w:hRule="atLeast"/>
        </w:trPr>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3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2、对宿根花卉及时平茬，及时清除残枝败叶</w:t>
            </w: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7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60" w:hRule="atLeast"/>
        </w:trPr>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3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3、对草花种植区及时深翻</w:t>
            </w: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7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00" w:hRule="atLeast"/>
        </w:trPr>
        <w:tc>
          <w:tcPr>
            <w:tcW w:w="4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乔灌木栽植10分</w:t>
            </w:r>
          </w:p>
        </w:tc>
        <w:tc>
          <w:tcPr>
            <w:tcW w:w="13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1、按要求合理规范施工</w:t>
            </w: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7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80" w:hRule="atLeast"/>
        </w:trPr>
        <w:tc>
          <w:tcPr>
            <w:tcW w:w="4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3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2、苗木当天需栽植并完成浇水工作</w:t>
            </w: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3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7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00" w:hRule="atLeast"/>
        </w:trPr>
        <w:tc>
          <w:tcPr>
            <w:tcW w:w="4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3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3、确保苗木的成活率</w:t>
            </w: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3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7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560" w:hRule="atLeast"/>
        </w:trPr>
        <w:tc>
          <w:tcPr>
            <w:tcW w:w="4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3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4、在规定时间内完成</w:t>
            </w: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7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20" w:hRule="atLeast"/>
        </w:trPr>
        <w:tc>
          <w:tcPr>
            <w:tcW w:w="44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浇水10分</w:t>
            </w:r>
          </w:p>
        </w:tc>
        <w:tc>
          <w:tcPr>
            <w:tcW w:w="13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1、按要求及时冬灌</w:t>
            </w: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3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7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60" w:hRule="atLeast"/>
        </w:trPr>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cstheme="minorEastAsia"/>
                <w:color w:val="000000"/>
                <w:sz w:val="24"/>
                <w:szCs w:val="24"/>
              </w:rPr>
            </w:pPr>
          </w:p>
        </w:tc>
        <w:tc>
          <w:tcPr>
            <w:tcW w:w="13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2、确保浇水浇到位</w:t>
            </w: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3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7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20" w:hRule="atLeast"/>
        </w:trPr>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cstheme="minorEastAsia"/>
                <w:color w:val="000000"/>
                <w:sz w:val="24"/>
                <w:szCs w:val="24"/>
              </w:rPr>
            </w:pPr>
          </w:p>
        </w:tc>
        <w:tc>
          <w:tcPr>
            <w:tcW w:w="13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3、确保浇水浇透</w:t>
            </w: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7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20" w:hRule="atLeast"/>
        </w:trPr>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cstheme="minorEastAsia"/>
                <w:color w:val="000000"/>
                <w:sz w:val="24"/>
                <w:szCs w:val="24"/>
              </w:rPr>
            </w:pPr>
          </w:p>
        </w:tc>
        <w:tc>
          <w:tcPr>
            <w:tcW w:w="13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4、及时做好排水工作</w:t>
            </w: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7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1020" w:hRule="atLeast"/>
        </w:trPr>
        <w:tc>
          <w:tcPr>
            <w:tcW w:w="4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绿地整理15分</w:t>
            </w:r>
          </w:p>
        </w:tc>
        <w:tc>
          <w:tcPr>
            <w:tcW w:w="13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1、及时清理林带内的枯枝败叶以及垃圾，卫生打扫干净，保持林带内环境优美整洁。</w:t>
            </w: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5分</w:t>
            </w:r>
          </w:p>
        </w:tc>
        <w:tc>
          <w:tcPr>
            <w:tcW w:w="3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7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 xml:space="preserve">每月考核时随机抽选5-10处，每处1000㎡。分别打分，最后计算得出本月得分  </w:t>
            </w:r>
          </w:p>
        </w:tc>
      </w:tr>
      <w:tr>
        <w:tblPrEx>
          <w:tblCellMar>
            <w:top w:w="0" w:type="dxa"/>
            <w:left w:w="108" w:type="dxa"/>
            <w:bottom w:w="0" w:type="dxa"/>
            <w:right w:w="108" w:type="dxa"/>
          </w:tblCellMar>
        </w:tblPrEx>
        <w:trPr>
          <w:trHeight w:val="1000" w:hRule="atLeast"/>
        </w:trPr>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3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2、林带内没有悬挂物及私搭乱建现象</w:t>
            </w: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7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960" w:hRule="atLeast"/>
        </w:trPr>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3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3、平整林带并进行中耕除草，松土</w:t>
            </w: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3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7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900" w:hRule="atLeast"/>
        </w:trPr>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3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4、确保树穴为下沉式</w:t>
            </w: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7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920" w:hRule="atLeast"/>
        </w:trPr>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3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5、及时完成花卉种植区的整理、翻土及中耕除草工作</w:t>
            </w: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3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7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920" w:hRule="atLeast"/>
        </w:trPr>
        <w:tc>
          <w:tcPr>
            <w:tcW w:w="4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 xml:space="preserve">水系及硬化路面管理15分                                                                                                                                                                                                                                     </w:t>
            </w:r>
          </w:p>
        </w:tc>
        <w:tc>
          <w:tcPr>
            <w:tcW w:w="13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1、水系保持干净整洁。</w:t>
            </w: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5分</w:t>
            </w:r>
          </w:p>
        </w:tc>
        <w:tc>
          <w:tcPr>
            <w:tcW w:w="3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7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920" w:hRule="atLeast"/>
        </w:trPr>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3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2、硬化路面保持卫生干净整洁</w:t>
            </w: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10分</w:t>
            </w:r>
          </w:p>
        </w:tc>
        <w:tc>
          <w:tcPr>
            <w:tcW w:w="3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7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960" w:hRule="atLeast"/>
        </w:trPr>
        <w:tc>
          <w:tcPr>
            <w:tcW w:w="4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安全生产管理10分</w:t>
            </w:r>
          </w:p>
        </w:tc>
        <w:tc>
          <w:tcPr>
            <w:tcW w:w="13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1、及时排查处理安全隐患</w:t>
            </w: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3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7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60" w:hRule="atLeast"/>
        </w:trPr>
        <w:tc>
          <w:tcPr>
            <w:tcW w:w="4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3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2、配备安全保护器材</w:t>
            </w: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3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7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80" w:hRule="atLeast"/>
        </w:trPr>
        <w:tc>
          <w:tcPr>
            <w:tcW w:w="4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3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3、合理规范操作机械</w:t>
            </w: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7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40" w:hRule="atLeast"/>
        </w:trPr>
        <w:tc>
          <w:tcPr>
            <w:tcW w:w="4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3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4、做好安全警示标志</w:t>
            </w: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7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80" w:hRule="atLeast"/>
        </w:trPr>
        <w:tc>
          <w:tcPr>
            <w:tcW w:w="4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日常管理10分</w:t>
            </w:r>
          </w:p>
        </w:tc>
        <w:tc>
          <w:tcPr>
            <w:tcW w:w="13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1、养护单位对园林队安排的工作及时落实到位</w:t>
            </w: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3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17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6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 xml:space="preserve">每月考核时随机抽选5-10处，每处1000㎡。分别打分，最后计算得出本月得分  </w:t>
            </w:r>
          </w:p>
        </w:tc>
      </w:tr>
      <w:tr>
        <w:tblPrEx>
          <w:tblCellMar>
            <w:top w:w="0" w:type="dxa"/>
            <w:left w:w="108" w:type="dxa"/>
            <w:bottom w:w="0" w:type="dxa"/>
            <w:right w:w="108" w:type="dxa"/>
          </w:tblCellMar>
        </w:tblPrEx>
        <w:trPr>
          <w:trHeight w:val="780" w:hRule="atLeast"/>
        </w:trPr>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3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2、服从单位安排的应急事件，并且保质保量完成。</w:t>
            </w: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3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17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6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580" w:hRule="atLeast"/>
        </w:trPr>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3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3、按要求报工作计划、工作小结</w:t>
            </w: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7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00" w:hRule="atLeast"/>
        </w:trPr>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3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4、养护人员配置到位</w:t>
            </w: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7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900" w:hRule="atLeast"/>
        </w:trPr>
        <w:tc>
          <w:tcPr>
            <w:tcW w:w="4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br w:type="textWrapping"/>
            </w:r>
            <w:r>
              <w:rPr>
                <w:rFonts w:hint="eastAsia" w:asciiTheme="minorEastAsia" w:hAnsiTheme="minorEastAsia" w:cstheme="minorEastAsia"/>
                <w:color w:val="000000"/>
                <w:kern w:val="0"/>
                <w:sz w:val="24"/>
                <w:szCs w:val="24"/>
                <w:lang w:bidi="ar"/>
              </w:rPr>
              <w:t>设施设备维修4分</w:t>
            </w:r>
          </w:p>
        </w:tc>
        <w:tc>
          <w:tcPr>
            <w:tcW w:w="13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1、各种标牌、标志物、辅助设施损坏及时修复</w:t>
            </w: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7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40" w:hRule="atLeast"/>
        </w:trPr>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3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2、林地内的水井盖完好</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6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580" w:hRule="atLeast"/>
        </w:trPr>
        <w:tc>
          <w:tcPr>
            <w:tcW w:w="18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当月考核得分</w:t>
            </w:r>
          </w:p>
        </w:tc>
        <w:tc>
          <w:tcPr>
            <w:tcW w:w="252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cstheme="minorEastAsia"/>
                <w:color w:val="000000"/>
                <w:sz w:val="24"/>
                <w:szCs w:val="24"/>
              </w:rPr>
            </w:pPr>
          </w:p>
        </w:tc>
        <w:tc>
          <w:tcPr>
            <w:tcW w:w="6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bl>
    <w:p>
      <w:pPr>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t>考核人签字：                                       养护单位负责人签字：</w:t>
      </w:r>
    </w:p>
    <w:p>
      <w:pPr>
        <w:ind w:firstLine="482"/>
        <w:rPr>
          <w:rFonts w:cs="宋体" w:asciiTheme="minorEastAsia" w:hAnsiTheme="minorEastAsia"/>
          <w:b/>
          <w:sz w:val="24"/>
          <w:szCs w:val="24"/>
        </w:rPr>
      </w:pPr>
      <w:r>
        <w:rPr>
          <w:rFonts w:hint="eastAsia" w:cs="宋体" w:asciiTheme="minorEastAsia" w:hAnsiTheme="minorEastAsia"/>
          <w:b/>
          <w:sz w:val="24"/>
          <w:szCs w:val="24"/>
        </w:rPr>
        <w:br w:type="page"/>
      </w:r>
    </w:p>
    <w:tbl>
      <w:tblPr>
        <w:tblStyle w:val="34"/>
        <w:tblW w:w="5000" w:type="pct"/>
        <w:tblInd w:w="0" w:type="dxa"/>
        <w:tblLayout w:type="autofit"/>
        <w:tblCellMar>
          <w:top w:w="0" w:type="dxa"/>
          <w:left w:w="108" w:type="dxa"/>
          <w:bottom w:w="0" w:type="dxa"/>
          <w:right w:w="108" w:type="dxa"/>
        </w:tblCellMar>
      </w:tblPr>
      <w:tblGrid>
        <w:gridCol w:w="1009"/>
        <w:gridCol w:w="2894"/>
        <w:gridCol w:w="674"/>
        <w:gridCol w:w="811"/>
        <w:gridCol w:w="2875"/>
        <w:gridCol w:w="1025"/>
      </w:tblGrid>
      <w:tr>
        <w:tblPrEx>
          <w:tblCellMar>
            <w:top w:w="0" w:type="dxa"/>
            <w:left w:w="108" w:type="dxa"/>
            <w:bottom w:w="0" w:type="dxa"/>
            <w:right w:w="108" w:type="dxa"/>
          </w:tblCellMar>
        </w:tblPrEx>
        <w:trPr>
          <w:trHeight w:val="840" w:hRule="atLeast"/>
        </w:trPr>
        <w:tc>
          <w:tcPr>
            <w:tcW w:w="5000" w:type="pct"/>
            <w:gridSpan w:val="6"/>
            <w:tcBorders>
              <w:top w:val="nil"/>
              <w:left w:val="nil"/>
              <w:bottom w:val="nil"/>
              <w:right w:val="nil"/>
            </w:tcBorders>
            <w:shd w:val="clear" w:color="auto" w:fill="auto"/>
            <w:noWrap/>
            <w:vAlign w:val="center"/>
          </w:tcPr>
          <w:p>
            <w:pPr>
              <w:widowControl/>
              <w:ind w:firstLine="482"/>
              <w:jc w:val="center"/>
              <w:textAlignment w:val="center"/>
              <w:rPr>
                <w:rFonts w:asciiTheme="minorEastAsia" w:hAnsiTheme="minorEastAsia" w:cstheme="minorEastAsia"/>
                <w:b/>
                <w:bCs/>
                <w:color w:val="000000"/>
                <w:sz w:val="24"/>
                <w:szCs w:val="24"/>
              </w:rPr>
            </w:pPr>
            <w:r>
              <w:rPr>
                <w:rFonts w:hint="eastAsia" w:asciiTheme="minorEastAsia" w:hAnsiTheme="minorEastAsia" w:cstheme="minorEastAsia"/>
                <w:b/>
                <w:bCs/>
                <w:color w:val="000000"/>
                <w:kern w:val="0"/>
                <w:sz w:val="24"/>
                <w:szCs w:val="24"/>
                <w:lang w:bidi="ar"/>
              </w:rPr>
              <w:t>12月1月2月米东区绿地养护考核评分表(公园级、游园一级）</w:t>
            </w:r>
          </w:p>
        </w:tc>
      </w:tr>
      <w:tr>
        <w:tblPrEx>
          <w:tblCellMar>
            <w:top w:w="0" w:type="dxa"/>
            <w:left w:w="108" w:type="dxa"/>
            <w:bottom w:w="0" w:type="dxa"/>
            <w:right w:w="108" w:type="dxa"/>
          </w:tblCellMar>
        </w:tblPrEx>
        <w:trPr>
          <w:trHeight w:val="780" w:hRule="atLeast"/>
        </w:trPr>
        <w:tc>
          <w:tcPr>
            <w:tcW w:w="5000" w:type="pct"/>
            <w:gridSpan w:val="6"/>
            <w:tcBorders>
              <w:top w:val="nil"/>
              <w:left w:val="nil"/>
              <w:bottom w:val="nil"/>
              <w:right w:val="nil"/>
            </w:tcBorders>
            <w:shd w:val="clear" w:color="auto" w:fill="auto"/>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 xml:space="preserve"> 日期：                   养护公司：                             养护面积：</w:t>
            </w:r>
          </w:p>
        </w:tc>
      </w:tr>
      <w:tr>
        <w:tblPrEx>
          <w:tblCellMar>
            <w:top w:w="0" w:type="dxa"/>
            <w:left w:w="108" w:type="dxa"/>
            <w:bottom w:w="0" w:type="dxa"/>
            <w:right w:w="108" w:type="dxa"/>
          </w:tblCellMar>
        </w:tblPrEx>
        <w:trPr>
          <w:trHeight w:val="840"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考核项目</w:t>
            </w:r>
          </w:p>
        </w:tc>
        <w:tc>
          <w:tcPr>
            <w:tcW w:w="1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考核内容</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评分标准</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得  分</w:t>
            </w:r>
          </w:p>
        </w:tc>
        <w:tc>
          <w:tcPr>
            <w:tcW w:w="18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扣分原因</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备  注</w:t>
            </w:r>
          </w:p>
        </w:tc>
      </w:tr>
      <w:tr>
        <w:tblPrEx>
          <w:tblCellMar>
            <w:top w:w="0" w:type="dxa"/>
            <w:left w:w="108" w:type="dxa"/>
            <w:bottom w:w="0" w:type="dxa"/>
            <w:right w:w="108" w:type="dxa"/>
          </w:tblCellMar>
        </w:tblPrEx>
        <w:trPr>
          <w:trHeight w:val="900" w:hRule="atLeast"/>
        </w:trPr>
        <w:tc>
          <w:tcPr>
            <w:tcW w:w="41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绿地管理25分</w:t>
            </w:r>
          </w:p>
        </w:tc>
        <w:tc>
          <w:tcPr>
            <w:tcW w:w="13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1、及时清理垃圾，卫生打扫干净，保持林带内环境优美整洁。</w:t>
            </w: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15分</w:t>
            </w:r>
          </w:p>
        </w:tc>
        <w:tc>
          <w:tcPr>
            <w:tcW w:w="3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8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60" w:hRule="atLeast"/>
        </w:trPr>
        <w:tc>
          <w:tcPr>
            <w:tcW w:w="41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2、及时清除乔灌木枝叶上积雪</w:t>
            </w: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10分</w:t>
            </w:r>
          </w:p>
        </w:tc>
        <w:tc>
          <w:tcPr>
            <w:tcW w:w="3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8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60" w:hRule="atLeast"/>
        </w:trPr>
        <w:tc>
          <w:tcPr>
            <w:tcW w:w="41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硬化路面管理30分</w:t>
            </w:r>
          </w:p>
        </w:tc>
        <w:tc>
          <w:tcPr>
            <w:tcW w:w="1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1、硬化路面保持卫生干净整洁</w:t>
            </w: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10</w:t>
            </w:r>
          </w:p>
        </w:tc>
        <w:tc>
          <w:tcPr>
            <w:tcW w:w="3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8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60" w:hRule="atLeast"/>
        </w:trPr>
        <w:tc>
          <w:tcPr>
            <w:tcW w:w="41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2、硬化路面及时清除积雪</w:t>
            </w: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20</w:t>
            </w:r>
          </w:p>
        </w:tc>
        <w:tc>
          <w:tcPr>
            <w:tcW w:w="3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8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40" w:hRule="atLeast"/>
        </w:trPr>
        <w:tc>
          <w:tcPr>
            <w:tcW w:w="41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安全生产管理10分</w:t>
            </w:r>
          </w:p>
        </w:tc>
        <w:tc>
          <w:tcPr>
            <w:tcW w:w="13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1、及时排查处理安全隐患</w:t>
            </w: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3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8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20" w:hRule="atLeast"/>
        </w:trPr>
        <w:tc>
          <w:tcPr>
            <w:tcW w:w="41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3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2、配备安全保护器材</w:t>
            </w: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3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8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40" w:hRule="atLeast"/>
        </w:trPr>
        <w:tc>
          <w:tcPr>
            <w:tcW w:w="41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3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3、合理规范操作机械</w:t>
            </w: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8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00" w:hRule="atLeast"/>
        </w:trPr>
        <w:tc>
          <w:tcPr>
            <w:tcW w:w="41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3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4、做好安全警示标志</w:t>
            </w: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8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960" w:hRule="atLeast"/>
        </w:trPr>
        <w:tc>
          <w:tcPr>
            <w:tcW w:w="41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日常管理30分</w:t>
            </w:r>
          </w:p>
        </w:tc>
        <w:tc>
          <w:tcPr>
            <w:tcW w:w="13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1、养护单位对园林队安排的工作及时落实到位</w:t>
            </w: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7分</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18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6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每月考核时随机抽选5-10处，每处1000㎡。分别打分，最后计算得出本月得分。</w:t>
            </w:r>
          </w:p>
        </w:tc>
      </w:tr>
      <w:tr>
        <w:tblPrEx>
          <w:tblCellMar>
            <w:top w:w="0" w:type="dxa"/>
            <w:left w:w="108" w:type="dxa"/>
            <w:bottom w:w="0" w:type="dxa"/>
            <w:right w:w="108" w:type="dxa"/>
          </w:tblCellMar>
        </w:tblPrEx>
        <w:trPr>
          <w:trHeight w:val="840" w:hRule="atLeast"/>
        </w:trPr>
        <w:tc>
          <w:tcPr>
            <w:tcW w:w="41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3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2、服从单位安排的应急事件</w:t>
            </w: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5分</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18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840" w:hRule="atLeast"/>
        </w:trPr>
        <w:tc>
          <w:tcPr>
            <w:tcW w:w="41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3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3、保质保量完成应急事件</w:t>
            </w: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5分</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18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920" w:hRule="atLeast"/>
        </w:trPr>
        <w:tc>
          <w:tcPr>
            <w:tcW w:w="41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3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4、对毁绿占绿现象及时发现、及时阻止、现场取证，上报主管科室，并配合监察科工作</w:t>
            </w: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18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900" w:hRule="atLeast"/>
        </w:trPr>
        <w:tc>
          <w:tcPr>
            <w:tcW w:w="41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3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5、按时、按要求报工作计划、工作小结</w:t>
            </w: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7分</w:t>
            </w:r>
          </w:p>
        </w:tc>
        <w:tc>
          <w:tcPr>
            <w:tcW w:w="3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8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80" w:hRule="atLeast"/>
        </w:trPr>
        <w:tc>
          <w:tcPr>
            <w:tcW w:w="41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3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6、养护人员配置到位</w:t>
            </w: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3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8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920" w:hRule="atLeast"/>
        </w:trPr>
        <w:tc>
          <w:tcPr>
            <w:tcW w:w="41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br w:type="textWrapping"/>
            </w:r>
            <w:r>
              <w:rPr>
                <w:rFonts w:hint="eastAsia" w:asciiTheme="minorEastAsia" w:hAnsiTheme="minorEastAsia" w:cstheme="minorEastAsia"/>
                <w:color w:val="000000"/>
                <w:kern w:val="0"/>
                <w:sz w:val="24"/>
                <w:szCs w:val="24"/>
                <w:lang w:bidi="ar"/>
              </w:rPr>
              <w:t>设施设备维修5分</w:t>
            </w:r>
          </w:p>
        </w:tc>
        <w:tc>
          <w:tcPr>
            <w:tcW w:w="13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1、各种标牌、标志物、辅助设施损坏及时修复</w:t>
            </w: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8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1080" w:hRule="atLeast"/>
        </w:trPr>
        <w:tc>
          <w:tcPr>
            <w:tcW w:w="41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3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2、林地内的水井盖完好</w:t>
            </w: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3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8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50" w:hRule="atLeast"/>
        </w:trPr>
        <w:tc>
          <w:tcPr>
            <w:tcW w:w="171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当月考核得分</w:t>
            </w:r>
          </w:p>
        </w:tc>
        <w:tc>
          <w:tcPr>
            <w:tcW w:w="263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cstheme="minorEastAsia"/>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bl>
    <w:p>
      <w:pPr>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t>考核人签字：                                       养护单位负责人签字：</w:t>
      </w:r>
    </w:p>
    <w:p>
      <w:pPr>
        <w:ind w:firstLine="482"/>
        <w:rPr>
          <w:rFonts w:cs="宋体" w:asciiTheme="minorEastAsia" w:hAnsiTheme="minorEastAsia"/>
          <w:b/>
          <w:sz w:val="24"/>
          <w:szCs w:val="24"/>
        </w:rPr>
      </w:pPr>
      <w:r>
        <w:rPr>
          <w:rFonts w:hint="eastAsia" w:cs="宋体" w:asciiTheme="minorEastAsia" w:hAnsiTheme="minorEastAsia"/>
          <w:b/>
          <w:sz w:val="24"/>
          <w:szCs w:val="24"/>
        </w:rPr>
        <w:br w:type="page"/>
      </w:r>
    </w:p>
    <w:tbl>
      <w:tblPr>
        <w:tblStyle w:val="34"/>
        <w:tblW w:w="5000" w:type="pct"/>
        <w:tblInd w:w="0" w:type="dxa"/>
        <w:tblLayout w:type="autofit"/>
        <w:tblCellMar>
          <w:top w:w="0" w:type="dxa"/>
          <w:left w:w="108" w:type="dxa"/>
          <w:bottom w:w="0" w:type="dxa"/>
          <w:right w:w="108" w:type="dxa"/>
        </w:tblCellMar>
      </w:tblPr>
      <w:tblGrid>
        <w:gridCol w:w="1176"/>
        <w:gridCol w:w="4116"/>
        <w:gridCol w:w="756"/>
        <w:gridCol w:w="936"/>
        <w:gridCol w:w="1368"/>
        <w:gridCol w:w="936"/>
      </w:tblGrid>
      <w:tr>
        <w:tblPrEx>
          <w:tblCellMar>
            <w:top w:w="0" w:type="dxa"/>
            <w:left w:w="108" w:type="dxa"/>
            <w:bottom w:w="0" w:type="dxa"/>
            <w:right w:w="108" w:type="dxa"/>
          </w:tblCellMar>
        </w:tblPrEx>
        <w:trPr>
          <w:trHeight w:val="660" w:hRule="atLeast"/>
        </w:trPr>
        <w:tc>
          <w:tcPr>
            <w:tcW w:w="5000" w:type="pct"/>
            <w:gridSpan w:val="6"/>
            <w:tcBorders>
              <w:top w:val="nil"/>
              <w:left w:val="nil"/>
              <w:bottom w:val="nil"/>
              <w:right w:val="nil"/>
            </w:tcBorders>
            <w:shd w:val="clear" w:color="auto" w:fill="auto"/>
            <w:noWrap/>
            <w:vAlign w:val="center"/>
          </w:tcPr>
          <w:p>
            <w:pPr>
              <w:widowControl/>
              <w:ind w:firstLine="482"/>
              <w:jc w:val="center"/>
              <w:textAlignment w:val="center"/>
              <w:rPr>
                <w:rFonts w:asciiTheme="minorEastAsia" w:hAnsiTheme="minorEastAsia" w:cstheme="minorEastAsia"/>
                <w:b/>
                <w:bCs/>
                <w:color w:val="000000"/>
                <w:sz w:val="24"/>
                <w:szCs w:val="24"/>
              </w:rPr>
            </w:pPr>
            <w:r>
              <w:rPr>
                <w:rFonts w:hint="eastAsia" w:asciiTheme="minorEastAsia" w:hAnsiTheme="minorEastAsia" w:cstheme="minorEastAsia"/>
                <w:b/>
                <w:bCs/>
                <w:color w:val="000000"/>
                <w:kern w:val="0"/>
                <w:sz w:val="24"/>
                <w:szCs w:val="24"/>
                <w:lang w:bidi="ar"/>
              </w:rPr>
              <w:t>3月4月米东区绿地养护考核评分表(游园二级）</w:t>
            </w:r>
          </w:p>
        </w:tc>
      </w:tr>
      <w:tr>
        <w:tblPrEx>
          <w:tblCellMar>
            <w:top w:w="0" w:type="dxa"/>
            <w:left w:w="108" w:type="dxa"/>
            <w:bottom w:w="0" w:type="dxa"/>
            <w:right w:w="108" w:type="dxa"/>
          </w:tblCellMar>
        </w:tblPrEx>
        <w:trPr>
          <w:trHeight w:val="460" w:hRule="atLeast"/>
        </w:trPr>
        <w:tc>
          <w:tcPr>
            <w:tcW w:w="5000" w:type="pct"/>
            <w:gridSpan w:val="6"/>
            <w:tcBorders>
              <w:top w:val="nil"/>
              <w:left w:val="nil"/>
              <w:bottom w:val="nil"/>
              <w:right w:val="nil"/>
            </w:tcBorders>
            <w:shd w:val="clear" w:color="auto" w:fill="auto"/>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 xml:space="preserve"> 日期：                   养护公司：                      养护面积：</w:t>
            </w:r>
          </w:p>
        </w:tc>
      </w:tr>
      <w:tr>
        <w:tblPrEx>
          <w:tblCellMar>
            <w:top w:w="0" w:type="dxa"/>
            <w:left w:w="108" w:type="dxa"/>
            <w:bottom w:w="0" w:type="dxa"/>
            <w:right w:w="108" w:type="dxa"/>
          </w:tblCellMar>
        </w:tblPrEx>
        <w:trPr>
          <w:trHeight w:val="72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考核项目</w:t>
            </w:r>
          </w:p>
        </w:tc>
        <w:tc>
          <w:tcPr>
            <w:tcW w:w="1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考核内容</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评分标准</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 xml:space="preserve"> 得 分</w:t>
            </w:r>
          </w:p>
        </w:tc>
        <w:tc>
          <w:tcPr>
            <w:tcW w:w="1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扣分原因</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备  注</w:t>
            </w:r>
          </w:p>
        </w:tc>
      </w:tr>
      <w:tr>
        <w:tblPrEx>
          <w:tblCellMar>
            <w:top w:w="0" w:type="dxa"/>
            <w:left w:w="108" w:type="dxa"/>
            <w:bottom w:w="0" w:type="dxa"/>
            <w:right w:w="108" w:type="dxa"/>
          </w:tblCellMar>
        </w:tblPrEx>
        <w:trPr>
          <w:trHeight w:val="700" w:hRule="atLeast"/>
        </w:trPr>
        <w:tc>
          <w:tcPr>
            <w:tcW w:w="4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乔灌木修剪22分</w:t>
            </w:r>
          </w:p>
        </w:tc>
        <w:tc>
          <w:tcPr>
            <w:tcW w:w="15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1、乔灌木生长势好，树形完整，层次清楚，没有人为偏冠</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6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每月考核时随机抽选5-10处，每处1000㎡。分别打分，最后计算得出本月得分。</w:t>
            </w:r>
          </w:p>
        </w:tc>
      </w:tr>
      <w:tr>
        <w:tblPrEx>
          <w:tblCellMar>
            <w:top w:w="0" w:type="dxa"/>
            <w:left w:w="108" w:type="dxa"/>
            <w:bottom w:w="0" w:type="dxa"/>
            <w:right w:w="108" w:type="dxa"/>
          </w:tblCellMar>
        </w:tblPrEx>
        <w:trPr>
          <w:trHeight w:val="600"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2、枯死枝、徒长枝、下垂枝、折枝、病虫枝、过密枝及时清理</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6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880"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3、在规定时间内完成灌木，绿篱、绿雕修剪，确保株形完美、线条整齐、形态逼真。</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00"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4、苗木要按照生长习性和花期进行修剪。</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20"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5、灌木，绿篱、绿雕徒长枝不能高于5CM</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480"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6、死树及时伐掉、倒树及时扶正</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60"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7、按规定时间完成修剪工作，修剪枝当天清理</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540"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8、3㎝以上剪口、损伤部位涂防护剂</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560"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9、草坪修剪整齐，没有杂草斑秃</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580"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10、及时清除林地内杂草</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580" w:hRule="atLeast"/>
        </w:trPr>
        <w:tc>
          <w:tcPr>
            <w:tcW w:w="4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花卉管理6分</w:t>
            </w:r>
          </w:p>
        </w:tc>
        <w:tc>
          <w:tcPr>
            <w:tcW w:w="15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1、按要求及时完成栽植花卉工作</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每月考核时随机抽选5-10处，每处1000㎡。分别打分，最后计算得出本月得分。</w:t>
            </w:r>
          </w:p>
        </w:tc>
      </w:tr>
      <w:tr>
        <w:tblPrEx>
          <w:tblCellMar>
            <w:top w:w="0" w:type="dxa"/>
            <w:left w:w="108" w:type="dxa"/>
            <w:bottom w:w="0" w:type="dxa"/>
            <w:right w:w="108" w:type="dxa"/>
          </w:tblCellMar>
        </w:tblPrEx>
        <w:trPr>
          <w:trHeight w:val="580"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2、按要求及时施肥，及时中耕除草</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820"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3、花卉整齐，长势好、没有缺株，倒伏，没有残花败叶。</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60" w:hRule="atLeast"/>
        </w:trPr>
        <w:tc>
          <w:tcPr>
            <w:tcW w:w="42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乔灌木栽植8分</w:t>
            </w:r>
          </w:p>
        </w:tc>
        <w:tc>
          <w:tcPr>
            <w:tcW w:w="1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1、按要求合理规范施工</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00"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2、苗木当天需栽植并完成浇水工作</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00"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3、确保苗木的成活率</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00"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4、在规定时间内完成</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840" w:hRule="atLeast"/>
        </w:trPr>
        <w:tc>
          <w:tcPr>
            <w:tcW w:w="4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病虫害防治8分</w:t>
            </w:r>
          </w:p>
        </w:tc>
        <w:tc>
          <w:tcPr>
            <w:tcW w:w="15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2、按要求及时完成涂白工作</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60"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3、涂白高度整齐</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1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20"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4、涂白剂涂抹均匀</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580"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5、按标准进行药物配比</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900" w:hRule="atLeast"/>
        </w:trPr>
        <w:tc>
          <w:tcPr>
            <w:tcW w:w="4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绿地整理17分</w:t>
            </w:r>
          </w:p>
        </w:tc>
        <w:tc>
          <w:tcPr>
            <w:tcW w:w="1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1、及时清理林带内的枯枝败叶及垃圾，卫生打扫干净，保持林带内环境优美整洁。</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 xml:space="preserve">每月考核时随机抽选5-10处，每处1000㎡。分别打分，最后计算得出本月得分。   </w:t>
            </w:r>
          </w:p>
        </w:tc>
      </w:tr>
      <w:tr>
        <w:tblPrEx>
          <w:tblCellMar>
            <w:top w:w="0" w:type="dxa"/>
            <w:left w:w="108" w:type="dxa"/>
            <w:bottom w:w="0" w:type="dxa"/>
            <w:right w:w="108" w:type="dxa"/>
          </w:tblCellMar>
        </w:tblPrEx>
        <w:trPr>
          <w:trHeight w:val="720"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2、林带内没有悬挂物、私搭乱建现象</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80"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3、平整林带并进行中耕除草，松土</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60"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4、确保树穴为下沉式</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00"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5、保质保量完成各类灌溉设施到位，摆放整齐，并且能正常使用。</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60"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6、及时完成花卉种植区的整理及中耕除草工作</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00"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7、肥料需施在树穴并深翻</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00"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8、在规定时间保质保量完成施肥工作</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00" w:hRule="atLeast"/>
        </w:trPr>
        <w:tc>
          <w:tcPr>
            <w:tcW w:w="428" w:type="pct"/>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 xml:space="preserve">水系及硬化路面管理15分                                                                                                                                                                                                                                     </w:t>
            </w:r>
          </w:p>
        </w:tc>
        <w:tc>
          <w:tcPr>
            <w:tcW w:w="1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1、水系保持干净整洁。</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5分</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00" w:hRule="atLeast"/>
        </w:trPr>
        <w:tc>
          <w:tcPr>
            <w:tcW w:w="428"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3、硬化路面保持卫生干净整洁</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10分</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60" w:hRule="atLeast"/>
        </w:trPr>
        <w:tc>
          <w:tcPr>
            <w:tcW w:w="42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安全生产管理10分</w:t>
            </w:r>
          </w:p>
        </w:tc>
        <w:tc>
          <w:tcPr>
            <w:tcW w:w="1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1、及时排查处理安全隐患</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80"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2、配备安全保护器材</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60"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3、合理规范操作机械</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40"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4、做好安全警示标志</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820" w:hRule="atLeast"/>
        </w:trPr>
        <w:tc>
          <w:tcPr>
            <w:tcW w:w="4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日常管理9分</w:t>
            </w:r>
          </w:p>
        </w:tc>
        <w:tc>
          <w:tcPr>
            <w:tcW w:w="1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1、养护单位对园林队安排的工作及时落实到位</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15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6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 xml:space="preserve">每月考核时随机抽选5-10处，每处1000㎡。分别打分，最后计算得出本月得分。 </w:t>
            </w:r>
          </w:p>
        </w:tc>
      </w:tr>
      <w:tr>
        <w:tblPrEx>
          <w:tblCellMar>
            <w:top w:w="0" w:type="dxa"/>
            <w:left w:w="108" w:type="dxa"/>
            <w:bottom w:w="0" w:type="dxa"/>
            <w:right w:w="108" w:type="dxa"/>
          </w:tblCellMar>
        </w:tblPrEx>
        <w:trPr>
          <w:trHeight w:val="740"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2、服从单位安排的应急事件，并保质保量完成。</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15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6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820"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3、及时按要求上报工作计划、工作小结</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6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20"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4、养护人员配置到位</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6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900" w:hRule="atLeast"/>
        </w:trPr>
        <w:tc>
          <w:tcPr>
            <w:tcW w:w="4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设施设备维修5分</w:t>
            </w:r>
          </w:p>
        </w:tc>
        <w:tc>
          <w:tcPr>
            <w:tcW w:w="15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1、各种标牌、标志物、辅助设施损坏及时修复</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6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820"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2、林地内的水井盖完好</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6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80" w:hRule="atLeast"/>
        </w:trPr>
        <w:tc>
          <w:tcPr>
            <w:tcW w:w="19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当月考核分数</w:t>
            </w:r>
          </w:p>
        </w:tc>
        <w:tc>
          <w:tcPr>
            <w:tcW w:w="239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cstheme="minorEastAsia"/>
                <w:color w:val="000000"/>
                <w:sz w:val="24"/>
                <w:szCs w:val="24"/>
              </w:rPr>
            </w:pPr>
          </w:p>
        </w:tc>
        <w:tc>
          <w:tcPr>
            <w:tcW w:w="6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57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考核人签字：                                       养护单位负责人签字：</w:t>
            </w:r>
          </w:p>
        </w:tc>
      </w:tr>
    </w:tbl>
    <w:p>
      <w:pPr>
        <w:ind w:firstLine="482"/>
        <w:rPr>
          <w:rFonts w:cs="宋体" w:asciiTheme="minorEastAsia" w:hAnsiTheme="minorEastAsia"/>
          <w:b/>
          <w:sz w:val="24"/>
          <w:szCs w:val="24"/>
        </w:rPr>
      </w:pPr>
      <w:r>
        <w:rPr>
          <w:rFonts w:hint="eastAsia" w:cs="宋体" w:asciiTheme="minorEastAsia" w:hAnsiTheme="minorEastAsia"/>
          <w:b/>
          <w:sz w:val="24"/>
          <w:szCs w:val="24"/>
        </w:rPr>
        <w:br w:type="page"/>
      </w:r>
    </w:p>
    <w:tbl>
      <w:tblPr>
        <w:tblStyle w:val="34"/>
        <w:tblW w:w="5000" w:type="pct"/>
        <w:tblInd w:w="0" w:type="dxa"/>
        <w:tblLayout w:type="autofit"/>
        <w:tblCellMar>
          <w:top w:w="0" w:type="dxa"/>
          <w:left w:w="108" w:type="dxa"/>
          <w:bottom w:w="0" w:type="dxa"/>
          <w:right w:w="108" w:type="dxa"/>
        </w:tblCellMar>
      </w:tblPr>
      <w:tblGrid>
        <w:gridCol w:w="1296"/>
        <w:gridCol w:w="4176"/>
        <w:gridCol w:w="756"/>
        <w:gridCol w:w="936"/>
        <w:gridCol w:w="1188"/>
        <w:gridCol w:w="936"/>
      </w:tblGrid>
      <w:tr>
        <w:tblPrEx>
          <w:tblCellMar>
            <w:top w:w="0" w:type="dxa"/>
            <w:left w:w="108" w:type="dxa"/>
            <w:bottom w:w="0" w:type="dxa"/>
            <w:right w:w="108" w:type="dxa"/>
          </w:tblCellMar>
        </w:tblPrEx>
        <w:trPr>
          <w:trHeight w:val="540" w:hRule="atLeast"/>
        </w:trPr>
        <w:tc>
          <w:tcPr>
            <w:tcW w:w="5000" w:type="pct"/>
            <w:gridSpan w:val="6"/>
            <w:tcBorders>
              <w:top w:val="nil"/>
              <w:left w:val="nil"/>
              <w:bottom w:val="nil"/>
              <w:right w:val="nil"/>
            </w:tcBorders>
            <w:shd w:val="clear" w:color="auto" w:fill="auto"/>
            <w:noWrap/>
            <w:vAlign w:val="center"/>
          </w:tcPr>
          <w:p>
            <w:pPr>
              <w:widowControl/>
              <w:ind w:firstLine="482"/>
              <w:jc w:val="center"/>
              <w:textAlignment w:val="center"/>
              <w:rPr>
                <w:rFonts w:asciiTheme="minorEastAsia" w:hAnsiTheme="minorEastAsia" w:cstheme="minorEastAsia"/>
                <w:b/>
                <w:bCs/>
                <w:color w:val="000000"/>
                <w:sz w:val="24"/>
                <w:szCs w:val="24"/>
              </w:rPr>
            </w:pPr>
            <w:r>
              <w:rPr>
                <w:rFonts w:hint="eastAsia" w:asciiTheme="minorEastAsia" w:hAnsiTheme="minorEastAsia" w:cstheme="minorEastAsia"/>
                <w:b/>
                <w:bCs/>
                <w:color w:val="000000"/>
                <w:kern w:val="0"/>
                <w:sz w:val="24"/>
                <w:szCs w:val="24"/>
                <w:lang w:bidi="ar"/>
              </w:rPr>
              <w:t>5月-9月 米东区绿地养护考核评分表(游园二级）</w:t>
            </w:r>
          </w:p>
        </w:tc>
      </w:tr>
      <w:tr>
        <w:tblPrEx>
          <w:tblCellMar>
            <w:top w:w="0" w:type="dxa"/>
            <w:left w:w="108" w:type="dxa"/>
            <w:bottom w:w="0" w:type="dxa"/>
            <w:right w:w="108" w:type="dxa"/>
          </w:tblCellMar>
        </w:tblPrEx>
        <w:trPr>
          <w:trHeight w:val="375" w:hRule="atLeast"/>
        </w:trPr>
        <w:tc>
          <w:tcPr>
            <w:tcW w:w="5000" w:type="pct"/>
            <w:gridSpan w:val="6"/>
            <w:tcBorders>
              <w:top w:val="nil"/>
              <w:left w:val="nil"/>
              <w:bottom w:val="nil"/>
              <w:right w:val="nil"/>
            </w:tcBorders>
            <w:shd w:val="clear" w:color="auto" w:fill="auto"/>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 xml:space="preserve"> 日期：                       养护公司：                        养护面积：               </w:t>
            </w:r>
          </w:p>
        </w:tc>
      </w:tr>
      <w:tr>
        <w:tblPrEx>
          <w:tblCellMar>
            <w:top w:w="0" w:type="dxa"/>
            <w:left w:w="108" w:type="dxa"/>
            <w:bottom w:w="0" w:type="dxa"/>
            <w:right w:w="108" w:type="dxa"/>
          </w:tblCellMar>
        </w:tblPrEx>
        <w:trPr>
          <w:trHeight w:val="450" w:hRule="atLeast"/>
        </w:trPr>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考核项目</w:t>
            </w:r>
          </w:p>
        </w:tc>
        <w:tc>
          <w:tcPr>
            <w:tcW w:w="1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考核内容</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评分标准</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得  分</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扣分原因</w:t>
            </w:r>
          </w:p>
        </w:tc>
        <w:tc>
          <w:tcPr>
            <w:tcW w:w="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备  注</w:t>
            </w:r>
          </w:p>
        </w:tc>
      </w:tr>
      <w:tr>
        <w:tblPrEx>
          <w:tblCellMar>
            <w:top w:w="0" w:type="dxa"/>
            <w:left w:w="108" w:type="dxa"/>
            <w:bottom w:w="0" w:type="dxa"/>
            <w:right w:w="108" w:type="dxa"/>
          </w:tblCellMar>
        </w:tblPrEx>
        <w:trPr>
          <w:trHeight w:val="760" w:hRule="atLeast"/>
        </w:trPr>
        <w:tc>
          <w:tcPr>
            <w:tcW w:w="4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乔灌木绿篱修剪20分</w:t>
            </w:r>
          </w:p>
        </w:tc>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1、乔灌木生长势好，树形完整，层次清楚，没有人为偏冠</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cstheme="minorEastAsia"/>
                <w:color w:val="000000"/>
                <w:sz w:val="24"/>
                <w:szCs w:val="24"/>
              </w:rPr>
            </w:pP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cstheme="minorEastAsia"/>
                <w:color w:val="000000"/>
                <w:sz w:val="24"/>
                <w:szCs w:val="24"/>
              </w:rPr>
            </w:pPr>
          </w:p>
        </w:tc>
        <w:tc>
          <w:tcPr>
            <w:tcW w:w="6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 xml:space="preserve">                                                                                                                 每月考核时随机抽选5-10处，每处1000㎡。分别打分，最后计算得出本月得分。</w:t>
            </w:r>
          </w:p>
        </w:tc>
      </w:tr>
      <w:tr>
        <w:tblPrEx>
          <w:tblCellMar>
            <w:top w:w="0" w:type="dxa"/>
            <w:left w:w="108" w:type="dxa"/>
            <w:bottom w:w="0" w:type="dxa"/>
            <w:right w:w="108" w:type="dxa"/>
          </w:tblCellMar>
        </w:tblPrEx>
        <w:trPr>
          <w:trHeight w:val="940" w:hRule="atLeast"/>
        </w:trPr>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2、枯死枝、徒长枝、下垂枝、折枝、病虫枝、过密枝，萌蘖枝及时清理</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6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60" w:hRule="atLeast"/>
        </w:trPr>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3、灌木，绿篱、绿雕徒长枝不能高于5CM</w:t>
            </w:r>
          </w:p>
        </w:tc>
        <w:tc>
          <w:tcPr>
            <w:tcW w:w="4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5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375" w:hRule="atLeast"/>
        </w:trPr>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0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4、在规定时间内完成灌木，绿篱、绿雕修剪，确保株形完美、线条整齐、形态逼真。</w:t>
            </w:r>
          </w:p>
        </w:tc>
        <w:tc>
          <w:tcPr>
            <w:tcW w:w="459"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367"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heme="minorEastAsia" w:hAnsiTheme="minorEastAsia" w:cstheme="minorEastAsia"/>
                <w:color w:val="000000"/>
                <w:sz w:val="24"/>
                <w:szCs w:val="24"/>
              </w:rPr>
            </w:pPr>
          </w:p>
        </w:tc>
        <w:tc>
          <w:tcPr>
            <w:tcW w:w="1535"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heme="minorEastAsia" w:hAnsiTheme="minorEastAsia" w:cstheme="minorEastAsia"/>
                <w:color w:val="000000"/>
                <w:sz w:val="24"/>
                <w:szCs w:val="24"/>
              </w:rPr>
            </w:pPr>
          </w:p>
        </w:tc>
        <w:tc>
          <w:tcPr>
            <w:tcW w:w="6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540" w:hRule="atLeast"/>
        </w:trPr>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0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Theme="minorEastAsia" w:hAnsiTheme="minorEastAsia" w:cstheme="minorEastAsia"/>
                <w:color w:val="000000"/>
                <w:sz w:val="24"/>
                <w:szCs w:val="24"/>
              </w:rPr>
            </w:pP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heme="minorEastAsia" w:hAnsiTheme="minorEastAsia" w:cstheme="minorEastAsia"/>
                <w:color w:val="000000"/>
                <w:sz w:val="24"/>
                <w:szCs w:val="24"/>
              </w:rPr>
            </w:pPr>
          </w:p>
        </w:tc>
        <w:tc>
          <w:tcPr>
            <w:tcW w:w="36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heme="minorEastAsia" w:hAnsiTheme="minorEastAsia" w:cstheme="minorEastAsia"/>
                <w:color w:val="000000"/>
                <w:sz w:val="24"/>
                <w:szCs w:val="24"/>
              </w:rPr>
            </w:pPr>
          </w:p>
        </w:tc>
        <w:tc>
          <w:tcPr>
            <w:tcW w:w="1535"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heme="minorEastAsia" w:hAnsiTheme="minorEastAsia" w:cstheme="minorEastAsia"/>
                <w:color w:val="000000"/>
                <w:sz w:val="24"/>
                <w:szCs w:val="24"/>
              </w:rPr>
            </w:pPr>
          </w:p>
        </w:tc>
        <w:tc>
          <w:tcPr>
            <w:tcW w:w="6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860" w:hRule="atLeast"/>
        </w:trPr>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5、苗木要按照生长习性和花期进行修剪。</w:t>
            </w:r>
          </w:p>
        </w:tc>
        <w:tc>
          <w:tcPr>
            <w:tcW w:w="4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5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80" w:hRule="atLeast"/>
        </w:trPr>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6、死树及时伐掉、倒树及时扶正</w:t>
            </w:r>
          </w:p>
        </w:tc>
        <w:tc>
          <w:tcPr>
            <w:tcW w:w="4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5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20" w:hRule="atLeast"/>
        </w:trPr>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7、规定时间完成修剪工作，修剪枝当天及时清理</w:t>
            </w:r>
          </w:p>
        </w:tc>
        <w:tc>
          <w:tcPr>
            <w:tcW w:w="4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5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60" w:hRule="atLeast"/>
        </w:trPr>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8、草坪修剪整齐，草坪没有杂草斑秃</w:t>
            </w:r>
          </w:p>
        </w:tc>
        <w:tc>
          <w:tcPr>
            <w:tcW w:w="4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5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560" w:hRule="atLeast"/>
        </w:trPr>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9、及时清除林地内杂草</w:t>
            </w:r>
          </w:p>
        </w:tc>
        <w:tc>
          <w:tcPr>
            <w:tcW w:w="4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5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510" w:hRule="atLeast"/>
        </w:trPr>
        <w:tc>
          <w:tcPr>
            <w:tcW w:w="4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花卉管理8分</w:t>
            </w:r>
          </w:p>
        </w:tc>
        <w:tc>
          <w:tcPr>
            <w:tcW w:w="15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1、按要求及时完成栽植花卉工作</w:t>
            </w:r>
          </w:p>
        </w:tc>
        <w:tc>
          <w:tcPr>
            <w:tcW w:w="4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5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每月考核时随机抽选5-10处，每处1000㎡。分别打分，最后计算得出本月得分。</w:t>
            </w:r>
          </w:p>
        </w:tc>
      </w:tr>
      <w:tr>
        <w:tblPrEx>
          <w:tblCellMar>
            <w:top w:w="0" w:type="dxa"/>
            <w:left w:w="108" w:type="dxa"/>
            <w:bottom w:w="0" w:type="dxa"/>
            <w:right w:w="108" w:type="dxa"/>
          </w:tblCellMar>
        </w:tblPrEx>
        <w:trPr>
          <w:trHeight w:val="640" w:hRule="atLeast"/>
        </w:trPr>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2、按要求及时施肥，及时中耕除草</w:t>
            </w:r>
          </w:p>
        </w:tc>
        <w:tc>
          <w:tcPr>
            <w:tcW w:w="4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5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00" w:hRule="atLeast"/>
        </w:trPr>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3、花卉整齐，长势好</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6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40" w:hRule="atLeast"/>
        </w:trPr>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4、没有缺株，倒伏，没有残花败叶</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6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840" w:hRule="atLeast"/>
        </w:trPr>
        <w:tc>
          <w:tcPr>
            <w:tcW w:w="4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植物病虫害防治7分</w:t>
            </w:r>
          </w:p>
        </w:tc>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1、根据虫害发生情况及时以化学防治的方法打药预防</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6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80" w:hRule="atLeast"/>
        </w:trPr>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2、必须使用高效低毒农药</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6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45" w:hRule="atLeast"/>
        </w:trPr>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3、防治病虫害效果明显，在可控范围内</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6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80" w:hRule="atLeast"/>
        </w:trPr>
        <w:tc>
          <w:tcPr>
            <w:tcW w:w="46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浇水10分</w:t>
            </w:r>
          </w:p>
        </w:tc>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1、及时浇水，没有造成植物萎蔫，枝叶枯黄.</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6分</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6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40" w:hRule="atLeast"/>
        </w:trPr>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cstheme="minorEastAsia"/>
                <w:color w:val="000000"/>
                <w:sz w:val="24"/>
                <w:szCs w:val="24"/>
              </w:rPr>
            </w:pPr>
          </w:p>
        </w:tc>
        <w:tc>
          <w:tcPr>
            <w:tcW w:w="1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2、确保浇水浇到位</w:t>
            </w:r>
          </w:p>
        </w:tc>
        <w:tc>
          <w:tcPr>
            <w:tcW w:w="4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6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20" w:hRule="atLeast"/>
        </w:trPr>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cstheme="minorEastAsia"/>
                <w:color w:val="000000"/>
                <w:sz w:val="24"/>
                <w:szCs w:val="24"/>
              </w:rPr>
            </w:pPr>
          </w:p>
        </w:tc>
        <w:tc>
          <w:tcPr>
            <w:tcW w:w="1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3、确保浇水浇透</w:t>
            </w:r>
          </w:p>
        </w:tc>
        <w:tc>
          <w:tcPr>
            <w:tcW w:w="4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6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1080" w:hRule="atLeast"/>
        </w:trPr>
        <w:tc>
          <w:tcPr>
            <w:tcW w:w="4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绿地整理15分</w:t>
            </w:r>
          </w:p>
        </w:tc>
        <w:tc>
          <w:tcPr>
            <w:tcW w:w="1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1、及时清理林带内的枯枝败叶以及垃圾，卫生打扫干净，保持林带内环境优美整洁。</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4分</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6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 xml:space="preserve">每月考核时随机抽选5-10处，每处1000㎡。分别打分，最后计算得出本月得分  </w:t>
            </w:r>
          </w:p>
        </w:tc>
      </w:tr>
      <w:tr>
        <w:tblPrEx>
          <w:tblCellMar>
            <w:top w:w="0" w:type="dxa"/>
            <w:left w:w="108" w:type="dxa"/>
            <w:bottom w:w="0" w:type="dxa"/>
            <w:right w:w="108" w:type="dxa"/>
          </w:tblCellMar>
        </w:tblPrEx>
        <w:trPr>
          <w:trHeight w:val="840" w:hRule="atLeast"/>
        </w:trPr>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2、林带没有悬挂物及私搭乱建现象</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6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80" w:hRule="atLeast"/>
        </w:trPr>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3、平整林带并进行中耕松土</w:t>
            </w:r>
          </w:p>
        </w:tc>
        <w:tc>
          <w:tcPr>
            <w:tcW w:w="4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5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60" w:hRule="atLeast"/>
        </w:trPr>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4、确保树穴为下沉式</w:t>
            </w:r>
          </w:p>
        </w:tc>
        <w:tc>
          <w:tcPr>
            <w:tcW w:w="4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5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40" w:hRule="atLeast"/>
        </w:trPr>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5、肥料需施在树穴并深翻</w:t>
            </w:r>
          </w:p>
        </w:tc>
        <w:tc>
          <w:tcPr>
            <w:tcW w:w="4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5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960" w:hRule="atLeast"/>
        </w:trPr>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6、在规定时间保质保量完成施肥工作</w:t>
            </w:r>
          </w:p>
        </w:tc>
        <w:tc>
          <w:tcPr>
            <w:tcW w:w="4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5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960" w:hRule="atLeast"/>
        </w:trPr>
        <w:tc>
          <w:tcPr>
            <w:tcW w:w="4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 xml:space="preserve">水系及硬化路面管理16分                                                                                                                                                                                                                                     </w:t>
            </w:r>
          </w:p>
        </w:tc>
        <w:tc>
          <w:tcPr>
            <w:tcW w:w="1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1、水系无漂浮物、水藻，保持水体清洁。</w:t>
            </w:r>
          </w:p>
        </w:tc>
        <w:tc>
          <w:tcPr>
            <w:tcW w:w="4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5分</w:t>
            </w:r>
          </w:p>
        </w:tc>
        <w:tc>
          <w:tcPr>
            <w:tcW w:w="3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5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960" w:hRule="atLeast"/>
        </w:trPr>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2、禁止游人游泳</w:t>
            </w:r>
          </w:p>
        </w:tc>
        <w:tc>
          <w:tcPr>
            <w:tcW w:w="4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1分</w:t>
            </w:r>
          </w:p>
        </w:tc>
        <w:tc>
          <w:tcPr>
            <w:tcW w:w="3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5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960" w:hRule="atLeast"/>
        </w:trPr>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3、硬化路面保持卫生干净整洁</w:t>
            </w:r>
          </w:p>
        </w:tc>
        <w:tc>
          <w:tcPr>
            <w:tcW w:w="4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10分</w:t>
            </w:r>
          </w:p>
        </w:tc>
        <w:tc>
          <w:tcPr>
            <w:tcW w:w="3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5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1000" w:hRule="atLeast"/>
        </w:trPr>
        <w:tc>
          <w:tcPr>
            <w:tcW w:w="46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安全生产管理10分</w:t>
            </w:r>
          </w:p>
        </w:tc>
        <w:tc>
          <w:tcPr>
            <w:tcW w:w="1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1、及时排查处理安全隐患</w:t>
            </w:r>
          </w:p>
        </w:tc>
        <w:tc>
          <w:tcPr>
            <w:tcW w:w="4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3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5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40" w:hRule="atLeast"/>
        </w:trPr>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2、配备安全保护器材</w:t>
            </w:r>
          </w:p>
        </w:tc>
        <w:tc>
          <w:tcPr>
            <w:tcW w:w="4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3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5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840" w:hRule="atLeast"/>
        </w:trPr>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3、合理规范操作机械</w:t>
            </w:r>
          </w:p>
        </w:tc>
        <w:tc>
          <w:tcPr>
            <w:tcW w:w="4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5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80" w:hRule="atLeast"/>
        </w:trPr>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4、做好安全警示标志</w:t>
            </w:r>
          </w:p>
        </w:tc>
        <w:tc>
          <w:tcPr>
            <w:tcW w:w="4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5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880" w:hRule="atLeast"/>
        </w:trPr>
        <w:tc>
          <w:tcPr>
            <w:tcW w:w="4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日常管理9分</w:t>
            </w:r>
          </w:p>
        </w:tc>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1、养护单位对园林队的工作安排及时落实到位</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color w:val="000000"/>
                <w:sz w:val="24"/>
                <w:szCs w:val="24"/>
              </w:rPr>
            </w:pP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color w:val="000000"/>
                <w:sz w:val="24"/>
                <w:szCs w:val="24"/>
              </w:rPr>
            </w:pPr>
          </w:p>
        </w:tc>
        <w:tc>
          <w:tcPr>
            <w:tcW w:w="6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 xml:space="preserve">每月考核时随机抽选5-10处，每处1000㎡。分别打分，最后计算得出本月得分  </w:t>
            </w:r>
          </w:p>
        </w:tc>
      </w:tr>
      <w:tr>
        <w:tblPrEx>
          <w:tblCellMar>
            <w:top w:w="0" w:type="dxa"/>
            <w:left w:w="108" w:type="dxa"/>
            <w:bottom w:w="0" w:type="dxa"/>
            <w:right w:w="108" w:type="dxa"/>
          </w:tblCellMar>
        </w:tblPrEx>
        <w:trPr>
          <w:trHeight w:val="720" w:hRule="atLeast"/>
        </w:trPr>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2、服从单位安排的应急事件，并且保质保量完成。</w:t>
            </w:r>
          </w:p>
        </w:tc>
        <w:tc>
          <w:tcPr>
            <w:tcW w:w="4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15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6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40" w:hRule="atLeast"/>
        </w:trPr>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3、按要求上报工作计划、工作小结</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6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40" w:hRule="atLeast"/>
        </w:trPr>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4、养护人员配置到位</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6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900" w:hRule="atLeast"/>
        </w:trPr>
        <w:tc>
          <w:tcPr>
            <w:tcW w:w="4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设施设备维修5分</w:t>
            </w:r>
          </w:p>
        </w:tc>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1、各种标牌、标志物、辅助设施损坏及时修复</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6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80" w:hRule="atLeast"/>
        </w:trPr>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2、林地内的水井盖完好</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6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80" w:hRule="atLeast"/>
        </w:trPr>
        <w:tc>
          <w:tcPr>
            <w:tcW w:w="19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当月考核分数</w:t>
            </w:r>
          </w:p>
        </w:tc>
        <w:tc>
          <w:tcPr>
            <w:tcW w:w="236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cstheme="minorEastAsia"/>
                <w:color w:val="000000"/>
                <w:sz w:val="24"/>
                <w:szCs w:val="24"/>
              </w:rPr>
            </w:pPr>
          </w:p>
        </w:tc>
        <w:tc>
          <w:tcPr>
            <w:tcW w:w="6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bl>
    <w:p>
      <w:pPr>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t>考核人签字：                                       养护单位负责人签字：</w:t>
      </w:r>
    </w:p>
    <w:p>
      <w:pPr>
        <w:ind w:firstLine="482"/>
        <w:rPr>
          <w:rFonts w:cs="宋体" w:asciiTheme="minorEastAsia" w:hAnsiTheme="minorEastAsia"/>
          <w:b/>
          <w:sz w:val="24"/>
          <w:szCs w:val="24"/>
        </w:rPr>
      </w:pPr>
      <w:r>
        <w:rPr>
          <w:rFonts w:hint="eastAsia" w:cs="宋体" w:asciiTheme="minorEastAsia" w:hAnsiTheme="minorEastAsia"/>
          <w:b/>
          <w:sz w:val="24"/>
          <w:szCs w:val="24"/>
        </w:rPr>
        <w:br w:type="page"/>
      </w:r>
    </w:p>
    <w:tbl>
      <w:tblPr>
        <w:tblStyle w:val="34"/>
        <w:tblW w:w="5000" w:type="pct"/>
        <w:tblInd w:w="0" w:type="dxa"/>
        <w:tblLayout w:type="autofit"/>
        <w:tblCellMar>
          <w:top w:w="0" w:type="dxa"/>
          <w:left w:w="108" w:type="dxa"/>
          <w:bottom w:w="0" w:type="dxa"/>
          <w:right w:w="108" w:type="dxa"/>
        </w:tblCellMar>
      </w:tblPr>
      <w:tblGrid>
        <w:gridCol w:w="1113"/>
        <w:gridCol w:w="3105"/>
        <w:gridCol w:w="664"/>
        <w:gridCol w:w="814"/>
        <w:gridCol w:w="2619"/>
        <w:gridCol w:w="973"/>
      </w:tblGrid>
      <w:tr>
        <w:tblPrEx>
          <w:tblCellMar>
            <w:top w:w="0" w:type="dxa"/>
            <w:left w:w="108" w:type="dxa"/>
            <w:bottom w:w="0" w:type="dxa"/>
            <w:right w:w="108" w:type="dxa"/>
          </w:tblCellMar>
        </w:tblPrEx>
        <w:trPr>
          <w:trHeight w:val="600" w:hRule="atLeast"/>
        </w:trPr>
        <w:tc>
          <w:tcPr>
            <w:tcW w:w="5000" w:type="pct"/>
            <w:gridSpan w:val="6"/>
            <w:tcBorders>
              <w:top w:val="nil"/>
              <w:left w:val="nil"/>
              <w:bottom w:val="nil"/>
              <w:right w:val="nil"/>
            </w:tcBorders>
            <w:shd w:val="clear" w:color="auto" w:fill="auto"/>
            <w:noWrap/>
            <w:vAlign w:val="center"/>
          </w:tcPr>
          <w:p>
            <w:pPr>
              <w:widowControl/>
              <w:ind w:firstLine="482"/>
              <w:jc w:val="center"/>
              <w:textAlignment w:val="center"/>
              <w:rPr>
                <w:rFonts w:asciiTheme="minorEastAsia" w:hAnsiTheme="minorEastAsia" w:cstheme="minorEastAsia"/>
                <w:b/>
                <w:bCs/>
                <w:color w:val="000000"/>
                <w:sz w:val="24"/>
                <w:szCs w:val="24"/>
              </w:rPr>
            </w:pPr>
            <w:r>
              <w:rPr>
                <w:rFonts w:hint="eastAsia" w:asciiTheme="minorEastAsia" w:hAnsiTheme="minorEastAsia" w:cstheme="minorEastAsia"/>
                <w:b/>
                <w:bCs/>
                <w:color w:val="000000"/>
                <w:kern w:val="0"/>
                <w:sz w:val="24"/>
                <w:szCs w:val="24"/>
                <w:lang w:bidi="ar"/>
              </w:rPr>
              <w:t>10月11月 米东区绿地养护考核评分表(游园二级）</w:t>
            </w:r>
          </w:p>
        </w:tc>
      </w:tr>
      <w:tr>
        <w:tblPrEx>
          <w:tblCellMar>
            <w:top w:w="0" w:type="dxa"/>
            <w:left w:w="108" w:type="dxa"/>
            <w:bottom w:w="0" w:type="dxa"/>
            <w:right w:w="108" w:type="dxa"/>
          </w:tblCellMar>
        </w:tblPrEx>
        <w:trPr>
          <w:trHeight w:val="540" w:hRule="atLeast"/>
        </w:trPr>
        <w:tc>
          <w:tcPr>
            <w:tcW w:w="5000" w:type="pct"/>
            <w:gridSpan w:val="6"/>
            <w:tcBorders>
              <w:top w:val="nil"/>
              <w:left w:val="nil"/>
              <w:bottom w:val="nil"/>
              <w:right w:val="nil"/>
            </w:tcBorders>
            <w:shd w:val="clear" w:color="auto" w:fill="auto"/>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日期：                    养护公司：                          养护面积：</w:t>
            </w:r>
          </w:p>
        </w:tc>
      </w:tr>
      <w:tr>
        <w:tblPrEx>
          <w:tblCellMar>
            <w:top w:w="0" w:type="dxa"/>
            <w:left w:w="108" w:type="dxa"/>
            <w:bottom w:w="0" w:type="dxa"/>
            <w:right w:w="108" w:type="dxa"/>
          </w:tblCellMar>
        </w:tblPrEx>
        <w:trPr>
          <w:trHeight w:val="660"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考核项目</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考核内容</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评分标准</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得  分</w:t>
            </w:r>
          </w:p>
        </w:tc>
        <w:tc>
          <w:tcPr>
            <w:tcW w:w="1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扣分原因</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备  注</w:t>
            </w:r>
          </w:p>
        </w:tc>
      </w:tr>
      <w:tr>
        <w:tblPrEx>
          <w:tblCellMar>
            <w:top w:w="0" w:type="dxa"/>
            <w:left w:w="108" w:type="dxa"/>
            <w:bottom w:w="0" w:type="dxa"/>
            <w:right w:w="108" w:type="dxa"/>
          </w:tblCellMar>
        </w:tblPrEx>
        <w:trPr>
          <w:trHeight w:val="680" w:hRule="atLeast"/>
        </w:trPr>
        <w:tc>
          <w:tcPr>
            <w:tcW w:w="4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乔灌木修剪20分</w:t>
            </w:r>
          </w:p>
        </w:tc>
        <w:tc>
          <w:tcPr>
            <w:tcW w:w="13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1、乔灌木生长势好，树形完整，层次清楚，没有人为偏冠</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6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 xml:space="preserve">                                                                                                              每月考核时随机抽选5-10处，每处1000㎡。分别打分，最后计算得出本月得分。</w:t>
            </w:r>
          </w:p>
        </w:tc>
      </w:tr>
      <w:tr>
        <w:tblPrEx>
          <w:tblCellMar>
            <w:top w:w="0" w:type="dxa"/>
            <w:left w:w="108" w:type="dxa"/>
            <w:bottom w:w="0" w:type="dxa"/>
            <w:right w:w="108" w:type="dxa"/>
          </w:tblCellMar>
        </w:tblPrEx>
        <w:trPr>
          <w:trHeight w:val="735" w:hRule="atLeast"/>
        </w:trPr>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3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2、枯死枝、徒长枝、下垂枝、折枝、病虫枝、过密枝及时清理</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6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960" w:hRule="atLeast"/>
        </w:trPr>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3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3、在规定时间内完成灌木，绿篱、绿雕修剪，确保株形完美、线条整齐、形态逼真。</w:t>
            </w: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3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7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920" w:hRule="atLeast"/>
        </w:trPr>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3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4、按苗木生长习性修剪，灌木，绿篱、绿雕徒长枝不能高于5CM</w:t>
            </w: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7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40" w:hRule="atLeast"/>
        </w:trPr>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3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5、按规定时间完成修剪工作，修剪枝当天及时清理</w:t>
            </w: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3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7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00" w:hRule="atLeast"/>
        </w:trPr>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3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6、死树及时伐掉、倒树及时扶正</w:t>
            </w: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7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80" w:hRule="atLeast"/>
        </w:trPr>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3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7、草坪修剪整齐，草坪没有杂草斑秃入冬前完成最后一次修剪</w:t>
            </w: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7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540" w:hRule="atLeast"/>
        </w:trPr>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3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8、及时清除林地内杂草</w:t>
            </w: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7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580" w:hRule="atLeast"/>
        </w:trPr>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3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9、3㎝以上剪口、损伤部位涂防护剂</w:t>
            </w: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7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40" w:hRule="atLeast"/>
        </w:trPr>
        <w:tc>
          <w:tcPr>
            <w:tcW w:w="4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花卉管理6分</w:t>
            </w:r>
          </w:p>
        </w:tc>
        <w:tc>
          <w:tcPr>
            <w:tcW w:w="13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1、花卉整齐、长势好</w:t>
            </w: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7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 xml:space="preserve">                                                                                                                每月考核时随机抽选5-10处，每处1000㎡。分别打分，最后计算得出本月得分。</w:t>
            </w:r>
          </w:p>
        </w:tc>
      </w:tr>
      <w:tr>
        <w:tblPrEx>
          <w:tblCellMar>
            <w:top w:w="0" w:type="dxa"/>
            <w:left w:w="108" w:type="dxa"/>
            <w:bottom w:w="0" w:type="dxa"/>
            <w:right w:w="108" w:type="dxa"/>
          </w:tblCellMar>
        </w:tblPrEx>
        <w:trPr>
          <w:trHeight w:val="760" w:hRule="atLeast"/>
        </w:trPr>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3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2、对宿根花卉及时平茬，及时清除残枝败叶</w:t>
            </w: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7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60" w:hRule="atLeast"/>
        </w:trPr>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3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3、对草花种植区及时深翻</w:t>
            </w: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7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00" w:hRule="atLeast"/>
        </w:trPr>
        <w:tc>
          <w:tcPr>
            <w:tcW w:w="4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乔灌木栽植10分</w:t>
            </w:r>
          </w:p>
        </w:tc>
        <w:tc>
          <w:tcPr>
            <w:tcW w:w="13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1、按要求合理规范施工</w:t>
            </w: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7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80" w:hRule="atLeast"/>
        </w:trPr>
        <w:tc>
          <w:tcPr>
            <w:tcW w:w="4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3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2、苗木当天需栽植并完成浇水工作</w:t>
            </w: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3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7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00" w:hRule="atLeast"/>
        </w:trPr>
        <w:tc>
          <w:tcPr>
            <w:tcW w:w="4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3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3、确保苗木的成活率</w:t>
            </w: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3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7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560" w:hRule="atLeast"/>
        </w:trPr>
        <w:tc>
          <w:tcPr>
            <w:tcW w:w="4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3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4、在规定时间内完成</w:t>
            </w: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7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20" w:hRule="atLeast"/>
        </w:trPr>
        <w:tc>
          <w:tcPr>
            <w:tcW w:w="44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浇水10分</w:t>
            </w:r>
          </w:p>
        </w:tc>
        <w:tc>
          <w:tcPr>
            <w:tcW w:w="13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1、按要求及时冬灌</w:t>
            </w: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3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7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60" w:hRule="atLeast"/>
        </w:trPr>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cstheme="minorEastAsia"/>
                <w:color w:val="000000"/>
                <w:sz w:val="24"/>
                <w:szCs w:val="24"/>
              </w:rPr>
            </w:pPr>
          </w:p>
        </w:tc>
        <w:tc>
          <w:tcPr>
            <w:tcW w:w="13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2、确保浇水浇到位</w:t>
            </w: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3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7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20" w:hRule="atLeast"/>
        </w:trPr>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cstheme="minorEastAsia"/>
                <w:color w:val="000000"/>
                <w:sz w:val="24"/>
                <w:szCs w:val="24"/>
              </w:rPr>
            </w:pPr>
          </w:p>
        </w:tc>
        <w:tc>
          <w:tcPr>
            <w:tcW w:w="13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3、确保浇水浇透</w:t>
            </w: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7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20" w:hRule="atLeast"/>
        </w:trPr>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cstheme="minorEastAsia"/>
                <w:color w:val="000000"/>
                <w:sz w:val="24"/>
                <w:szCs w:val="24"/>
              </w:rPr>
            </w:pPr>
          </w:p>
        </w:tc>
        <w:tc>
          <w:tcPr>
            <w:tcW w:w="13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4、及时做好排水工作</w:t>
            </w: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7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1020" w:hRule="atLeast"/>
        </w:trPr>
        <w:tc>
          <w:tcPr>
            <w:tcW w:w="4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绿地整理15分</w:t>
            </w:r>
          </w:p>
        </w:tc>
        <w:tc>
          <w:tcPr>
            <w:tcW w:w="13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1、及时清理林带内的枯枝败叶以及垃圾，卫生打扫干净，保持林带内环境优美整洁。</w:t>
            </w: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5分</w:t>
            </w:r>
          </w:p>
        </w:tc>
        <w:tc>
          <w:tcPr>
            <w:tcW w:w="3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7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 xml:space="preserve">每月考核时随机抽选5-10处，每处1000㎡。分别打分，最后计算得出本月得分  </w:t>
            </w:r>
          </w:p>
        </w:tc>
      </w:tr>
      <w:tr>
        <w:tblPrEx>
          <w:tblCellMar>
            <w:top w:w="0" w:type="dxa"/>
            <w:left w:w="108" w:type="dxa"/>
            <w:bottom w:w="0" w:type="dxa"/>
            <w:right w:w="108" w:type="dxa"/>
          </w:tblCellMar>
        </w:tblPrEx>
        <w:trPr>
          <w:trHeight w:val="1000" w:hRule="atLeast"/>
        </w:trPr>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3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2、林带内没有悬挂物及私搭乱建现象</w:t>
            </w: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7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960" w:hRule="atLeast"/>
        </w:trPr>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3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3、平整林带并进行中耕除草，松土</w:t>
            </w: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3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7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900" w:hRule="atLeast"/>
        </w:trPr>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3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4、确保树穴为下沉式</w:t>
            </w: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7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920" w:hRule="atLeast"/>
        </w:trPr>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3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5、及时完成花卉种植区的整理、翻土及中耕除草工作</w:t>
            </w: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3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7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920" w:hRule="atLeast"/>
        </w:trPr>
        <w:tc>
          <w:tcPr>
            <w:tcW w:w="4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 xml:space="preserve">水系及硬化路面管理15分                                                                                                                                                                                                                                     </w:t>
            </w:r>
          </w:p>
        </w:tc>
        <w:tc>
          <w:tcPr>
            <w:tcW w:w="13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1、水系保持干净整洁。</w:t>
            </w: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5分</w:t>
            </w:r>
          </w:p>
        </w:tc>
        <w:tc>
          <w:tcPr>
            <w:tcW w:w="3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7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920" w:hRule="atLeast"/>
        </w:trPr>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3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2、硬化路面保持卫生干净整洁</w:t>
            </w: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10分</w:t>
            </w:r>
          </w:p>
        </w:tc>
        <w:tc>
          <w:tcPr>
            <w:tcW w:w="3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7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960" w:hRule="atLeast"/>
        </w:trPr>
        <w:tc>
          <w:tcPr>
            <w:tcW w:w="4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安全生产管理10分</w:t>
            </w:r>
          </w:p>
        </w:tc>
        <w:tc>
          <w:tcPr>
            <w:tcW w:w="13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1、及时排查处理安全隐患</w:t>
            </w: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3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7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60" w:hRule="atLeast"/>
        </w:trPr>
        <w:tc>
          <w:tcPr>
            <w:tcW w:w="4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3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2、配备安全保护器材</w:t>
            </w: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3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7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80" w:hRule="atLeast"/>
        </w:trPr>
        <w:tc>
          <w:tcPr>
            <w:tcW w:w="4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3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3、合理规范操作机械</w:t>
            </w: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7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40" w:hRule="atLeast"/>
        </w:trPr>
        <w:tc>
          <w:tcPr>
            <w:tcW w:w="4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3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4、做好安全警示标志</w:t>
            </w: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7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80" w:hRule="atLeast"/>
        </w:trPr>
        <w:tc>
          <w:tcPr>
            <w:tcW w:w="4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日常管理10分</w:t>
            </w:r>
          </w:p>
        </w:tc>
        <w:tc>
          <w:tcPr>
            <w:tcW w:w="13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1、养护单位对园林队安排的工作及时落实到位</w:t>
            </w: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3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17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6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 xml:space="preserve">每月考核时随机抽选5-10处，每处1000㎡。分别打分，最后计算得出本月得分  </w:t>
            </w:r>
          </w:p>
        </w:tc>
      </w:tr>
      <w:tr>
        <w:tblPrEx>
          <w:tblCellMar>
            <w:top w:w="0" w:type="dxa"/>
            <w:left w:w="108" w:type="dxa"/>
            <w:bottom w:w="0" w:type="dxa"/>
            <w:right w:w="108" w:type="dxa"/>
          </w:tblCellMar>
        </w:tblPrEx>
        <w:trPr>
          <w:trHeight w:val="780" w:hRule="atLeast"/>
        </w:trPr>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3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2、服从单位安排的应急事件，并且保质保量完成。</w:t>
            </w: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3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17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6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580" w:hRule="atLeast"/>
        </w:trPr>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3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3、按要求报工作计划、工作小结</w:t>
            </w: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7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00" w:hRule="atLeast"/>
        </w:trPr>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3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4、养护人员配置到位</w:t>
            </w: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7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900" w:hRule="atLeast"/>
        </w:trPr>
        <w:tc>
          <w:tcPr>
            <w:tcW w:w="4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br w:type="textWrapping"/>
            </w:r>
            <w:r>
              <w:rPr>
                <w:rFonts w:hint="eastAsia" w:asciiTheme="minorEastAsia" w:hAnsiTheme="minorEastAsia" w:cstheme="minorEastAsia"/>
                <w:color w:val="000000"/>
                <w:kern w:val="0"/>
                <w:sz w:val="24"/>
                <w:szCs w:val="24"/>
                <w:lang w:bidi="ar"/>
              </w:rPr>
              <w:t>设施设备维修4分</w:t>
            </w:r>
          </w:p>
        </w:tc>
        <w:tc>
          <w:tcPr>
            <w:tcW w:w="13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1、各种标牌、标志物、辅助设施损坏及时修复</w:t>
            </w: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7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40" w:hRule="atLeast"/>
        </w:trPr>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3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2、林地内的水井盖完好</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6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580" w:hRule="atLeast"/>
        </w:trPr>
        <w:tc>
          <w:tcPr>
            <w:tcW w:w="18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当月考核得分</w:t>
            </w:r>
          </w:p>
        </w:tc>
        <w:tc>
          <w:tcPr>
            <w:tcW w:w="252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cstheme="minorEastAsia"/>
                <w:color w:val="000000"/>
                <w:sz w:val="24"/>
                <w:szCs w:val="24"/>
              </w:rPr>
            </w:pPr>
          </w:p>
        </w:tc>
        <w:tc>
          <w:tcPr>
            <w:tcW w:w="6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bl>
    <w:p>
      <w:pPr>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t>考核人签字：                                       养护单位负责人签字：</w:t>
      </w:r>
    </w:p>
    <w:p>
      <w:pPr>
        <w:ind w:firstLine="482"/>
        <w:rPr>
          <w:rFonts w:cs="宋体" w:asciiTheme="minorEastAsia" w:hAnsiTheme="minorEastAsia"/>
          <w:b/>
          <w:sz w:val="24"/>
          <w:szCs w:val="24"/>
        </w:rPr>
      </w:pPr>
      <w:r>
        <w:rPr>
          <w:rFonts w:hint="eastAsia" w:cs="宋体" w:asciiTheme="minorEastAsia" w:hAnsiTheme="minorEastAsia"/>
          <w:b/>
          <w:sz w:val="24"/>
          <w:szCs w:val="24"/>
        </w:rPr>
        <w:br w:type="page"/>
      </w:r>
    </w:p>
    <w:tbl>
      <w:tblPr>
        <w:tblStyle w:val="34"/>
        <w:tblW w:w="5000" w:type="pct"/>
        <w:tblInd w:w="0" w:type="dxa"/>
        <w:tblLayout w:type="autofit"/>
        <w:tblCellMar>
          <w:top w:w="0" w:type="dxa"/>
          <w:left w:w="108" w:type="dxa"/>
          <w:bottom w:w="0" w:type="dxa"/>
          <w:right w:w="108" w:type="dxa"/>
        </w:tblCellMar>
      </w:tblPr>
      <w:tblGrid>
        <w:gridCol w:w="955"/>
        <w:gridCol w:w="2713"/>
        <w:gridCol w:w="720"/>
        <w:gridCol w:w="771"/>
        <w:gridCol w:w="3039"/>
        <w:gridCol w:w="1090"/>
      </w:tblGrid>
      <w:tr>
        <w:tblPrEx>
          <w:tblCellMar>
            <w:top w:w="0" w:type="dxa"/>
            <w:left w:w="108" w:type="dxa"/>
            <w:bottom w:w="0" w:type="dxa"/>
            <w:right w:w="108" w:type="dxa"/>
          </w:tblCellMar>
        </w:tblPrEx>
        <w:trPr>
          <w:trHeight w:val="840" w:hRule="atLeast"/>
        </w:trPr>
        <w:tc>
          <w:tcPr>
            <w:tcW w:w="5000" w:type="pct"/>
            <w:gridSpan w:val="6"/>
            <w:tcBorders>
              <w:top w:val="nil"/>
              <w:left w:val="nil"/>
              <w:bottom w:val="nil"/>
              <w:right w:val="nil"/>
            </w:tcBorders>
            <w:shd w:val="clear" w:color="auto" w:fill="auto"/>
            <w:noWrap/>
            <w:vAlign w:val="center"/>
          </w:tcPr>
          <w:p>
            <w:pPr>
              <w:widowControl/>
              <w:ind w:firstLine="482"/>
              <w:jc w:val="center"/>
              <w:textAlignment w:val="center"/>
              <w:rPr>
                <w:rFonts w:asciiTheme="minorEastAsia" w:hAnsiTheme="minorEastAsia" w:cstheme="minorEastAsia"/>
                <w:b/>
                <w:bCs/>
                <w:color w:val="000000"/>
                <w:sz w:val="24"/>
                <w:szCs w:val="24"/>
              </w:rPr>
            </w:pPr>
            <w:r>
              <w:rPr>
                <w:rFonts w:hint="eastAsia" w:asciiTheme="minorEastAsia" w:hAnsiTheme="minorEastAsia" w:cstheme="minorEastAsia"/>
                <w:b/>
                <w:bCs/>
                <w:color w:val="000000"/>
                <w:kern w:val="0"/>
                <w:sz w:val="24"/>
                <w:szCs w:val="24"/>
                <w:lang w:bidi="ar"/>
              </w:rPr>
              <w:t>12月1月2月米东区绿地养护考核评分表(游园二级）</w:t>
            </w:r>
          </w:p>
        </w:tc>
      </w:tr>
      <w:tr>
        <w:tblPrEx>
          <w:tblCellMar>
            <w:top w:w="0" w:type="dxa"/>
            <w:left w:w="108" w:type="dxa"/>
            <w:bottom w:w="0" w:type="dxa"/>
            <w:right w:w="108" w:type="dxa"/>
          </w:tblCellMar>
        </w:tblPrEx>
        <w:trPr>
          <w:trHeight w:val="780" w:hRule="atLeast"/>
        </w:trPr>
        <w:tc>
          <w:tcPr>
            <w:tcW w:w="5000" w:type="pct"/>
            <w:gridSpan w:val="6"/>
            <w:tcBorders>
              <w:top w:val="nil"/>
              <w:left w:val="nil"/>
              <w:bottom w:val="nil"/>
              <w:right w:val="nil"/>
            </w:tcBorders>
            <w:shd w:val="clear" w:color="auto" w:fill="auto"/>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 xml:space="preserve">       日期：                   养护公司：                                 养护面积：</w:t>
            </w:r>
          </w:p>
        </w:tc>
      </w:tr>
      <w:tr>
        <w:tblPrEx>
          <w:tblCellMar>
            <w:top w:w="0" w:type="dxa"/>
            <w:left w:w="108" w:type="dxa"/>
            <w:bottom w:w="0" w:type="dxa"/>
            <w:right w:w="108" w:type="dxa"/>
          </w:tblCellMar>
        </w:tblPrEx>
        <w:trPr>
          <w:trHeight w:val="840"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考核项目</w:t>
            </w:r>
          </w:p>
        </w:tc>
        <w:tc>
          <w:tcPr>
            <w:tcW w:w="1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考核内容</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评分标准</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得  分</w:t>
            </w:r>
          </w:p>
        </w:tc>
        <w:tc>
          <w:tcPr>
            <w:tcW w:w="18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扣分原因</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备  注</w:t>
            </w:r>
          </w:p>
        </w:tc>
      </w:tr>
      <w:tr>
        <w:tblPrEx>
          <w:tblCellMar>
            <w:top w:w="0" w:type="dxa"/>
            <w:left w:w="108" w:type="dxa"/>
            <w:bottom w:w="0" w:type="dxa"/>
            <w:right w:w="108" w:type="dxa"/>
          </w:tblCellMar>
        </w:tblPrEx>
        <w:trPr>
          <w:trHeight w:val="900" w:hRule="atLeast"/>
        </w:trPr>
        <w:tc>
          <w:tcPr>
            <w:tcW w:w="41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绿地管理25分</w:t>
            </w:r>
          </w:p>
        </w:tc>
        <w:tc>
          <w:tcPr>
            <w:tcW w:w="13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1、及时清理垃圾，卫生打扫干净，保持林带内环境优美整洁。</w:t>
            </w: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15分</w:t>
            </w:r>
          </w:p>
        </w:tc>
        <w:tc>
          <w:tcPr>
            <w:tcW w:w="3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8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60" w:hRule="atLeast"/>
        </w:trPr>
        <w:tc>
          <w:tcPr>
            <w:tcW w:w="41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2、及时清除乔灌木枝叶上积雪</w:t>
            </w: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10分</w:t>
            </w:r>
          </w:p>
        </w:tc>
        <w:tc>
          <w:tcPr>
            <w:tcW w:w="3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8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60" w:hRule="atLeast"/>
        </w:trPr>
        <w:tc>
          <w:tcPr>
            <w:tcW w:w="41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硬化路面管理30分</w:t>
            </w:r>
          </w:p>
        </w:tc>
        <w:tc>
          <w:tcPr>
            <w:tcW w:w="1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1、硬化路面保持卫生干净整洁</w:t>
            </w: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10</w:t>
            </w:r>
          </w:p>
        </w:tc>
        <w:tc>
          <w:tcPr>
            <w:tcW w:w="3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8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60" w:hRule="atLeast"/>
        </w:trPr>
        <w:tc>
          <w:tcPr>
            <w:tcW w:w="41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2、硬化路面及时清除积雪</w:t>
            </w: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20</w:t>
            </w:r>
          </w:p>
        </w:tc>
        <w:tc>
          <w:tcPr>
            <w:tcW w:w="3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8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40" w:hRule="atLeast"/>
        </w:trPr>
        <w:tc>
          <w:tcPr>
            <w:tcW w:w="41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安全生产管理10分</w:t>
            </w:r>
          </w:p>
        </w:tc>
        <w:tc>
          <w:tcPr>
            <w:tcW w:w="13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1、及时排查处理安全隐患</w:t>
            </w: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3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8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20" w:hRule="atLeast"/>
        </w:trPr>
        <w:tc>
          <w:tcPr>
            <w:tcW w:w="41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3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2、配备安全保护器材</w:t>
            </w: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3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8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40" w:hRule="atLeast"/>
        </w:trPr>
        <w:tc>
          <w:tcPr>
            <w:tcW w:w="41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3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3、合理规范操作机械</w:t>
            </w: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8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00" w:hRule="atLeast"/>
        </w:trPr>
        <w:tc>
          <w:tcPr>
            <w:tcW w:w="41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3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4、做好安全警示标志</w:t>
            </w: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8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960" w:hRule="atLeast"/>
        </w:trPr>
        <w:tc>
          <w:tcPr>
            <w:tcW w:w="41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日常管理30分</w:t>
            </w:r>
          </w:p>
        </w:tc>
        <w:tc>
          <w:tcPr>
            <w:tcW w:w="13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1、养护单位对园林队安排的工作及时落实到位</w:t>
            </w: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7分</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18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6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每月考核时随机抽选5-10处，每处1000㎡。分别打分，最后计算得出本月得分。</w:t>
            </w:r>
          </w:p>
        </w:tc>
      </w:tr>
      <w:tr>
        <w:tblPrEx>
          <w:tblCellMar>
            <w:top w:w="0" w:type="dxa"/>
            <w:left w:w="108" w:type="dxa"/>
            <w:bottom w:w="0" w:type="dxa"/>
            <w:right w:w="108" w:type="dxa"/>
          </w:tblCellMar>
        </w:tblPrEx>
        <w:trPr>
          <w:trHeight w:val="840" w:hRule="atLeast"/>
        </w:trPr>
        <w:tc>
          <w:tcPr>
            <w:tcW w:w="41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3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2、服从单位安排的应急事件</w:t>
            </w: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5分</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18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840" w:hRule="atLeast"/>
        </w:trPr>
        <w:tc>
          <w:tcPr>
            <w:tcW w:w="41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3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3、保质保量完成应急事件</w:t>
            </w: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5分</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18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920" w:hRule="atLeast"/>
        </w:trPr>
        <w:tc>
          <w:tcPr>
            <w:tcW w:w="41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3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4、对毁绿占绿现象及时发现、及时阻止、现场取证，上报主管科室，并配合监察科工作</w:t>
            </w: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18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900" w:hRule="atLeast"/>
        </w:trPr>
        <w:tc>
          <w:tcPr>
            <w:tcW w:w="41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3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5、按时、按要求报工作计划、工作小结</w:t>
            </w: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7分</w:t>
            </w:r>
          </w:p>
        </w:tc>
        <w:tc>
          <w:tcPr>
            <w:tcW w:w="3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8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80" w:hRule="atLeast"/>
        </w:trPr>
        <w:tc>
          <w:tcPr>
            <w:tcW w:w="41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3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6、养护人员配置到位</w:t>
            </w: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3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8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920" w:hRule="atLeast"/>
        </w:trPr>
        <w:tc>
          <w:tcPr>
            <w:tcW w:w="41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br w:type="textWrapping"/>
            </w:r>
            <w:r>
              <w:rPr>
                <w:rFonts w:hint="eastAsia" w:asciiTheme="minorEastAsia" w:hAnsiTheme="minorEastAsia" w:cstheme="minorEastAsia"/>
                <w:color w:val="000000"/>
                <w:kern w:val="0"/>
                <w:sz w:val="24"/>
                <w:szCs w:val="24"/>
                <w:lang w:bidi="ar"/>
              </w:rPr>
              <w:t>设施设备维修5分</w:t>
            </w:r>
          </w:p>
        </w:tc>
        <w:tc>
          <w:tcPr>
            <w:tcW w:w="13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1、各种标牌、标志物、辅助设施损坏及时修复</w:t>
            </w: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8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1080" w:hRule="atLeast"/>
        </w:trPr>
        <w:tc>
          <w:tcPr>
            <w:tcW w:w="41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3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2、林地内的水井盖完好</w:t>
            </w: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3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8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50" w:hRule="atLeast"/>
        </w:trPr>
        <w:tc>
          <w:tcPr>
            <w:tcW w:w="171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当月考核得分</w:t>
            </w:r>
          </w:p>
        </w:tc>
        <w:tc>
          <w:tcPr>
            <w:tcW w:w="263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cstheme="minorEastAsia"/>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bl>
    <w:p>
      <w:pPr>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t>考核人签字：                                       养护单位负责人签字：</w:t>
      </w:r>
    </w:p>
    <w:p>
      <w:pPr>
        <w:ind w:firstLine="482"/>
        <w:rPr>
          <w:rFonts w:cs="宋体" w:asciiTheme="minorEastAsia" w:hAnsiTheme="minorEastAsia"/>
          <w:b/>
          <w:sz w:val="24"/>
          <w:szCs w:val="24"/>
        </w:rPr>
      </w:pPr>
      <w:r>
        <w:rPr>
          <w:rFonts w:hint="eastAsia" w:cs="宋体" w:asciiTheme="minorEastAsia" w:hAnsiTheme="minorEastAsia"/>
          <w:b/>
          <w:sz w:val="24"/>
          <w:szCs w:val="24"/>
        </w:rPr>
        <w:br w:type="page"/>
      </w:r>
    </w:p>
    <w:tbl>
      <w:tblPr>
        <w:tblStyle w:val="34"/>
        <w:tblW w:w="5000" w:type="pct"/>
        <w:tblInd w:w="0" w:type="dxa"/>
        <w:tblLayout w:type="autofit"/>
        <w:tblCellMar>
          <w:top w:w="0" w:type="dxa"/>
          <w:left w:w="108" w:type="dxa"/>
          <w:bottom w:w="0" w:type="dxa"/>
          <w:right w:w="108" w:type="dxa"/>
        </w:tblCellMar>
      </w:tblPr>
      <w:tblGrid>
        <w:gridCol w:w="974"/>
        <w:gridCol w:w="3301"/>
        <w:gridCol w:w="782"/>
        <w:gridCol w:w="786"/>
        <w:gridCol w:w="2376"/>
        <w:gridCol w:w="1069"/>
      </w:tblGrid>
      <w:tr>
        <w:tblPrEx>
          <w:tblCellMar>
            <w:top w:w="0" w:type="dxa"/>
            <w:left w:w="108" w:type="dxa"/>
            <w:bottom w:w="0" w:type="dxa"/>
            <w:right w:w="108" w:type="dxa"/>
          </w:tblCellMar>
        </w:tblPrEx>
        <w:trPr>
          <w:trHeight w:val="660" w:hRule="atLeast"/>
        </w:trPr>
        <w:tc>
          <w:tcPr>
            <w:tcW w:w="5000" w:type="pct"/>
            <w:gridSpan w:val="6"/>
            <w:tcBorders>
              <w:top w:val="nil"/>
              <w:left w:val="nil"/>
              <w:bottom w:val="nil"/>
              <w:right w:val="nil"/>
            </w:tcBorders>
            <w:shd w:val="clear" w:color="auto" w:fill="auto"/>
            <w:noWrap/>
            <w:vAlign w:val="center"/>
          </w:tcPr>
          <w:p>
            <w:pPr>
              <w:widowControl/>
              <w:ind w:firstLine="482"/>
              <w:jc w:val="center"/>
              <w:textAlignment w:val="center"/>
              <w:rPr>
                <w:rFonts w:asciiTheme="minorEastAsia" w:hAnsiTheme="minorEastAsia" w:cstheme="minorEastAsia"/>
                <w:b/>
                <w:bCs/>
                <w:color w:val="000000"/>
                <w:sz w:val="24"/>
                <w:szCs w:val="24"/>
              </w:rPr>
            </w:pPr>
            <w:r>
              <w:rPr>
                <w:rFonts w:hint="eastAsia" w:asciiTheme="minorEastAsia" w:hAnsiTheme="minorEastAsia" w:cstheme="minorEastAsia"/>
                <w:b/>
                <w:bCs/>
                <w:color w:val="000000"/>
                <w:kern w:val="0"/>
                <w:sz w:val="24"/>
                <w:szCs w:val="24"/>
                <w:lang w:bidi="ar"/>
              </w:rPr>
              <w:t>3月4月米东区绿地养护考核评分表(道路一级、游园三级)</w:t>
            </w:r>
          </w:p>
        </w:tc>
      </w:tr>
      <w:tr>
        <w:tblPrEx>
          <w:tblCellMar>
            <w:top w:w="0" w:type="dxa"/>
            <w:left w:w="108" w:type="dxa"/>
            <w:bottom w:w="0" w:type="dxa"/>
            <w:right w:w="108" w:type="dxa"/>
          </w:tblCellMar>
        </w:tblPrEx>
        <w:trPr>
          <w:trHeight w:val="460" w:hRule="atLeast"/>
        </w:trPr>
        <w:tc>
          <w:tcPr>
            <w:tcW w:w="5000" w:type="pct"/>
            <w:gridSpan w:val="6"/>
            <w:tcBorders>
              <w:top w:val="nil"/>
              <w:left w:val="nil"/>
              <w:bottom w:val="nil"/>
              <w:right w:val="nil"/>
            </w:tcBorders>
            <w:shd w:val="clear" w:color="auto" w:fill="auto"/>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日期：                   养护公司：                                 养护面积：</w:t>
            </w:r>
          </w:p>
        </w:tc>
      </w:tr>
      <w:tr>
        <w:tblPrEx>
          <w:tblCellMar>
            <w:top w:w="0" w:type="dxa"/>
            <w:left w:w="108" w:type="dxa"/>
            <w:bottom w:w="0" w:type="dxa"/>
            <w:right w:w="108" w:type="dxa"/>
          </w:tblCellMar>
        </w:tblPrEx>
        <w:trPr>
          <w:trHeight w:val="72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考核项目</w:t>
            </w:r>
          </w:p>
        </w:tc>
        <w:tc>
          <w:tcPr>
            <w:tcW w:w="1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考核内容</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评分标准</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 xml:space="preserve"> 得 分</w:t>
            </w:r>
          </w:p>
        </w:tc>
        <w:tc>
          <w:tcPr>
            <w:tcW w:w="1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扣分原因</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备  注</w:t>
            </w:r>
          </w:p>
        </w:tc>
      </w:tr>
      <w:tr>
        <w:tblPrEx>
          <w:tblCellMar>
            <w:top w:w="0" w:type="dxa"/>
            <w:left w:w="108" w:type="dxa"/>
            <w:bottom w:w="0" w:type="dxa"/>
            <w:right w:w="108" w:type="dxa"/>
          </w:tblCellMar>
        </w:tblPrEx>
        <w:trPr>
          <w:trHeight w:val="700" w:hRule="atLeast"/>
        </w:trPr>
        <w:tc>
          <w:tcPr>
            <w:tcW w:w="4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乔灌木修剪22分</w:t>
            </w:r>
          </w:p>
        </w:tc>
        <w:tc>
          <w:tcPr>
            <w:tcW w:w="15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1、乔灌木生长势好，树形完整，层次清楚，没有人为偏冠</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6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每月考核时随机抽选5-10处，每处1000㎡。分别打分，最后计算得出本月得分。</w:t>
            </w:r>
          </w:p>
        </w:tc>
      </w:tr>
      <w:tr>
        <w:tblPrEx>
          <w:tblCellMar>
            <w:top w:w="0" w:type="dxa"/>
            <w:left w:w="108" w:type="dxa"/>
            <w:bottom w:w="0" w:type="dxa"/>
            <w:right w:w="108" w:type="dxa"/>
          </w:tblCellMar>
        </w:tblPrEx>
        <w:trPr>
          <w:trHeight w:val="600"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2、枯死枝、徒长枝、下垂枝、折枝、病虫枝、过密枝及时清理</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6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880"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3、在规定时间内完成灌木，绿篱、绿雕修剪，确保株形完美、线条整齐、形态逼真。</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00"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4、苗木要按照生长习性和花期进行修剪。</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20"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5、灌木，绿篱、绿雕徒长枝不能高于5CM</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480"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6、死树及时伐掉、倒树及时扶正</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60"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7、按规定时间完成修剪工作，修剪枝当天清理</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540"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8、3㎝以上剪口、损伤部位涂防护剂</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560"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9、草坪修剪整齐，没有杂草斑秃</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580"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10、及时清除林地内杂草</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580" w:hRule="atLeast"/>
        </w:trPr>
        <w:tc>
          <w:tcPr>
            <w:tcW w:w="4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花卉管理6分</w:t>
            </w:r>
          </w:p>
        </w:tc>
        <w:tc>
          <w:tcPr>
            <w:tcW w:w="15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1、按要求及时完成栽植花卉工作</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每月考核时随机抽选5-10处，每处1000㎡。分别打分，最后计算得出本月得分。</w:t>
            </w:r>
          </w:p>
        </w:tc>
      </w:tr>
      <w:tr>
        <w:tblPrEx>
          <w:tblCellMar>
            <w:top w:w="0" w:type="dxa"/>
            <w:left w:w="108" w:type="dxa"/>
            <w:bottom w:w="0" w:type="dxa"/>
            <w:right w:w="108" w:type="dxa"/>
          </w:tblCellMar>
        </w:tblPrEx>
        <w:trPr>
          <w:trHeight w:val="580"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2、按要求及时施肥，及时中耕除草</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820"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3、花卉整齐，长势好、没有缺株，倒伏，没有残花败叶。</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60" w:hRule="atLeast"/>
        </w:trPr>
        <w:tc>
          <w:tcPr>
            <w:tcW w:w="42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乔灌木栽植10分</w:t>
            </w:r>
          </w:p>
        </w:tc>
        <w:tc>
          <w:tcPr>
            <w:tcW w:w="1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1、按要求合理规范施工</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00"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2、苗木当天需栽植并完成浇水工作</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00"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3、确保苗木的成活率</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00"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4、在规定时间内完成</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80" w:hRule="atLeast"/>
        </w:trPr>
        <w:tc>
          <w:tcPr>
            <w:tcW w:w="4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病虫害防治12分</w:t>
            </w:r>
          </w:p>
        </w:tc>
        <w:tc>
          <w:tcPr>
            <w:tcW w:w="1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1、清洗乔灌木灰尘</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840"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2、按要求及时完成涂白工作</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60"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3、涂白高度整齐</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1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20"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4、涂白剂涂抹均匀</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580"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5、按标准进行药物配比</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900" w:hRule="atLeast"/>
        </w:trPr>
        <w:tc>
          <w:tcPr>
            <w:tcW w:w="4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绿地整理20分</w:t>
            </w:r>
          </w:p>
        </w:tc>
        <w:tc>
          <w:tcPr>
            <w:tcW w:w="1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1、及时清理林带内的枯枝败叶及垃圾，卫生打扫干净，保持林带内环境优美整洁。</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 xml:space="preserve">每月考核时随机抽选5-10处，每处1000㎡。分别打分，最后计算得出本月得分。   </w:t>
            </w:r>
          </w:p>
        </w:tc>
      </w:tr>
      <w:tr>
        <w:tblPrEx>
          <w:tblCellMar>
            <w:top w:w="0" w:type="dxa"/>
            <w:left w:w="108" w:type="dxa"/>
            <w:bottom w:w="0" w:type="dxa"/>
            <w:right w:w="108" w:type="dxa"/>
          </w:tblCellMar>
        </w:tblPrEx>
        <w:trPr>
          <w:trHeight w:val="720"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2、林带内没有悬挂物、私搭乱建现象</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80"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3、平整林带并进行中耕除草，松土</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60"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4、确保树穴为下沉式</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00"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5、保质保量完成各类灌溉设施到位，摆放整齐，并且能正常使用。</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4分</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60"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6、及时完成花卉种植区的整理及中耕除草工作</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00"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7、肥料需施在树穴并深翻</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00"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8、在规定时间保质保量完成施肥工作</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60" w:hRule="atLeast"/>
        </w:trPr>
        <w:tc>
          <w:tcPr>
            <w:tcW w:w="42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安全生产管理10分</w:t>
            </w:r>
          </w:p>
        </w:tc>
        <w:tc>
          <w:tcPr>
            <w:tcW w:w="1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1、及时排查处理安全隐患</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80"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2、配备安全保护器材</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60"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3、合理规范操作机械</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40"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4、做好安全警示标志</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820" w:hRule="atLeast"/>
        </w:trPr>
        <w:tc>
          <w:tcPr>
            <w:tcW w:w="4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日常管理15分</w:t>
            </w:r>
          </w:p>
        </w:tc>
        <w:tc>
          <w:tcPr>
            <w:tcW w:w="1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1、养护单位对园林队安排的工作及时落实到位</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15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6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 xml:space="preserve">每月考核时随机抽选5-10处，每处1000㎡。分别打分，最后计算得出本月得分。 </w:t>
            </w:r>
          </w:p>
        </w:tc>
      </w:tr>
      <w:tr>
        <w:tblPrEx>
          <w:tblCellMar>
            <w:top w:w="0" w:type="dxa"/>
            <w:left w:w="108" w:type="dxa"/>
            <w:bottom w:w="0" w:type="dxa"/>
            <w:right w:w="108" w:type="dxa"/>
          </w:tblCellMar>
        </w:tblPrEx>
        <w:trPr>
          <w:trHeight w:val="740"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2、服从单位安排的应急事件，并保质保量完成。</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15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6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40"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3、禁止用高压水枪冲洗路面时，产生的垃圾进入林带。</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15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6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960"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4、对毁绿占绿现象及时发现、及时阻止、现场取证，及时上报主管科室，并配合监察科工作</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15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6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820"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5、及时按要求上报工作计划、工作小结</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6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20"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6、养护人员配置到位</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6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900" w:hRule="atLeast"/>
        </w:trPr>
        <w:tc>
          <w:tcPr>
            <w:tcW w:w="4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设施设备维修5分</w:t>
            </w:r>
          </w:p>
        </w:tc>
        <w:tc>
          <w:tcPr>
            <w:tcW w:w="15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1、各种标牌、标志物、辅助设施损坏及时修复</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6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820"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2、林地内的水井盖完好</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6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80" w:hRule="atLeast"/>
        </w:trPr>
        <w:tc>
          <w:tcPr>
            <w:tcW w:w="19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当月考核分数</w:t>
            </w:r>
          </w:p>
        </w:tc>
        <w:tc>
          <w:tcPr>
            <w:tcW w:w="239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cstheme="minorEastAsia"/>
                <w:color w:val="000000"/>
                <w:sz w:val="24"/>
                <w:szCs w:val="24"/>
              </w:rPr>
            </w:pPr>
          </w:p>
        </w:tc>
        <w:tc>
          <w:tcPr>
            <w:tcW w:w="6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57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考核人签字：                                       养护单位负责人签字：</w:t>
            </w:r>
          </w:p>
        </w:tc>
      </w:tr>
    </w:tbl>
    <w:p>
      <w:pPr>
        <w:ind w:firstLine="482"/>
        <w:rPr>
          <w:rFonts w:cs="宋体" w:asciiTheme="minorEastAsia" w:hAnsiTheme="minorEastAsia"/>
          <w:b/>
          <w:sz w:val="24"/>
          <w:szCs w:val="24"/>
        </w:rPr>
      </w:pPr>
    </w:p>
    <w:p>
      <w:pPr>
        <w:ind w:firstLine="482"/>
        <w:rPr>
          <w:rFonts w:cs="宋体" w:asciiTheme="minorEastAsia" w:hAnsiTheme="minorEastAsia"/>
          <w:b/>
          <w:sz w:val="24"/>
          <w:szCs w:val="24"/>
        </w:rPr>
      </w:pPr>
      <w:r>
        <w:rPr>
          <w:rFonts w:hint="eastAsia" w:cs="宋体" w:asciiTheme="minorEastAsia" w:hAnsiTheme="minorEastAsia"/>
          <w:b/>
          <w:sz w:val="24"/>
          <w:szCs w:val="24"/>
        </w:rPr>
        <w:br w:type="page"/>
      </w:r>
    </w:p>
    <w:p>
      <w:pPr>
        <w:ind w:firstLine="482"/>
        <w:rPr>
          <w:rFonts w:cs="宋体" w:asciiTheme="minorEastAsia" w:hAnsiTheme="minorEastAsia"/>
          <w:b/>
          <w:sz w:val="24"/>
          <w:szCs w:val="24"/>
        </w:rPr>
      </w:pPr>
    </w:p>
    <w:tbl>
      <w:tblPr>
        <w:tblStyle w:val="34"/>
        <w:tblW w:w="5000" w:type="pct"/>
        <w:tblInd w:w="0" w:type="dxa"/>
        <w:tblLayout w:type="fixed"/>
        <w:tblCellMar>
          <w:top w:w="0" w:type="dxa"/>
          <w:left w:w="108" w:type="dxa"/>
          <w:bottom w:w="0" w:type="dxa"/>
          <w:right w:w="108" w:type="dxa"/>
        </w:tblCellMar>
      </w:tblPr>
      <w:tblGrid>
        <w:gridCol w:w="983"/>
        <w:gridCol w:w="3286"/>
        <w:gridCol w:w="782"/>
        <w:gridCol w:w="782"/>
        <w:gridCol w:w="2402"/>
        <w:gridCol w:w="1053"/>
      </w:tblGrid>
      <w:tr>
        <w:tblPrEx>
          <w:tblCellMar>
            <w:top w:w="0" w:type="dxa"/>
            <w:left w:w="108" w:type="dxa"/>
            <w:bottom w:w="0" w:type="dxa"/>
            <w:right w:w="108" w:type="dxa"/>
          </w:tblCellMar>
        </w:tblPrEx>
        <w:trPr>
          <w:trHeight w:val="540" w:hRule="atLeast"/>
        </w:trPr>
        <w:tc>
          <w:tcPr>
            <w:tcW w:w="5000" w:type="pct"/>
            <w:gridSpan w:val="6"/>
            <w:tcBorders>
              <w:top w:val="nil"/>
              <w:left w:val="nil"/>
              <w:bottom w:val="nil"/>
              <w:right w:val="nil"/>
            </w:tcBorders>
            <w:shd w:val="clear" w:color="auto" w:fill="auto"/>
            <w:noWrap/>
            <w:vAlign w:val="center"/>
          </w:tcPr>
          <w:p>
            <w:pPr>
              <w:widowControl/>
              <w:ind w:firstLine="482"/>
              <w:jc w:val="center"/>
              <w:textAlignment w:val="center"/>
              <w:rPr>
                <w:rFonts w:asciiTheme="minorEastAsia" w:hAnsiTheme="minorEastAsia" w:cstheme="minorEastAsia"/>
                <w:b/>
                <w:bCs/>
                <w:color w:val="000000"/>
                <w:sz w:val="24"/>
                <w:szCs w:val="24"/>
              </w:rPr>
            </w:pPr>
            <w:r>
              <w:rPr>
                <w:rFonts w:hint="eastAsia" w:asciiTheme="minorEastAsia" w:hAnsiTheme="minorEastAsia" w:cstheme="minorEastAsia"/>
                <w:b/>
                <w:bCs/>
                <w:color w:val="000000"/>
                <w:kern w:val="0"/>
                <w:sz w:val="24"/>
                <w:szCs w:val="24"/>
                <w:lang w:bidi="ar"/>
              </w:rPr>
              <w:t>5月-9月米东区绿地养护考核评分表(道路一级、游园三级)</w:t>
            </w:r>
          </w:p>
        </w:tc>
      </w:tr>
      <w:tr>
        <w:tblPrEx>
          <w:tblCellMar>
            <w:top w:w="0" w:type="dxa"/>
            <w:left w:w="108" w:type="dxa"/>
            <w:bottom w:w="0" w:type="dxa"/>
            <w:right w:w="108" w:type="dxa"/>
          </w:tblCellMar>
        </w:tblPrEx>
        <w:trPr>
          <w:trHeight w:val="375" w:hRule="atLeast"/>
        </w:trPr>
        <w:tc>
          <w:tcPr>
            <w:tcW w:w="5000" w:type="pct"/>
            <w:gridSpan w:val="6"/>
            <w:tcBorders>
              <w:top w:val="nil"/>
              <w:left w:val="nil"/>
              <w:bottom w:val="nil"/>
              <w:right w:val="nil"/>
            </w:tcBorders>
            <w:shd w:val="clear" w:color="auto" w:fill="auto"/>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 xml:space="preserve">日期：                       养护公司：                      养护面积：               </w:t>
            </w:r>
          </w:p>
        </w:tc>
      </w:tr>
      <w:tr>
        <w:tblPrEx>
          <w:tblCellMar>
            <w:top w:w="0" w:type="dxa"/>
            <w:left w:w="108" w:type="dxa"/>
            <w:bottom w:w="0" w:type="dxa"/>
            <w:right w:w="108" w:type="dxa"/>
          </w:tblCellMar>
        </w:tblPrEx>
        <w:trPr>
          <w:trHeight w:val="450" w:hRule="atLeast"/>
        </w:trPr>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考核项目</w:t>
            </w:r>
          </w:p>
        </w:tc>
        <w:tc>
          <w:tcPr>
            <w:tcW w:w="1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考核内容</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评分标准</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得  分</w:t>
            </w:r>
          </w:p>
        </w:tc>
        <w:tc>
          <w:tcPr>
            <w:tcW w:w="1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扣分原因</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备  注</w:t>
            </w:r>
          </w:p>
        </w:tc>
      </w:tr>
      <w:tr>
        <w:tblPrEx>
          <w:tblCellMar>
            <w:top w:w="0" w:type="dxa"/>
            <w:left w:w="108" w:type="dxa"/>
            <w:bottom w:w="0" w:type="dxa"/>
            <w:right w:w="108" w:type="dxa"/>
          </w:tblCellMar>
        </w:tblPrEx>
        <w:trPr>
          <w:trHeight w:val="760" w:hRule="atLeast"/>
        </w:trPr>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乔灌木绿篱修剪20分</w:t>
            </w:r>
          </w:p>
        </w:tc>
        <w:tc>
          <w:tcPr>
            <w:tcW w:w="17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1、乔灌木生长势好，树形完整，层次清楚，没有人为偏冠</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cstheme="minorEastAsia"/>
                <w:color w:val="000000"/>
                <w:sz w:val="24"/>
                <w:szCs w:val="24"/>
              </w:rPr>
            </w:pPr>
          </w:p>
        </w:tc>
        <w:tc>
          <w:tcPr>
            <w:tcW w:w="1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cstheme="minorEastAsia"/>
                <w:color w:val="000000"/>
                <w:sz w:val="24"/>
                <w:szCs w:val="24"/>
              </w:rPr>
            </w:pPr>
          </w:p>
        </w:tc>
        <w:tc>
          <w:tcPr>
            <w:tcW w:w="5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 xml:space="preserve">                                                                                                                 每月考核时随机抽选5-10处，每处1000㎡。分别打分，最后计算得出本月得分。</w:t>
            </w:r>
          </w:p>
        </w:tc>
      </w:tr>
      <w:tr>
        <w:tblPrEx>
          <w:tblCellMar>
            <w:top w:w="0" w:type="dxa"/>
            <w:left w:w="108" w:type="dxa"/>
            <w:bottom w:w="0" w:type="dxa"/>
            <w:right w:w="108" w:type="dxa"/>
          </w:tblCellMar>
        </w:tblPrEx>
        <w:trPr>
          <w:trHeight w:val="940" w:hRule="atLeast"/>
        </w:trPr>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7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2、枯死枝、徒长枝、下垂枝、折枝、病虫枝、过密枝，萌蘖枝及时清理</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60" w:hRule="atLeast"/>
        </w:trPr>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7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3、灌木，绿篱、绿雕徒长枝不能高于5CM</w:t>
            </w:r>
          </w:p>
        </w:tc>
        <w:tc>
          <w:tcPr>
            <w:tcW w:w="4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375" w:hRule="atLeast"/>
        </w:trPr>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76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4、在规定时间内完成灌木，绿篱、绿雕修剪，确保株形完美、线条整齐、形态逼真。</w:t>
            </w:r>
          </w:p>
        </w:tc>
        <w:tc>
          <w:tcPr>
            <w:tcW w:w="421"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421"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heme="minorEastAsia" w:hAnsiTheme="minorEastAsia" w:cstheme="minorEastAsia"/>
                <w:color w:val="000000"/>
                <w:sz w:val="24"/>
                <w:szCs w:val="24"/>
              </w:rPr>
            </w:pPr>
          </w:p>
        </w:tc>
        <w:tc>
          <w:tcPr>
            <w:tcW w:w="1291"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heme="minorEastAsia" w:hAnsiTheme="minorEastAsia" w:cstheme="minorEastAsia"/>
                <w:color w:val="000000"/>
                <w:sz w:val="24"/>
                <w:szCs w:val="24"/>
              </w:rPr>
            </w:pPr>
          </w:p>
        </w:tc>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540" w:hRule="atLeast"/>
        </w:trPr>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76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Theme="minorEastAsia" w:hAnsiTheme="minorEastAsia" w:cstheme="minorEastAsia"/>
                <w:color w:val="000000"/>
                <w:sz w:val="24"/>
                <w:szCs w:val="24"/>
              </w:rPr>
            </w:pP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heme="minorEastAsia" w:hAnsiTheme="minorEastAsia" w:cstheme="minorEastAsia"/>
                <w:color w:val="000000"/>
                <w:sz w:val="24"/>
                <w:szCs w:val="24"/>
              </w:rPr>
            </w:pP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heme="minorEastAsia" w:hAnsiTheme="minorEastAsia" w:cstheme="minorEastAsia"/>
                <w:color w:val="000000"/>
                <w:sz w:val="24"/>
                <w:szCs w:val="24"/>
              </w:rPr>
            </w:pPr>
          </w:p>
        </w:tc>
        <w:tc>
          <w:tcPr>
            <w:tcW w:w="129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heme="minorEastAsia" w:hAnsiTheme="minorEastAsia" w:cstheme="minorEastAsia"/>
                <w:color w:val="000000"/>
                <w:sz w:val="24"/>
                <w:szCs w:val="24"/>
              </w:rPr>
            </w:pPr>
          </w:p>
        </w:tc>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860" w:hRule="atLeast"/>
        </w:trPr>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7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5、苗木要按照生长习性和花期进行修剪。</w:t>
            </w:r>
          </w:p>
        </w:tc>
        <w:tc>
          <w:tcPr>
            <w:tcW w:w="4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80" w:hRule="atLeast"/>
        </w:trPr>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7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6、死树及时伐掉、倒树及时扶正</w:t>
            </w:r>
          </w:p>
        </w:tc>
        <w:tc>
          <w:tcPr>
            <w:tcW w:w="4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20" w:hRule="atLeast"/>
        </w:trPr>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7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7、规定时间完成修剪工作，修剪枝当天及时清理</w:t>
            </w:r>
          </w:p>
        </w:tc>
        <w:tc>
          <w:tcPr>
            <w:tcW w:w="4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60" w:hRule="atLeast"/>
        </w:trPr>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7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8、草坪修剪整齐，草坪没有杂草斑秃</w:t>
            </w:r>
          </w:p>
        </w:tc>
        <w:tc>
          <w:tcPr>
            <w:tcW w:w="4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560" w:hRule="atLeast"/>
        </w:trPr>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7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9、及时清除林地内杂草</w:t>
            </w:r>
          </w:p>
        </w:tc>
        <w:tc>
          <w:tcPr>
            <w:tcW w:w="4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510" w:hRule="atLeast"/>
        </w:trPr>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花卉管理8分</w:t>
            </w:r>
          </w:p>
        </w:tc>
        <w:tc>
          <w:tcPr>
            <w:tcW w:w="17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1、按要求及时完成栽植花卉工作</w:t>
            </w:r>
          </w:p>
        </w:tc>
        <w:tc>
          <w:tcPr>
            <w:tcW w:w="4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每月考核时随机抽选5-10处，每处1000㎡。分别打分，最后计算得出本月得分。</w:t>
            </w:r>
          </w:p>
        </w:tc>
      </w:tr>
      <w:tr>
        <w:tblPrEx>
          <w:tblCellMar>
            <w:top w:w="0" w:type="dxa"/>
            <w:left w:w="108" w:type="dxa"/>
            <w:bottom w:w="0" w:type="dxa"/>
            <w:right w:w="108" w:type="dxa"/>
          </w:tblCellMar>
        </w:tblPrEx>
        <w:trPr>
          <w:trHeight w:val="640" w:hRule="atLeast"/>
        </w:trPr>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7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2、按要求及时施肥，及时中耕除草</w:t>
            </w:r>
          </w:p>
        </w:tc>
        <w:tc>
          <w:tcPr>
            <w:tcW w:w="4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00" w:hRule="atLeast"/>
        </w:trPr>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3、花卉整齐，长势好</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40" w:hRule="atLeast"/>
        </w:trPr>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4、没有缺株，倒伏，没有残花败叶</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840" w:hRule="atLeast"/>
        </w:trPr>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植物病虫害防治7分</w:t>
            </w:r>
          </w:p>
        </w:tc>
        <w:tc>
          <w:tcPr>
            <w:tcW w:w="17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1、根据虫害发生情况及时以化学防治的方法打药预防</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80" w:hRule="atLeast"/>
        </w:trPr>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2、必须使用高效低毒农药</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45" w:hRule="atLeast"/>
        </w:trPr>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7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3、防治病虫害效果明显，在可控范围内</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80" w:hRule="atLeast"/>
        </w:trPr>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浇水20分</w:t>
            </w:r>
          </w:p>
        </w:tc>
        <w:tc>
          <w:tcPr>
            <w:tcW w:w="17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1、及时浇水，没有造成植物萎蔫，枝叶枯黄.</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6分</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40" w:hRule="atLeast"/>
        </w:trPr>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cstheme="minorEastAsia"/>
                <w:color w:val="000000"/>
                <w:sz w:val="24"/>
                <w:szCs w:val="24"/>
              </w:rPr>
            </w:pPr>
          </w:p>
        </w:tc>
        <w:tc>
          <w:tcPr>
            <w:tcW w:w="1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2、确保浇水浇到位</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20" w:hRule="atLeast"/>
        </w:trPr>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cstheme="minorEastAsia"/>
                <w:color w:val="000000"/>
                <w:sz w:val="24"/>
                <w:szCs w:val="24"/>
              </w:rPr>
            </w:pPr>
          </w:p>
        </w:tc>
        <w:tc>
          <w:tcPr>
            <w:tcW w:w="1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3、确保浇水浇透</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15" w:hRule="atLeast"/>
        </w:trPr>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cstheme="minorEastAsia"/>
                <w:color w:val="000000"/>
                <w:sz w:val="24"/>
                <w:szCs w:val="24"/>
              </w:rPr>
            </w:pPr>
          </w:p>
        </w:tc>
        <w:tc>
          <w:tcPr>
            <w:tcW w:w="17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4、确保各类灌溉系统正常浇水，未出现跑冒滴漏现象</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5分</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60" w:hRule="atLeast"/>
        </w:trPr>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cstheme="minorEastAsia"/>
                <w:color w:val="000000"/>
                <w:sz w:val="24"/>
                <w:szCs w:val="24"/>
              </w:rPr>
            </w:pPr>
          </w:p>
        </w:tc>
        <w:tc>
          <w:tcPr>
            <w:tcW w:w="17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5、及时清洗乔灌木灰尘</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1080" w:hRule="atLeast"/>
        </w:trPr>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绿地整理15分</w:t>
            </w:r>
          </w:p>
        </w:tc>
        <w:tc>
          <w:tcPr>
            <w:tcW w:w="17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1、清理林带内的枯枝败叶以及垃圾，卫生打扫干净，保持林带内环境优美整洁。</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4分</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5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 xml:space="preserve">每月考核时随机抽选5-10处，每处1000㎡。分别打分，最后计算得出本月得分  </w:t>
            </w:r>
          </w:p>
        </w:tc>
      </w:tr>
      <w:tr>
        <w:tblPrEx>
          <w:tblCellMar>
            <w:top w:w="0" w:type="dxa"/>
            <w:left w:w="108" w:type="dxa"/>
            <w:bottom w:w="0" w:type="dxa"/>
            <w:right w:w="108" w:type="dxa"/>
          </w:tblCellMar>
        </w:tblPrEx>
        <w:trPr>
          <w:trHeight w:val="840" w:hRule="atLeast"/>
        </w:trPr>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7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2、林带没有悬挂物及私搭乱建现象</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80" w:hRule="atLeast"/>
        </w:trPr>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7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3、平整林带并进行中耕松土</w:t>
            </w:r>
          </w:p>
        </w:tc>
        <w:tc>
          <w:tcPr>
            <w:tcW w:w="4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60" w:hRule="atLeast"/>
        </w:trPr>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7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4、确保树穴为下沉式</w:t>
            </w:r>
          </w:p>
        </w:tc>
        <w:tc>
          <w:tcPr>
            <w:tcW w:w="4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40" w:hRule="atLeast"/>
        </w:trPr>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7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5、肥料需施在树穴并深翻</w:t>
            </w:r>
          </w:p>
        </w:tc>
        <w:tc>
          <w:tcPr>
            <w:tcW w:w="4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960" w:hRule="atLeast"/>
        </w:trPr>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7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6、在规定时间保质保量完成施肥工作</w:t>
            </w:r>
          </w:p>
        </w:tc>
        <w:tc>
          <w:tcPr>
            <w:tcW w:w="4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1000" w:hRule="atLeast"/>
        </w:trPr>
        <w:tc>
          <w:tcPr>
            <w:tcW w:w="52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安全生产管理10分</w:t>
            </w:r>
          </w:p>
        </w:tc>
        <w:tc>
          <w:tcPr>
            <w:tcW w:w="17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1、及时排查处理安全隐患</w:t>
            </w:r>
          </w:p>
        </w:tc>
        <w:tc>
          <w:tcPr>
            <w:tcW w:w="4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4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40" w:hRule="atLeast"/>
        </w:trPr>
        <w:tc>
          <w:tcPr>
            <w:tcW w:w="52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7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2、配备安全保护器材</w:t>
            </w:r>
          </w:p>
        </w:tc>
        <w:tc>
          <w:tcPr>
            <w:tcW w:w="4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4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840" w:hRule="atLeast"/>
        </w:trPr>
        <w:tc>
          <w:tcPr>
            <w:tcW w:w="52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7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3、合理规范操作机械</w:t>
            </w:r>
          </w:p>
        </w:tc>
        <w:tc>
          <w:tcPr>
            <w:tcW w:w="4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80" w:hRule="atLeast"/>
        </w:trPr>
        <w:tc>
          <w:tcPr>
            <w:tcW w:w="52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7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4、做好安全警示标志</w:t>
            </w:r>
          </w:p>
        </w:tc>
        <w:tc>
          <w:tcPr>
            <w:tcW w:w="4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880" w:hRule="atLeast"/>
        </w:trPr>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日常管理15分</w:t>
            </w:r>
          </w:p>
        </w:tc>
        <w:tc>
          <w:tcPr>
            <w:tcW w:w="17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1、养护单位对园林队的工作安排及时落实到位</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color w:val="000000"/>
                <w:sz w:val="24"/>
                <w:szCs w:val="24"/>
              </w:rPr>
            </w:pPr>
          </w:p>
        </w:tc>
        <w:tc>
          <w:tcPr>
            <w:tcW w:w="129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color w:val="000000"/>
                <w:sz w:val="24"/>
                <w:szCs w:val="24"/>
              </w:rPr>
            </w:pPr>
          </w:p>
        </w:tc>
        <w:tc>
          <w:tcPr>
            <w:tcW w:w="5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 xml:space="preserve">每月考核时随机抽选5-10处，每处1000㎡。分别打分，最后计算得出本月得分  </w:t>
            </w:r>
          </w:p>
        </w:tc>
      </w:tr>
      <w:tr>
        <w:tblPrEx>
          <w:tblCellMar>
            <w:top w:w="0" w:type="dxa"/>
            <w:left w:w="108" w:type="dxa"/>
            <w:bottom w:w="0" w:type="dxa"/>
            <w:right w:w="108" w:type="dxa"/>
          </w:tblCellMar>
        </w:tblPrEx>
        <w:trPr>
          <w:trHeight w:val="720" w:hRule="atLeast"/>
        </w:trPr>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7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2、服从单位安排的应急事件，并且保质保量完成。</w:t>
            </w:r>
          </w:p>
        </w:tc>
        <w:tc>
          <w:tcPr>
            <w:tcW w:w="4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4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12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80" w:hRule="atLeast"/>
        </w:trPr>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7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3、禁止用高压水枪冲洗路面时，产生的垃圾进入林带。</w:t>
            </w:r>
          </w:p>
        </w:tc>
        <w:tc>
          <w:tcPr>
            <w:tcW w:w="4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12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1040" w:hRule="atLeast"/>
        </w:trPr>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7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4、对毁绿占绿现象及时发现、及时阻止、现场取证、上报主管科室并配合监察科工作</w:t>
            </w:r>
          </w:p>
        </w:tc>
        <w:tc>
          <w:tcPr>
            <w:tcW w:w="4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4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12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40" w:hRule="atLeast"/>
        </w:trPr>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7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5、按要求上报工作计划、工作小结</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40" w:hRule="atLeast"/>
        </w:trPr>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7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6、养护人员配置到位</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900" w:hRule="atLeast"/>
        </w:trPr>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设施设备维修5分</w:t>
            </w:r>
          </w:p>
        </w:tc>
        <w:tc>
          <w:tcPr>
            <w:tcW w:w="17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1、各种标牌、标志物、辅助设施损坏及时修复</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80" w:hRule="atLeast"/>
        </w:trPr>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7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2、林地内的水井盖完好</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80" w:hRule="atLeast"/>
        </w:trPr>
        <w:tc>
          <w:tcPr>
            <w:tcW w:w="22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当月考核分数</w:t>
            </w:r>
          </w:p>
        </w:tc>
        <w:tc>
          <w:tcPr>
            <w:tcW w:w="213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cstheme="minorEastAsia"/>
                <w:color w:val="000000"/>
                <w:sz w:val="24"/>
                <w:szCs w:val="24"/>
              </w:rPr>
            </w:pPr>
          </w:p>
        </w:tc>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500" w:hRule="atLeast"/>
        </w:trPr>
        <w:tc>
          <w:tcPr>
            <w:tcW w:w="2298" w:type="pct"/>
            <w:gridSpan w:val="2"/>
            <w:tcBorders>
              <w:top w:val="nil"/>
              <w:left w:val="nil"/>
              <w:bottom w:val="nil"/>
              <w:right w:val="nil"/>
            </w:tcBorders>
            <w:shd w:val="clear" w:color="auto" w:fill="auto"/>
            <w:noWrap/>
            <w:vAlign w:val="center"/>
          </w:tcPr>
          <w:p>
            <w:pP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 xml:space="preserve">考核人签字：                                              </w:t>
            </w:r>
          </w:p>
        </w:tc>
        <w:tc>
          <w:tcPr>
            <w:tcW w:w="2135" w:type="pct"/>
            <w:gridSpan w:val="3"/>
            <w:tcBorders>
              <w:top w:val="nil"/>
              <w:left w:val="nil"/>
              <w:bottom w:val="nil"/>
              <w:right w:val="nil"/>
            </w:tcBorders>
            <w:shd w:val="clear" w:color="auto" w:fill="auto"/>
            <w:noWrap/>
            <w:vAlign w:val="center"/>
          </w:tcPr>
          <w:p>
            <w:pP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养护单位负责人签字：</w:t>
            </w:r>
          </w:p>
        </w:tc>
        <w:tc>
          <w:tcPr>
            <w:tcW w:w="566" w:type="pct"/>
            <w:tcBorders>
              <w:top w:val="nil"/>
              <w:left w:val="nil"/>
              <w:bottom w:val="nil"/>
              <w:right w:val="nil"/>
            </w:tcBorders>
            <w:shd w:val="clear" w:color="auto" w:fill="auto"/>
            <w:noWrap/>
            <w:vAlign w:val="center"/>
          </w:tcPr>
          <w:p>
            <w:pPr>
              <w:rPr>
                <w:rFonts w:asciiTheme="minorEastAsia" w:hAnsiTheme="minorEastAsia" w:cstheme="minorEastAsia"/>
                <w:color w:val="000000"/>
                <w:sz w:val="24"/>
                <w:szCs w:val="24"/>
              </w:rPr>
            </w:pPr>
          </w:p>
        </w:tc>
      </w:tr>
    </w:tbl>
    <w:p>
      <w:pPr>
        <w:ind w:firstLine="482"/>
        <w:rPr>
          <w:rFonts w:cs="宋体" w:asciiTheme="minorEastAsia" w:hAnsiTheme="minorEastAsia"/>
          <w:b/>
          <w:sz w:val="24"/>
          <w:szCs w:val="24"/>
        </w:rPr>
      </w:pPr>
      <w:r>
        <w:rPr>
          <w:rFonts w:hint="eastAsia" w:cs="宋体" w:asciiTheme="minorEastAsia" w:hAnsiTheme="minorEastAsia"/>
          <w:b/>
          <w:sz w:val="24"/>
          <w:szCs w:val="24"/>
        </w:rPr>
        <w:br w:type="page"/>
      </w:r>
    </w:p>
    <w:tbl>
      <w:tblPr>
        <w:tblStyle w:val="34"/>
        <w:tblW w:w="5000" w:type="pct"/>
        <w:tblInd w:w="0" w:type="dxa"/>
        <w:tblLayout w:type="fixed"/>
        <w:tblCellMar>
          <w:top w:w="0" w:type="dxa"/>
          <w:left w:w="108" w:type="dxa"/>
          <w:bottom w:w="0" w:type="dxa"/>
          <w:right w:w="108" w:type="dxa"/>
        </w:tblCellMar>
      </w:tblPr>
      <w:tblGrid>
        <w:gridCol w:w="967"/>
        <w:gridCol w:w="3301"/>
        <w:gridCol w:w="782"/>
        <w:gridCol w:w="799"/>
        <w:gridCol w:w="2402"/>
        <w:gridCol w:w="1037"/>
      </w:tblGrid>
      <w:tr>
        <w:tblPrEx>
          <w:tblCellMar>
            <w:top w:w="0" w:type="dxa"/>
            <w:left w:w="108" w:type="dxa"/>
            <w:bottom w:w="0" w:type="dxa"/>
            <w:right w:w="108" w:type="dxa"/>
          </w:tblCellMar>
        </w:tblPrEx>
        <w:trPr>
          <w:trHeight w:val="600" w:hRule="atLeast"/>
        </w:trPr>
        <w:tc>
          <w:tcPr>
            <w:tcW w:w="5000" w:type="pct"/>
            <w:gridSpan w:val="6"/>
            <w:tcBorders>
              <w:top w:val="nil"/>
              <w:left w:val="nil"/>
              <w:bottom w:val="nil"/>
              <w:right w:val="nil"/>
            </w:tcBorders>
            <w:shd w:val="clear" w:color="auto" w:fill="auto"/>
            <w:noWrap/>
            <w:vAlign w:val="center"/>
          </w:tcPr>
          <w:p>
            <w:pPr>
              <w:widowControl/>
              <w:ind w:firstLine="482"/>
              <w:jc w:val="center"/>
              <w:textAlignment w:val="center"/>
              <w:rPr>
                <w:rFonts w:asciiTheme="minorEastAsia" w:hAnsiTheme="minorEastAsia" w:cstheme="minorEastAsia"/>
                <w:b/>
                <w:bCs/>
                <w:color w:val="000000"/>
                <w:sz w:val="24"/>
                <w:szCs w:val="24"/>
              </w:rPr>
            </w:pPr>
            <w:r>
              <w:rPr>
                <w:rFonts w:hint="eastAsia" w:asciiTheme="minorEastAsia" w:hAnsiTheme="minorEastAsia" w:cstheme="minorEastAsia"/>
                <w:b/>
                <w:bCs/>
                <w:color w:val="000000"/>
                <w:kern w:val="0"/>
                <w:sz w:val="24"/>
                <w:szCs w:val="24"/>
                <w:lang w:bidi="ar"/>
              </w:rPr>
              <w:t>10月11月米东区绿地养护考核评分表(道路一级、游园三级)</w:t>
            </w:r>
          </w:p>
        </w:tc>
      </w:tr>
      <w:tr>
        <w:tblPrEx>
          <w:tblCellMar>
            <w:top w:w="0" w:type="dxa"/>
            <w:left w:w="108" w:type="dxa"/>
            <w:bottom w:w="0" w:type="dxa"/>
            <w:right w:w="108" w:type="dxa"/>
          </w:tblCellMar>
        </w:tblPrEx>
        <w:trPr>
          <w:trHeight w:val="540" w:hRule="atLeast"/>
        </w:trPr>
        <w:tc>
          <w:tcPr>
            <w:tcW w:w="5000" w:type="pct"/>
            <w:gridSpan w:val="6"/>
            <w:tcBorders>
              <w:top w:val="nil"/>
              <w:left w:val="nil"/>
              <w:bottom w:val="nil"/>
              <w:right w:val="nil"/>
            </w:tcBorders>
            <w:shd w:val="clear" w:color="auto" w:fill="auto"/>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日期：                    养护公司：                           养护面积：</w:t>
            </w:r>
          </w:p>
        </w:tc>
      </w:tr>
      <w:tr>
        <w:tblPrEx>
          <w:tblCellMar>
            <w:top w:w="0" w:type="dxa"/>
            <w:left w:w="108" w:type="dxa"/>
            <w:bottom w:w="0" w:type="dxa"/>
            <w:right w:w="108" w:type="dxa"/>
          </w:tblCellMar>
        </w:tblPrEx>
        <w:trPr>
          <w:trHeight w:val="660" w:hRule="atLeast"/>
        </w:trPr>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考核项目</w:t>
            </w:r>
          </w:p>
        </w:tc>
        <w:tc>
          <w:tcPr>
            <w:tcW w:w="17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考核内容</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评分标准</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得  分</w:t>
            </w:r>
          </w:p>
        </w:tc>
        <w:tc>
          <w:tcPr>
            <w:tcW w:w="1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扣分原因</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备  注</w:t>
            </w:r>
          </w:p>
        </w:tc>
      </w:tr>
      <w:tr>
        <w:tblPrEx>
          <w:tblCellMar>
            <w:top w:w="0" w:type="dxa"/>
            <w:left w:w="108" w:type="dxa"/>
            <w:bottom w:w="0" w:type="dxa"/>
            <w:right w:w="108" w:type="dxa"/>
          </w:tblCellMar>
        </w:tblPrEx>
        <w:trPr>
          <w:trHeight w:val="680" w:hRule="atLeast"/>
        </w:trPr>
        <w:tc>
          <w:tcPr>
            <w:tcW w:w="5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乔灌木修剪20分</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1、乔灌木生长势好，树形完整，层次清楚，没有人为偏冠</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5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 xml:space="preserve">                                                                                                              每月考核时随机抽选5-10处，每处1000㎡。分别打分，最后计算得出本月得分。</w:t>
            </w:r>
          </w:p>
        </w:tc>
      </w:tr>
      <w:tr>
        <w:tblPrEx>
          <w:tblCellMar>
            <w:top w:w="0" w:type="dxa"/>
            <w:left w:w="108" w:type="dxa"/>
            <w:bottom w:w="0" w:type="dxa"/>
            <w:right w:w="108" w:type="dxa"/>
          </w:tblCellMar>
        </w:tblPrEx>
        <w:trPr>
          <w:trHeight w:val="735" w:hRule="atLeast"/>
        </w:trPr>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2、枯死枝、徒长枝、下垂枝、折枝、病虫枝、过密枝及时清理</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5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960" w:hRule="atLeast"/>
        </w:trPr>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77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3、在规定时间内完成灌木，绿篱、绿雕修剪，确保株形完美、线条整齐、形态逼真。</w:t>
            </w:r>
          </w:p>
        </w:tc>
        <w:tc>
          <w:tcPr>
            <w:tcW w:w="4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4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920" w:hRule="atLeast"/>
        </w:trPr>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77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4、按苗木生长习性修剪，灌木，绿篱、绿雕徒长枝不能高于5CM</w:t>
            </w:r>
          </w:p>
        </w:tc>
        <w:tc>
          <w:tcPr>
            <w:tcW w:w="4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40" w:hRule="atLeast"/>
        </w:trPr>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77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5、按规定时间完成修剪工作，修剪枝当天及时清理</w:t>
            </w:r>
          </w:p>
        </w:tc>
        <w:tc>
          <w:tcPr>
            <w:tcW w:w="4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4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00" w:hRule="atLeast"/>
        </w:trPr>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7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6、死树及时伐掉、倒树及时扶正</w:t>
            </w:r>
          </w:p>
        </w:tc>
        <w:tc>
          <w:tcPr>
            <w:tcW w:w="4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80" w:hRule="atLeast"/>
        </w:trPr>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77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7、草坪修剪整齐，草坪没有杂草斑秃入冬前完成最后一次修剪</w:t>
            </w:r>
          </w:p>
        </w:tc>
        <w:tc>
          <w:tcPr>
            <w:tcW w:w="4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540" w:hRule="atLeast"/>
        </w:trPr>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7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8、及时清除林地内杂草</w:t>
            </w:r>
          </w:p>
        </w:tc>
        <w:tc>
          <w:tcPr>
            <w:tcW w:w="4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580" w:hRule="atLeast"/>
        </w:trPr>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77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9、3㎝以上剪口、损伤部位涂防护剂</w:t>
            </w:r>
          </w:p>
        </w:tc>
        <w:tc>
          <w:tcPr>
            <w:tcW w:w="4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40" w:hRule="atLeast"/>
        </w:trPr>
        <w:tc>
          <w:tcPr>
            <w:tcW w:w="5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花卉管理6分</w:t>
            </w:r>
          </w:p>
        </w:tc>
        <w:tc>
          <w:tcPr>
            <w:tcW w:w="17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1、花卉整齐、长势好</w:t>
            </w:r>
          </w:p>
        </w:tc>
        <w:tc>
          <w:tcPr>
            <w:tcW w:w="4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 xml:space="preserve">                                                                                                                每月考核时随机抽选5-10处，每处1000㎡。分别打分，最后计算得出本月得分。</w:t>
            </w:r>
          </w:p>
        </w:tc>
      </w:tr>
      <w:tr>
        <w:tblPrEx>
          <w:tblCellMar>
            <w:top w:w="0" w:type="dxa"/>
            <w:left w:w="108" w:type="dxa"/>
            <w:bottom w:w="0" w:type="dxa"/>
            <w:right w:w="108" w:type="dxa"/>
          </w:tblCellMar>
        </w:tblPrEx>
        <w:trPr>
          <w:trHeight w:val="760" w:hRule="atLeast"/>
        </w:trPr>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77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2、对宿根花卉及时平茬，及时清除残枝败叶</w:t>
            </w:r>
          </w:p>
        </w:tc>
        <w:tc>
          <w:tcPr>
            <w:tcW w:w="4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60" w:hRule="atLeast"/>
        </w:trPr>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7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3、对草花种植区及时深翻</w:t>
            </w:r>
          </w:p>
        </w:tc>
        <w:tc>
          <w:tcPr>
            <w:tcW w:w="4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00" w:hRule="atLeast"/>
        </w:trPr>
        <w:tc>
          <w:tcPr>
            <w:tcW w:w="52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乔灌木栽植10分</w:t>
            </w:r>
          </w:p>
        </w:tc>
        <w:tc>
          <w:tcPr>
            <w:tcW w:w="177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1、按要求合理规范施工</w:t>
            </w:r>
          </w:p>
        </w:tc>
        <w:tc>
          <w:tcPr>
            <w:tcW w:w="4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80" w:hRule="atLeast"/>
        </w:trPr>
        <w:tc>
          <w:tcPr>
            <w:tcW w:w="5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77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2、苗木当天需栽植并完成浇水工作</w:t>
            </w:r>
          </w:p>
        </w:tc>
        <w:tc>
          <w:tcPr>
            <w:tcW w:w="4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4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00" w:hRule="atLeast"/>
        </w:trPr>
        <w:tc>
          <w:tcPr>
            <w:tcW w:w="5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77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3、确保苗木的成活率</w:t>
            </w:r>
          </w:p>
        </w:tc>
        <w:tc>
          <w:tcPr>
            <w:tcW w:w="4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4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560" w:hRule="atLeast"/>
        </w:trPr>
        <w:tc>
          <w:tcPr>
            <w:tcW w:w="5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77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4、在规定时间内完成</w:t>
            </w:r>
          </w:p>
        </w:tc>
        <w:tc>
          <w:tcPr>
            <w:tcW w:w="4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20" w:hRule="atLeast"/>
        </w:trPr>
        <w:tc>
          <w:tcPr>
            <w:tcW w:w="5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浇水20分</w:t>
            </w:r>
          </w:p>
        </w:tc>
        <w:tc>
          <w:tcPr>
            <w:tcW w:w="17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1、按要求及时冬灌</w:t>
            </w:r>
          </w:p>
        </w:tc>
        <w:tc>
          <w:tcPr>
            <w:tcW w:w="4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5分</w:t>
            </w:r>
          </w:p>
        </w:tc>
        <w:tc>
          <w:tcPr>
            <w:tcW w:w="4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60" w:hRule="atLeast"/>
        </w:trPr>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cstheme="minorEastAsia"/>
                <w:color w:val="000000"/>
                <w:sz w:val="24"/>
                <w:szCs w:val="24"/>
              </w:rPr>
            </w:pPr>
          </w:p>
        </w:tc>
        <w:tc>
          <w:tcPr>
            <w:tcW w:w="17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2、确保浇水浇到位</w:t>
            </w:r>
          </w:p>
        </w:tc>
        <w:tc>
          <w:tcPr>
            <w:tcW w:w="4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5分</w:t>
            </w:r>
          </w:p>
        </w:tc>
        <w:tc>
          <w:tcPr>
            <w:tcW w:w="4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20" w:hRule="atLeast"/>
        </w:trPr>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cstheme="minorEastAsia"/>
                <w:color w:val="000000"/>
                <w:sz w:val="24"/>
                <w:szCs w:val="24"/>
              </w:rPr>
            </w:pPr>
          </w:p>
        </w:tc>
        <w:tc>
          <w:tcPr>
            <w:tcW w:w="17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3、确保浇水浇透</w:t>
            </w:r>
          </w:p>
        </w:tc>
        <w:tc>
          <w:tcPr>
            <w:tcW w:w="4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5分</w:t>
            </w:r>
          </w:p>
        </w:tc>
        <w:tc>
          <w:tcPr>
            <w:tcW w:w="4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20" w:hRule="atLeast"/>
        </w:trPr>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cstheme="minorEastAsia"/>
                <w:color w:val="000000"/>
                <w:sz w:val="24"/>
                <w:szCs w:val="24"/>
              </w:rPr>
            </w:pPr>
          </w:p>
        </w:tc>
        <w:tc>
          <w:tcPr>
            <w:tcW w:w="17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4、及时做好排水工作</w:t>
            </w:r>
          </w:p>
        </w:tc>
        <w:tc>
          <w:tcPr>
            <w:tcW w:w="4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4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40" w:hRule="atLeast"/>
        </w:trPr>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cstheme="minorEastAsia"/>
                <w:color w:val="000000"/>
                <w:sz w:val="24"/>
                <w:szCs w:val="24"/>
              </w:rPr>
            </w:pPr>
          </w:p>
        </w:tc>
        <w:tc>
          <w:tcPr>
            <w:tcW w:w="17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5、清洗乔灌木灰尘</w:t>
            </w:r>
          </w:p>
        </w:tc>
        <w:tc>
          <w:tcPr>
            <w:tcW w:w="4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1020" w:hRule="atLeast"/>
        </w:trPr>
        <w:tc>
          <w:tcPr>
            <w:tcW w:w="5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绿地整理15分</w:t>
            </w:r>
          </w:p>
        </w:tc>
        <w:tc>
          <w:tcPr>
            <w:tcW w:w="177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1、清理林带内的枯枝败叶以及垃圾，卫生打扫干净，保持林带内环境优美整洁。</w:t>
            </w:r>
          </w:p>
        </w:tc>
        <w:tc>
          <w:tcPr>
            <w:tcW w:w="4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5分</w:t>
            </w:r>
          </w:p>
        </w:tc>
        <w:tc>
          <w:tcPr>
            <w:tcW w:w="4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 xml:space="preserve">每月考核时随机抽选5-10处，每处1000㎡。分别打分，最后计算得出本月得分  </w:t>
            </w:r>
          </w:p>
        </w:tc>
      </w:tr>
      <w:tr>
        <w:tblPrEx>
          <w:tblCellMar>
            <w:top w:w="0" w:type="dxa"/>
            <w:left w:w="108" w:type="dxa"/>
            <w:bottom w:w="0" w:type="dxa"/>
            <w:right w:w="108" w:type="dxa"/>
          </w:tblCellMar>
        </w:tblPrEx>
        <w:trPr>
          <w:trHeight w:val="1000" w:hRule="atLeast"/>
        </w:trPr>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77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2、林带内没有悬挂物及私搭乱建现象</w:t>
            </w:r>
          </w:p>
        </w:tc>
        <w:tc>
          <w:tcPr>
            <w:tcW w:w="4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960" w:hRule="atLeast"/>
        </w:trPr>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77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3、平整林带并进行中耕除草，松土</w:t>
            </w:r>
          </w:p>
        </w:tc>
        <w:tc>
          <w:tcPr>
            <w:tcW w:w="4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4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900" w:hRule="atLeast"/>
        </w:trPr>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7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4、确保树穴为下沉式</w:t>
            </w:r>
          </w:p>
        </w:tc>
        <w:tc>
          <w:tcPr>
            <w:tcW w:w="4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920" w:hRule="atLeast"/>
        </w:trPr>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77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5、及时完成花卉种植区的整理、翻土及中耕除草工作</w:t>
            </w:r>
          </w:p>
        </w:tc>
        <w:tc>
          <w:tcPr>
            <w:tcW w:w="4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4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960" w:hRule="atLeast"/>
        </w:trPr>
        <w:tc>
          <w:tcPr>
            <w:tcW w:w="52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安全生产管理10分</w:t>
            </w:r>
          </w:p>
        </w:tc>
        <w:tc>
          <w:tcPr>
            <w:tcW w:w="177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1、及时排查处理安全隐患</w:t>
            </w:r>
          </w:p>
        </w:tc>
        <w:tc>
          <w:tcPr>
            <w:tcW w:w="4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4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60" w:hRule="atLeast"/>
        </w:trPr>
        <w:tc>
          <w:tcPr>
            <w:tcW w:w="5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77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2、配备安全保护器材</w:t>
            </w:r>
          </w:p>
        </w:tc>
        <w:tc>
          <w:tcPr>
            <w:tcW w:w="4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4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80" w:hRule="atLeast"/>
        </w:trPr>
        <w:tc>
          <w:tcPr>
            <w:tcW w:w="5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77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3、合理规范操作机械</w:t>
            </w:r>
          </w:p>
        </w:tc>
        <w:tc>
          <w:tcPr>
            <w:tcW w:w="4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40" w:hRule="atLeast"/>
        </w:trPr>
        <w:tc>
          <w:tcPr>
            <w:tcW w:w="5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77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4、做好安全警示标志</w:t>
            </w:r>
          </w:p>
        </w:tc>
        <w:tc>
          <w:tcPr>
            <w:tcW w:w="4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80" w:hRule="atLeast"/>
        </w:trPr>
        <w:tc>
          <w:tcPr>
            <w:tcW w:w="5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日常管理15分</w:t>
            </w:r>
          </w:p>
        </w:tc>
        <w:tc>
          <w:tcPr>
            <w:tcW w:w="177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1、养护单位对园林队安排的工作及时落实到位</w:t>
            </w:r>
          </w:p>
        </w:tc>
        <w:tc>
          <w:tcPr>
            <w:tcW w:w="4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43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12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5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 xml:space="preserve">每月考核时随机抽选5-10处，每处1000㎡。分别打分，最后计算得出本月得分  </w:t>
            </w:r>
          </w:p>
        </w:tc>
      </w:tr>
      <w:tr>
        <w:tblPrEx>
          <w:tblCellMar>
            <w:top w:w="0" w:type="dxa"/>
            <w:left w:w="108" w:type="dxa"/>
            <w:bottom w:w="0" w:type="dxa"/>
            <w:right w:w="108" w:type="dxa"/>
          </w:tblCellMar>
        </w:tblPrEx>
        <w:trPr>
          <w:trHeight w:val="780" w:hRule="atLeast"/>
        </w:trPr>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77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2、服从单位安排的应急事件，并且保质保量完成。</w:t>
            </w:r>
          </w:p>
        </w:tc>
        <w:tc>
          <w:tcPr>
            <w:tcW w:w="4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43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12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5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80" w:hRule="atLeast"/>
        </w:trPr>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77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3、禁止用高压水枪冲洗路面时，产生的垃圾进入林带。</w:t>
            </w:r>
          </w:p>
        </w:tc>
        <w:tc>
          <w:tcPr>
            <w:tcW w:w="4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3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12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5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980" w:hRule="atLeast"/>
        </w:trPr>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77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4、对毁绿占绿现象及时发现、及时阻止、现场取证，上报主管科室，并配合监察科工作</w:t>
            </w:r>
          </w:p>
        </w:tc>
        <w:tc>
          <w:tcPr>
            <w:tcW w:w="4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43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12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5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580" w:hRule="atLeast"/>
        </w:trPr>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77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5、按要求报工作计划、工作小结</w:t>
            </w:r>
          </w:p>
        </w:tc>
        <w:tc>
          <w:tcPr>
            <w:tcW w:w="4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00" w:hRule="atLeast"/>
        </w:trPr>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77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6、养护人员配置到位</w:t>
            </w:r>
          </w:p>
        </w:tc>
        <w:tc>
          <w:tcPr>
            <w:tcW w:w="4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900" w:hRule="atLeast"/>
        </w:trPr>
        <w:tc>
          <w:tcPr>
            <w:tcW w:w="5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br w:type="textWrapping"/>
            </w:r>
            <w:r>
              <w:rPr>
                <w:rFonts w:hint="eastAsia" w:asciiTheme="minorEastAsia" w:hAnsiTheme="minorEastAsia" w:cstheme="minorEastAsia"/>
                <w:color w:val="000000"/>
                <w:kern w:val="0"/>
                <w:sz w:val="24"/>
                <w:szCs w:val="24"/>
                <w:lang w:bidi="ar"/>
              </w:rPr>
              <w:t>设施设备维修4分</w:t>
            </w:r>
          </w:p>
        </w:tc>
        <w:tc>
          <w:tcPr>
            <w:tcW w:w="177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1、各种标牌、标志物、辅助设施损坏及时修复</w:t>
            </w:r>
          </w:p>
        </w:tc>
        <w:tc>
          <w:tcPr>
            <w:tcW w:w="4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40" w:hRule="atLeast"/>
        </w:trPr>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2、林地内的水井盖完好</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5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580" w:hRule="atLeast"/>
        </w:trPr>
        <w:tc>
          <w:tcPr>
            <w:tcW w:w="22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当月考核得分</w:t>
            </w:r>
          </w:p>
        </w:tc>
        <w:tc>
          <w:tcPr>
            <w:tcW w:w="214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cstheme="minorEastAsia"/>
                <w:color w:val="000000"/>
                <w:sz w:val="24"/>
                <w:szCs w:val="24"/>
              </w:rPr>
            </w:pPr>
          </w:p>
        </w:tc>
        <w:tc>
          <w:tcPr>
            <w:tcW w:w="5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500" w:hRule="atLeast"/>
        </w:trPr>
        <w:tc>
          <w:tcPr>
            <w:tcW w:w="2298" w:type="pct"/>
            <w:gridSpan w:val="2"/>
            <w:tcBorders>
              <w:top w:val="nil"/>
              <w:left w:val="nil"/>
              <w:bottom w:val="nil"/>
              <w:right w:val="nil"/>
            </w:tcBorders>
            <w:shd w:val="clear" w:color="auto" w:fill="auto"/>
            <w:noWrap/>
            <w:vAlign w:val="center"/>
          </w:tcPr>
          <w:p>
            <w:pP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 xml:space="preserve">考核人签字：                                              </w:t>
            </w:r>
          </w:p>
        </w:tc>
        <w:tc>
          <w:tcPr>
            <w:tcW w:w="2701" w:type="pct"/>
            <w:gridSpan w:val="4"/>
            <w:tcBorders>
              <w:top w:val="nil"/>
              <w:left w:val="nil"/>
              <w:bottom w:val="nil"/>
              <w:right w:val="nil"/>
            </w:tcBorders>
            <w:shd w:val="clear" w:color="auto" w:fill="auto"/>
            <w:noWrap/>
            <w:vAlign w:val="center"/>
          </w:tcPr>
          <w:p>
            <w:pP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养护单位负责人签字：</w:t>
            </w:r>
          </w:p>
        </w:tc>
      </w:tr>
    </w:tbl>
    <w:p>
      <w:pPr>
        <w:ind w:firstLine="482"/>
        <w:rPr>
          <w:rFonts w:cs="宋体" w:asciiTheme="minorEastAsia" w:hAnsiTheme="minorEastAsia"/>
          <w:b/>
          <w:sz w:val="24"/>
          <w:szCs w:val="24"/>
        </w:rPr>
      </w:pPr>
    </w:p>
    <w:p>
      <w:pPr>
        <w:ind w:firstLine="482"/>
        <w:rPr>
          <w:rFonts w:cs="宋体" w:asciiTheme="minorEastAsia" w:hAnsiTheme="minorEastAsia"/>
          <w:b/>
          <w:sz w:val="24"/>
          <w:szCs w:val="24"/>
        </w:rPr>
      </w:pPr>
      <w:r>
        <w:rPr>
          <w:rFonts w:hint="eastAsia" w:cs="宋体" w:asciiTheme="minorEastAsia" w:hAnsiTheme="minorEastAsia"/>
          <w:b/>
          <w:sz w:val="24"/>
          <w:szCs w:val="24"/>
        </w:rPr>
        <w:br w:type="page"/>
      </w:r>
    </w:p>
    <w:p>
      <w:pPr>
        <w:ind w:firstLine="482"/>
        <w:rPr>
          <w:rFonts w:cs="宋体" w:asciiTheme="minorEastAsia" w:hAnsiTheme="minorEastAsia"/>
          <w:b/>
          <w:sz w:val="24"/>
          <w:szCs w:val="24"/>
        </w:rPr>
      </w:pPr>
    </w:p>
    <w:tbl>
      <w:tblPr>
        <w:tblStyle w:val="34"/>
        <w:tblW w:w="5000" w:type="pct"/>
        <w:tblInd w:w="0" w:type="dxa"/>
        <w:tblLayout w:type="fixed"/>
        <w:tblCellMar>
          <w:top w:w="0" w:type="dxa"/>
          <w:left w:w="108" w:type="dxa"/>
          <w:bottom w:w="0" w:type="dxa"/>
          <w:right w:w="108" w:type="dxa"/>
        </w:tblCellMar>
      </w:tblPr>
      <w:tblGrid>
        <w:gridCol w:w="985"/>
        <w:gridCol w:w="3284"/>
        <w:gridCol w:w="15"/>
        <w:gridCol w:w="749"/>
        <w:gridCol w:w="815"/>
        <w:gridCol w:w="2402"/>
        <w:gridCol w:w="1038"/>
      </w:tblGrid>
      <w:tr>
        <w:tblPrEx>
          <w:tblCellMar>
            <w:top w:w="0" w:type="dxa"/>
            <w:left w:w="108" w:type="dxa"/>
            <w:bottom w:w="0" w:type="dxa"/>
            <w:right w:w="108" w:type="dxa"/>
          </w:tblCellMar>
        </w:tblPrEx>
        <w:trPr>
          <w:trHeight w:val="840" w:hRule="atLeast"/>
        </w:trPr>
        <w:tc>
          <w:tcPr>
            <w:tcW w:w="5000" w:type="pct"/>
            <w:gridSpan w:val="7"/>
            <w:tcBorders>
              <w:top w:val="nil"/>
              <w:left w:val="nil"/>
              <w:bottom w:val="nil"/>
              <w:right w:val="nil"/>
            </w:tcBorders>
            <w:shd w:val="clear" w:color="auto" w:fill="auto"/>
            <w:noWrap/>
            <w:vAlign w:val="center"/>
          </w:tcPr>
          <w:p>
            <w:pPr>
              <w:widowControl/>
              <w:ind w:firstLine="482"/>
              <w:jc w:val="center"/>
              <w:textAlignment w:val="center"/>
              <w:rPr>
                <w:rFonts w:asciiTheme="minorEastAsia" w:hAnsiTheme="minorEastAsia" w:cstheme="minorEastAsia"/>
                <w:b/>
                <w:bCs/>
                <w:color w:val="000000"/>
                <w:sz w:val="24"/>
                <w:szCs w:val="24"/>
              </w:rPr>
            </w:pPr>
            <w:r>
              <w:rPr>
                <w:rFonts w:hint="eastAsia" w:asciiTheme="minorEastAsia" w:hAnsiTheme="minorEastAsia" w:cstheme="minorEastAsia"/>
                <w:b/>
                <w:bCs/>
                <w:color w:val="000000"/>
                <w:kern w:val="0"/>
                <w:sz w:val="24"/>
                <w:szCs w:val="24"/>
                <w:lang w:bidi="ar"/>
              </w:rPr>
              <w:t>12月1月2月米东区绿地养护考核评分表(道路一级、游园三级)</w:t>
            </w:r>
          </w:p>
        </w:tc>
      </w:tr>
      <w:tr>
        <w:tblPrEx>
          <w:tblCellMar>
            <w:top w:w="0" w:type="dxa"/>
            <w:left w:w="108" w:type="dxa"/>
            <w:bottom w:w="0" w:type="dxa"/>
            <w:right w:w="108" w:type="dxa"/>
          </w:tblCellMar>
        </w:tblPrEx>
        <w:trPr>
          <w:trHeight w:val="780" w:hRule="atLeast"/>
        </w:trPr>
        <w:tc>
          <w:tcPr>
            <w:tcW w:w="5000" w:type="pct"/>
            <w:gridSpan w:val="7"/>
            <w:tcBorders>
              <w:top w:val="nil"/>
              <w:left w:val="nil"/>
              <w:bottom w:val="nil"/>
              <w:right w:val="nil"/>
            </w:tcBorders>
            <w:shd w:val="clear" w:color="auto" w:fill="auto"/>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日期：                   养护公司：                                 养护面积：</w:t>
            </w:r>
          </w:p>
        </w:tc>
      </w:tr>
      <w:tr>
        <w:tblPrEx>
          <w:tblCellMar>
            <w:top w:w="0" w:type="dxa"/>
            <w:left w:w="108" w:type="dxa"/>
            <w:bottom w:w="0" w:type="dxa"/>
            <w:right w:w="108" w:type="dxa"/>
          </w:tblCellMar>
        </w:tblPrEx>
        <w:trPr>
          <w:trHeight w:val="840" w:hRule="atLeast"/>
        </w:trPr>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考核项目</w:t>
            </w:r>
          </w:p>
        </w:tc>
        <w:tc>
          <w:tcPr>
            <w:tcW w:w="17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考核内容</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评分标准</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得  分</w:t>
            </w:r>
          </w:p>
        </w:tc>
        <w:tc>
          <w:tcPr>
            <w:tcW w:w="1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扣分原因</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备  注</w:t>
            </w:r>
          </w:p>
        </w:tc>
      </w:tr>
      <w:tr>
        <w:tblPrEx>
          <w:tblCellMar>
            <w:top w:w="0" w:type="dxa"/>
            <w:left w:w="108" w:type="dxa"/>
            <w:bottom w:w="0" w:type="dxa"/>
            <w:right w:w="108" w:type="dxa"/>
          </w:tblCellMar>
        </w:tblPrEx>
        <w:trPr>
          <w:trHeight w:val="990" w:hRule="atLeast"/>
        </w:trPr>
        <w:tc>
          <w:tcPr>
            <w:tcW w:w="53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绿地管理55分</w:t>
            </w:r>
          </w:p>
        </w:tc>
        <w:tc>
          <w:tcPr>
            <w:tcW w:w="177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1、巡查养护林地，没有毁绿占绿现象，发现问题及时上报</w:t>
            </w:r>
          </w:p>
        </w:tc>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10分</w:t>
            </w:r>
          </w:p>
        </w:tc>
        <w:tc>
          <w:tcPr>
            <w:tcW w:w="4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 xml:space="preserve">每月考核时随机抽选5-10处，每处1000㎡。分别打分，最后计算得出本月得分。 </w:t>
            </w:r>
          </w:p>
        </w:tc>
      </w:tr>
      <w:tr>
        <w:tblPrEx>
          <w:tblCellMar>
            <w:top w:w="0" w:type="dxa"/>
            <w:left w:w="108" w:type="dxa"/>
            <w:bottom w:w="0" w:type="dxa"/>
            <w:right w:w="108" w:type="dxa"/>
          </w:tblCellMar>
        </w:tblPrEx>
        <w:trPr>
          <w:trHeight w:val="700" w:hRule="atLeast"/>
        </w:trPr>
        <w:tc>
          <w:tcPr>
            <w:tcW w:w="53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77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2、及时制止倒融雪剂现象</w:t>
            </w:r>
          </w:p>
        </w:tc>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30分</w:t>
            </w:r>
          </w:p>
        </w:tc>
        <w:tc>
          <w:tcPr>
            <w:tcW w:w="4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900" w:hRule="atLeast"/>
        </w:trPr>
        <w:tc>
          <w:tcPr>
            <w:tcW w:w="53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77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3、及时清理垃圾，卫生打扫干净，保持林带内环境优美整洁。</w:t>
            </w:r>
          </w:p>
        </w:tc>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10分</w:t>
            </w:r>
          </w:p>
        </w:tc>
        <w:tc>
          <w:tcPr>
            <w:tcW w:w="4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60" w:hRule="atLeast"/>
        </w:trPr>
        <w:tc>
          <w:tcPr>
            <w:tcW w:w="53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77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4、及时清除乔灌木枝叶上积雪</w:t>
            </w:r>
          </w:p>
        </w:tc>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5分</w:t>
            </w:r>
          </w:p>
        </w:tc>
        <w:tc>
          <w:tcPr>
            <w:tcW w:w="4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40" w:hRule="atLeast"/>
        </w:trPr>
        <w:tc>
          <w:tcPr>
            <w:tcW w:w="53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安全生产管理10分</w:t>
            </w:r>
          </w:p>
        </w:tc>
        <w:tc>
          <w:tcPr>
            <w:tcW w:w="177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1、及时排查处理安全隐患</w:t>
            </w:r>
          </w:p>
        </w:tc>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4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20" w:hRule="atLeast"/>
        </w:trPr>
        <w:tc>
          <w:tcPr>
            <w:tcW w:w="53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77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2、配备安全保护器材</w:t>
            </w:r>
          </w:p>
        </w:tc>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4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40" w:hRule="atLeast"/>
        </w:trPr>
        <w:tc>
          <w:tcPr>
            <w:tcW w:w="53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77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3、合理规范操作机械</w:t>
            </w:r>
          </w:p>
        </w:tc>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80" w:hRule="atLeast"/>
        </w:trPr>
        <w:tc>
          <w:tcPr>
            <w:tcW w:w="53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77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4、做好安全警示标志</w:t>
            </w:r>
          </w:p>
        </w:tc>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960" w:hRule="atLeast"/>
        </w:trPr>
        <w:tc>
          <w:tcPr>
            <w:tcW w:w="53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日常管理30分</w:t>
            </w:r>
          </w:p>
        </w:tc>
        <w:tc>
          <w:tcPr>
            <w:tcW w:w="177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1、养护单位对园林队安排的工作及时落实到位</w:t>
            </w:r>
          </w:p>
        </w:tc>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7分</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12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5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每月考核时随机抽选5-10处，每处1000㎡。分别打分，最后计算得出本月得分。</w:t>
            </w:r>
          </w:p>
        </w:tc>
      </w:tr>
      <w:tr>
        <w:tblPrEx>
          <w:tblCellMar>
            <w:top w:w="0" w:type="dxa"/>
            <w:left w:w="108" w:type="dxa"/>
            <w:bottom w:w="0" w:type="dxa"/>
            <w:right w:w="108" w:type="dxa"/>
          </w:tblCellMar>
        </w:tblPrEx>
        <w:trPr>
          <w:trHeight w:val="840" w:hRule="atLeast"/>
        </w:trPr>
        <w:tc>
          <w:tcPr>
            <w:tcW w:w="53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77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2、服从单位安排的应急事件</w:t>
            </w:r>
          </w:p>
        </w:tc>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5分</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12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5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840" w:hRule="atLeast"/>
        </w:trPr>
        <w:tc>
          <w:tcPr>
            <w:tcW w:w="53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77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3、保质保量完成应急事件</w:t>
            </w:r>
          </w:p>
        </w:tc>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5分</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12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5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920" w:hRule="atLeast"/>
        </w:trPr>
        <w:tc>
          <w:tcPr>
            <w:tcW w:w="53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77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4、对毁绿占绿现象及时发现、及时阻止、现场取证，上报主管科室，并配合监察科工作</w:t>
            </w:r>
          </w:p>
        </w:tc>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12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5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900" w:hRule="atLeast"/>
        </w:trPr>
        <w:tc>
          <w:tcPr>
            <w:tcW w:w="53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77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5、按时、按要求报工作计划、工作小结</w:t>
            </w:r>
          </w:p>
        </w:tc>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7分</w:t>
            </w:r>
          </w:p>
        </w:tc>
        <w:tc>
          <w:tcPr>
            <w:tcW w:w="4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80" w:hRule="atLeast"/>
        </w:trPr>
        <w:tc>
          <w:tcPr>
            <w:tcW w:w="53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77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6、养护人员配置到位</w:t>
            </w:r>
          </w:p>
        </w:tc>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4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920" w:hRule="atLeast"/>
        </w:trPr>
        <w:tc>
          <w:tcPr>
            <w:tcW w:w="53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br w:type="textWrapping"/>
            </w:r>
            <w:r>
              <w:rPr>
                <w:rFonts w:hint="eastAsia" w:asciiTheme="minorEastAsia" w:hAnsiTheme="minorEastAsia" w:cstheme="minorEastAsia"/>
                <w:color w:val="000000"/>
                <w:kern w:val="0"/>
                <w:sz w:val="24"/>
                <w:szCs w:val="24"/>
                <w:lang w:bidi="ar"/>
              </w:rPr>
              <w:t>设施设备维修5分</w:t>
            </w:r>
          </w:p>
        </w:tc>
        <w:tc>
          <w:tcPr>
            <w:tcW w:w="177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1、各种标牌、标志物、辅助设施损坏及时修复</w:t>
            </w:r>
          </w:p>
        </w:tc>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1080" w:hRule="atLeast"/>
        </w:trPr>
        <w:tc>
          <w:tcPr>
            <w:tcW w:w="53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77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2、林地内的水井盖完好</w:t>
            </w:r>
          </w:p>
        </w:tc>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4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50" w:hRule="atLeast"/>
        </w:trPr>
        <w:tc>
          <w:tcPr>
            <w:tcW w:w="230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当月考核得分</w:t>
            </w:r>
          </w:p>
        </w:tc>
        <w:tc>
          <w:tcPr>
            <w:tcW w:w="213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cstheme="minorEastAsia"/>
                <w:color w:val="000000"/>
                <w:sz w:val="24"/>
                <w:szCs w:val="24"/>
              </w:rPr>
            </w:pPr>
          </w:p>
        </w:tc>
        <w:tc>
          <w:tcPr>
            <w:tcW w:w="5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500" w:hRule="atLeast"/>
        </w:trPr>
        <w:tc>
          <w:tcPr>
            <w:tcW w:w="2298" w:type="pct"/>
            <w:gridSpan w:val="2"/>
            <w:tcBorders>
              <w:top w:val="nil"/>
              <w:left w:val="nil"/>
              <w:bottom w:val="nil"/>
              <w:right w:val="nil"/>
            </w:tcBorders>
            <w:shd w:val="clear" w:color="auto" w:fill="auto"/>
            <w:noWrap/>
            <w:vAlign w:val="center"/>
          </w:tcPr>
          <w:p>
            <w:pP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 xml:space="preserve">考核人签字：                                              </w:t>
            </w:r>
          </w:p>
        </w:tc>
        <w:tc>
          <w:tcPr>
            <w:tcW w:w="2701" w:type="pct"/>
            <w:gridSpan w:val="5"/>
            <w:tcBorders>
              <w:top w:val="nil"/>
              <w:left w:val="nil"/>
              <w:bottom w:val="nil"/>
              <w:right w:val="nil"/>
            </w:tcBorders>
            <w:shd w:val="clear" w:color="auto" w:fill="auto"/>
            <w:noWrap/>
            <w:vAlign w:val="center"/>
          </w:tcPr>
          <w:p>
            <w:pP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养护单位负责人签字：</w:t>
            </w:r>
          </w:p>
        </w:tc>
      </w:tr>
    </w:tbl>
    <w:p>
      <w:pPr>
        <w:ind w:firstLine="482"/>
        <w:rPr>
          <w:rFonts w:cs="宋体" w:asciiTheme="minorEastAsia" w:hAnsiTheme="minorEastAsia"/>
          <w:b/>
          <w:sz w:val="24"/>
          <w:szCs w:val="24"/>
        </w:rPr>
      </w:pPr>
    </w:p>
    <w:p>
      <w:pPr>
        <w:ind w:firstLine="482"/>
        <w:rPr>
          <w:rFonts w:cs="宋体" w:asciiTheme="minorEastAsia" w:hAnsiTheme="minorEastAsia"/>
          <w:b/>
          <w:sz w:val="24"/>
          <w:szCs w:val="24"/>
        </w:rPr>
      </w:pPr>
      <w:r>
        <w:rPr>
          <w:rFonts w:hint="eastAsia" w:cs="宋体" w:asciiTheme="minorEastAsia" w:hAnsiTheme="minorEastAsia"/>
          <w:b/>
          <w:sz w:val="24"/>
          <w:szCs w:val="24"/>
        </w:rPr>
        <w:br w:type="page"/>
      </w:r>
    </w:p>
    <w:p>
      <w:pPr>
        <w:ind w:firstLine="482"/>
        <w:rPr>
          <w:rFonts w:cs="宋体" w:asciiTheme="minorEastAsia" w:hAnsiTheme="minorEastAsia"/>
          <w:b/>
          <w:sz w:val="24"/>
          <w:szCs w:val="24"/>
        </w:rPr>
      </w:pPr>
    </w:p>
    <w:tbl>
      <w:tblPr>
        <w:tblStyle w:val="34"/>
        <w:tblW w:w="5000" w:type="pct"/>
        <w:tblInd w:w="0" w:type="dxa"/>
        <w:tblLayout w:type="fixed"/>
        <w:tblCellMar>
          <w:top w:w="0" w:type="dxa"/>
          <w:left w:w="108" w:type="dxa"/>
          <w:bottom w:w="0" w:type="dxa"/>
          <w:right w:w="108" w:type="dxa"/>
        </w:tblCellMar>
      </w:tblPr>
      <w:tblGrid>
        <w:gridCol w:w="960"/>
        <w:gridCol w:w="3242"/>
        <w:gridCol w:w="797"/>
        <w:gridCol w:w="775"/>
        <w:gridCol w:w="2422"/>
        <w:gridCol w:w="1092"/>
      </w:tblGrid>
      <w:tr>
        <w:tblPrEx>
          <w:tblCellMar>
            <w:top w:w="0" w:type="dxa"/>
            <w:left w:w="108" w:type="dxa"/>
            <w:bottom w:w="0" w:type="dxa"/>
            <w:right w:w="108" w:type="dxa"/>
          </w:tblCellMar>
        </w:tblPrEx>
        <w:trPr>
          <w:trHeight w:val="660" w:hRule="atLeast"/>
        </w:trPr>
        <w:tc>
          <w:tcPr>
            <w:tcW w:w="5000" w:type="pct"/>
            <w:gridSpan w:val="6"/>
            <w:tcBorders>
              <w:top w:val="nil"/>
              <w:left w:val="nil"/>
              <w:bottom w:val="nil"/>
              <w:right w:val="nil"/>
            </w:tcBorders>
            <w:shd w:val="clear" w:color="auto" w:fill="auto"/>
            <w:noWrap/>
            <w:vAlign w:val="center"/>
          </w:tcPr>
          <w:p>
            <w:pPr>
              <w:widowControl/>
              <w:ind w:firstLine="482"/>
              <w:jc w:val="center"/>
              <w:textAlignment w:val="center"/>
              <w:rPr>
                <w:rFonts w:asciiTheme="minorEastAsia" w:hAnsiTheme="minorEastAsia" w:cstheme="minorEastAsia"/>
                <w:b/>
                <w:bCs/>
                <w:color w:val="000000"/>
                <w:sz w:val="24"/>
                <w:szCs w:val="24"/>
              </w:rPr>
            </w:pPr>
            <w:r>
              <w:rPr>
                <w:rFonts w:hint="eastAsia" w:asciiTheme="minorEastAsia" w:hAnsiTheme="minorEastAsia" w:cstheme="minorEastAsia"/>
                <w:b/>
                <w:bCs/>
                <w:color w:val="000000"/>
                <w:kern w:val="0"/>
                <w:sz w:val="24"/>
                <w:szCs w:val="24"/>
                <w:lang w:bidi="ar"/>
              </w:rPr>
              <w:t>3月4月米东区绿地养护考核评分表(道路二级)</w:t>
            </w:r>
          </w:p>
        </w:tc>
      </w:tr>
      <w:tr>
        <w:tblPrEx>
          <w:tblCellMar>
            <w:top w:w="0" w:type="dxa"/>
            <w:left w:w="108" w:type="dxa"/>
            <w:bottom w:w="0" w:type="dxa"/>
            <w:right w:w="108" w:type="dxa"/>
          </w:tblCellMar>
        </w:tblPrEx>
        <w:trPr>
          <w:trHeight w:val="460" w:hRule="atLeast"/>
        </w:trPr>
        <w:tc>
          <w:tcPr>
            <w:tcW w:w="5000" w:type="pct"/>
            <w:gridSpan w:val="6"/>
            <w:tcBorders>
              <w:top w:val="nil"/>
              <w:left w:val="nil"/>
              <w:bottom w:val="nil"/>
              <w:right w:val="nil"/>
            </w:tcBorders>
            <w:shd w:val="clear" w:color="auto" w:fill="auto"/>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日期：                   养护公司：                                 养护面积：</w:t>
            </w:r>
          </w:p>
        </w:tc>
      </w:tr>
      <w:tr>
        <w:tblPrEx>
          <w:tblCellMar>
            <w:top w:w="0" w:type="dxa"/>
            <w:left w:w="108" w:type="dxa"/>
            <w:bottom w:w="0" w:type="dxa"/>
            <w:right w:w="108" w:type="dxa"/>
          </w:tblCellMar>
        </w:tblPrEx>
        <w:trPr>
          <w:trHeight w:val="720" w:hRule="atLeast"/>
        </w:trPr>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考核项目</w:t>
            </w:r>
          </w:p>
        </w:tc>
        <w:tc>
          <w:tcPr>
            <w:tcW w:w="1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考核内容</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评分标准</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 xml:space="preserve"> 得 分</w:t>
            </w: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扣分原因</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备  注</w:t>
            </w:r>
          </w:p>
        </w:tc>
      </w:tr>
      <w:tr>
        <w:tblPrEx>
          <w:tblCellMar>
            <w:top w:w="0" w:type="dxa"/>
            <w:left w:w="108" w:type="dxa"/>
            <w:bottom w:w="0" w:type="dxa"/>
            <w:right w:w="108" w:type="dxa"/>
          </w:tblCellMar>
        </w:tblPrEx>
        <w:trPr>
          <w:trHeight w:val="700" w:hRule="atLeast"/>
        </w:trPr>
        <w:tc>
          <w:tcPr>
            <w:tcW w:w="5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乔灌木修剪27分</w:t>
            </w:r>
          </w:p>
        </w:tc>
        <w:tc>
          <w:tcPr>
            <w:tcW w:w="17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1、乔灌木生长势好，树形完整，层次清楚，没有人为偏冠</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5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每月考核时随机抽选5-10处，每处1000㎡。分别打分，最后计算得出本月得分。</w:t>
            </w:r>
          </w:p>
        </w:tc>
      </w:tr>
      <w:tr>
        <w:tblPrEx>
          <w:tblCellMar>
            <w:top w:w="0" w:type="dxa"/>
            <w:left w:w="108" w:type="dxa"/>
            <w:bottom w:w="0" w:type="dxa"/>
            <w:right w:w="108" w:type="dxa"/>
          </w:tblCellMar>
        </w:tblPrEx>
        <w:trPr>
          <w:trHeight w:val="600" w:hRule="atLeast"/>
        </w:trPr>
        <w:tc>
          <w:tcPr>
            <w:tcW w:w="5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7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2、枯死枝、徒长枝、下垂枝、折枝、病虫枝、过密枝及时清理</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4分</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880" w:hRule="atLeast"/>
        </w:trPr>
        <w:tc>
          <w:tcPr>
            <w:tcW w:w="5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7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3、在规定时间内完成灌木，绿篱、绿雕修剪，确保株形完美、线条整齐、形态逼真。</w:t>
            </w:r>
          </w:p>
        </w:tc>
        <w:tc>
          <w:tcPr>
            <w:tcW w:w="4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5分</w:t>
            </w: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00" w:hRule="atLeast"/>
        </w:trPr>
        <w:tc>
          <w:tcPr>
            <w:tcW w:w="5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7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4、苗木要按照生长习性和花期进行修剪。</w:t>
            </w:r>
          </w:p>
        </w:tc>
        <w:tc>
          <w:tcPr>
            <w:tcW w:w="4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20" w:hRule="atLeast"/>
        </w:trPr>
        <w:tc>
          <w:tcPr>
            <w:tcW w:w="5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7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5、灌木，绿篱、绿雕徒长枝不能高于5CM</w:t>
            </w:r>
          </w:p>
        </w:tc>
        <w:tc>
          <w:tcPr>
            <w:tcW w:w="4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480" w:hRule="atLeast"/>
        </w:trPr>
        <w:tc>
          <w:tcPr>
            <w:tcW w:w="5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7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6、死树及时伐掉、倒树及时扶正</w:t>
            </w:r>
          </w:p>
        </w:tc>
        <w:tc>
          <w:tcPr>
            <w:tcW w:w="4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60" w:hRule="atLeast"/>
        </w:trPr>
        <w:tc>
          <w:tcPr>
            <w:tcW w:w="5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7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7、按规定时间完成修剪工作，修剪枝当天清理</w:t>
            </w:r>
          </w:p>
        </w:tc>
        <w:tc>
          <w:tcPr>
            <w:tcW w:w="4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540" w:hRule="atLeast"/>
        </w:trPr>
        <w:tc>
          <w:tcPr>
            <w:tcW w:w="5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7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8、3㎝以上剪口、损伤部位涂防护剂</w:t>
            </w:r>
          </w:p>
        </w:tc>
        <w:tc>
          <w:tcPr>
            <w:tcW w:w="4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560" w:hRule="atLeast"/>
        </w:trPr>
        <w:tc>
          <w:tcPr>
            <w:tcW w:w="5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7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9、草坪修剪整齐，没有杂草斑秃</w:t>
            </w:r>
          </w:p>
        </w:tc>
        <w:tc>
          <w:tcPr>
            <w:tcW w:w="4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580" w:hRule="atLeast"/>
        </w:trPr>
        <w:tc>
          <w:tcPr>
            <w:tcW w:w="5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7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10、及时清除林地内杂草</w:t>
            </w:r>
          </w:p>
        </w:tc>
        <w:tc>
          <w:tcPr>
            <w:tcW w:w="4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60" w:hRule="atLeast"/>
        </w:trPr>
        <w:tc>
          <w:tcPr>
            <w:tcW w:w="51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乔灌木栽植10分</w:t>
            </w:r>
          </w:p>
        </w:tc>
        <w:tc>
          <w:tcPr>
            <w:tcW w:w="17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1、按要求合理规范施工</w:t>
            </w:r>
          </w:p>
        </w:tc>
        <w:tc>
          <w:tcPr>
            <w:tcW w:w="4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每月考核时随机抽选5-10处，每处1000㎡。分别打分，最后计算得出本月得分。</w:t>
            </w:r>
          </w:p>
        </w:tc>
      </w:tr>
      <w:tr>
        <w:tblPrEx>
          <w:tblCellMar>
            <w:top w:w="0" w:type="dxa"/>
            <w:left w:w="108" w:type="dxa"/>
            <w:bottom w:w="0" w:type="dxa"/>
            <w:right w:w="108" w:type="dxa"/>
          </w:tblCellMar>
        </w:tblPrEx>
        <w:trPr>
          <w:trHeight w:val="700" w:hRule="atLeast"/>
        </w:trPr>
        <w:tc>
          <w:tcPr>
            <w:tcW w:w="51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7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2、苗木当天需栽植并完成浇水工作</w:t>
            </w:r>
          </w:p>
        </w:tc>
        <w:tc>
          <w:tcPr>
            <w:tcW w:w="4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00" w:hRule="atLeast"/>
        </w:trPr>
        <w:tc>
          <w:tcPr>
            <w:tcW w:w="51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7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3、确保苗木的成活率</w:t>
            </w:r>
          </w:p>
        </w:tc>
        <w:tc>
          <w:tcPr>
            <w:tcW w:w="4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00" w:hRule="atLeast"/>
        </w:trPr>
        <w:tc>
          <w:tcPr>
            <w:tcW w:w="51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7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4、在规定时间内完成</w:t>
            </w:r>
          </w:p>
        </w:tc>
        <w:tc>
          <w:tcPr>
            <w:tcW w:w="4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80" w:hRule="atLeast"/>
        </w:trPr>
        <w:tc>
          <w:tcPr>
            <w:tcW w:w="5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病虫害防治12分</w:t>
            </w:r>
          </w:p>
        </w:tc>
        <w:tc>
          <w:tcPr>
            <w:tcW w:w="17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1、清洗乔灌木灰尘</w:t>
            </w:r>
          </w:p>
        </w:tc>
        <w:tc>
          <w:tcPr>
            <w:tcW w:w="4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840" w:hRule="atLeast"/>
        </w:trPr>
        <w:tc>
          <w:tcPr>
            <w:tcW w:w="5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7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2、按要求及时完成涂白工作</w:t>
            </w:r>
          </w:p>
        </w:tc>
        <w:tc>
          <w:tcPr>
            <w:tcW w:w="4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60" w:hRule="atLeast"/>
        </w:trPr>
        <w:tc>
          <w:tcPr>
            <w:tcW w:w="5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7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3、涂白高度整齐</w:t>
            </w:r>
          </w:p>
        </w:tc>
        <w:tc>
          <w:tcPr>
            <w:tcW w:w="4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4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20" w:hRule="atLeast"/>
        </w:trPr>
        <w:tc>
          <w:tcPr>
            <w:tcW w:w="5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7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4、涂白剂涂抹均匀</w:t>
            </w:r>
          </w:p>
        </w:tc>
        <w:tc>
          <w:tcPr>
            <w:tcW w:w="4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580" w:hRule="atLeast"/>
        </w:trPr>
        <w:tc>
          <w:tcPr>
            <w:tcW w:w="5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7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5、按标准进行药物配比</w:t>
            </w:r>
          </w:p>
        </w:tc>
        <w:tc>
          <w:tcPr>
            <w:tcW w:w="4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900" w:hRule="atLeast"/>
        </w:trPr>
        <w:tc>
          <w:tcPr>
            <w:tcW w:w="5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绿地整理21分</w:t>
            </w:r>
          </w:p>
        </w:tc>
        <w:tc>
          <w:tcPr>
            <w:tcW w:w="17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1、及时清理林带内的枯枝败叶及垃圾，卫生打扫干净，保持林带内环境优美整洁。</w:t>
            </w:r>
          </w:p>
        </w:tc>
        <w:tc>
          <w:tcPr>
            <w:tcW w:w="4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 xml:space="preserve">每月考核时随机抽选5-10处，每处1000㎡。分别打分，最后计算得出本月得分。   </w:t>
            </w:r>
          </w:p>
        </w:tc>
      </w:tr>
      <w:tr>
        <w:tblPrEx>
          <w:tblCellMar>
            <w:top w:w="0" w:type="dxa"/>
            <w:left w:w="108" w:type="dxa"/>
            <w:bottom w:w="0" w:type="dxa"/>
            <w:right w:w="108" w:type="dxa"/>
          </w:tblCellMar>
        </w:tblPrEx>
        <w:trPr>
          <w:trHeight w:val="720" w:hRule="atLeast"/>
        </w:trPr>
        <w:tc>
          <w:tcPr>
            <w:tcW w:w="5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7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2、林带内没有悬挂物、私搭乱建现象</w:t>
            </w:r>
          </w:p>
        </w:tc>
        <w:tc>
          <w:tcPr>
            <w:tcW w:w="4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80" w:hRule="atLeast"/>
        </w:trPr>
        <w:tc>
          <w:tcPr>
            <w:tcW w:w="5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7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3、平整林带并进行中耕除草，松土</w:t>
            </w:r>
          </w:p>
        </w:tc>
        <w:tc>
          <w:tcPr>
            <w:tcW w:w="4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60" w:hRule="atLeast"/>
        </w:trPr>
        <w:tc>
          <w:tcPr>
            <w:tcW w:w="5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7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4、确保树穴为下沉式</w:t>
            </w:r>
          </w:p>
        </w:tc>
        <w:tc>
          <w:tcPr>
            <w:tcW w:w="4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00" w:hRule="atLeast"/>
        </w:trPr>
        <w:tc>
          <w:tcPr>
            <w:tcW w:w="5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7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5、保质保量完成各类灌溉设施到位，并且能正常使用。</w:t>
            </w:r>
          </w:p>
        </w:tc>
        <w:tc>
          <w:tcPr>
            <w:tcW w:w="4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4分</w:t>
            </w: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60" w:hRule="atLeast"/>
        </w:trPr>
        <w:tc>
          <w:tcPr>
            <w:tcW w:w="5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7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6、及时完成绿地绿地的整理及中耕除草工作</w:t>
            </w:r>
          </w:p>
        </w:tc>
        <w:tc>
          <w:tcPr>
            <w:tcW w:w="4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00" w:hRule="atLeast"/>
        </w:trPr>
        <w:tc>
          <w:tcPr>
            <w:tcW w:w="5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7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7、肥料需施在树穴并深翻</w:t>
            </w:r>
          </w:p>
        </w:tc>
        <w:tc>
          <w:tcPr>
            <w:tcW w:w="4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00" w:hRule="atLeast"/>
        </w:trPr>
        <w:tc>
          <w:tcPr>
            <w:tcW w:w="5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7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8、在规定时间保质保量完成施肥工作</w:t>
            </w:r>
          </w:p>
        </w:tc>
        <w:tc>
          <w:tcPr>
            <w:tcW w:w="4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60" w:hRule="atLeast"/>
        </w:trPr>
        <w:tc>
          <w:tcPr>
            <w:tcW w:w="51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安全生产管理10分</w:t>
            </w:r>
          </w:p>
        </w:tc>
        <w:tc>
          <w:tcPr>
            <w:tcW w:w="17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1、及时排查处理安全隐患</w:t>
            </w:r>
          </w:p>
        </w:tc>
        <w:tc>
          <w:tcPr>
            <w:tcW w:w="4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80" w:hRule="atLeast"/>
        </w:trPr>
        <w:tc>
          <w:tcPr>
            <w:tcW w:w="51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7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2、配备安全保护器材</w:t>
            </w:r>
          </w:p>
        </w:tc>
        <w:tc>
          <w:tcPr>
            <w:tcW w:w="4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60" w:hRule="atLeast"/>
        </w:trPr>
        <w:tc>
          <w:tcPr>
            <w:tcW w:w="51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7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3、合理规范操作机械</w:t>
            </w:r>
          </w:p>
        </w:tc>
        <w:tc>
          <w:tcPr>
            <w:tcW w:w="4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40" w:hRule="atLeast"/>
        </w:trPr>
        <w:tc>
          <w:tcPr>
            <w:tcW w:w="51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7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4、做好安全警示标志</w:t>
            </w:r>
          </w:p>
        </w:tc>
        <w:tc>
          <w:tcPr>
            <w:tcW w:w="4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820" w:hRule="atLeast"/>
        </w:trPr>
        <w:tc>
          <w:tcPr>
            <w:tcW w:w="5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日常管理15分</w:t>
            </w:r>
          </w:p>
        </w:tc>
        <w:tc>
          <w:tcPr>
            <w:tcW w:w="17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1、养护单位对园林局安排的工作及时落实到位</w:t>
            </w:r>
          </w:p>
        </w:tc>
        <w:tc>
          <w:tcPr>
            <w:tcW w:w="4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4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5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 xml:space="preserve">每月考核时随机抽选5-10处，每处1000㎡。分别打分，最后计算得出本月得分。 </w:t>
            </w:r>
          </w:p>
        </w:tc>
      </w:tr>
      <w:tr>
        <w:tblPrEx>
          <w:tblCellMar>
            <w:top w:w="0" w:type="dxa"/>
            <w:left w:w="108" w:type="dxa"/>
            <w:bottom w:w="0" w:type="dxa"/>
            <w:right w:w="108" w:type="dxa"/>
          </w:tblCellMar>
        </w:tblPrEx>
        <w:trPr>
          <w:trHeight w:val="740" w:hRule="atLeast"/>
        </w:trPr>
        <w:tc>
          <w:tcPr>
            <w:tcW w:w="5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7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2、服从单位安排的应急事件要求，并保质保量完成处置处置。</w:t>
            </w:r>
          </w:p>
        </w:tc>
        <w:tc>
          <w:tcPr>
            <w:tcW w:w="4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4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40" w:hRule="atLeast"/>
        </w:trPr>
        <w:tc>
          <w:tcPr>
            <w:tcW w:w="5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7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3、禁止车辆用高压水枪冲洗路面时产生的垃圾进入林带。</w:t>
            </w:r>
          </w:p>
        </w:tc>
        <w:tc>
          <w:tcPr>
            <w:tcW w:w="4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960" w:hRule="atLeast"/>
        </w:trPr>
        <w:tc>
          <w:tcPr>
            <w:tcW w:w="5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7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4、对毁绿占绿现象及时发现、及时阻止、现场取证，及时上报主管科室，并配合监察科工作</w:t>
            </w:r>
          </w:p>
        </w:tc>
        <w:tc>
          <w:tcPr>
            <w:tcW w:w="4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4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820" w:hRule="atLeast"/>
        </w:trPr>
        <w:tc>
          <w:tcPr>
            <w:tcW w:w="5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7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5、及时按要求上报工作计划、工作小结</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20" w:hRule="atLeast"/>
        </w:trPr>
        <w:tc>
          <w:tcPr>
            <w:tcW w:w="5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7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6、养护人员配置到位</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900" w:hRule="atLeast"/>
        </w:trPr>
        <w:tc>
          <w:tcPr>
            <w:tcW w:w="5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设施设备维修5分</w:t>
            </w:r>
          </w:p>
        </w:tc>
        <w:tc>
          <w:tcPr>
            <w:tcW w:w="17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1、各种标牌、标志物、辅助设施损坏及时修复</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820" w:hRule="atLeast"/>
        </w:trPr>
        <w:tc>
          <w:tcPr>
            <w:tcW w:w="5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7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2、绿地内的灌溉灌溉水井盖完好</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80" w:hRule="atLeast"/>
        </w:trPr>
        <w:tc>
          <w:tcPr>
            <w:tcW w:w="22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当月考核分数</w:t>
            </w:r>
          </w:p>
        </w:tc>
        <w:tc>
          <w:tcPr>
            <w:tcW w:w="21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cstheme="minorEastAsia"/>
                <w:color w:val="000000"/>
                <w:sz w:val="24"/>
                <w:szCs w:val="24"/>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57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考核人签字：                                       养护单位负责人签字：</w:t>
            </w:r>
          </w:p>
        </w:tc>
      </w:tr>
    </w:tbl>
    <w:p>
      <w:pPr>
        <w:ind w:firstLine="482"/>
        <w:rPr>
          <w:rFonts w:cs="宋体" w:asciiTheme="minorEastAsia" w:hAnsiTheme="minorEastAsia"/>
          <w:b/>
          <w:sz w:val="24"/>
          <w:szCs w:val="24"/>
        </w:rPr>
      </w:pPr>
      <w:r>
        <w:rPr>
          <w:rFonts w:hint="eastAsia" w:cs="宋体" w:asciiTheme="minorEastAsia" w:hAnsiTheme="minorEastAsia"/>
          <w:b/>
          <w:sz w:val="24"/>
          <w:szCs w:val="24"/>
        </w:rPr>
        <w:br w:type="page"/>
      </w:r>
    </w:p>
    <w:p>
      <w:pPr>
        <w:ind w:firstLine="482"/>
        <w:rPr>
          <w:rFonts w:cs="宋体" w:asciiTheme="minorEastAsia" w:hAnsiTheme="minorEastAsia"/>
          <w:b/>
          <w:sz w:val="24"/>
          <w:szCs w:val="24"/>
        </w:rPr>
      </w:pPr>
    </w:p>
    <w:tbl>
      <w:tblPr>
        <w:tblStyle w:val="34"/>
        <w:tblW w:w="5000" w:type="pct"/>
        <w:tblInd w:w="0" w:type="dxa"/>
        <w:tblLayout w:type="fixed"/>
        <w:tblCellMar>
          <w:top w:w="0" w:type="dxa"/>
          <w:left w:w="108" w:type="dxa"/>
          <w:bottom w:w="0" w:type="dxa"/>
          <w:right w:w="108" w:type="dxa"/>
        </w:tblCellMar>
      </w:tblPr>
      <w:tblGrid>
        <w:gridCol w:w="948"/>
        <w:gridCol w:w="3253"/>
        <w:gridCol w:w="67"/>
        <w:gridCol w:w="749"/>
        <w:gridCol w:w="749"/>
        <w:gridCol w:w="2419"/>
        <w:gridCol w:w="1103"/>
      </w:tblGrid>
      <w:tr>
        <w:tblPrEx>
          <w:tblCellMar>
            <w:top w:w="0" w:type="dxa"/>
            <w:left w:w="108" w:type="dxa"/>
            <w:bottom w:w="0" w:type="dxa"/>
            <w:right w:w="108" w:type="dxa"/>
          </w:tblCellMar>
        </w:tblPrEx>
        <w:trPr>
          <w:trHeight w:val="540" w:hRule="atLeast"/>
        </w:trPr>
        <w:tc>
          <w:tcPr>
            <w:tcW w:w="5000" w:type="pct"/>
            <w:gridSpan w:val="7"/>
            <w:tcBorders>
              <w:top w:val="nil"/>
              <w:left w:val="nil"/>
              <w:bottom w:val="nil"/>
              <w:right w:val="nil"/>
            </w:tcBorders>
            <w:shd w:val="clear" w:color="auto" w:fill="auto"/>
            <w:noWrap/>
            <w:vAlign w:val="center"/>
          </w:tcPr>
          <w:p>
            <w:pPr>
              <w:widowControl/>
              <w:ind w:firstLine="482"/>
              <w:jc w:val="center"/>
              <w:textAlignment w:val="center"/>
              <w:rPr>
                <w:rFonts w:asciiTheme="minorEastAsia" w:hAnsiTheme="minorEastAsia" w:cstheme="minorEastAsia"/>
                <w:b/>
                <w:bCs/>
                <w:color w:val="000000"/>
                <w:sz w:val="24"/>
                <w:szCs w:val="24"/>
              </w:rPr>
            </w:pPr>
            <w:r>
              <w:rPr>
                <w:rFonts w:hint="eastAsia" w:asciiTheme="minorEastAsia" w:hAnsiTheme="minorEastAsia" w:cstheme="minorEastAsia"/>
                <w:b/>
                <w:bCs/>
                <w:color w:val="000000"/>
                <w:kern w:val="0"/>
                <w:sz w:val="24"/>
                <w:szCs w:val="24"/>
                <w:lang w:bidi="ar"/>
              </w:rPr>
              <w:t>5月-9月米东区绿地养护考核评分表(道路二级)</w:t>
            </w:r>
          </w:p>
        </w:tc>
      </w:tr>
      <w:tr>
        <w:tblPrEx>
          <w:tblCellMar>
            <w:top w:w="0" w:type="dxa"/>
            <w:left w:w="108" w:type="dxa"/>
            <w:bottom w:w="0" w:type="dxa"/>
            <w:right w:w="108" w:type="dxa"/>
          </w:tblCellMar>
        </w:tblPrEx>
        <w:trPr>
          <w:trHeight w:val="375" w:hRule="atLeast"/>
        </w:trPr>
        <w:tc>
          <w:tcPr>
            <w:tcW w:w="5000" w:type="pct"/>
            <w:gridSpan w:val="7"/>
            <w:tcBorders>
              <w:top w:val="nil"/>
              <w:left w:val="nil"/>
              <w:bottom w:val="nil"/>
              <w:right w:val="nil"/>
            </w:tcBorders>
            <w:shd w:val="clear" w:color="auto" w:fill="auto"/>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 xml:space="preserve">日期：                       养护公司：                     养护面积：               </w:t>
            </w:r>
          </w:p>
        </w:tc>
      </w:tr>
      <w:tr>
        <w:tblPrEx>
          <w:tblCellMar>
            <w:top w:w="0" w:type="dxa"/>
            <w:left w:w="108" w:type="dxa"/>
            <w:bottom w:w="0" w:type="dxa"/>
            <w:right w:w="108" w:type="dxa"/>
          </w:tblCellMar>
        </w:tblPrEx>
        <w:trPr>
          <w:trHeight w:val="450" w:hRule="atLeast"/>
        </w:trPr>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考核项目</w:t>
            </w:r>
          </w:p>
        </w:tc>
        <w:tc>
          <w:tcPr>
            <w:tcW w:w="1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考核内容</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评分标准</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得  分</w:t>
            </w:r>
          </w:p>
        </w:tc>
        <w:tc>
          <w:tcPr>
            <w:tcW w:w="1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扣分原因</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备  注</w:t>
            </w:r>
          </w:p>
        </w:tc>
      </w:tr>
      <w:tr>
        <w:tblPrEx>
          <w:tblCellMar>
            <w:top w:w="0" w:type="dxa"/>
            <w:left w:w="108" w:type="dxa"/>
            <w:bottom w:w="0" w:type="dxa"/>
            <w:right w:w="108" w:type="dxa"/>
          </w:tblCellMar>
        </w:tblPrEx>
        <w:trPr>
          <w:trHeight w:val="760" w:hRule="atLeast"/>
        </w:trPr>
        <w:tc>
          <w:tcPr>
            <w:tcW w:w="5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乔灌木绿篱修剪24分</w:t>
            </w:r>
          </w:p>
        </w:tc>
        <w:tc>
          <w:tcPr>
            <w:tcW w:w="17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1、乔灌木生长势好，树形完整，层次清楚，没有人为偏冠</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cstheme="minorEastAsia"/>
                <w:color w:val="000000"/>
                <w:sz w:val="24"/>
                <w:szCs w:val="24"/>
              </w:rPr>
            </w:pPr>
          </w:p>
        </w:tc>
        <w:tc>
          <w:tcPr>
            <w:tcW w:w="1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cstheme="minorEastAsia"/>
                <w:color w:val="000000"/>
                <w:sz w:val="24"/>
                <w:szCs w:val="24"/>
              </w:rPr>
            </w:pPr>
          </w:p>
        </w:tc>
        <w:tc>
          <w:tcPr>
            <w:tcW w:w="5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 xml:space="preserve">                                                                                                                 每月考核时随机抽选5-10处，每处1000㎡。分别打分，最后计算得出本月得分。</w:t>
            </w:r>
          </w:p>
        </w:tc>
      </w:tr>
      <w:tr>
        <w:tblPrEx>
          <w:tblCellMar>
            <w:top w:w="0" w:type="dxa"/>
            <w:left w:w="108" w:type="dxa"/>
            <w:bottom w:w="0" w:type="dxa"/>
            <w:right w:w="108" w:type="dxa"/>
          </w:tblCellMar>
        </w:tblPrEx>
        <w:trPr>
          <w:trHeight w:val="94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7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2、枯死枝、徒长枝、下垂枝、折枝、病虫枝、过密枝，萌蘖枝及时清理</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6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7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3、灌木，绿篱、绿雕徒长枝不能高于5CM</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375"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75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4、在规定时间内完成灌木，绿篱、绿雕修剪，确保株形完美、线条整齐、形态逼真。</w:t>
            </w:r>
          </w:p>
        </w:tc>
        <w:tc>
          <w:tcPr>
            <w:tcW w:w="439"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5分</w:t>
            </w:r>
          </w:p>
        </w:tc>
        <w:tc>
          <w:tcPr>
            <w:tcW w:w="403"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heme="minorEastAsia" w:hAnsiTheme="minorEastAsia" w:cstheme="minorEastAsia"/>
                <w:color w:val="000000"/>
                <w:sz w:val="24"/>
                <w:szCs w:val="24"/>
              </w:rPr>
            </w:pPr>
          </w:p>
        </w:tc>
        <w:tc>
          <w:tcPr>
            <w:tcW w:w="1300"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heme="minorEastAsia" w:hAnsiTheme="minorEastAsia" w:cstheme="minorEastAsia"/>
                <w:color w:val="000000"/>
                <w:sz w:val="24"/>
                <w:szCs w:val="24"/>
              </w:rPr>
            </w:pPr>
          </w:p>
        </w:tc>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54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75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Theme="minorEastAsia" w:hAnsiTheme="minorEastAsia" w:cstheme="minorEastAsia"/>
                <w:color w:val="000000"/>
                <w:sz w:val="24"/>
                <w:szCs w:val="24"/>
              </w:rPr>
            </w:pPr>
          </w:p>
        </w:tc>
        <w:tc>
          <w:tcPr>
            <w:tcW w:w="439"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heme="minorEastAsia" w:hAnsiTheme="minorEastAsia" w:cstheme="minorEastAsia"/>
                <w:color w:val="000000"/>
                <w:sz w:val="24"/>
                <w:szCs w:val="24"/>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heme="minorEastAsia" w:hAnsiTheme="minorEastAsia" w:cstheme="minorEastAsia"/>
                <w:color w:val="000000"/>
                <w:sz w:val="24"/>
                <w:szCs w:val="24"/>
              </w:rPr>
            </w:pPr>
          </w:p>
        </w:tc>
        <w:tc>
          <w:tcPr>
            <w:tcW w:w="1300"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heme="minorEastAsia" w:hAnsiTheme="minorEastAsia" w:cstheme="minorEastAsia"/>
                <w:color w:val="000000"/>
                <w:sz w:val="24"/>
                <w:szCs w:val="24"/>
              </w:rPr>
            </w:pPr>
          </w:p>
        </w:tc>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86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7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5、苗木要按照生长习性和花期进行修剪。</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8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7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6、死树及时伐掉、倒树及时扶正</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2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7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7、规定时间完成修剪工作，修剪枝当天及时清理</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4分</w:t>
            </w:r>
          </w:p>
        </w:tc>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6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7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8、草坪修剪整齐，草坪没有杂草斑秃</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52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7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9、及时清除林地内杂草</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840" w:hRule="atLeast"/>
        </w:trPr>
        <w:tc>
          <w:tcPr>
            <w:tcW w:w="5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植物病虫害防治7分</w:t>
            </w:r>
          </w:p>
        </w:tc>
        <w:tc>
          <w:tcPr>
            <w:tcW w:w="17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1、根据虫害发生情况及时以化学防治的方法打药预防</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5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每月考核时随机抽选5-10处，每处1000㎡。分别打分，最后计算得出本月得分。</w:t>
            </w:r>
          </w:p>
        </w:tc>
      </w:tr>
      <w:tr>
        <w:tblPrEx>
          <w:tblCellMar>
            <w:top w:w="0" w:type="dxa"/>
            <w:left w:w="108" w:type="dxa"/>
            <w:bottom w:w="0" w:type="dxa"/>
            <w:right w:w="108" w:type="dxa"/>
          </w:tblCellMar>
        </w:tblPrEx>
        <w:trPr>
          <w:trHeight w:val="68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2、必须使用高效低毒农药</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45"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7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3、防治病虫害效果明显，在可控范围内</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80" w:hRule="atLeast"/>
        </w:trPr>
        <w:tc>
          <w:tcPr>
            <w:tcW w:w="51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浇水24分</w:t>
            </w:r>
          </w:p>
        </w:tc>
        <w:tc>
          <w:tcPr>
            <w:tcW w:w="17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1、及时浇水，没有造成植物萎蔫，枝叶枯黄.</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6分</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4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cstheme="minorEastAsia"/>
                <w:color w:val="000000"/>
                <w:sz w:val="24"/>
                <w:szCs w:val="24"/>
              </w:rPr>
            </w:pPr>
          </w:p>
        </w:tc>
        <w:tc>
          <w:tcPr>
            <w:tcW w:w="1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2、确保浇水浇到位</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5分</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2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cstheme="minorEastAsia"/>
                <w:color w:val="000000"/>
                <w:sz w:val="24"/>
                <w:szCs w:val="24"/>
              </w:rPr>
            </w:pPr>
          </w:p>
        </w:tc>
        <w:tc>
          <w:tcPr>
            <w:tcW w:w="1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3、确保浇水浇透</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5分</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15"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cstheme="minorEastAsia"/>
                <w:color w:val="000000"/>
                <w:sz w:val="24"/>
                <w:szCs w:val="24"/>
              </w:rPr>
            </w:pPr>
          </w:p>
        </w:tc>
        <w:tc>
          <w:tcPr>
            <w:tcW w:w="17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4、确保各类灌溉系统正常浇水，未出现跑冒滴漏现象</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5分</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6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cstheme="minorEastAsia"/>
                <w:color w:val="000000"/>
                <w:sz w:val="24"/>
                <w:szCs w:val="24"/>
              </w:rPr>
            </w:pPr>
          </w:p>
        </w:tc>
        <w:tc>
          <w:tcPr>
            <w:tcW w:w="17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5、及时清洗乔灌木灰尘</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1080" w:hRule="atLeast"/>
        </w:trPr>
        <w:tc>
          <w:tcPr>
            <w:tcW w:w="5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绿地整理15分</w:t>
            </w:r>
          </w:p>
        </w:tc>
        <w:tc>
          <w:tcPr>
            <w:tcW w:w="17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1、及时清理林带内的枯枝败叶以及垃圾，卫生打扫干净，保持林带内环境优美整洁。</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4分</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5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 xml:space="preserve">每月考核时随机抽选5-10处，每处1000㎡。分别打分，最后计算得出本月得分  </w:t>
            </w:r>
          </w:p>
        </w:tc>
      </w:tr>
      <w:tr>
        <w:tblPrEx>
          <w:tblCellMar>
            <w:top w:w="0" w:type="dxa"/>
            <w:left w:w="108" w:type="dxa"/>
            <w:bottom w:w="0" w:type="dxa"/>
            <w:right w:w="108" w:type="dxa"/>
          </w:tblCellMar>
        </w:tblPrEx>
        <w:trPr>
          <w:trHeight w:val="84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7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2、林带没有悬挂物及私搭乱建现象</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8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7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3、平整林带并进行中耕松土</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6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7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4、确保树穴为下沉式</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4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7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5、肥料需施在树穴并深翻</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96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7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6、在规定时间保质保量完成施肥工作</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1000" w:hRule="atLeast"/>
        </w:trPr>
        <w:tc>
          <w:tcPr>
            <w:tcW w:w="51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安全生产管理10分</w:t>
            </w:r>
          </w:p>
        </w:tc>
        <w:tc>
          <w:tcPr>
            <w:tcW w:w="17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1、及时排查处理安全隐患</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4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7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2、配备安全保护器材</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84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7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3、合理规范操作机械</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8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7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4、做好安全警示标志</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880" w:hRule="atLeast"/>
        </w:trPr>
        <w:tc>
          <w:tcPr>
            <w:tcW w:w="5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日常管理15分</w:t>
            </w:r>
          </w:p>
        </w:tc>
        <w:tc>
          <w:tcPr>
            <w:tcW w:w="17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1、养护单位对园林队的工作安排及时落实到位</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color w:val="000000"/>
                <w:sz w:val="24"/>
                <w:szCs w:val="24"/>
              </w:rPr>
            </w:pPr>
          </w:p>
        </w:tc>
        <w:tc>
          <w:tcPr>
            <w:tcW w:w="13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color w:val="000000"/>
                <w:sz w:val="24"/>
                <w:szCs w:val="24"/>
              </w:rPr>
            </w:pPr>
          </w:p>
        </w:tc>
        <w:tc>
          <w:tcPr>
            <w:tcW w:w="5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 xml:space="preserve">每月考核时随机抽选5-10处，每处1000㎡。分别打分，最后计算得出本月得分  </w:t>
            </w:r>
          </w:p>
        </w:tc>
      </w:tr>
      <w:tr>
        <w:tblPrEx>
          <w:tblCellMar>
            <w:top w:w="0" w:type="dxa"/>
            <w:left w:w="108" w:type="dxa"/>
            <w:bottom w:w="0" w:type="dxa"/>
            <w:right w:w="108" w:type="dxa"/>
          </w:tblCellMar>
        </w:tblPrEx>
        <w:trPr>
          <w:trHeight w:val="72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7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2、服从单位安排的应急事件，并且保质保量完成。</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4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13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8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7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3、禁止用高压水枪冲洗路面时，产生的垃圾进入林带。</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13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104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7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4、对毁绿占绿现象及时发现、及时阻止、现场取证、上报主管科室并配合监察科工作</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4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13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4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7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5、按要求上报工作计划、工作小结</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4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7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6、养护人员配置到位</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900" w:hRule="atLeast"/>
        </w:trPr>
        <w:tc>
          <w:tcPr>
            <w:tcW w:w="5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设施设备维修5分</w:t>
            </w:r>
          </w:p>
        </w:tc>
        <w:tc>
          <w:tcPr>
            <w:tcW w:w="17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1、各种标牌、标志物、辅助设施损坏及时修复</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8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7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2、林地内的水井盖完好</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80" w:hRule="atLeast"/>
        </w:trPr>
        <w:tc>
          <w:tcPr>
            <w:tcW w:w="22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当月考核分数</w:t>
            </w:r>
          </w:p>
        </w:tc>
        <w:tc>
          <w:tcPr>
            <w:tcW w:w="214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cstheme="minorEastAsia"/>
                <w:color w:val="000000"/>
                <w:sz w:val="24"/>
                <w:szCs w:val="24"/>
              </w:rPr>
            </w:pPr>
          </w:p>
        </w:tc>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500" w:hRule="atLeast"/>
        </w:trPr>
        <w:tc>
          <w:tcPr>
            <w:tcW w:w="2298" w:type="pct"/>
            <w:gridSpan w:val="3"/>
            <w:tcBorders>
              <w:top w:val="nil"/>
              <w:left w:val="nil"/>
              <w:bottom w:val="nil"/>
              <w:right w:val="nil"/>
            </w:tcBorders>
            <w:shd w:val="clear" w:color="auto" w:fill="auto"/>
            <w:noWrap/>
            <w:vAlign w:val="center"/>
          </w:tcPr>
          <w:p>
            <w:pP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 xml:space="preserve">考核人签字：                                              </w:t>
            </w:r>
          </w:p>
        </w:tc>
        <w:tc>
          <w:tcPr>
            <w:tcW w:w="2701" w:type="pct"/>
            <w:gridSpan w:val="4"/>
            <w:tcBorders>
              <w:top w:val="nil"/>
              <w:left w:val="nil"/>
              <w:bottom w:val="nil"/>
              <w:right w:val="nil"/>
            </w:tcBorders>
            <w:shd w:val="clear" w:color="auto" w:fill="auto"/>
            <w:noWrap/>
            <w:vAlign w:val="center"/>
          </w:tcPr>
          <w:p>
            <w:pP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养护单位负责人签字：</w:t>
            </w:r>
          </w:p>
        </w:tc>
      </w:tr>
    </w:tbl>
    <w:p>
      <w:pPr>
        <w:ind w:firstLine="482"/>
        <w:rPr>
          <w:rFonts w:cs="宋体" w:asciiTheme="minorEastAsia" w:hAnsiTheme="minorEastAsia"/>
          <w:b/>
          <w:sz w:val="24"/>
          <w:szCs w:val="24"/>
        </w:rPr>
      </w:pPr>
      <w:r>
        <w:rPr>
          <w:rFonts w:hint="eastAsia" w:cs="宋体" w:asciiTheme="minorEastAsia" w:hAnsiTheme="minorEastAsia"/>
          <w:b/>
          <w:sz w:val="24"/>
          <w:szCs w:val="24"/>
        </w:rPr>
        <w:br w:type="page"/>
      </w:r>
    </w:p>
    <w:p>
      <w:pPr>
        <w:ind w:firstLine="482"/>
        <w:rPr>
          <w:rFonts w:cs="宋体" w:asciiTheme="minorEastAsia" w:hAnsiTheme="minorEastAsia"/>
          <w:b/>
          <w:sz w:val="24"/>
          <w:szCs w:val="24"/>
        </w:rPr>
      </w:pPr>
    </w:p>
    <w:tbl>
      <w:tblPr>
        <w:tblStyle w:val="34"/>
        <w:tblW w:w="5000" w:type="pct"/>
        <w:tblInd w:w="0" w:type="dxa"/>
        <w:tblLayout w:type="fixed"/>
        <w:tblCellMar>
          <w:top w:w="0" w:type="dxa"/>
          <w:left w:w="108" w:type="dxa"/>
          <w:bottom w:w="0" w:type="dxa"/>
          <w:right w:w="108" w:type="dxa"/>
        </w:tblCellMar>
      </w:tblPr>
      <w:tblGrid>
        <w:gridCol w:w="933"/>
        <w:gridCol w:w="3269"/>
        <w:gridCol w:w="67"/>
        <w:gridCol w:w="749"/>
        <w:gridCol w:w="765"/>
        <w:gridCol w:w="2402"/>
        <w:gridCol w:w="1103"/>
      </w:tblGrid>
      <w:tr>
        <w:tblPrEx>
          <w:tblCellMar>
            <w:top w:w="0" w:type="dxa"/>
            <w:left w:w="108" w:type="dxa"/>
            <w:bottom w:w="0" w:type="dxa"/>
            <w:right w:w="108" w:type="dxa"/>
          </w:tblCellMar>
        </w:tblPrEx>
        <w:trPr>
          <w:trHeight w:val="600" w:hRule="atLeast"/>
        </w:trPr>
        <w:tc>
          <w:tcPr>
            <w:tcW w:w="5000" w:type="pct"/>
            <w:gridSpan w:val="7"/>
            <w:tcBorders>
              <w:top w:val="nil"/>
              <w:left w:val="nil"/>
              <w:bottom w:val="nil"/>
              <w:right w:val="nil"/>
            </w:tcBorders>
            <w:shd w:val="clear" w:color="auto" w:fill="auto"/>
            <w:noWrap/>
            <w:vAlign w:val="center"/>
          </w:tcPr>
          <w:p>
            <w:pPr>
              <w:widowControl/>
              <w:ind w:firstLine="482"/>
              <w:jc w:val="center"/>
              <w:textAlignment w:val="center"/>
              <w:rPr>
                <w:rFonts w:asciiTheme="minorEastAsia" w:hAnsiTheme="minorEastAsia" w:cstheme="minorEastAsia"/>
                <w:b/>
                <w:bCs/>
                <w:color w:val="000000"/>
                <w:sz w:val="24"/>
                <w:szCs w:val="24"/>
              </w:rPr>
            </w:pPr>
            <w:r>
              <w:rPr>
                <w:rFonts w:hint="eastAsia" w:asciiTheme="minorEastAsia" w:hAnsiTheme="minorEastAsia" w:cstheme="minorEastAsia"/>
                <w:b/>
                <w:bCs/>
                <w:color w:val="000000"/>
                <w:kern w:val="0"/>
                <w:sz w:val="24"/>
                <w:szCs w:val="24"/>
                <w:lang w:bidi="ar"/>
              </w:rPr>
              <w:t>10月11月米东区绿地养护考核评分表(道路二级)</w:t>
            </w:r>
          </w:p>
        </w:tc>
      </w:tr>
      <w:tr>
        <w:tblPrEx>
          <w:tblCellMar>
            <w:top w:w="0" w:type="dxa"/>
            <w:left w:w="108" w:type="dxa"/>
            <w:bottom w:w="0" w:type="dxa"/>
            <w:right w:w="108" w:type="dxa"/>
          </w:tblCellMar>
        </w:tblPrEx>
        <w:trPr>
          <w:trHeight w:val="540" w:hRule="atLeast"/>
        </w:trPr>
        <w:tc>
          <w:tcPr>
            <w:tcW w:w="5000" w:type="pct"/>
            <w:gridSpan w:val="7"/>
            <w:tcBorders>
              <w:top w:val="nil"/>
              <w:left w:val="nil"/>
              <w:bottom w:val="nil"/>
              <w:right w:val="nil"/>
            </w:tcBorders>
            <w:shd w:val="clear" w:color="auto" w:fill="auto"/>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日期：                    养护公司：                      养护面积：</w:t>
            </w:r>
          </w:p>
        </w:tc>
      </w:tr>
      <w:tr>
        <w:tblPrEx>
          <w:tblCellMar>
            <w:top w:w="0" w:type="dxa"/>
            <w:left w:w="108" w:type="dxa"/>
            <w:bottom w:w="0" w:type="dxa"/>
            <w:right w:w="108" w:type="dxa"/>
          </w:tblCellMar>
        </w:tblPrEx>
        <w:trPr>
          <w:trHeight w:val="660" w:hRule="atLeast"/>
        </w:trPr>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考核项目</w:t>
            </w:r>
          </w:p>
        </w:tc>
        <w:tc>
          <w:tcPr>
            <w:tcW w:w="1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考核内容</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评分标准</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得  分</w:t>
            </w:r>
          </w:p>
        </w:tc>
        <w:tc>
          <w:tcPr>
            <w:tcW w:w="1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扣分原因</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备  注</w:t>
            </w:r>
          </w:p>
        </w:tc>
      </w:tr>
      <w:tr>
        <w:tblPrEx>
          <w:tblCellMar>
            <w:top w:w="0" w:type="dxa"/>
            <w:left w:w="108" w:type="dxa"/>
            <w:bottom w:w="0" w:type="dxa"/>
            <w:right w:w="108" w:type="dxa"/>
          </w:tblCellMar>
        </w:tblPrEx>
        <w:trPr>
          <w:trHeight w:val="680" w:hRule="atLeast"/>
        </w:trPr>
        <w:tc>
          <w:tcPr>
            <w:tcW w:w="5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乔灌木修剪23分</w:t>
            </w:r>
          </w:p>
        </w:tc>
        <w:tc>
          <w:tcPr>
            <w:tcW w:w="17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1、乔灌木生长势好，树形完整，层次清楚，没有人为偏冠</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5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 xml:space="preserve">                                                                                                              每月考核时随机抽选5-10处，每处1000㎡。分别打分，最后计算得出本月得分。</w:t>
            </w:r>
          </w:p>
        </w:tc>
      </w:tr>
      <w:tr>
        <w:tblPrEx>
          <w:tblCellMar>
            <w:top w:w="0" w:type="dxa"/>
            <w:left w:w="108" w:type="dxa"/>
            <w:bottom w:w="0" w:type="dxa"/>
            <w:right w:w="108" w:type="dxa"/>
          </w:tblCellMar>
        </w:tblPrEx>
        <w:trPr>
          <w:trHeight w:val="735" w:hRule="atLeast"/>
        </w:trPr>
        <w:tc>
          <w:tcPr>
            <w:tcW w:w="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7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2、枯死枝、徒长枝、下垂枝、折枝、病虫枝、过密枝及时清理</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960" w:hRule="atLeast"/>
        </w:trPr>
        <w:tc>
          <w:tcPr>
            <w:tcW w:w="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7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3、在规定时间内完成灌木，绿篱、绿雕修剪，确保株形完美、线条整齐、形态逼真。</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4分</w:t>
            </w:r>
          </w:p>
        </w:tc>
        <w:tc>
          <w:tcPr>
            <w:tcW w:w="4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920" w:hRule="atLeast"/>
        </w:trPr>
        <w:tc>
          <w:tcPr>
            <w:tcW w:w="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7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4、按苗木生长习性修剪，灌木，绿篱、绿雕徒长枝不能高于5CM</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40" w:hRule="atLeast"/>
        </w:trPr>
        <w:tc>
          <w:tcPr>
            <w:tcW w:w="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7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5、按规定时间完成修剪工作，修剪枝当天及时清理</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4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00" w:hRule="atLeast"/>
        </w:trPr>
        <w:tc>
          <w:tcPr>
            <w:tcW w:w="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7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6、死树及时伐掉、倒树及时扶正</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80" w:hRule="atLeast"/>
        </w:trPr>
        <w:tc>
          <w:tcPr>
            <w:tcW w:w="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7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7、草坪修剪整齐，草坪没有杂草斑秃入冬前完成最后一次修剪</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540" w:hRule="atLeast"/>
        </w:trPr>
        <w:tc>
          <w:tcPr>
            <w:tcW w:w="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7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8、及时清除林地内杂草</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540" w:hRule="atLeast"/>
        </w:trPr>
        <w:tc>
          <w:tcPr>
            <w:tcW w:w="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7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9、3㎝以上剪口、损伤部位涂防护剂</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00" w:hRule="atLeast"/>
        </w:trPr>
        <w:tc>
          <w:tcPr>
            <w:tcW w:w="50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乔灌木栽植10分</w:t>
            </w:r>
          </w:p>
        </w:tc>
        <w:tc>
          <w:tcPr>
            <w:tcW w:w="17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1、按要求合理规范施工</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 xml:space="preserve">                                                                                                                每月考核时随机抽选5-10处，每处1000㎡。分别打分，最后计算得出本月得分。</w:t>
            </w:r>
          </w:p>
        </w:tc>
      </w:tr>
      <w:tr>
        <w:tblPrEx>
          <w:tblCellMar>
            <w:top w:w="0" w:type="dxa"/>
            <w:left w:w="108" w:type="dxa"/>
            <w:bottom w:w="0" w:type="dxa"/>
            <w:right w:w="108" w:type="dxa"/>
          </w:tblCellMar>
        </w:tblPrEx>
        <w:trPr>
          <w:trHeight w:val="680" w:hRule="atLeast"/>
        </w:trPr>
        <w:tc>
          <w:tcPr>
            <w:tcW w:w="5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7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2、苗木当天需栽植并完成浇水工作</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4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00" w:hRule="atLeast"/>
        </w:trPr>
        <w:tc>
          <w:tcPr>
            <w:tcW w:w="5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7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3、确保苗木的成活率</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4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560" w:hRule="atLeast"/>
        </w:trPr>
        <w:tc>
          <w:tcPr>
            <w:tcW w:w="5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7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4、在规定时间内完成</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20" w:hRule="atLeast"/>
        </w:trPr>
        <w:tc>
          <w:tcPr>
            <w:tcW w:w="5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冬灌浇水23分</w:t>
            </w:r>
          </w:p>
        </w:tc>
        <w:tc>
          <w:tcPr>
            <w:tcW w:w="17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1、按要求及时冬灌</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5分</w:t>
            </w:r>
          </w:p>
        </w:tc>
        <w:tc>
          <w:tcPr>
            <w:tcW w:w="4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60" w:hRule="atLeast"/>
        </w:trPr>
        <w:tc>
          <w:tcPr>
            <w:tcW w:w="5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cstheme="minorEastAsia"/>
                <w:color w:val="000000"/>
                <w:sz w:val="24"/>
                <w:szCs w:val="24"/>
              </w:rPr>
            </w:pPr>
          </w:p>
        </w:tc>
        <w:tc>
          <w:tcPr>
            <w:tcW w:w="17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2、确保浇水浇到位</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6分</w:t>
            </w:r>
          </w:p>
        </w:tc>
        <w:tc>
          <w:tcPr>
            <w:tcW w:w="4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20" w:hRule="atLeast"/>
        </w:trPr>
        <w:tc>
          <w:tcPr>
            <w:tcW w:w="5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cstheme="minorEastAsia"/>
                <w:color w:val="000000"/>
                <w:sz w:val="24"/>
                <w:szCs w:val="24"/>
              </w:rPr>
            </w:pPr>
          </w:p>
        </w:tc>
        <w:tc>
          <w:tcPr>
            <w:tcW w:w="17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3、确保浇水浇透</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6分</w:t>
            </w:r>
          </w:p>
        </w:tc>
        <w:tc>
          <w:tcPr>
            <w:tcW w:w="4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20" w:hRule="atLeast"/>
        </w:trPr>
        <w:tc>
          <w:tcPr>
            <w:tcW w:w="5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cstheme="minorEastAsia"/>
                <w:color w:val="000000"/>
                <w:sz w:val="24"/>
                <w:szCs w:val="24"/>
              </w:rPr>
            </w:pPr>
          </w:p>
        </w:tc>
        <w:tc>
          <w:tcPr>
            <w:tcW w:w="17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4、及时做好排水工作</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4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40" w:hRule="atLeast"/>
        </w:trPr>
        <w:tc>
          <w:tcPr>
            <w:tcW w:w="5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cstheme="minorEastAsia"/>
                <w:color w:val="000000"/>
                <w:sz w:val="24"/>
                <w:szCs w:val="24"/>
              </w:rPr>
            </w:pPr>
          </w:p>
        </w:tc>
        <w:tc>
          <w:tcPr>
            <w:tcW w:w="17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5、清洗乔灌木灰尘</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4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1020" w:hRule="atLeast"/>
        </w:trPr>
        <w:tc>
          <w:tcPr>
            <w:tcW w:w="5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绿地整理15分</w:t>
            </w:r>
          </w:p>
        </w:tc>
        <w:tc>
          <w:tcPr>
            <w:tcW w:w="17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1、及时清理林带内的枯枝败叶以及垃圾，卫生打扫干净，保持林带内环境优美整洁。</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5分</w:t>
            </w:r>
          </w:p>
        </w:tc>
        <w:tc>
          <w:tcPr>
            <w:tcW w:w="4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 xml:space="preserve">每月考核时随机抽选5-10处，每处1000㎡。分别打分，最后计算得出本月得分  </w:t>
            </w:r>
          </w:p>
        </w:tc>
      </w:tr>
      <w:tr>
        <w:tblPrEx>
          <w:tblCellMar>
            <w:top w:w="0" w:type="dxa"/>
            <w:left w:w="108" w:type="dxa"/>
            <w:bottom w:w="0" w:type="dxa"/>
            <w:right w:w="108" w:type="dxa"/>
          </w:tblCellMar>
        </w:tblPrEx>
        <w:trPr>
          <w:trHeight w:val="1000" w:hRule="atLeast"/>
        </w:trPr>
        <w:tc>
          <w:tcPr>
            <w:tcW w:w="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7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2、林带内没有悬挂物及私搭乱建现象</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960" w:hRule="atLeast"/>
        </w:trPr>
        <w:tc>
          <w:tcPr>
            <w:tcW w:w="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7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3、平整林带并进行中耕除草，松土</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4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900" w:hRule="atLeast"/>
        </w:trPr>
        <w:tc>
          <w:tcPr>
            <w:tcW w:w="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7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4、确保树穴为下沉式</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920" w:hRule="atLeast"/>
        </w:trPr>
        <w:tc>
          <w:tcPr>
            <w:tcW w:w="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7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5、及时完成花卉种植区的整理、翻土及中耕除草工作</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4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960" w:hRule="atLeast"/>
        </w:trPr>
        <w:tc>
          <w:tcPr>
            <w:tcW w:w="50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安全生产管理10分</w:t>
            </w:r>
          </w:p>
        </w:tc>
        <w:tc>
          <w:tcPr>
            <w:tcW w:w="17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1、及时排查处理安全隐患</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4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60" w:hRule="atLeast"/>
        </w:trPr>
        <w:tc>
          <w:tcPr>
            <w:tcW w:w="5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7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2、配备安全保护器材</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4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80" w:hRule="atLeast"/>
        </w:trPr>
        <w:tc>
          <w:tcPr>
            <w:tcW w:w="5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7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3、合理规范操作机械</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40" w:hRule="atLeast"/>
        </w:trPr>
        <w:tc>
          <w:tcPr>
            <w:tcW w:w="5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7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4、做好安全警示标志</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80" w:hRule="atLeast"/>
        </w:trPr>
        <w:tc>
          <w:tcPr>
            <w:tcW w:w="5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日常管理15分</w:t>
            </w:r>
          </w:p>
        </w:tc>
        <w:tc>
          <w:tcPr>
            <w:tcW w:w="17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1、养护单位对园林局安排的工作及时落实到位</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4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12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5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 xml:space="preserve">每月考核时随机抽选5-10处，每处1000㎡。分别打分，最后计算得出本月得分  </w:t>
            </w:r>
          </w:p>
        </w:tc>
      </w:tr>
      <w:tr>
        <w:tblPrEx>
          <w:tblCellMar>
            <w:top w:w="0" w:type="dxa"/>
            <w:left w:w="108" w:type="dxa"/>
            <w:bottom w:w="0" w:type="dxa"/>
            <w:right w:w="108" w:type="dxa"/>
          </w:tblCellMar>
        </w:tblPrEx>
        <w:trPr>
          <w:trHeight w:val="780" w:hRule="atLeast"/>
        </w:trPr>
        <w:tc>
          <w:tcPr>
            <w:tcW w:w="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7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2、服从单位安排的应急事件，并且保质保量完成。</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4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12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80" w:hRule="atLeast"/>
        </w:trPr>
        <w:tc>
          <w:tcPr>
            <w:tcW w:w="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7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3、禁止用高压水枪冲洗路面时产生的垃圾进入林带。</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12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980" w:hRule="atLeast"/>
        </w:trPr>
        <w:tc>
          <w:tcPr>
            <w:tcW w:w="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7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4、对毁绿占绿现象及时发现、及时阻止、现场取证，上报主管科室，并配合监察科工作</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4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12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580" w:hRule="atLeast"/>
        </w:trPr>
        <w:tc>
          <w:tcPr>
            <w:tcW w:w="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7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5、按要求报工作计划、工作小结</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00" w:hRule="atLeast"/>
        </w:trPr>
        <w:tc>
          <w:tcPr>
            <w:tcW w:w="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7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6、养护人员配置到位</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900" w:hRule="atLeast"/>
        </w:trPr>
        <w:tc>
          <w:tcPr>
            <w:tcW w:w="5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br w:type="textWrapping"/>
            </w:r>
            <w:r>
              <w:rPr>
                <w:rFonts w:hint="eastAsia" w:asciiTheme="minorEastAsia" w:hAnsiTheme="minorEastAsia" w:cstheme="minorEastAsia"/>
                <w:color w:val="000000"/>
                <w:kern w:val="0"/>
                <w:sz w:val="24"/>
                <w:szCs w:val="24"/>
                <w:lang w:bidi="ar"/>
              </w:rPr>
              <w:t>设施设备维修4分</w:t>
            </w:r>
          </w:p>
        </w:tc>
        <w:tc>
          <w:tcPr>
            <w:tcW w:w="17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1、各种标牌、标志物、辅助设施损坏及时修复</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40" w:hRule="atLeast"/>
        </w:trPr>
        <w:tc>
          <w:tcPr>
            <w:tcW w:w="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7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2、林地内的水井盖完好</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580" w:hRule="atLeast"/>
        </w:trPr>
        <w:tc>
          <w:tcPr>
            <w:tcW w:w="22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当月考核得分</w:t>
            </w:r>
          </w:p>
        </w:tc>
        <w:tc>
          <w:tcPr>
            <w:tcW w:w="214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cstheme="minorEastAsia"/>
                <w:color w:val="000000"/>
                <w:sz w:val="24"/>
                <w:szCs w:val="24"/>
              </w:rPr>
            </w:pPr>
          </w:p>
        </w:tc>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500" w:hRule="atLeast"/>
        </w:trPr>
        <w:tc>
          <w:tcPr>
            <w:tcW w:w="2298" w:type="pct"/>
            <w:gridSpan w:val="3"/>
            <w:tcBorders>
              <w:top w:val="nil"/>
              <w:left w:val="nil"/>
              <w:bottom w:val="nil"/>
              <w:right w:val="nil"/>
            </w:tcBorders>
            <w:shd w:val="clear" w:color="auto" w:fill="auto"/>
            <w:noWrap/>
            <w:vAlign w:val="center"/>
          </w:tcPr>
          <w:p>
            <w:pP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 xml:space="preserve">考核人签字：                                              </w:t>
            </w:r>
          </w:p>
        </w:tc>
        <w:tc>
          <w:tcPr>
            <w:tcW w:w="2701" w:type="pct"/>
            <w:gridSpan w:val="4"/>
            <w:tcBorders>
              <w:top w:val="nil"/>
              <w:left w:val="nil"/>
              <w:bottom w:val="nil"/>
              <w:right w:val="nil"/>
            </w:tcBorders>
            <w:shd w:val="clear" w:color="auto" w:fill="auto"/>
            <w:noWrap/>
            <w:vAlign w:val="center"/>
          </w:tcPr>
          <w:p>
            <w:pP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养护单位负责人签字：</w:t>
            </w:r>
          </w:p>
        </w:tc>
      </w:tr>
    </w:tbl>
    <w:p>
      <w:pPr>
        <w:ind w:firstLine="482"/>
        <w:rPr>
          <w:rFonts w:cs="宋体" w:asciiTheme="minorEastAsia" w:hAnsiTheme="minorEastAsia"/>
          <w:b/>
          <w:sz w:val="24"/>
          <w:szCs w:val="24"/>
        </w:rPr>
      </w:pPr>
      <w:r>
        <w:rPr>
          <w:rFonts w:hint="eastAsia" w:cs="宋体" w:asciiTheme="minorEastAsia" w:hAnsiTheme="minorEastAsia"/>
          <w:b/>
          <w:sz w:val="24"/>
          <w:szCs w:val="24"/>
        </w:rPr>
        <w:br w:type="page"/>
      </w:r>
    </w:p>
    <w:p>
      <w:pPr>
        <w:ind w:firstLine="482"/>
        <w:rPr>
          <w:rFonts w:cs="宋体" w:asciiTheme="minorEastAsia" w:hAnsiTheme="minorEastAsia"/>
          <w:b/>
          <w:sz w:val="24"/>
          <w:szCs w:val="24"/>
        </w:rPr>
      </w:pPr>
    </w:p>
    <w:tbl>
      <w:tblPr>
        <w:tblStyle w:val="34"/>
        <w:tblW w:w="5000" w:type="pct"/>
        <w:tblInd w:w="0" w:type="dxa"/>
        <w:tblLayout w:type="fixed"/>
        <w:tblCellMar>
          <w:top w:w="0" w:type="dxa"/>
          <w:left w:w="108" w:type="dxa"/>
          <w:bottom w:w="0" w:type="dxa"/>
          <w:right w:w="108" w:type="dxa"/>
        </w:tblCellMar>
      </w:tblPr>
      <w:tblGrid>
        <w:gridCol w:w="989"/>
        <w:gridCol w:w="3229"/>
        <w:gridCol w:w="50"/>
        <w:gridCol w:w="765"/>
        <w:gridCol w:w="749"/>
        <w:gridCol w:w="2456"/>
        <w:gridCol w:w="1050"/>
      </w:tblGrid>
      <w:tr>
        <w:tblPrEx>
          <w:tblCellMar>
            <w:top w:w="0" w:type="dxa"/>
            <w:left w:w="108" w:type="dxa"/>
            <w:bottom w:w="0" w:type="dxa"/>
            <w:right w:w="108" w:type="dxa"/>
          </w:tblCellMar>
        </w:tblPrEx>
        <w:trPr>
          <w:trHeight w:val="840" w:hRule="atLeast"/>
        </w:trPr>
        <w:tc>
          <w:tcPr>
            <w:tcW w:w="5000" w:type="pct"/>
            <w:gridSpan w:val="7"/>
            <w:tcBorders>
              <w:top w:val="nil"/>
              <w:left w:val="nil"/>
              <w:bottom w:val="nil"/>
              <w:right w:val="nil"/>
            </w:tcBorders>
            <w:shd w:val="clear" w:color="auto" w:fill="auto"/>
            <w:noWrap/>
            <w:vAlign w:val="center"/>
          </w:tcPr>
          <w:p>
            <w:pPr>
              <w:widowControl/>
              <w:ind w:firstLine="482"/>
              <w:jc w:val="center"/>
              <w:textAlignment w:val="center"/>
              <w:rPr>
                <w:rFonts w:asciiTheme="minorEastAsia" w:hAnsiTheme="minorEastAsia" w:cstheme="minorEastAsia"/>
                <w:b/>
                <w:bCs/>
                <w:color w:val="000000"/>
                <w:sz w:val="24"/>
                <w:szCs w:val="24"/>
              </w:rPr>
            </w:pPr>
            <w:r>
              <w:rPr>
                <w:rFonts w:hint="eastAsia" w:asciiTheme="minorEastAsia" w:hAnsiTheme="minorEastAsia" w:cstheme="minorEastAsia"/>
                <w:b/>
                <w:bCs/>
                <w:color w:val="000000"/>
                <w:kern w:val="0"/>
                <w:sz w:val="24"/>
                <w:szCs w:val="24"/>
                <w:lang w:bidi="ar"/>
              </w:rPr>
              <w:t>12月1月2月米东区绿地养护考核评分表(道路二级)</w:t>
            </w:r>
          </w:p>
        </w:tc>
      </w:tr>
      <w:tr>
        <w:tblPrEx>
          <w:tblCellMar>
            <w:top w:w="0" w:type="dxa"/>
            <w:left w:w="108" w:type="dxa"/>
            <w:bottom w:w="0" w:type="dxa"/>
            <w:right w:w="108" w:type="dxa"/>
          </w:tblCellMar>
        </w:tblPrEx>
        <w:trPr>
          <w:trHeight w:val="780" w:hRule="atLeast"/>
        </w:trPr>
        <w:tc>
          <w:tcPr>
            <w:tcW w:w="5000" w:type="pct"/>
            <w:gridSpan w:val="7"/>
            <w:tcBorders>
              <w:top w:val="nil"/>
              <w:left w:val="nil"/>
              <w:bottom w:val="nil"/>
              <w:right w:val="nil"/>
            </w:tcBorders>
            <w:shd w:val="clear" w:color="auto" w:fill="auto"/>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日期：                   养护公司：                                 养护面积：</w:t>
            </w:r>
          </w:p>
        </w:tc>
      </w:tr>
      <w:tr>
        <w:tblPrEx>
          <w:tblCellMar>
            <w:top w:w="0" w:type="dxa"/>
            <w:left w:w="108" w:type="dxa"/>
            <w:bottom w:w="0" w:type="dxa"/>
            <w:right w:w="108" w:type="dxa"/>
          </w:tblCellMar>
        </w:tblPrEx>
        <w:trPr>
          <w:trHeight w:val="840" w:hRule="atLeast"/>
        </w:trPr>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考核项目</w:t>
            </w:r>
          </w:p>
        </w:tc>
        <w:tc>
          <w:tcPr>
            <w:tcW w:w="1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考核内容</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评分标准</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得  分</w:t>
            </w:r>
          </w:p>
        </w:tc>
        <w:tc>
          <w:tcPr>
            <w:tcW w:w="1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扣分原因</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备  注</w:t>
            </w:r>
          </w:p>
        </w:tc>
      </w:tr>
      <w:tr>
        <w:tblPrEx>
          <w:tblCellMar>
            <w:top w:w="0" w:type="dxa"/>
            <w:left w:w="108" w:type="dxa"/>
            <w:bottom w:w="0" w:type="dxa"/>
            <w:right w:w="108" w:type="dxa"/>
          </w:tblCellMar>
        </w:tblPrEx>
        <w:trPr>
          <w:trHeight w:val="990" w:hRule="atLeast"/>
        </w:trPr>
        <w:tc>
          <w:tcPr>
            <w:tcW w:w="53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绿地管理55分</w:t>
            </w:r>
          </w:p>
        </w:tc>
        <w:tc>
          <w:tcPr>
            <w:tcW w:w="17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1、巡查养护林地，没有毁绿占绿现象，发现问题及时上报</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10分</w:t>
            </w:r>
          </w:p>
        </w:tc>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 xml:space="preserve">每月考核时随机抽选5-10处，每处1000㎡。分别打分，最后计算得出本月得分。 </w:t>
            </w:r>
          </w:p>
        </w:tc>
      </w:tr>
      <w:tr>
        <w:tblPrEx>
          <w:tblCellMar>
            <w:top w:w="0" w:type="dxa"/>
            <w:left w:w="108" w:type="dxa"/>
            <w:bottom w:w="0" w:type="dxa"/>
            <w:right w:w="108" w:type="dxa"/>
          </w:tblCellMar>
        </w:tblPrEx>
        <w:trPr>
          <w:trHeight w:val="700" w:hRule="atLeast"/>
        </w:trPr>
        <w:tc>
          <w:tcPr>
            <w:tcW w:w="53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7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2、及时制止倒融雪剂现象</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30分</w:t>
            </w:r>
          </w:p>
        </w:tc>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900" w:hRule="atLeast"/>
        </w:trPr>
        <w:tc>
          <w:tcPr>
            <w:tcW w:w="53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7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3、及时清理垃圾，卫生打扫干净，保持林带内环境优美整洁。</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10分</w:t>
            </w:r>
          </w:p>
        </w:tc>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60" w:hRule="atLeast"/>
        </w:trPr>
        <w:tc>
          <w:tcPr>
            <w:tcW w:w="53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7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4、及时清除乔灌木枝叶上积雪</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5分</w:t>
            </w:r>
          </w:p>
        </w:tc>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40" w:hRule="atLeast"/>
        </w:trPr>
        <w:tc>
          <w:tcPr>
            <w:tcW w:w="53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安全生产管理10分</w:t>
            </w:r>
          </w:p>
        </w:tc>
        <w:tc>
          <w:tcPr>
            <w:tcW w:w="17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1、及时排查处理各种安全隐患</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20" w:hRule="atLeast"/>
        </w:trPr>
        <w:tc>
          <w:tcPr>
            <w:tcW w:w="53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7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2、配备安全保护器材</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40" w:hRule="atLeast"/>
        </w:trPr>
        <w:tc>
          <w:tcPr>
            <w:tcW w:w="53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7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3、合理规范操作机械</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80" w:hRule="atLeast"/>
        </w:trPr>
        <w:tc>
          <w:tcPr>
            <w:tcW w:w="53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7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4、做好安全警示标志</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960" w:hRule="atLeast"/>
        </w:trPr>
        <w:tc>
          <w:tcPr>
            <w:tcW w:w="53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日常管理30分</w:t>
            </w:r>
          </w:p>
        </w:tc>
        <w:tc>
          <w:tcPr>
            <w:tcW w:w="17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1、养护单位对园林局安排的工作及时落实到位</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7分</w:t>
            </w:r>
          </w:p>
        </w:tc>
        <w:tc>
          <w:tcPr>
            <w:tcW w:w="4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13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5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每月考核时随机抽选5-10处，每处1000㎡。分别打分，最后计算得出本月得分。</w:t>
            </w:r>
          </w:p>
        </w:tc>
      </w:tr>
      <w:tr>
        <w:tblPrEx>
          <w:tblCellMar>
            <w:top w:w="0" w:type="dxa"/>
            <w:left w:w="108" w:type="dxa"/>
            <w:bottom w:w="0" w:type="dxa"/>
            <w:right w:w="108" w:type="dxa"/>
          </w:tblCellMar>
        </w:tblPrEx>
        <w:trPr>
          <w:trHeight w:val="840" w:hRule="atLeast"/>
        </w:trPr>
        <w:tc>
          <w:tcPr>
            <w:tcW w:w="53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7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2、服从单位安排的应急事件要求</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5分</w:t>
            </w:r>
          </w:p>
        </w:tc>
        <w:tc>
          <w:tcPr>
            <w:tcW w:w="4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13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5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840" w:hRule="atLeast"/>
        </w:trPr>
        <w:tc>
          <w:tcPr>
            <w:tcW w:w="53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7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3、保质保量完成应急事件处置</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5分</w:t>
            </w:r>
          </w:p>
        </w:tc>
        <w:tc>
          <w:tcPr>
            <w:tcW w:w="4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13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5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920" w:hRule="atLeast"/>
        </w:trPr>
        <w:tc>
          <w:tcPr>
            <w:tcW w:w="53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7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4、对毁绿占绿现象及时发现、及时阻止、现场取证，上报主管科室，并配合监察科工作</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4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13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5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900" w:hRule="atLeast"/>
        </w:trPr>
        <w:tc>
          <w:tcPr>
            <w:tcW w:w="53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7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5、按时、按要求报工作计划、工作小结</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7分</w:t>
            </w:r>
          </w:p>
        </w:tc>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80" w:hRule="atLeast"/>
        </w:trPr>
        <w:tc>
          <w:tcPr>
            <w:tcW w:w="53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7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6、养护人员配置到位</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920" w:hRule="atLeast"/>
        </w:trPr>
        <w:tc>
          <w:tcPr>
            <w:tcW w:w="53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br w:type="textWrapping"/>
            </w:r>
            <w:r>
              <w:rPr>
                <w:rFonts w:hint="eastAsia" w:asciiTheme="minorEastAsia" w:hAnsiTheme="minorEastAsia" w:cstheme="minorEastAsia"/>
                <w:color w:val="000000"/>
                <w:kern w:val="0"/>
                <w:sz w:val="24"/>
                <w:szCs w:val="24"/>
                <w:lang w:bidi="ar"/>
              </w:rPr>
              <w:t>设施设备维修5分</w:t>
            </w:r>
          </w:p>
        </w:tc>
        <w:tc>
          <w:tcPr>
            <w:tcW w:w="17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1、各种标牌、标志物、辅助设施损坏及时修复</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1080" w:hRule="atLeast"/>
        </w:trPr>
        <w:tc>
          <w:tcPr>
            <w:tcW w:w="53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7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2、绿地内的水井盖完好</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50" w:hRule="atLeast"/>
        </w:trPr>
        <w:tc>
          <w:tcPr>
            <w:tcW w:w="2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当月考核得分</w:t>
            </w:r>
          </w:p>
        </w:tc>
        <w:tc>
          <w:tcPr>
            <w:tcW w:w="216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cstheme="minorEastAsia"/>
                <w:color w:val="000000"/>
                <w:sz w:val="24"/>
                <w:szCs w:val="24"/>
              </w:rPr>
            </w:pPr>
          </w:p>
        </w:tc>
        <w:tc>
          <w:tcPr>
            <w:tcW w:w="5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500" w:hRule="atLeast"/>
        </w:trPr>
        <w:tc>
          <w:tcPr>
            <w:tcW w:w="2298" w:type="pct"/>
            <w:gridSpan w:val="3"/>
            <w:tcBorders>
              <w:top w:val="nil"/>
              <w:left w:val="nil"/>
              <w:bottom w:val="nil"/>
              <w:right w:val="nil"/>
            </w:tcBorders>
            <w:shd w:val="clear" w:color="auto" w:fill="auto"/>
            <w:noWrap/>
            <w:vAlign w:val="center"/>
          </w:tcPr>
          <w:p>
            <w:pP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 xml:space="preserve">考核人签字：                                              </w:t>
            </w:r>
          </w:p>
        </w:tc>
        <w:tc>
          <w:tcPr>
            <w:tcW w:w="2701" w:type="pct"/>
            <w:gridSpan w:val="4"/>
            <w:tcBorders>
              <w:top w:val="nil"/>
              <w:left w:val="nil"/>
              <w:bottom w:val="nil"/>
              <w:right w:val="nil"/>
            </w:tcBorders>
            <w:shd w:val="clear" w:color="auto" w:fill="auto"/>
            <w:noWrap/>
            <w:vAlign w:val="center"/>
          </w:tcPr>
          <w:p>
            <w:pP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养护单位负责人签字：</w:t>
            </w:r>
          </w:p>
        </w:tc>
      </w:tr>
    </w:tbl>
    <w:p>
      <w:pPr>
        <w:ind w:firstLine="482"/>
        <w:rPr>
          <w:rFonts w:cs="宋体" w:asciiTheme="minorEastAsia" w:hAnsiTheme="minorEastAsia"/>
          <w:b/>
          <w:sz w:val="24"/>
          <w:szCs w:val="24"/>
        </w:rPr>
      </w:pPr>
      <w:r>
        <w:rPr>
          <w:rFonts w:hint="eastAsia" w:cs="宋体" w:asciiTheme="minorEastAsia" w:hAnsiTheme="minorEastAsia"/>
          <w:b/>
          <w:sz w:val="24"/>
          <w:szCs w:val="24"/>
        </w:rPr>
        <w:br w:type="page"/>
      </w:r>
    </w:p>
    <w:tbl>
      <w:tblPr>
        <w:tblStyle w:val="34"/>
        <w:tblW w:w="5000" w:type="pct"/>
        <w:tblInd w:w="0" w:type="dxa"/>
        <w:tblLayout w:type="fixed"/>
        <w:tblCellMar>
          <w:top w:w="0" w:type="dxa"/>
          <w:left w:w="108" w:type="dxa"/>
          <w:bottom w:w="0" w:type="dxa"/>
          <w:right w:w="108" w:type="dxa"/>
        </w:tblCellMar>
      </w:tblPr>
      <w:tblGrid>
        <w:gridCol w:w="972"/>
        <w:gridCol w:w="3230"/>
        <w:gridCol w:w="67"/>
        <w:gridCol w:w="765"/>
        <w:gridCol w:w="749"/>
        <w:gridCol w:w="2452"/>
        <w:gridCol w:w="1053"/>
      </w:tblGrid>
      <w:tr>
        <w:tblPrEx>
          <w:tblCellMar>
            <w:top w:w="0" w:type="dxa"/>
            <w:left w:w="108" w:type="dxa"/>
            <w:bottom w:w="0" w:type="dxa"/>
            <w:right w:w="108" w:type="dxa"/>
          </w:tblCellMar>
        </w:tblPrEx>
        <w:trPr>
          <w:trHeight w:val="660" w:hRule="atLeast"/>
        </w:trPr>
        <w:tc>
          <w:tcPr>
            <w:tcW w:w="5000" w:type="pct"/>
            <w:gridSpan w:val="7"/>
            <w:tcBorders>
              <w:top w:val="nil"/>
              <w:left w:val="nil"/>
              <w:bottom w:val="nil"/>
              <w:right w:val="nil"/>
            </w:tcBorders>
            <w:shd w:val="clear" w:color="auto" w:fill="auto"/>
            <w:noWrap/>
            <w:vAlign w:val="center"/>
          </w:tcPr>
          <w:p>
            <w:pPr>
              <w:widowControl/>
              <w:ind w:firstLine="482"/>
              <w:jc w:val="center"/>
              <w:textAlignment w:val="center"/>
              <w:rPr>
                <w:rFonts w:asciiTheme="minorEastAsia" w:hAnsiTheme="minorEastAsia" w:cstheme="minorEastAsia"/>
                <w:b/>
                <w:bCs/>
                <w:color w:val="000000"/>
                <w:sz w:val="24"/>
                <w:szCs w:val="24"/>
              </w:rPr>
            </w:pPr>
            <w:r>
              <w:rPr>
                <w:rFonts w:hint="eastAsia" w:asciiTheme="minorEastAsia" w:hAnsiTheme="minorEastAsia" w:cstheme="minorEastAsia"/>
                <w:b/>
                <w:bCs/>
                <w:color w:val="000000"/>
                <w:kern w:val="0"/>
                <w:sz w:val="24"/>
                <w:szCs w:val="24"/>
                <w:lang w:bidi="ar"/>
              </w:rPr>
              <w:t>3月4月米东区绿地养护考核评分表(道路三级)</w:t>
            </w:r>
          </w:p>
        </w:tc>
      </w:tr>
      <w:tr>
        <w:tblPrEx>
          <w:tblCellMar>
            <w:top w:w="0" w:type="dxa"/>
            <w:left w:w="108" w:type="dxa"/>
            <w:bottom w:w="0" w:type="dxa"/>
            <w:right w:w="108" w:type="dxa"/>
          </w:tblCellMar>
        </w:tblPrEx>
        <w:trPr>
          <w:trHeight w:val="460" w:hRule="atLeast"/>
        </w:trPr>
        <w:tc>
          <w:tcPr>
            <w:tcW w:w="5000" w:type="pct"/>
            <w:gridSpan w:val="7"/>
            <w:tcBorders>
              <w:top w:val="nil"/>
              <w:left w:val="nil"/>
              <w:bottom w:val="nil"/>
              <w:right w:val="nil"/>
            </w:tcBorders>
            <w:shd w:val="clear" w:color="auto" w:fill="auto"/>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日期：                   养护公司：                                 养护面积：</w:t>
            </w:r>
          </w:p>
        </w:tc>
      </w:tr>
      <w:tr>
        <w:tblPrEx>
          <w:tblCellMar>
            <w:top w:w="0" w:type="dxa"/>
            <w:left w:w="108" w:type="dxa"/>
            <w:bottom w:w="0" w:type="dxa"/>
            <w:right w:w="108" w:type="dxa"/>
          </w:tblCellMar>
        </w:tblPrEx>
        <w:trPr>
          <w:trHeight w:val="72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考核项目</w:t>
            </w:r>
          </w:p>
        </w:tc>
        <w:tc>
          <w:tcPr>
            <w:tcW w:w="1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考核内容</w:t>
            </w:r>
          </w:p>
        </w:tc>
        <w:tc>
          <w:tcPr>
            <w:tcW w:w="4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评分标准</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得分</w:t>
            </w:r>
          </w:p>
        </w:tc>
        <w:tc>
          <w:tcPr>
            <w:tcW w:w="1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扣分原因</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备  注</w:t>
            </w:r>
          </w:p>
        </w:tc>
      </w:tr>
      <w:tr>
        <w:tblPrEx>
          <w:tblCellMar>
            <w:top w:w="0" w:type="dxa"/>
            <w:left w:w="108" w:type="dxa"/>
            <w:bottom w:w="0" w:type="dxa"/>
            <w:right w:w="108" w:type="dxa"/>
          </w:tblCellMar>
        </w:tblPrEx>
        <w:trPr>
          <w:trHeight w:val="700" w:hRule="atLeast"/>
        </w:trPr>
        <w:tc>
          <w:tcPr>
            <w:tcW w:w="52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乔灌木修剪20分</w:t>
            </w:r>
          </w:p>
        </w:tc>
        <w:tc>
          <w:tcPr>
            <w:tcW w:w="17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1、乔灌木生长势好，树形完整，层次清楚，没有人为偏冠</w:t>
            </w:r>
          </w:p>
        </w:tc>
        <w:tc>
          <w:tcPr>
            <w:tcW w:w="44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3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每月考核时随机抽选5-10处，每处1000㎡。分别打分，最后计算得出本月得分。</w:t>
            </w:r>
          </w:p>
        </w:tc>
      </w:tr>
      <w:tr>
        <w:tblPrEx>
          <w:tblCellMar>
            <w:top w:w="0" w:type="dxa"/>
            <w:left w:w="108" w:type="dxa"/>
            <w:bottom w:w="0" w:type="dxa"/>
            <w:right w:w="108" w:type="dxa"/>
          </w:tblCellMar>
        </w:tblPrEx>
        <w:trPr>
          <w:trHeight w:val="600"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7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2、枯死枝、徒长枝、下垂枝、折枝、病虫枝、过密枝及时清理</w:t>
            </w:r>
          </w:p>
        </w:tc>
        <w:tc>
          <w:tcPr>
            <w:tcW w:w="44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3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20"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7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3、苗木要按照生长习性和花期进行修剪。</w:t>
            </w:r>
          </w:p>
        </w:tc>
        <w:tc>
          <w:tcPr>
            <w:tcW w:w="44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3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20"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7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4、灌木，绿篱、绿雕徒长枝不能高于10CM</w:t>
            </w:r>
          </w:p>
        </w:tc>
        <w:tc>
          <w:tcPr>
            <w:tcW w:w="44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3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480"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7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5、死树及时伐掉、倒树及时扶正</w:t>
            </w:r>
          </w:p>
        </w:tc>
        <w:tc>
          <w:tcPr>
            <w:tcW w:w="44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3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525"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7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6、按规定时间完成修剪工作</w:t>
            </w:r>
          </w:p>
        </w:tc>
        <w:tc>
          <w:tcPr>
            <w:tcW w:w="44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3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480"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7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7、修剪枝当天清理</w:t>
            </w:r>
          </w:p>
        </w:tc>
        <w:tc>
          <w:tcPr>
            <w:tcW w:w="44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3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580"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7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8、3㎝以上剪口、损伤部位涂防护剂</w:t>
            </w:r>
          </w:p>
        </w:tc>
        <w:tc>
          <w:tcPr>
            <w:tcW w:w="44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3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560" w:hRule="atLeast"/>
        </w:trPr>
        <w:tc>
          <w:tcPr>
            <w:tcW w:w="52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乔灌木栽植10分</w:t>
            </w:r>
          </w:p>
        </w:tc>
        <w:tc>
          <w:tcPr>
            <w:tcW w:w="17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1、按要求合理规范施工</w:t>
            </w:r>
          </w:p>
        </w:tc>
        <w:tc>
          <w:tcPr>
            <w:tcW w:w="44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3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00"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7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2、苗木当天需栽植并完成浇水工作</w:t>
            </w:r>
          </w:p>
        </w:tc>
        <w:tc>
          <w:tcPr>
            <w:tcW w:w="44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3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480"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7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3、确保苗木的成活率</w:t>
            </w:r>
          </w:p>
        </w:tc>
        <w:tc>
          <w:tcPr>
            <w:tcW w:w="44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3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520"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7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4、在规定时间内完成</w:t>
            </w:r>
          </w:p>
        </w:tc>
        <w:tc>
          <w:tcPr>
            <w:tcW w:w="44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3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60" w:hRule="atLeast"/>
        </w:trPr>
        <w:tc>
          <w:tcPr>
            <w:tcW w:w="52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病虫害防治10分</w:t>
            </w:r>
          </w:p>
        </w:tc>
        <w:tc>
          <w:tcPr>
            <w:tcW w:w="17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1、清洗乔灌木灰尘</w:t>
            </w:r>
          </w:p>
        </w:tc>
        <w:tc>
          <w:tcPr>
            <w:tcW w:w="44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3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每月考核时随机抽选5-10处，每处1000㎡。分别打分，最后计算得出本月得分。</w:t>
            </w:r>
          </w:p>
        </w:tc>
      </w:tr>
      <w:tr>
        <w:tblPrEx>
          <w:tblCellMar>
            <w:top w:w="0" w:type="dxa"/>
            <w:left w:w="108" w:type="dxa"/>
            <w:bottom w:w="0" w:type="dxa"/>
            <w:right w:w="108" w:type="dxa"/>
          </w:tblCellMar>
        </w:tblPrEx>
        <w:trPr>
          <w:trHeight w:val="640"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7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1、按要求及时完成涂白工作</w:t>
            </w:r>
          </w:p>
        </w:tc>
        <w:tc>
          <w:tcPr>
            <w:tcW w:w="44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3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60"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7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2、涂白高度整齐</w:t>
            </w:r>
          </w:p>
        </w:tc>
        <w:tc>
          <w:tcPr>
            <w:tcW w:w="44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13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00"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7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3、涂白剂涂抹均匀</w:t>
            </w:r>
          </w:p>
        </w:tc>
        <w:tc>
          <w:tcPr>
            <w:tcW w:w="44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3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420"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7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4、按标准进行药物配比</w:t>
            </w:r>
          </w:p>
        </w:tc>
        <w:tc>
          <w:tcPr>
            <w:tcW w:w="44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3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880" w:hRule="atLeast"/>
        </w:trPr>
        <w:tc>
          <w:tcPr>
            <w:tcW w:w="52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绿地整理25分</w:t>
            </w:r>
          </w:p>
        </w:tc>
        <w:tc>
          <w:tcPr>
            <w:tcW w:w="17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1、清理林带内的枯枝败叶及垃圾卫生打扫干净，保持林带内环境优美整洁。</w:t>
            </w:r>
          </w:p>
        </w:tc>
        <w:tc>
          <w:tcPr>
            <w:tcW w:w="44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5分</w:t>
            </w:r>
          </w:p>
        </w:tc>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3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20"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7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2、林带内没有悬挂物、私搭乱建现象</w:t>
            </w:r>
          </w:p>
        </w:tc>
        <w:tc>
          <w:tcPr>
            <w:tcW w:w="44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3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80"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7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3、平整林带并进行中耕除草，松土</w:t>
            </w:r>
          </w:p>
        </w:tc>
        <w:tc>
          <w:tcPr>
            <w:tcW w:w="44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3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60"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7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4、确保树穴为下沉式</w:t>
            </w:r>
          </w:p>
        </w:tc>
        <w:tc>
          <w:tcPr>
            <w:tcW w:w="44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3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80"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7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5、保质保量完成各类灌溉设施到位，摆放整齐，并且能正常使用。</w:t>
            </w:r>
          </w:p>
        </w:tc>
        <w:tc>
          <w:tcPr>
            <w:tcW w:w="44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4分</w:t>
            </w:r>
          </w:p>
        </w:tc>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3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80"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7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6、及时完成花卉种植区的整理及中耕除草工作</w:t>
            </w:r>
          </w:p>
        </w:tc>
        <w:tc>
          <w:tcPr>
            <w:tcW w:w="44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3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580"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7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7、肥料需施在树穴并深翻</w:t>
            </w:r>
          </w:p>
        </w:tc>
        <w:tc>
          <w:tcPr>
            <w:tcW w:w="44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3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00"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7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8、在规定时间保质保量完成施肥工作</w:t>
            </w:r>
          </w:p>
        </w:tc>
        <w:tc>
          <w:tcPr>
            <w:tcW w:w="44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3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560" w:hRule="atLeast"/>
        </w:trPr>
        <w:tc>
          <w:tcPr>
            <w:tcW w:w="52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安全生产管理10分</w:t>
            </w:r>
          </w:p>
        </w:tc>
        <w:tc>
          <w:tcPr>
            <w:tcW w:w="17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1、及时排查处理安全隐患</w:t>
            </w:r>
          </w:p>
        </w:tc>
        <w:tc>
          <w:tcPr>
            <w:tcW w:w="44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318" w:type="pct"/>
            <w:tcBorders>
              <w:top w:val="single" w:color="000000" w:sz="4" w:space="0"/>
              <w:left w:val="single" w:color="000000" w:sz="4" w:space="0"/>
              <w:bottom w:val="single" w:color="000000" w:sz="4" w:space="0"/>
              <w:right w:val="nil"/>
            </w:tcBorders>
            <w:shd w:val="clear" w:color="auto" w:fill="FFFFFF"/>
            <w:noWrap/>
            <w:vAlign w:val="center"/>
          </w:tcPr>
          <w:p>
            <w:pPr>
              <w:rPr>
                <w:rFonts w:asciiTheme="minorEastAsia" w:hAnsiTheme="minorEastAsia" w:cstheme="minorEastAsia"/>
                <w:color w:val="000000"/>
                <w:sz w:val="24"/>
                <w:szCs w:val="24"/>
              </w:rPr>
            </w:pPr>
          </w:p>
        </w:tc>
        <w:tc>
          <w:tcPr>
            <w:tcW w:w="5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 xml:space="preserve">每月考核时随机抽选5-10处，每处1000㎡。分别打分，最后计算得出本月得分。  注释：绿色为增加条款。黄色为修改条款。 </w:t>
            </w:r>
          </w:p>
        </w:tc>
      </w:tr>
      <w:tr>
        <w:tblPrEx>
          <w:tblCellMar>
            <w:top w:w="0" w:type="dxa"/>
            <w:left w:w="108" w:type="dxa"/>
            <w:bottom w:w="0" w:type="dxa"/>
            <w:right w:w="108" w:type="dxa"/>
          </w:tblCellMar>
        </w:tblPrEx>
        <w:trPr>
          <w:trHeight w:val="540"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7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2、配备安全保护器材</w:t>
            </w:r>
          </w:p>
        </w:tc>
        <w:tc>
          <w:tcPr>
            <w:tcW w:w="44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318" w:type="pct"/>
            <w:tcBorders>
              <w:top w:val="single" w:color="000000" w:sz="4" w:space="0"/>
              <w:left w:val="single" w:color="000000" w:sz="4" w:space="0"/>
              <w:bottom w:val="single" w:color="000000" w:sz="4" w:space="0"/>
              <w:right w:val="nil"/>
            </w:tcBorders>
            <w:shd w:val="clear" w:color="auto" w:fill="FFFFFF"/>
            <w:noWrap/>
            <w:vAlign w:val="center"/>
          </w:tcPr>
          <w:p>
            <w:pPr>
              <w:rPr>
                <w:rFonts w:asciiTheme="minorEastAsia" w:hAnsiTheme="minorEastAsia" w:cstheme="minorEastAsia"/>
                <w:color w:val="000000"/>
                <w:sz w:val="24"/>
                <w:szCs w:val="24"/>
              </w:rPr>
            </w:pPr>
          </w:p>
        </w:tc>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480"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7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3、合理规范操作机械</w:t>
            </w:r>
          </w:p>
        </w:tc>
        <w:tc>
          <w:tcPr>
            <w:tcW w:w="44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318" w:type="pct"/>
            <w:tcBorders>
              <w:top w:val="single" w:color="000000" w:sz="4" w:space="0"/>
              <w:left w:val="single" w:color="000000" w:sz="4" w:space="0"/>
              <w:bottom w:val="single" w:color="000000" w:sz="4" w:space="0"/>
              <w:right w:val="nil"/>
            </w:tcBorders>
            <w:shd w:val="clear" w:color="auto" w:fill="FFFFFF"/>
            <w:noWrap/>
            <w:vAlign w:val="center"/>
          </w:tcPr>
          <w:p>
            <w:pPr>
              <w:rPr>
                <w:rFonts w:asciiTheme="minorEastAsia" w:hAnsiTheme="minorEastAsia" w:cstheme="minorEastAsia"/>
                <w:color w:val="000000"/>
                <w:sz w:val="24"/>
                <w:szCs w:val="24"/>
              </w:rPr>
            </w:pPr>
          </w:p>
        </w:tc>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560"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7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4、做好安全警示标志</w:t>
            </w:r>
          </w:p>
        </w:tc>
        <w:tc>
          <w:tcPr>
            <w:tcW w:w="44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318" w:type="pct"/>
            <w:tcBorders>
              <w:top w:val="single" w:color="000000" w:sz="4" w:space="0"/>
              <w:left w:val="single" w:color="000000" w:sz="4" w:space="0"/>
              <w:bottom w:val="single" w:color="000000" w:sz="4" w:space="0"/>
              <w:right w:val="nil"/>
            </w:tcBorders>
            <w:shd w:val="clear" w:color="auto" w:fill="FFFFFF"/>
            <w:noWrap/>
            <w:vAlign w:val="center"/>
          </w:tcPr>
          <w:p>
            <w:pPr>
              <w:rPr>
                <w:rFonts w:asciiTheme="minorEastAsia" w:hAnsiTheme="minorEastAsia" w:cstheme="minorEastAsia"/>
                <w:color w:val="000000"/>
                <w:sz w:val="24"/>
                <w:szCs w:val="24"/>
              </w:rPr>
            </w:pPr>
          </w:p>
        </w:tc>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40" w:hRule="atLeast"/>
        </w:trPr>
        <w:tc>
          <w:tcPr>
            <w:tcW w:w="52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日常管理20分</w:t>
            </w:r>
          </w:p>
        </w:tc>
        <w:tc>
          <w:tcPr>
            <w:tcW w:w="17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1、养护单位对园林队安排的工作及时落实到位</w:t>
            </w:r>
          </w:p>
        </w:tc>
        <w:tc>
          <w:tcPr>
            <w:tcW w:w="44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5分</w:t>
            </w:r>
          </w:p>
        </w:tc>
        <w:tc>
          <w:tcPr>
            <w:tcW w:w="4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1318" w:type="pct"/>
            <w:tcBorders>
              <w:top w:val="single" w:color="000000" w:sz="4" w:space="0"/>
              <w:left w:val="single" w:color="000000" w:sz="4" w:space="0"/>
              <w:bottom w:val="single" w:color="000000" w:sz="4" w:space="0"/>
              <w:right w:val="nil"/>
            </w:tcBorders>
            <w:shd w:val="clear" w:color="auto" w:fill="FFFFFF"/>
            <w:vAlign w:val="center"/>
          </w:tcPr>
          <w:p>
            <w:pPr>
              <w:rPr>
                <w:rFonts w:asciiTheme="minorEastAsia" w:hAnsiTheme="minorEastAsia" w:cstheme="minorEastAsia"/>
                <w:color w:val="000000"/>
                <w:sz w:val="24"/>
                <w:szCs w:val="24"/>
              </w:rPr>
            </w:pPr>
          </w:p>
        </w:tc>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80"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7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2、服从单位安排的应急事件并保质保量完成</w:t>
            </w:r>
          </w:p>
        </w:tc>
        <w:tc>
          <w:tcPr>
            <w:tcW w:w="44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1318" w:type="pct"/>
            <w:tcBorders>
              <w:top w:val="single" w:color="000000" w:sz="4" w:space="0"/>
              <w:left w:val="single" w:color="000000" w:sz="4" w:space="0"/>
              <w:bottom w:val="single" w:color="000000" w:sz="4" w:space="0"/>
              <w:right w:val="nil"/>
            </w:tcBorders>
            <w:shd w:val="clear" w:color="auto" w:fill="FFFFFF"/>
            <w:vAlign w:val="center"/>
          </w:tcPr>
          <w:p>
            <w:pPr>
              <w:rPr>
                <w:rFonts w:asciiTheme="minorEastAsia" w:hAnsiTheme="minorEastAsia" w:cstheme="minorEastAsia"/>
                <w:color w:val="000000"/>
                <w:sz w:val="24"/>
                <w:szCs w:val="24"/>
              </w:rPr>
            </w:pPr>
          </w:p>
        </w:tc>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80"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7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3、禁止用高压水枪冲洗路面时，产生的垃圾进入林带。</w:t>
            </w:r>
          </w:p>
        </w:tc>
        <w:tc>
          <w:tcPr>
            <w:tcW w:w="44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4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1318" w:type="pct"/>
            <w:tcBorders>
              <w:top w:val="single" w:color="000000" w:sz="4" w:space="0"/>
              <w:left w:val="single" w:color="000000" w:sz="4" w:space="0"/>
              <w:bottom w:val="single" w:color="000000" w:sz="4" w:space="0"/>
              <w:right w:val="nil"/>
            </w:tcBorders>
            <w:shd w:val="clear" w:color="auto" w:fill="FFFFFF"/>
            <w:vAlign w:val="center"/>
          </w:tcPr>
          <w:p>
            <w:pPr>
              <w:rPr>
                <w:rFonts w:asciiTheme="minorEastAsia" w:hAnsiTheme="minorEastAsia" w:cstheme="minorEastAsia"/>
                <w:color w:val="000000"/>
                <w:sz w:val="24"/>
                <w:szCs w:val="24"/>
              </w:rPr>
            </w:pPr>
          </w:p>
        </w:tc>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870"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7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4、对毁绿占绿现象及时发现、及时阻止、现场取证，上报主管科室，并配合监察科工作</w:t>
            </w:r>
          </w:p>
        </w:tc>
        <w:tc>
          <w:tcPr>
            <w:tcW w:w="44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4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1318" w:type="pct"/>
            <w:tcBorders>
              <w:top w:val="single" w:color="000000" w:sz="4" w:space="0"/>
              <w:left w:val="single" w:color="000000" w:sz="4" w:space="0"/>
              <w:bottom w:val="single" w:color="000000" w:sz="4" w:space="0"/>
              <w:right w:val="nil"/>
            </w:tcBorders>
            <w:shd w:val="clear" w:color="auto" w:fill="FFFFFF"/>
            <w:vAlign w:val="center"/>
          </w:tcPr>
          <w:p>
            <w:pPr>
              <w:rPr>
                <w:rFonts w:asciiTheme="minorEastAsia" w:hAnsiTheme="minorEastAsia" w:cstheme="minorEastAsia"/>
                <w:color w:val="000000"/>
                <w:sz w:val="24"/>
                <w:szCs w:val="24"/>
              </w:rPr>
            </w:pPr>
          </w:p>
        </w:tc>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40"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7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5、及时按要求上报工作计划、工作小结</w:t>
            </w:r>
          </w:p>
        </w:tc>
        <w:tc>
          <w:tcPr>
            <w:tcW w:w="44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5分</w:t>
            </w:r>
          </w:p>
        </w:tc>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318" w:type="pct"/>
            <w:tcBorders>
              <w:top w:val="single" w:color="000000" w:sz="4" w:space="0"/>
              <w:left w:val="single" w:color="000000" w:sz="4" w:space="0"/>
              <w:bottom w:val="single" w:color="000000" w:sz="4" w:space="0"/>
              <w:right w:val="nil"/>
            </w:tcBorders>
            <w:shd w:val="clear" w:color="auto" w:fill="FFFFFF"/>
            <w:noWrap/>
            <w:vAlign w:val="center"/>
          </w:tcPr>
          <w:p>
            <w:pPr>
              <w:rPr>
                <w:rFonts w:asciiTheme="minorEastAsia" w:hAnsiTheme="minorEastAsia" w:cstheme="minorEastAsia"/>
                <w:color w:val="000000"/>
                <w:sz w:val="24"/>
                <w:szCs w:val="24"/>
              </w:rPr>
            </w:pPr>
          </w:p>
        </w:tc>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40"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7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6、养护人员配置到位</w:t>
            </w:r>
          </w:p>
        </w:tc>
        <w:tc>
          <w:tcPr>
            <w:tcW w:w="44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318" w:type="pct"/>
            <w:tcBorders>
              <w:top w:val="single" w:color="000000" w:sz="4" w:space="0"/>
              <w:left w:val="single" w:color="000000" w:sz="4" w:space="0"/>
              <w:bottom w:val="single" w:color="000000" w:sz="4" w:space="0"/>
              <w:right w:val="nil"/>
            </w:tcBorders>
            <w:shd w:val="clear" w:color="auto" w:fill="FFFFFF"/>
            <w:noWrap/>
            <w:vAlign w:val="center"/>
          </w:tcPr>
          <w:p>
            <w:pPr>
              <w:rPr>
                <w:rFonts w:asciiTheme="minorEastAsia" w:hAnsiTheme="minorEastAsia" w:cstheme="minorEastAsia"/>
                <w:color w:val="000000"/>
                <w:sz w:val="24"/>
                <w:szCs w:val="24"/>
              </w:rPr>
            </w:pPr>
          </w:p>
        </w:tc>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75" w:hRule="atLeast"/>
        </w:trPr>
        <w:tc>
          <w:tcPr>
            <w:tcW w:w="5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设施设备维修5分</w:t>
            </w:r>
          </w:p>
        </w:tc>
        <w:tc>
          <w:tcPr>
            <w:tcW w:w="17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1、各种标牌、标志物、辅助设施损坏及时修复</w:t>
            </w:r>
          </w:p>
        </w:tc>
        <w:tc>
          <w:tcPr>
            <w:tcW w:w="4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318" w:type="pct"/>
            <w:tcBorders>
              <w:top w:val="single" w:color="000000" w:sz="4" w:space="0"/>
              <w:left w:val="single" w:color="000000" w:sz="4" w:space="0"/>
              <w:bottom w:val="single" w:color="000000" w:sz="4" w:space="0"/>
              <w:right w:val="nil"/>
            </w:tcBorders>
            <w:shd w:val="clear" w:color="auto" w:fill="auto"/>
            <w:noWrap/>
            <w:vAlign w:val="center"/>
          </w:tcPr>
          <w:p>
            <w:pPr>
              <w:rPr>
                <w:rFonts w:asciiTheme="minorEastAsia" w:hAnsiTheme="minorEastAsia" w:cstheme="minorEastAsia"/>
                <w:color w:val="000000"/>
                <w:sz w:val="24"/>
                <w:szCs w:val="24"/>
              </w:rPr>
            </w:pPr>
          </w:p>
        </w:tc>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465"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738" w:type="pct"/>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2、林地内的水井盖完好</w:t>
            </w:r>
          </w:p>
        </w:tc>
        <w:tc>
          <w:tcPr>
            <w:tcW w:w="448" w:type="pct"/>
            <w:gridSpan w:val="2"/>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403" w:type="pct"/>
            <w:tcBorders>
              <w:top w:val="single" w:color="000000" w:sz="4" w:space="0"/>
              <w:left w:val="single" w:color="000000" w:sz="4" w:space="0"/>
              <w:bottom w:val="nil"/>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318" w:type="pct"/>
            <w:tcBorders>
              <w:top w:val="single" w:color="000000" w:sz="4" w:space="0"/>
              <w:left w:val="single" w:color="000000" w:sz="4" w:space="0"/>
              <w:bottom w:val="nil"/>
              <w:right w:val="nil"/>
            </w:tcBorders>
            <w:shd w:val="clear" w:color="auto" w:fill="auto"/>
            <w:noWrap/>
            <w:vAlign w:val="center"/>
          </w:tcPr>
          <w:p>
            <w:pPr>
              <w:rPr>
                <w:rFonts w:asciiTheme="minorEastAsia" w:hAnsiTheme="minorEastAsia" w:cstheme="minorEastAsia"/>
                <w:color w:val="000000"/>
                <w:sz w:val="24"/>
                <w:szCs w:val="24"/>
              </w:rPr>
            </w:pPr>
          </w:p>
        </w:tc>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80" w:hRule="atLeast"/>
        </w:trPr>
        <w:tc>
          <w:tcPr>
            <w:tcW w:w="22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当月考核分数</w:t>
            </w:r>
          </w:p>
        </w:tc>
        <w:tc>
          <w:tcPr>
            <w:tcW w:w="217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cstheme="minorEastAsia"/>
                <w:color w:val="000000"/>
                <w:sz w:val="24"/>
                <w:szCs w:val="24"/>
              </w:rPr>
            </w:pPr>
          </w:p>
        </w:tc>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500" w:hRule="atLeast"/>
        </w:trPr>
        <w:tc>
          <w:tcPr>
            <w:tcW w:w="2298" w:type="pct"/>
            <w:gridSpan w:val="3"/>
            <w:tcBorders>
              <w:top w:val="nil"/>
              <w:left w:val="nil"/>
              <w:bottom w:val="nil"/>
              <w:right w:val="nil"/>
            </w:tcBorders>
            <w:shd w:val="clear" w:color="auto" w:fill="auto"/>
            <w:noWrap/>
            <w:vAlign w:val="center"/>
          </w:tcPr>
          <w:p>
            <w:pP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 xml:space="preserve">考核人签字：                                              </w:t>
            </w:r>
          </w:p>
        </w:tc>
        <w:tc>
          <w:tcPr>
            <w:tcW w:w="2701" w:type="pct"/>
            <w:gridSpan w:val="4"/>
            <w:tcBorders>
              <w:top w:val="nil"/>
              <w:left w:val="nil"/>
              <w:bottom w:val="nil"/>
              <w:right w:val="nil"/>
            </w:tcBorders>
            <w:shd w:val="clear" w:color="auto" w:fill="auto"/>
            <w:noWrap/>
            <w:vAlign w:val="center"/>
          </w:tcPr>
          <w:p>
            <w:pP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养护单位负责人签字：</w:t>
            </w:r>
          </w:p>
        </w:tc>
      </w:tr>
    </w:tbl>
    <w:p>
      <w:pPr>
        <w:ind w:firstLine="482"/>
        <w:rPr>
          <w:rFonts w:cs="宋体" w:asciiTheme="minorEastAsia" w:hAnsiTheme="minorEastAsia"/>
          <w:b/>
          <w:sz w:val="24"/>
          <w:szCs w:val="24"/>
        </w:rPr>
      </w:pPr>
    </w:p>
    <w:p>
      <w:pPr>
        <w:ind w:firstLine="482"/>
        <w:rPr>
          <w:rFonts w:cs="宋体" w:asciiTheme="minorEastAsia" w:hAnsiTheme="minorEastAsia"/>
          <w:b/>
          <w:sz w:val="24"/>
          <w:szCs w:val="24"/>
        </w:rPr>
      </w:pPr>
    </w:p>
    <w:p>
      <w:pPr>
        <w:ind w:firstLine="482"/>
        <w:rPr>
          <w:rFonts w:cs="宋体" w:asciiTheme="minorEastAsia" w:hAnsiTheme="minorEastAsia"/>
          <w:b/>
          <w:sz w:val="24"/>
          <w:szCs w:val="24"/>
        </w:rPr>
      </w:pPr>
      <w:r>
        <w:rPr>
          <w:rFonts w:hint="eastAsia" w:cs="宋体" w:asciiTheme="minorEastAsia" w:hAnsiTheme="minorEastAsia"/>
          <w:b/>
          <w:sz w:val="24"/>
          <w:szCs w:val="24"/>
        </w:rPr>
        <w:br w:type="page"/>
      </w:r>
    </w:p>
    <w:tbl>
      <w:tblPr>
        <w:tblStyle w:val="34"/>
        <w:tblW w:w="5000" w:type="pct"/>
        <w:tblInd w:w="0" w:type="dxa"/>
        <w:tblLayout w:type="fixed"/>
        <w:tblCellMar>
          <w:top w:w="0" w:type="dxa"/>
          <w:left w:w="108" w:type="dxa"/>
          <w:bottom w:w="0" w:type="dxa"/>
          <w:right w:w="108" w:type="dxa"/>
        </w:tblCellMar>
      </w:tblPr>
      <w:tblGrid>
        <w:gridCol w:w="967"/>
        <w:gridCol w:w="3234"/>
        <w:gridCol w:w="67"/>
        <w:gridCol w:w="765"/>
        <w:gridCol w:w="749"/>
        <w:gridCol w:w="2430"/>
        <w:gridCol w:w="1076"/>
      </w:tblGrid>
      <w:tr>
        <w:tblPrEx>
          <w:tblCellMar>
            <w:top w:w="0" w:type="dxa"/>
            <w:left w:w="108" w:type="dxa"/>
            <w:bottom w:w="0" w:type="dxa"/>
            <w:right w:w="108" w:type="dxa"/>
          </w:tblCellMar>
        </w:tblPrEx>
        <w:trPr>
          <w:trHeight w:val="540" w:hRule="atLeast"/>
        </w:trPr>
        <w:tc>
          <w:tcPr>
            <w:tcW w:w="5000" w:type="pct"/>
            <w:gridSpan w:val="7"/>
            <w:tcBorders>
              <w:top w:val="nil"/>
              <w:left w:val="nil"/>
              <w:bottom w:val="nil"/>
              <w:right w:val="nil"/>
            </w:tcBorders>
            <w:shd w:val="clear" w:color="auto" w:fill="auto"/>
            <w:noWrap/>
            <w:vAlign w:val="center"/>
          </w:tcPr>
          <w:p>
            <w:pPr>
              <w:widowControl/>
              <w:ind w:firstLine="482"/>
              <w:jc w:val="center"/>
              <w:textAlignment w:val="center"/>
              <w:rPr>
                <w:rFonts w:asciiTheme="minorEastAsia" w:hAnsiTheme="minorEastAsia" w:cstheme="minorEastAsia"/>
                <w:b/>
                <w:bCs/>
                <w:color w:val="000000"/>
                <w:sz w:val="24"/>
                <w:szCs w:val="24"/>
              </w:rPr>
            </w:pPr>
            <w:r>
              <w:rPr>
                <w:rFonts w:hint="eastAsia" w:asciiTheme="minorEastAsia" w:hAnsiTheme="minorEastAsia" w:cstheme="minorEastAsia"/>
                <w:b/>
                <w:bCs/>
                <w:color w:val="000000"/>
                <w:kern w:val="0"/>
                <w:sz w:val="24"/>
                <w:szCs w:val="24"/>
                <w:lang w:bidi="ar"/>
              </w:rPr>
              <w:t>5月-9月米东区绿地养护考核评分表(道路三级)</w:t>
            </w:r>
          </w:p>
        </w:tc>
      </w:tr>
      <w:tr>
        <w:tblPrEx>
          <w:tblCellMar>
            <w:top w:w="0" w:type="dxa"/>
            <w:left w:w="108" w:type="dxa"/>
            <w:bottom w:w="0" w:type="dxa"/>
            <w:right w:w="108" w:type="dxa"/>
          </w:tblCellMar>
        </w:tblPrEx>
        <w:trPr>
          <w:trHeight w:val="375" w:hRule="atLeast"/>
        </w:trPr>
        <w:tc>
          <w:tcPr>
            <w:tcW w:w="5000" w:type="pct"/>
            <w:gridSpan w:val="7"/>
            <w:tcBorders>
              <w:top w:val="nil"/>
              <w:left w:val="nil"/>
              <w:bottom w:val="nil"/>
              <w:right w:val="nil"/>
            </w:tcBorders>
            <w:shd w:val="clear" w:color="auto" w:fill="auto"/>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 xml:space="preserve"> 日期：                       养护公司：                          养护面积：               </w:t>
            </w:r>
          </w:p>
        </w:tc>
      </w:tr>
      <w:tr>
        <w:tblPrEx>
          <w:tblCellMar>
            <w:top w:w="0" w:type="dxa"/>
            <w:left w:w="108" w:type="dxa"/>
            <w:bottom w:w="0" w:type="dxa"/>
            <w:right w:w="108" w:type="dxa"/>
          </w:tblCellMar>
        </w:tblPrEx>
        <w:trPr>
          <w:trHeight w:val="600" w:hRule="atLeast"/>
        </w:trPr>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考核项目</w:t>
            </w:r>
          </w:p>
        </w:tc>
        <w:tc>
          <w:tcPr>
            <w:tcW w:w="1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考核内容</w:t>
            </w:r>
          </w:p>
        </w:tc>
        <w:tc>
          <w:tcPr>
            <w:tcW w:w="4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评分标准</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得  分</w:t>
            </w:r>
          </w:p>
        </w:tc>
        <w:tc>
          <w:tcPr>
            <w:tcW w:w="1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扣分原因</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备  注</w:t>
            </w:r>
          </w:p>
        </w:tc>
      </w:tr>
      <w:tr>
        <w:tblPrEx>
          <w:tblCellMar>
            <w:top w:w="0" w:type="dxa"/>
            <w:left w:w="108" w:type="dxa"/>
            <w:bottom w:w="0" w:type="dxa"/>
            <w:right w:w="108" w:type="dxa"/>
          </w:tblCellMar>
        </w:tblPrEx>
        <w:trPr>
          <w:trHeight w:val="1040" w:hRule="atLeast"/>
        </w:trPr>
        <w:tc>
          <w:tcPr>
            <w:tcW w:w="5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乔灌木绿篱修剪20分</w:t>
            </w:r>
          </w:p>
        </w:tc>
        <w:tc>
          <w:tcPr>
            <w:tcW w:w="17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1、乔灌木生长势好，树形完整，层次清楚，没有人为偏冠</w:t>
            </w:r>
          </w:p>
        </w:tc>
        <w:tc>
          <w:tcPr>
            <w:tcW w:w="4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cstheme="minorEastAsia"/>
                <w:color w:val="000000"/>
                <w:sz w:val="24"/>
                <w:szCs w:val="24"/>
              </w:rPr>
            </w:pPr>
          </w:p>
        </w:tc>
        <w:tc>
          <w:tcPr>
            <w:tcW w:w="1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cstheme="minorEastAsia"/>
                <w:color w:val="000000"/>
                <w:sz w:val="24"/>
                <w:szCs w:val="24"/>
              </w:rPr>
            </w:pPr>
          </w:p>
        </w:tc>
        <w:tc>
          <w:tcPr>
            <w:tcW w:w="5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 xml:space="preserve">                                                                                                                 每月考核时随机抽选5-10处，每处1000㎡。分别打分，最后计算得出本月得分。</w:t>
            </w:r>
          </w:p>
        </w:tc>
      </w:tr>
      <w:tr>
        <w:tblPrEx>
          <w:tblCellMar>
            <w:top w:w="0" w:type="dxa"/>
            <w:left w:w="108" w:type="dxa"/>
            <w:bottom w:w="0" w:type="dxa"/>
            <w:right w:w="108" w:type="dxa"/>
          </w:tblCellMar>
        </w:tblPrEx>
        <w:trPr>
          <w:trHeight w:val="920" w:hRule="atLeast"/>
        </w:trPr>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7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2、枯死枝、徒长枝、下垂枝、折枝、病虫枝、过密枝，萌蘖枝及时清理</w:t>
            </w:r>
          </w:p>
        </w:tc>
        <w:tc>
          <w:tcPr>
            <w:tcW w:w="4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5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00" w:hRule="atLeast"/>
        </w:trPr>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7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3、灌木，绿篱、绿雕徒长枝不能高于10CM</w:t>
            </w:r>
          </w:p>
        </w:tc>
        <w:tc>
          <w:tcPr>
            <w:tcW w:w="44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3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375" w:hRule="atLeast"/>
        </w:trPr>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74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4、在规定时间内完成灌木，绿篱、绿雕修剪，确保株形完美、线条整齐、形态逼真。</w:t>
            </w:r>
          </w:p>
        </w:tc>
        <w:tc>
          <w:tcPr>
            <w:tcW w:w="448"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403"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heme="minorEastAsia" w:hAnsiTheme="minorEastAsia" w:cstheme="minorEastAsia"/>
                <w:color w:val="000000"/>
                <w:sz w:val="24"/>
                <w:szCs w:val="24"/>
              </w:rPr>
            </w:pPr>
          </w:p>
        </w:tc>
        <w:tc>
          <w:tcPr>
            <w:tcW w:w="1307"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heme="minorEastAsia" w:hAnsiTheme="minorEastAsia" w:cstheme="minorEastAsia"/>
                <w:color w:val="000000"/>
                <w:sz w:val="24"/>
                <w:szCs w:val="24"/>
              </w:rPr>
            </w:pPr>
          </w:p>
        </w:tc>
        <w:tc>
          <w:tcPr>
            <w:tcW w:w="5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60" w:hRule="atLeast"/>
        </w:trPr>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74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Theme="minorEastAsia" w:hAnsiTheme="minorEastAsia" w:cstheme="minorEastAsia"/>
                <w:color w:val="000000"/>
                <w:sz w:val="24"/>
                <w:szCs w:val="24"/>
              </w:rPr>
            </w:pPr>
          </w:p>
        </w:tc>
        <w:tc>
          <w:tcPr>
            <w:tcW w:w="448"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heme="minorEastAsia" w:hAnsiTheme="minorEastAsia" w:cstheme="minorEastAsia"/>
                <w:color w:val="000000"/>
                <w:sz w:val="24"/>
                <w:szCs w:val="24"/>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heme="minorEastAsia" w:hAnsiTheme="minorEastAsia" w:cstheme="minorEastAsia"/>
                <w:color w:val="000000"/>
                <w:sz w:val="24"/>
                <w:szCs w:val="24"/>
              </w:rPr>
            </w:pPr>
          </w:p>
        </w:tc>
        <w:tc>
          <w:tcPr>
            <w:tcW w:w="130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heme="minorEastAsia" w:hAnsiTheme="minorEastAsia" w:cstheme="minorEastAsia"/>
                <w:color w:val="000000"/>
                <w:sz w:val="24"/>
                <w:szCs w:val="24"/>
              </w:rPr>
            </w:pPr>
          </w:p>
        </w:tc>
        <w:tc>
          <w:tcPr>
            <w:tcW w:w="5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60" w:hRule="atLeast"/>
        </w:trPr>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7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5、苗木要按照生长习性和花期进行修剪。</w:t>
            </w:r>
          </w:p>
        </w:tc>
        <w:tc>
          <w:tcPr>
            <w:tcW w:w="44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3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80" w:hRule="atLeast"/>
        </w:trPr>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6、死树及时伐掉、倒树及时扶正</w:t>
            </w:r>
          </w:p>
        </w:tc>
        <w:tc>
          <w:tcPr>
            <w:tcW w:w="4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5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880" w:hRule="atLeast"/>
        </w:trPr>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7、修剪枝当天及时清理</w:t>
            </w:r>
          </w:p>
        </w:tc>
        <w:tc>
          <w:tcPr>
            <w:tcW w:w="4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5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840" w:hRule="atLeast"/>
        </w:trPr>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7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8、及时清除林地内杂草</w:t>
            </w:r>
          </w:p>
        </w:tc>
        <w:tc>
          <w:tcPr>
            <w:tcW w:w="4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5分</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5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1200" w:hRule="atLeast"/>
        </w:trPr>
        <w:tc>
          <w:tcPr>
            <w:tcW w:w="5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植物病虫害防治10分</w:t>
            </w:r>
          </w:p>
        </w:tc>
        <w:tc>
          <w:tcPr>
            <w:tcW w:w="17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1、根据虫害发生情况及时以化学防治的方法打药预防</w:t>
            </w:r>
          </w:p>
        </w:tc>
        <w:tc>
          <w:tcPr>
            <w:tcW w:w="4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6分</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5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每月考核时随机抽选5-10处，每处1000㎡。分别打分，最后计算得出本月得分。</w:t>
            </w:r>
          </w:p>
        </w:tc>
      </w:tr>
      <w:tr>
        <w:tblPrEx>
          <w:tblCellMar>
            <w:top w:w="0" w:type="dxa"/>
            <w:left w:w="108" w:type="dxa"/>
            <w:bottom w:w="0" w:type="dxa"/>
            <w:right w:w="108" w:type="dxa"/>
          </w:tblCellMar>
        </w:tblPrEx>
        <w:trPr>
          <w:trHeight w:val="840" w:hRule="atLeast"/>
        </w:trPr>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2、必须使用高效低毒农药</w:t>
            </w:r>
          </w:p>
        </w:tc>
        <w:tc>
          <w:tcPr>
            <w:tcW w:w="4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4分</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5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1000" w:hRule="atLeast"/>
        </w:trPr>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7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3、防治病虫害效果明显，在可控范围内</w:t>
            </w:r>
          </w:p>
        </w:tc>
        <w:tc>
          <w:tcPr>
            <w:tcW w:w="4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5分</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5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1060" w:hRule="atLeast"/>
        </w:trPr>
        <w:tc>
          <w:tcPr>
            <w:tcW w:w="5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浇水20分</w:t>
            </w:r>
          </w:p>
        </w:tc>
        <w:tc>
          <w:tcPr>
            <w:tcW w:w="17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1、及时浇水，没有造成植物萎蔫，枝叶枯黄</w:t>
            </w:r>
          </w:p>
        </w:tc>
        <w:tc>
          <w:tcPr>
            <w:tcW w:w="4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6分</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5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960" w:hRule="atLeast"/>
        </w:trPr>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cstheme="minorEastAsia"/>
                <w:color w:val="000000"/>
                <w:sz w:val="24"/>
                <w:szCs w:val="24"/>
              </w:rPr>
            </w:pPr>
          </w:p>
        </w:tc>
        <w:tc>
          <w:tcPr>
            <w:tcW w:w="1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2、确保浇水浇到位</w:t>
            </w:r>
          </w:p>
        </w:tc>
        <w:tc>
          <w:tcPr>
            <w:tcW w:w="4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5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820" w:hRule="atLeast"/>
        </w:trPr>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cstheme="minorEastAsia"/>
                <w:color w:val="000000"/>
                <w:sz w:val="24"/>
                <w:szCs w:val="24"/>
              </w:rPr>
            </w:pPr>
          </w:p>
        </w:tc>
        <w:tc>
          <w:tcPr>
            <w:tcW w:w="1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3、确保浇水浇透</w:t>
            </w:r>
          </w:p>
        </w:tc>
        <w:tc>
          <w:tcPr>
            <w:tcW w:w="4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5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1080" w:hRule="atLeast"/>
        </w:trPr>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cstheme="minorEastAsia"/>
                <w:color w:val="000000"/>
                <w:sz w:val="24"/>
                <w:szCs w:val="24"/>
              </w:rPr>
            </w:pPr>
          </w:p>
        </w:tc>
        <w:tc>
          <w:tcPr>
            <w:tcW w:w="17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4、、确保各类灌溉系统正常浇水，未出现跑冒滴漏现象</w:t>
            </w:r>
          </w:p>
        </w:tc>
        <w:tc>
          <w:tcPr>
            <w:tcW w:w="4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5分</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5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1100" w:hRule="atLeast"/>
        </w:trPr>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cstheme="minorEastAsia"/>
                <w:color w:val="000000"/>
                <w:sz w:val="24"/>
                <w:szCs w:val="24"/>
              </w:rPr>
            </w:pPr>
          </w:p>
        </w:tc>
        <w:tc>
          <w:tcPr>
            <w:tcW w:w="17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5、及时清洗乔灌木灰尘</w:t>
            </w:r>
          </w:p>
        </w:tc>
        <w:tc>
          <w:tcPr>
            <w:tcW w:w="4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5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960" w:hRule="atLeast"/>
        </w:trPr>
        <w:tc>
          <w:tcPr>
            <w:tcW w:w="5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绿地整理15分</w:t>
            </w:r>
          </w:p>
        </w:tc>
        <w:tc>
          <w:tcPr>
            <w:tcW w:w="17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1、清理林带内的枯枝败叶以及垃圾，卫生打扫干净，保持林带内环境优美整洁。</w:t>
            </w:r>
          </w:p>
        </w:tc>
        <w:tc>
          <w:tcPr>
            <w:tcW w:w="44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4分</w:t>
            </w:r>
          </w:p>
        </w:tc>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3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每月考核时随机抽选5-10处，每处1000㎡。分别打分，最后计算得出本月得分</w:t>
            </w:r>
          </w:p>
        </w:tc>
      </w:tr>
      <w:tr>
        <w:tblPrEx>
          <w:tblCellMar>
            <w:top w:w="0" w:type="dxa"/>
            <w:left w:w="108" w:type="dxa"/>
            <w:bottom w:w="0" w:type="dxa"/>
            <w:right w:w="108" w:type="dxa"/>
          </w:tblCellMar>
        </w:tblPrEx>
        <w:trPr>
          <w:trHeight w:val="840" w:hRule="atLeast"/>
        </w:trPr>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7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2、林带没有悬挂物及私搭乱建现象</w:t>
            </w:r>
          </w:p>
        </w:tc>
        <w:tc>
          <w:tcPr>
            <w:tcW w:w="44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3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840" w:hRule="atLeast"/>
        </w:trPr>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7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3、平整林带并进行中耕松土</w:t>
            </w:r>
          </w:p>
        </w:tc>
        <w:tc>
          <w:tcPr>
            <w:tcW w:w="44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3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800" w:hRule="atLeast"/>
        </w:trPr>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7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4、确保树穴为下沉式</w:t>
            </w:r>
          </w:p>
        </w:tc>
        <w:tc>
          <w:tcPr>
            <w:tcW w:w="44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3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800" w:hRule="atLeast"/>
        </w:trPr>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7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5、肥料需施在树穴并深翻</w:t>
            </w:r>
          </w:p>
        </w:tc>
        <w:tc>
          <w:tcPr>
            <w:tcW w:w="44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3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80" w:hRule="atLeast"/>
        </w:trPr>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7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6、在规定时间保质保量完成施肥工作</w:t>
            </w:r>
          </w:p>
        </w:tc>
        <w:tc>
          <w:tcPr>
            <w:tcW w:w="44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3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40" w:hRule="atLeast"/>
        </w:trPr>
        <w:tc>
          <w:tcPr>
            <w:tcW w:w="52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安全生产管理10分</w:t>
            </w:r>
          </w:p>
        </w:tc>
        <w:tc>
          <w:tcPr>
            <w:tcW w:w="17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1、及时排查处理安全隐患</w:t>
            </w:r>
          </w:p>
        </w:tc>
        <w:tc>
          <w:tcPr>
            <w:tcW w:w="44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3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820" w:hRule="atLeast"/>
        </w:trPr>
        <w:tc>
          <w:tcPr>
            <w:tcW w:w="5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7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2、配备安全保护器材</w:t>
            </w:r>
          </w:p>
        </w:tc>
        <w:tc>
          <w:tcPr>
            <w:tcW w:w="44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3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80" w:hRule="atLeast"/>
        </w:trPr>
        <w:tc>
          <w:tcPr>
            <w:tcW w:w="5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7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3、合理规范操作机械</w:t>
            </w:r>
          </w:p>
        </w:tc>
        <w:tc>
          <w:tcPr>
            <w:tcW w:w="44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3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60" w:hRule="atLeast"/>
        </w:trPr>
        <w:tc>
          <w:tcPr>
            <w:tcW w:w="5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7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4、做好安全警示标志</w:t>
            </w:r>
          </w:p>
        </w:tc>
        <w:tc>
          <w:tcPr>
            <w:tcW w:w="44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3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840" w:hRule="atLeast"/>
        </w:trPr>
        <w:tc>
          <w:tcPr>
            <w:tcW w:w="5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日常管理20分</w:t>
            </w:r>
          </w:p>
        </w:tc>
        <w:tc>
          <w:tcPr>
            <w:tcW w:w="17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1、养护单位对园林队的工作安排及时落实到位</w:t>
            </w:r>
          </w:p>
        </w:tc>
        <w:tc>
          <w:tcPr>
            <w:tcW w:w="4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5分</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color w:val="000000"/>
                <w:sz w:val="24"/>
                <w:szCs w:val="24"/>
              </w:rPr>
            </w:pPr>
          </w:p>
        </w:tc>
        <w:tc>
          <w:tcPr>
            <w:tcW w:w="13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color w:val="000000"/>
                <w:sz w:val="24"/>
                <w:szCs w:val="24"/>
              </w:rPr>
            </w:pPr>
          </w:p>
        </w:tc>
        <w:tc>
          <w:tcPr>
            <w:tcW w:w="5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每月考核时随机抽选5-10处，每处1000㎡。分别打分，最后计算得出本月得分  注释：绿色为增加条款。黄色为修改条款。</w:t>
            </w:r>
          </w:p>
        </w:tc>
      </w:tr>
      <w:tr>
        <w:tblPrEx>
          <w:tblCellMar>
            <w:top w:w="0" w:type="dxa"/>
            <w:left w:w="108" w:type="dxa"/>
            <w:bottom w:w="0" w:type="dxa"/>
            <w:right w:w="108" w:type="dxa"/>
          </w:tblCellMar>
        </w:tblPrEx>
        <w:trPr>
          <w:trHeight w:val="760" w:hRule="atLeast"/>
        </w:trPr>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7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2、服从单位安排的应急事件并保质保量完成</w:t>
            </w:r>
          </w:p>
        </w:tc>
        <w:tc>
          <w:tcPr>
            <w:tcW w:w="44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130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5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20" w:hRule="atLeast"/>
        </w:trPr>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7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3、禁止用高压水枪冲洗路面时，产生的垃圾进入林带。</w:t>
            </w:r>
          </w:p>
        </w:tc>
        <w:tc>
          <w:tcPr>
            <w:tcW w:w="44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4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130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5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1220" w:hRule="atLeast"/>
        </w:trPr>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7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4、对毁绿占绿现象及时发现、及时阻止、现场取证，上报主管科室，并配合监察科工作</w:t>
            </w:r>
          </w:p>
        </w:tc>
        <w:tc>
          <w:tcPr>
            <w:tcW w:w="44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4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130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5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80" w:hRule="atLeast"/>
        </w:trPr>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7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5、及时按要求上报工作计划、工作小结</w:t>
            </w:r>
          </w:p>
        </w:tc>
        <w:tc>
          <w:tcPr>
            <w:tcW w:w="4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5分</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5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60" w:hRule="atLeast"/>
        </w:trPr>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7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6、养护人员配置到位</w:t>
            </w:r>
          </w:p>
        </w:tc>
        <w:tc>
          <w:tcPr>
            <w:tcW w:w="4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5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860" w:hRule="atLeast"/>
        </w:trPr>
        <w:tc>
          <w:tcPr>
            <w:tcW w:w="5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设施设备维修5分</w:t>
            </w:r>
          </w:p>
        </w:tc>
        <w:tc>
          <w:tcPr>
            <w:tcW w:w="17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1、各种标牌、标志物、辅助设施损坏及时修复</w:t>
            </w:r>
          </w:p>
        </w:tc>
        <w:tc>
          <w:tcPr>
            <w:tcW w:w="4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5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40" w:hRule="atLeast"/>
        </w:trPr>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7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2、林地内的水井盖完好</w:t>
            </w:r>
          </w:p>
        </w:tc>
        <w:tc>
          <w:tcPr>
            <w:tcW w:w="4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5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00" w:hRule="atLeast"/>
        </w:trPr>
        <w:tc>
          <w:tcPr>
            <w:tcW w:w="22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当月考核分数</w:t>
            </w:r>
          </w:p>
        </w:tc>
        <w:tc>
          <w:tcPr>
            <w:tcW w:w="215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cstheme="minorEastAsia"/>
                <w:color w:val="000000"/>
                <w:sz w:val="24"/>
                <w:szCs w:val="24"/>
              </w:rPr>
            </w:pPr>
          </w:p>
        </w:tc>
        <w:tc>
          <w:tcPr>
            <w:tcW w:w="5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500" w:hRule="atLeast"/>
        </w:trPr>
        <w:tc>
          <w:tcPr>
            <w:tcW w:w="2298" w:type="pct"/>
            <w:gridSpan w:val="3"/>
            <w:tcBorders>
              <w:top w:val="nil"/>
              <w:left w:val="nil"/>
              <w:bottom w:val="nil"/>
              <w:right w:val="nil"/>
            </w:tcBorders>
            <w:shd w:val="clear" w:color="auto" w:fill="auto"/>
            <w:noWrap/>
            <w:vAlign w:val="center"/>
          </w:tcPr>
          <w:p>
            <w:pP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 xml:space="preserve">考核人签字：                                              </w:t>
            </w:r>
          </w:p>
        </w:tc>
        <w:tc>
          <w:tcPr>
            <w:tcW w:w="2701" w:type="pct"/>
            <w:gridSpan w:val="4"/>
            <w:tcBorders>
              <w:top w:val="nil"/>
              <w:left w:val="nil"/>
              <w:bottom w:val="nil"/>
              <w:right w:val="nil"/>
            </w:tcBorders>
            <w:shd w:val="clear" w:color="auto" w:fill="auto"/>
            <w:noWrap/>
            <w:vAlign w:val="center"/>
          </w:tcPr>
          <w:p>
            <w:pP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养护单位负责人签字：</w:t>
            </w:r>
          </w:p>
        </w:tc>
      </w:tr>
    </w:tbl>
    <w:p>
      <w:pPr>
        <w:ind w:firstLine="482"/>
        <w:rPr>
          <w:rFonts w:cs="宋体" w:asciiTheme="minorEastAsia" w:hAnsiTheme="minorEastAsia"/>
          <w:b/>
          <w:sz w:val="24"/>
          <w:szCs w:val="24"/>
        </w:rPr>
      </w:pPr>
      <w:r>
        <w:rPr>
          <w:rFonts w:hint="eastAsia" w:cs="宋体" w:asciiTheme="minorEastAsia" w:hAnsiTheme="minorEastAsia"/>
          <w:b/>
          <w:sz w:val="24"/>
          <w:szCs w:val="24"/>
        </w:rPr>
        <w:br w:type="page"/>
      </w:r>
    </w:p>
    <w:tbl>
      <w:tblPr>
        <w:tblStyle w:val="34"/>
        <w:tblW w:w="5000" w:type="pct"/>
        <w:tblInd w:w="0" w:type="dxa"/>
        <w:tblLayout w:type="fixed"/>
        <w:tblCellMar>
          <w:top w:w="0" w:type="dxa"/>
          <w:left w:w="108" w:type="dxa"/>
          <w:bottom w:w="0" w:type="dxa"/>
          <w:right w:w="108" w:type="dxa"/>
        </w:tblCellMar>
      </w:tblPr>
      <w:tblGrid>
        <w:gridCol w:w="1041"/>
        <w:gridCol w:w="2889"/>
        <w:gridCol w:w="338"/>
        <w:gridCol w:w="370"/>
        <w:gridCol w:w="765"/>
        <w:gridCol w:w="2824"/>
        <w:gridCol w:w="1061"/>
      </w:tblGrid>
      <w:tr>
        <w:tblPrEx>
          <w:tblCellMar>
            <w:top w:w="0" w:type="dxa"/>
            <w:left w:w="108" w:type="dxa"/>
            <w:bottom w:w="0" w:type="dxa"/>
            <w:right w:w="108" w:type="dxa"/>
          </w:tblCellMar>
        </w:tblPrEx>
        <w:trPr>
          <w:trHeight w:val="720" w:hRule="atLeast"/>
        </w:trPr>
        <w:tc>
          <w:tcPr>
            <w:tcW w:w="5000" w:type="pct"/>
            <w:gridSpan w:val="7"/>
            <w:tcBorders>
              <w:top w:val="nil"/>
              <w:left w:val="nil"/>
              <w:bottom w:val="nil"/>
              <w:right w:val="nil"/>
            </w:tcBorders>
            <w:shd w:val="clear" w:color="auto" w:fill="auto"/>
            <w:noWrap/>
            <w:vAlign w:val="center"/>
          </w:tcPr>
          <w:p>
            <w:pPr>
              <w:widowControl/>
              <w:ind w:firstLine="482"/>
              <w:jc w:val="center"/>
              <w:textAlignment w:val="center"/>
              <w:rPr>
                <w:rFonts w:asciiTheme="minorEastAsia" w:hAnsiTheme="minorEastAsia" w:cstheme="minorEastAsia"/>
                <w:b/>
                <w:bCs/>
                <w:color w:val="000000"/>
                <w:sz w:val="24"/>
                <w:szCs w:val="24"/>
              </w:rPr>
            </w:pPr>
            <w:r>
              <w:rPr>
                <w:rFonts w:hint="eastAsia" w:asciiTheme="minorEastAsia" w:hAnsiTheme="minorEastAsia" w:cstheme="minorEastAsia"/>
                <w:b/>
                <w:bCs/>
                <w:color w:val="000000"/>
                <w:kern w:val="0"/>
                <w:sz w:val="24"/>
                <w:szCs w:val="24"/>
                <w:lang w:bidi="ar"/>
              </w:rPr>
              <w:t>10月11月米东区绿地养护考核评分表(道路三级)</w:t>
            </w:r>
          </w:p>
        </w:tc>
      </w:tr>
      <w:tr>
        <w:tblPrEx>
          <w:tblCellMar>
            <w:top w:w="0" w:type="dxa"/>
            <w:left w:w="108" w:type="dxa"/>
            <w:bottom w:w="0" w:type="dxa"/>
            <w:right w:w="108" w:type="dxa"/>
          </w:tblCellMar>
        </w:tblPrEx>
        <w:trPr>
          <w:trHeight w:val="600" w:hRule="atLeast"/>
        </w:trPr>
        <w:tc>
          <w:tcPr>
            <w:tcW w:w="5000" w:type="pct"/>
            <w:gridSpan w:val="7"/>
            <w:tcBorders>
              <w:top w:val="nil"/>
              <w:left w:val="nil"/>
              <w:bottom w:val="nil"/>
              <w:right w:val="nil"/>
            </w:tcBorders>
            <w:shd w:val="clear" w:color="auto" w:fill="auto"/>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日期：                    养护公司：                           养护面积：</w:t>
            </w:r>
          </w:p>
        </w:tc>
      </w:tr>
      <w:tr>
        <w:tblPrEx>
          <w:tblCellMar>
            <w:top w:w="0" w:type="dxa"/>
            <w:left w:w="108" w:type="dxa"/>
            <w:bottom w:w="0" w:type="dxa"/>
            <w:right w:w="108" w:type="dxa"/>
          </w:tblCellMar>
        </w:tblPrEx>
        <w:trPr>
          <w:trHeight w:val="660" w:hRule="atLeast"/>
        </w:trPr>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考核项目</w:t>
            </w:r>
          </w:p>
        </w:tc>
        <w:tc>
          <w:tcPr>
            <w:tcW w:w="1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考核内容</w:t>
            </w: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评分标准</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得  分</w:t>
            </w:r>
          </w:p>
        </w:tc>
        <w:tc>
          <w:tcPr>
            <w:tcW w:w="1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扣分原因</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备  注</w:t>
            </w:r>
          </w:p>
        </w:tc>
      </w:tr>
      <w:tr>
        <w:tblPrEx>
          <w:tblCellMar>
            <w:top w:w="0" w:type="dxa"/>
            <w:left w:w="108" w:type="dxa"/>
            <w:bottom w:w="0" w:type="dxa"/>
            <w:right w:w="108" w:type="dxa"/>
          </w:tblCellMar>
        </w:tblPrEx>
        <w:trPr>
          <w:trHeight w:val="680" w:hRule="atLeast"/>
        </w:trPr>
        <w:tc>
          <w:tcPr>
            <w:tcW w:w="5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乔灌木修剪20分</w:t>
            </w:r>
          </w:p>
        </w:tc>
        <w:tc>
          <w:tcPr>
            <w:tcW w:w="15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1、乔灌木生长势好，树形完整，层次清楚，没有人为偏冠</w:t>
            </w: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4分</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5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 xml:space="preserve">                                                                                                              每月考核时随机抽选5-10处，每处1000㎡。分别打分，最后计算得出本月得分。</w:t>
            </w:r>
          </w:p>
        </w:tc>
      </w:tr>
      <w:tr>
        <w:tblPrEx>
          <w:tblCellMar>
            <w:top w:w="0" w:type="dxa"/>
            <w:left w:w="108" w:type="dxa"/>
            <w:bottom w:w="0" w:type="dxa"/>
            <w:right w:w="108" w:type="dxa"/>
          </w:tblCellMar>
        </w:tblPrEx>
        <w:trPr>
          <w:trHeight w:val="735" w:hRule="atLeast"/>
        </w:trPr>
        <w:tc>
          <w:tcPr>
            <w:tcW w:w="5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2、枯死枝、徒长枝、下垂枝、折枝、病虫枝、过密枝及时清理</w:t>
            </w: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4分</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5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35" w:hRule="atLeast"/>
        </w:trPr>
        <w:tc>
          <w:tcPr>
            <w:tcW w:w="5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3、按苗木生长习性修剪，灌木，绿篱、绿雕徒长枝不能高于10CM</w:t>
            </w: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5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00" w:hRule="atLeast"/>
        </w:trPr>
        <w:tc>
          <w:tcPr>
            <w:tcW w:w="5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4、按规定时间完成修剪工作</w:t>
            </w: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4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5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450" w:hRule="atLeast"/>
        </w:trPr>
        <w:tc>
          <w:tcPr>
            <w:tcW w:w="5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5、死树及时伐掉、倒树及时扶正</w:t>
            </w: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5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465" w:hRule="atLeast"/>
        </w:trPr>
        <w:tc>
          <w:tcPr>
            <w:tcW w:w="5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6、修剪枝当天及时清理</w:t>
            </w: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4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5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60" w:hRule="atLeast"/>
        </w:trPr>
        <w:tc>
          <w:tcPr>
            <w:tcW w:w="5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7、3㎝以上剪口、损伤部位涂防护剂</w:t>
            </w: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5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00" w:hRule="atLeast"/>
        </w:trPr>
        <w:tc>
          <w:tcPr>
            <w:tcW w:w="56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乔灌木栽植10分</w:t>
            </w:r>
          </w:p>
        </w:tc>
        <w:tc>
          <w:tcPr>
            <w:tcW w:w="1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1、按要求合理规范施工</w:t>
            </w: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5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80" w:hRule="atLeast"/>
        </w:trPr>
        <w:tc>
          <w:tcPr>
            <w:tcW w:w="56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2、苗木当天需栽植并完成浇水工作</w:t>
            </w: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4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5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00" w:hRule="atLeast"/>
        </w:trPr>
        <w:tc>
          <w:tcPr>
            <w:tcW w:w="56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3、确保苗木的成活率</w:t>
            </w: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4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5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560" w:hRule="atLeast"/>
        </w:trPr>
        <w:tc>
          <w:tcPr>
            <w:tcW w:w="56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4、在规定时间内完成</w:t>
            </w: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5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570" w:hRule="atLeast"/>
        </w:trPr>
        <w:tc>
          <w:tcPr>
            <w:tcW w:w="56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浇水20分</w:t>
            </w:r>
          </w:p>
        </w:tc>
        <w:tc>
          <w:tcPr>
            <w:tcW w:w="1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1、按要求及时冬灌</w:t>
            </w: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5分</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5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 xml:space="preserve">                                                                                                                每月考核时随机抽选5-10处，每处1000㎡。分别打分，最后计算得出本月得分。</w:t>
            </w:r>
          </w:p>
        </w:tc>
      </w:tr>
      <w:tr>
        <w:tblPrEx>
          <w:tblCellMar>
            <w:top w:w="0" w:type="dxa"/>
            <w:left w:w="108" w:type="dxa"/>
            <w:bottom w:w="0" w:type="dxa"/>
            <w:right w:w="108" w:type="dxa"/>
          </w:tblCellMar>
        </w:tblPrEx>
        <w:trPr>
          <w:trHeight w:val="555" w:hRule="atLeast"/>
        </w:trPr>
        <w:tc>
          <w:tcPr>
            <w:tcW w:w="5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cstheme="minorEastAsia"/>
                <w:color w:val="000000"/>
                <w:sz w:val="24"/>
                <w:szCs w:val="24"/>
              </w:rPr>
            </w:pPr>
          </w:p>
        </w:tc>
        <w:tc>
          <w:tcPr>
            <w:tcW w:w="1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2、确保浇水浇到位</w:t>
            </w: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5分</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5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15" w:hRule="atLeast"/>
        </w:trPr>
        <w:tc>
          <w:tcPr>
            <w:tcW w:w="5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cstheme="minorEastAsia"/>
                <w:color w:val="000000"/>
                <w:sz w:val="24"/>
                <w:szCs w:val="24"/>
              </w:rPr>
            </w:pPr>
          </w:p>
        </w:tc>
        <w:tc>
          <w:tcPr>
            <w:tcW w:w="1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3、确保浇水浇透</w:t>
            </w: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5分</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5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60" w:hRule="atLeast"/>
        </w:trPr>
        <w:tc>
          <w:tcPr>
            <w:tcW w:w="5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cstheme="minorEastAsia"/>
                <w:color w:val="000000"/>
                <w:sz w:val="24"/>
                <w:szCs w:val="24"/>
              </w:rPr>
            </w:pPr>
          </w:p>
        </w:tc>
        <w:tc>
          <w:tcPr>
            <w:tcW w:w="1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4、及时做好排水工作</w:t>
            </w: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5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60" w:hRule="atLeast"/>
        </w:trPr>
        <w:tc>
          <w:tcPr>
            <w:tcW w:w="5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cstheme="minorEastAsia"/>
                <w:color w:val="000000"/>
                <w:sz w:val="24"/>
                <w:szCs w:val="24"/>
              </w:rPr>
            </w:pPr>
          </w:p>
        </w:tc>
        <w:tc>
          <w:tcPr>
            <w:tcW w:w="1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5、清洗乔灌木灰尘</w:t>
            </w: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5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920" w:hRule="atLeast"/>
        </w:trPr>
        <w:tc>
          <w:tcPr>
            <w:tcW w:w="5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绿地整理15分</w:t>
            </w:r>
          </w:p>
        </w:tc>
        <w:tc>
          <w:tcPr>
            <w:tcW w:w="1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1、及时清理林带内的枯枝败叶以及垃圾，卫生打扫干净，保持林带内环境优美整洁。</w:t>
            </w: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5分</w:t>
            </w:r>
          </w:p>
        </w:tc>
        <w:tc>
          <w:tcPr>
            <w:tcW w:w="4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5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80" w:hRule="atLeast"/>
        </w:trPr>
        <w:tc>
          <w:tcPr>
            <w:tcW w:w="5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2、林带内没有悬挂物及私搭乱建现象</w:t>
            </w: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5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00" w:hRule="atLeast"/>
        </w:trPr>
        <w:tc>
          <w:tcPr>
            <w:tcW w:w="5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3、平整林带并进行中耕除草，松土</w:t>
            </w: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4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5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540" w:hRule="atLeast"/>
        </w:trPr>
        <w:tc>
          <w:tcPr>
            <w:tcW w:w="5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4、确保树穴为下沉式</w:t>
            </w: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5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40" w:hRule="atLeast"/>
        </w:trPr>
        <w:tc>
          <w:tcPr>
            <w:tcW w:w="5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及时完成花卉种植区的整理、翻土及中耕除草工作</w:t>
            </w: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5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20" w:hRule="atLeast"/>
        </w:trPr>
        <w:tc>
          <w:tcPr>
            <w:tcW w:w="56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安全生产管理10分</w:t>
            </w:r>
          </w:p>
        </w:tc>
        <w:tc>
          <w:tcPr>
            <w:tcW w:w="1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1、及时排查处理安全隐患</w:t>
            </w: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4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5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20" w:hRule="atLeast"/>
        </w:trPr>
        <w:tc>
          <w:tcPr>
            <w:tcW w:w="56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2、配备安全保护器材</w:t>
            </w: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4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5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540" w:hRule="atLeast"/>
        </w:trPr>
        <w:tc>
          <w:tcPr>
            <w:tcW w:w="56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3、合理规范操作机械</w:t>
            </w: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5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560" w:hRule="atLeast"/>
        </w:trPr>
        <w:tc>
          <w:tcPr>
            <w:tcW w:w="56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4、做好安全警示标志</w:t>
            </w: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5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880" w:hRule="atLeast"/>
        </w:trPr>
        <w:tc>
          <w:tcPr>
            <w:tcW w:w="5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日常管理20分</w:t>
            </w:r>
          </w:p>
        </w:tc>
        <w:tc>
          <w:tcPr>
            <w:tcW w:w="15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1、养护单位对园林队安排的工作及时落实到位</w:t>
            </w: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5分</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color w:val="000000"/>
                <w:sz w:val="24"/>
                <w:szCs w:val="24"/>
              </w:rPr>
            </w:pPr>
          </w:p>
        </w:tc>
        <w:tc>
          <w:tcPr>
            <w:tcW w:w="151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color w:val="000000"/>
                <w:sz w:val="24"/>
                <w:szCs w:val="24"/>
              </w:rPr>
            </w:pPr>
          </w:p>
        </w:tc>
        <w:tc>
          <w:tcPr>
            <w:tcW w:w="5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每月考核时随机抽选5-10处，每处1000㎡。分别打分，最后计算得出本月得分  注释：绿色为增加条款。黄色为修改条款</w:t>
            </w:r>
          </w:p>
        </w:tc>
      </w:tr>
      <w:tr>
        <w:tblPrEx>
          <w:tblCellMar>
            <w:top w:w="0" w:type="dxa"/>
            <w:left w:w="108" w:type="dxa"/>
            <w:bottom w:w="0" w:type="dxa"/>
            <w:right w:w="108" w:type="dxa"/>
          </w:tblCellMar>
        </w:tblPrEx>
        <w:trPr>
          <w:trHeight w:val="680" w:hRule="atLeast"/>
        </w:trPr>
        <w:tc>
          <w:tcPr>
            <w:tcW w:w="5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2、服从单位安排的应急事件并保质保量</w:t>
            </w: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15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5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40" w:hRule="atLeast"/>
        </w:trPr>
        <w:tc>
          <w:tcPr>
            <w:tcW w:w="5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3、禁止用高压水枪冲洗路面时，产生的垃圾进入林带。</w:t>
            </w: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4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15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5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1140" w:hRule="atLeast"/>
        </w:trPr>
        <w:tc>
          <w:tcPr>
            <w:tcW w:w="5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4、对毁绿占绿现象及时发现、及时阻止、现场取证，上报主管科室，并配合监察科工作</w:t>
            </w: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4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15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5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20" w:hRule="atLeast"/>
        </w:trPr>
        <w:tc>
          <w:tcPr>
            <w:tcW w:w="5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5、按时、按要求报工作计划、工作小结</w:t>
            </w: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5分</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5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20" w:hRule="atLeast"/>
        </w:trPr>
        <w:tc>
          <w:tcPr>
            <w:tcW w:w="5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6、养护人员配置到位</w:t>
            </w: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5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885" w:hRule="atLeast"/>
        </w:trPr>
        <w:tc>
          <w:tcPr>
            <w:tcW w:w="5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br w:type="textWrapping"/>
            </w:r>
            <w:r>
              <w:rPr>
                <w:rFonts w:hint="eastAsia" w:asciiTheme="minorEastAsia" w:hAnsiTheme="minorEastAsia" w:cstheme="minorEastAsia"/>
                <w:color w:val="000000"/>
                <w:kern w:val="0"/>
                <w:sz w:val="24"/>
                <w:szCs w:val="24"/>
                <w:lang w:bidi="ar"/>
              </w:rPr>
              <w:t>设施设备维修5分</w:t>
            </w:r>
          </w:p>
        </w:tc>
        <w:tc>
          <w:tcPr>
            <w:tcW w:w="15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1、各种标牌、标志物、辅助设施损坏及时修复</w:t>
            </w: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5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20" w:hRule="atLeast"/>
        </w:trPr>
        <w:tc>
          <w:tcPr>
            <w:tcW w:w="5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2、林地内的水井盖完好</w:t>
            </w: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5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80" w:hRule="atLeast"/>
        </w:trPr>
        <w:tc>
          <w:tcPr>
            <w:tcW w:w="21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当月考核得分</w:t>
            </w:r>
          </w:p>
        </w:tc>
        <w:tc>
          <w:tcPr>
            <w:tcW w:w="231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cstheme="minorEastAsia"/>
                <w:color w:val="000000"/>
                <w:sz w:val="24"/>
                <w:szCs w:val="24"/>
              </w:rPr>
            </w:pPr>
          </w:p>
        </w:tc>
        <w:tc>
          <w:tcPr>
            <w:tcW w:w="5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500" w:hRule="atLeast"/>
        </w:trPr>
        <w:tc>
          <w:tcPr>
            <w:tcW w:w="2298" w:type="pct"/>
            <w:gridSpan w:val="3"/>
            <w:tcBorders>
              <w:top w:val="nil"/>
              <w:left w:val="nil"/>
              <w:bottom w:val="nil"/>
              <w:right w:val="nil"/>
            </w:tcBorders>
            <w:shd w:val="clear" w:color="auto" w:fill="auto"/>
            <w:noWrap/>
            <w:vAlign w:val="center"/>
          </w:tcPr>
          <w:p>
            <w:pP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 xml:space="preserve">考核人签字：                                              </w:t>
            </w:r>
          </w:p>
        </w:tc>
        <w:tc>
          <w:tcPr>
            <w:tcW w:w="2701" w:type="pct"/>
            <w:gridSpan w:val="4"/>
            <w:tcBorders>
              <w:top w:val="nil"/>
              <w:left w:val="nil"/>
              <w:bottom w:val="nil"/>
              <w:right w:val="nil"/>
            </w:tcBorders>
            <w:shd w:val="clear" w:color="auto" w:fill="auto"/>
            <w:noWrap/>
            <w:vAlign w:val="center"/>
          </w:tcPr>
          <w:p>
            <w:pP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养护单位负责人签字：</w:t>
            </w:r>
          </w:p>
        </w:tc>
      </w:tr>
    </w:tbl>
    <w:p>
      <w:pPr>
        <w:ind w:firstLine="482"/>
        <w:rPr>
          <w:rFonts w:cs="宋体" w:asciiTheme="minorEastAsia" w:hAnsiTheme="minorEastAsia"/>
          <w:b/>
          <w:sz w:val="24"/>
          <w:szCs w:val="24"/>
        </w:rPr>
      </w:pPr>
      <w:r>
        <w:rPr>
          <w:rFonts w:hint="eastAsia" w:cs="宋体" w:asciiTheme="minorEastAsia" w:hAnsiTheme="minorEastAsia"/>
          <w:b/>
          <w:sz w:val="24"/>
          <w:szCs w:val="24"/>
        </w:rPr>
        <w:br w:type="page"/>
      </w:r>
    </w:p>
    <w:tbl>
      <w:tblPr>
        <w:tblStyle w:val="34"/>
        <w:tblW w:w="5000" w:type="pct"/>
        <w:tblInd w:w="0" w:type="dxa"/>
        <w:tblLayout w:type="fixed"/>
        <w:tblCellMar>
          <w:top w:w="0" w:type="dxa"/>
          <w:left w:w="108" w:type="dxa"/>
          <w:bottom w:w="0" w:type="dxa"/>
          <w:right w:w="108" w:type="dxa"/>
        </w:tblCellMar>
      </w:tblPr>
      <w:tblGrid>
        <w:gridCol w:w="1051"/>
        <w:gridCol w:w="2866"/>
        <w:gridCol w:w="351"/>
        <w:gridCol w:w="381"/>
        <w:gridCol w:w="749"/>
        <w:gridCol w:w="2840"/>
        <w:gridCol w:w="1050"/>
      </w:tblGrid>
      <w:tr>
        <w:tblPrEx>
          <w:tblCellMar>
            <w:top w:w="0" w:type="dxa"/>
            <w:left w:w="108" w:type="dxa"/>
            <w:bottom w:w="0" w:type="dxa"/>
            <w:right w:w="108" w:type="dxa"/>
          </w:tblCellMar>
        </w:tblPrEx>
        <w:trPr>
          <w:trHeight w:val="840" w:hRule="atLeast"/>
        </w:trPr>
        <w:tc>
          <w:tcPr>
            <w:tcW w:w="5000" w:type="pct"/>
            <w:gridSpan w:val="7"/>
            <w:tcBorders>
              <w:top w:val="nil"/>
              <w:left w:val="nil"/>
              <w:bottom w:val="nil"/>
              <w:right w:val="nil"/>
            </w:tcBorders>
            <w:shd w:val="clear" w:color="auto" w:fill="auto"/>
            <w:noWrap/>
            <w:vAlign w:val="center"/>
          </w:tcPr>
          <w:p>
            <w:pPr>
              <w:widowControl/>
              <w:ind w:firstLine="482"/>
              <w:jc w:val="center"/>
              <w:textAlignment w:val="center"/>
              <w:rPr>
                <w:rFonts w:asciiTheme="minorEastAsia" w:hAnsiTheme="minorEastAsia" w:cstheme="minorEastAsia"/>
                <w:b/>
                <w:bCs/>
                <w:color w:val="000000"/>
                <w:sz w:val="24"/>
                <w:szCs w:val="24"/>
              </w:rPr>
            </w:pPr>
            <w:r>
              <w:rPr>
                <w:rFonts w:hint="eastAsia" w:asciiTheme="minorEastAsia" w:hAnsiTheme="minorEastAsia" w:cstheme="minorEastAsia"/>
                <w:b/>
                <w:bCs/>
                <w:color w:val="000000"/>
                <w:kern w:val="0"/>
                <w:sz w:val="24"/>
                <w:szCs w:val="24"/>
                <w:lang w:bidi="ar"/>
              </w:rPr>
              <w:t>12月1月2月米东区绿地养护考核评分表(道路三级)</w:t>
            </w:r>
          </w:p>
        </w:tc>
      </w:tr>
      <w:tr>
        <w:tblPrEx>
          <w:tblCellMar>
            <w:top w:w="0" w:type="dxa"/>
            <w:left w:w="108" w:type="dxa"/>
            <w:bottom w:w="0" w:type="dxa"/>
            <w:right w:w="108" w:type="dxa"/>
          </w:tblCellMar>
        </w:tblPrEx>
        <w:trPr>
          <w:trHeight w:val="780" w:hRule="atLeast"/>
        </w:trPr>
        <w:tc>
          <w:tcPr>
            <w:tcW w:w="5000" w:type="pct"/>
            <w:gridSpan w:val="7"/>
            <w:tcBorders>
              <w:top w:val="nil"/>
              <w:left w:val="nil"/>
              <w:bottom w:val="nil"/>
              <w:right w:val="nil"/>
            </w:tcBorders>
            <w:shd w:val="clear" w:color="auto" w:fill="auto"/>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日期：                   养护公司：                                 养护面积：</w:t>
            </w:r>
          </w:p>
        </w:tc>
      </w:tr>
      <w:tr>
        <w:tblPrEx>
          <w:tblCellMar>
            <w:top w:w="0" w:type="dxa"/>
            <w:left w:w="108" w:type="dxa"/>
            <w:bottom w:w="0" w:type="dxa"/>
            <w:right w:w="108" w:type="dxa"/>
          </w:tblCellMar>
        </w:tblPrEx>
        <w:trPr>
          <w:trHeight w:val="840" w:hRule="atLeast"/>
        </w:trPr>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考核项目</w:t>
            </w:r>
          </w:p>
        </w:tc>
        <w:tc>
          <w:tcPr>
            <w:tcW w:w="1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考核内容</w:t>
            </w: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评分标准</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得  分</w:t>
            </w:r>
          </w:p>
        </w:tc>
        <w:tc>
          <w:tcPr>
            <w:tcW w:w="1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扣分原因</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备  注</w:t>
            </w:r>
          </w:p>
        </w:tc>
      </w:tr>
      <w:tr>
        <w:tblPrEx>
          <w:tblCellMar>
            <w:top w:w="0" w:type="dxa"/>
            <w:left w:w="108" w:type="dxa"/>
            <w:bottom w:w="0" w:type="dxa"/>
            <w:right w:w="108" w:type="dxa"/>
          </w:tblCellMar>
        </w:tblPrEx>
        <w:trPr>
          <w:trHeight w:val="990" w:hRule="atLeast"/>
        </w:trPr>
        <w:tc>
          <w:tcPr>
            <w:tcW w:w="5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绿地管理55分</w:t>
            </w:r>
          </w:p>
        </w:tc>
        <w:tc>
          <w:tcPr>
            <w:tcW w:w="15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1、巡查养护林地，没有毁绿占绿现象，发现问题及时上报</w:t>
            </w: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10分</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5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每月考核时随机抽选5-10处，每处1000㎡。分别打分，最后计算得出本月得分。 注释：绿色为增加条款。黄色为修改条款</w:t>
            </w:r>
          </w:p>
        </w:tc>
      </w:tr>
      <w:tr>
        <w:tblPrEx>
          <w:tblCellMar>
            <w:top w:w="0" w:type="dxa"/>
            <w:left w:w="108" w:type="dxa"/>
            <w:bottom w:w="0" w:type="dxa"/>
            <w:right w:w="108" w:type="dxa"/>
          </w:tblCellMar>
        </w:tblPrEx>
        <w:trPr>
          <w:trHeight w:val="700"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2、及时制止人为倒融雪剂现象</w:t>
            </w: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30分</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5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900"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3、及时清理垃圾，卫生打扫干净，保持林带内环境优美整洁。</w:t>
            </w: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10分</w:t>
            </w:r>
          </w:p>
        </w:tc>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60"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4、及时清除乔灌木枝叶上积雪</w:t>
            </w: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5分</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5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40" w:hRule="atLeast"/>
        </w:trPr>
        <w:tc>
          <w:tcPr>
            <w:tcW w:w="56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安全生产管理10分</w:t>
            </w:r>
          </w:p>
        </w:tc>
        <w:tc>
          <w:tcPr>
            <w:tcW w:w="15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1、及时排查处理安全隐患</w:t>
            </w: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20"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5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2、配备安全保护器材</w:t>
            </w: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40"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5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3、合理规范操作机械</w:t>
            </w: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80"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5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4、做好安全警示标志</w:t>
            </w: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960" w:hRule="atLeast"/>
        </w:trPr>
        <w:tc>
          <w:tcPr>
            <w:tcW w:w="56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日常管理30分</w:t>
            </w:r>
          </w:p>
        </w:tc>
        <w:tc>
          <w:tcPr>
            <w:tcW w:w="15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1、养护单位对园林队安排的工作及时落实到位</w:t>
            </w: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7分</w:t>
            </w:r>
          </w:p>
        </w:tc>
        <w:tc>
          <w:tcPr>
            <w:tcW w:w="4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15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5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每月考核时随机抽选5-10处，每处1000㎡。分别打分，最后计算得出本月得分。 注释：绿色为增加条款。黄色为修改条款</w:t>
            </w:r>
          </w:p>
        </w:tc>
      </w:tr>
      <w:tr>
        <w:tblPrEx>
          <w:tblCellMar>
            <w:top w:w="0" w:type="dxa"/>
            <w:left w:w="108" w:type="dxa"/>
            <w:bottom w:w="0" w:type="dxa"/>
            <w:right w:w="108" w:type="dxa"/>
          </w:tblCellMar>
        </w:tblPrEx>
        <w:trPr>
          <w:trHeight w:val="840"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5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2、服从单位安排的应急事件</w:t>
            </w: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5分</w:t>
            </w:r>
          </w:p>
        </w:tc>
        <w:tc>
          <w:tcPr>
            <w:tcW w:w="4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15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5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840"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5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3、保质保量完成应急事件</w:t>
            </w: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5分</w:t>
            </w:r>
          </w:p>
        </w:tc>
        <w:tc>
          <w:tcPr>
            <w:tcW w:w="4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15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5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920"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5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4、对毁绿占绿现象及时发现、及时阻止、现场取证，上报主管科室，并配合监察科工作</w:t>
            </w: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5分</w:t>
            </w:r>
          </w:p>
        </w:tc>
        <w:tc>
          <w:tcPr>
            <w:tcW w:w="4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15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5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900"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5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5、按时、按要求报工作计划、工作小结</w:t>
            </w: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5分</w:t>
            </w:r>
          </w:p>
        </w:tc>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80"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5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6、养护人员配置到位</w:t>
            </w: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920" w:hRule="atLeast"/>
        </w:trPr>
        <w:tc>
          <w:tcPr>
            <w:tcW w:w="56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br w:type="textWrapping"/>
            </w:r>
            <w:r>
              <w:rPr>
                <w:rFonts w:hint="eastAsia" w:asciiTheme="minorEastAsia" w:hAnsiTheme="minorEastAsia" w:cstheme="minorEastAsia"/>
                <w:color w:val="000000"/>
                <w:kern w:val="0"/>
                <w:sz w:val="24"/>
                <w:szCs w:val="24"/>
                <w:lang w:bidi="ar"/>
              </w:rPr>
              <w:t>设施设备维修5分</w:t>
            </w:r>
          </w:p>
        </w:tc>
        <w:tc>
          <w:tcPr>
            <w:tcW w:w="15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1、各种标牌、标志物、辅助设施损坏及时修复</w:t>
            </w: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1080"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5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2、林地内的水井盖完好</w:t>
            </w: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50" w:hRule="atLeast"/>
        </w:trPr>
        <w:tc>
          <w:tcPr>
            <w:tcW w:w="21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当月考核得分</w:t>
            </w:r>
          </w:p>
        </w:tc>
        <w:tc>
          <w:tcPr>
            <w:tcW w:w="232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cstheme="minorEastAsia"/>
                <w:color w:val="000000"/>
                <w:sz w:val="24"/>
                <w:szCs w:val="24"/>
              </w:rPr>
            </w:pPr>
          </w:p>
        </w:tc>
        <w:tc>
          <w:tcPr>
            <w:tcW w:w="5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500" w:hRule="atLeast"/>
        </w:trPr>
        <w:tc>
          <w:tcPr>
            <w:tcW w:w="2298" w:type="pct"/>
            <w:gridSpan w:val="3"/>
            <w:tcBorders>
              <w:top w:val="nil"/>
              <w:left w:val="nil"/>
              <w:bottom w:val="nil"/>
              <w:right w:val="nil"/>
            </w:tcBorders>
            <w:shd w:val="clear" w:color="auto" w:fill="auto"/>
            <w:noWrap/>
            <w:vAlign w:val="center"/>
          </w:tcPr>
          <w:p>
            <w:pP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 xml:space="preserve">考核人签字：                                              </w:t>
            </w:r>
          </w:p>
        </w:tc>
        <w:tc>
          <w:tcPr>
            <w:tcW w:w="2701" w:type="pct"/>
            <w:gridSpan w:val="4"/>
            <w:tcBorders>
              <w:top w:val="nil"/>
              <w:left w:val="nil"/>
              <w:bottom w:val="nil"/>
              <w:right w:val="nil"/>
            </w:tcBorders>
            <w:shd w:val="clear" w:color="auto" w:fill="auto"/>
            <w:noWrap/>
            <w:vAlign w:val="center"/>
          </w:tcPr>
          <w:p>
            <w:pP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养护单位负责人签字：</w:t>
            </w:r>
          </w:p>
        </w:tc>
      </w:tr>
    </w:tbl>
    <w:p>
      <w:pPr>
        <w:ind w:firstLine="482"/>
        <w:rPr>
          <w:rFonts w:cs="宋体" w:asciiTheme="minorEastAsia" w:hAnsiTheme="minorEastAsia"/>
          <w:b/>
          <w:sz w:val="24"/>
          <w:szCs w:val="24"/>
        </w:rPr>
      </w:pPr>
      <w:r>
        <w:rPr>
          <w:rFonts w:hint="eastAsia" w:cs="宋体" w:asciiTheme="minorEastAsia" w:hAnsiTheme="minorEastAsia"/>
          <w:b/>
          <w:sz w:val="24"/>
          <w:szCs w:val="24"/>
        </w:rPr>
        <w:br w:type="page"/>
      </w:r>
    </w:p>
    <w:tbl>
      <w:tblPr>
        <w:tblStyle w:val="34"/>
        <w:tblW w:w="5000" w:type="pct"/>
        <w:tblInd w:w="0" w:type="dxa"/>
        <w:tblLayout w:type="autofit"/>
        <w:tblCellMar>
          <w:top w:w="0" w:type="dxa"/>
          <w:left w:w="108" w:type="dxa"/>
          <w:bottom w:w="0" w:type="dxa"/>
          <w:right w:w="108" w:type="dxa"/>
        </w:tblCellMar>
      </w:tblPr>
      <w:tblGrid>
        <w:gridCol w:w="1176"/>
        <w:gridCol w:w="3696"/>
        <w:gridCol w:w="636"/>
        <w:gridCol w:w="936"/>
        <w:gridCol w:w="1908"/>
        <w:gridCol w:w="936"/>
      </w:tblGrid>
      <w:tr>
        <w:tblPrEx>
          <w:tblCellMar>
            <w:top w:w="0" w:type="dxa"/>
            <w:left w:w="108" w:type="dxa"/>
            <w:bottom w:w="0" w:type="dxa"/>
            <w:right w:w="108" w:type="dxa"/>
          </w:tblCellMar>
        </w:tblPrEx>
        <w:trPr>
          <w:trHeight w:val="660" w:hRule="atLeast"/>
        </w:trPr>
        <w:tc>
          <w:tcPr>
            <w:tcW w:w="5000" w:type="pct"/>
            <w:gridSpan w:val="6"/>
            <w:tcBorders>
              <w:top w:val="nil"/>
              <w:left w:val="nil"/>
              <w:bottom w:val="nil"/>
              <w:right w:val="nil"/>
            </w:tcBorders>
            <w:shd w:val="clear" w:color="auto" w:fill="auto"/>
            <w:noWrap/>
            <w:vAlign w:val="center"/>
          </w:tcPr>
          <w:p>
            <w:pPr>
              <w:widowControl/>
              <w:ind w:firstLine="482"/>
              <w:jc w:val="center"/>
              <w:textAlignment w:val="center"/>
              <w:rPr>
                <w:rFonts w:asciiTheme="minorEastAsia" w:hAnsiTheme="minorEastAsia" w:cstheme="minorEastAsia"/>
                <w:b/>
                <w:bCs/>
                <w:color w:val="000000"/>
                <w:sz w:val="24"/>
                <w:szCs w:val="24"/>
              </w:rPr>
            </w:pPr>
            <w:r>
              <w:rPr>
                <w:rFonts w:hint="eastAsia" w:asciiTheme="minorEastAsia" w:hAnsiTheme="minorEastAsia" w:cstheme="minorEastAsia"/>
                <w:b/>
                <w:bCs/>
                <w:color w:val="000000"/>
                <w:kern w:val="0"/>
                <w:sz w:val="24"/>
                <w:szCs w:val="24"/>
                <w:lang w:bidi="ar"/>
              </w:rPr>
              <w:t>3月4月米东区绿地养护考核评分表(道路四级)</w:t>
            </w:r>
          </w:p>
        </w:tc>
      </w:tr>
      <w:tr>
        <w:tblPrEx>
          <w:tblCellMar>
            <w:top w:w="0" w:type="dxa"/>
            <w:left w:w="108" w:type="dxa"/>
            <w:bottom w:w="0" w:type="dxa"/>
            <w:right w:w="108" w:type="dxa"/>
          </w:tblCellMar>
        </w:tblPrEx>
        <w:trPr>
          <w:trHeight w:val="460" w:hRule="atLeast"/>
        </w:trPr>
        <w:tc>
          <w:tcPr>
            <w:tcW w:w="5000" w:type="pct"/>
            <w:gridSpan w:val="6"/>
            <w:tcBorders>
              <w:top w:val="nil"/>
              <w:left w:val="nil"/>
              <w:bottom w:val="nil"/>
              <w:right w:val="nil"/>
            </w:tcBorders>
            <w:shd w:val="clear" w:color="auto" w:fill="auto"/>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 xml:space="preserve">   日期：                   养护公司：                     养护面积：</w:t>
            </w:r>
          </w:p>
        </w:tc>
      </w:tr>
      <w:tr>
        <w:tblPrEx>
          <w:tblCellMar>
            <w:top w:w="0" w:type="dxa"/>
            <w:left w:w="108" w:type="dxa"/>
            <w:bottom w:w="0" w:type="dxa"/>
            <w:right w:w="108" w:type="dxa"/>
          </w:tblCellMar>
        </w:tblPrEx>
        <w:trPr>
          <w:trHeight w:val="72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考核项目</w:t>
            </w:r>
          </w:p>
        </w:tc>
        <w:tc>
          <w:tcPr>
            <w:tcW w:w="1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考核内容</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评分标准</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 xml:space="preserve"> 得 分</w:t>
            </w:r>
          </w:p>
        </w:tc>
        <w:tc>
          <w:tcPr>
            <w:tcW w:w="1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扣分原因</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备  注</w:t>
            </w:r>
          </w:p>
        </w:tc>
      </w:tr>
      <w:tr>
        <w:tblPrEx>
          <w:tblCellMar>
            <w:top w:w="0" w:type="dxa"/>
            <w:left w:w="108" w:type="dxa"/>
            <w:bottom w:w="0" w:type="dxa"/>
            <w:right w:w="108" w:type="dxa"/>
          </w:tblCellMar>
        </w:tblPrEx>
        <w:trPr>
          <w:trHeight w:val="700" w:hRule="atLeast"/>
        </w:trPr>
        <w:tc>
          <w:tcPr>
            <w:tcW w:w="5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乔灌木修剪20分</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1、乔灌木生长势好，树形完整，层次清楚，没有人为偏冠</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5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每月考核时随机抽选5-10处，每处1000㎡。分别打分，最后计算得出本月得分。</w:t>
            </w:r>
          </w:p>
        </w:tc>
      </w:tr>
      <w:tr>
        <w:tblPrEx>
          <w:tblCellMar>
            <w:top w:w="0" w:type="dxa"/>
            <w:left w:w="108" w:type="dxa"/>
            <w:bottom w:w="0" w:type="dxa"/>
            <w:right w:w="108" w:type="dxa"/>
          </w:tblCellMar>
        </w:tblPrEx>
        <w:trPr>
          <w:trHeight w:val="600"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2、枯死枝、徒长枝、下垂枝、折枝、病虫枝、过密枝及时清理</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5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00"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3、及时做好间苗，移植、定植工作。</w:t>
            </w:r>
          </w:p>
        </w:tc>
        <w:tc>
          <w:tcPr>
            <w:tcW w:w="4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4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05"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4、苗木要按生长习性和出圃的标准进行修剪。</w:t>
            </w:r>
          </w:p>
        </w:tc>
        <w:tc>
          <w:tcPr>
            <w:tcW w:w="4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4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4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480"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5、死树及时伐掉、倒树及时扶正</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5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525"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6、按规定时间完成修剪工作</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5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400"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7、修剪枝当天清理</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5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580"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8、3㎝以上剪口、损伤部位涂防护剂</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5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560" w:hRule="atLeast"/>
        </w:trPr>
        <w:tc>
          <w:tcPr>
            <w:tcW w:w="52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乔灌木栽植10分</w:t>
            </w:r>
          </w:p>
        </w:tc>
        <w:tc>
          <w:tcPr>
            <w:tcW w:w="15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1、按要求合理规范施工</w:t>
            </w:r>
          </w:p>
        </w:tc>
        <w:tc>
          <w:tcPr>
            <w:tcW w:w="4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4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00"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5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2、苗木当天需栽植并完成浇水工作</w:t>
            </w:r>
          </w:p>
        </w:tc>
        <w:tc>
          <w:tcPr>
            <w:tcW w:w="4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4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4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480"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5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3、确保苗木的成活率</w:t>
            </w:r>
          </w:p>
        </w:tc>
        <w:tc>
          <w:tcPr>
            <w:tcW w:w="4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4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4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520"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5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4、在规定时间内完成</w:t>
            </w:r>
          </w:p>
        </w:tc>
        <w:tc>
          <w:tcPr>
            <w:tcW w:w="4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4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60" w:hRule="atLeast"/>
        </w:trPr>
        <w:tc>
          <w:tcPr>
            <w:tcW w:w="52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病虫害防治10分</w:t>
            </w:r>
          </w:p>
        </w:tc>
        <w:tc>
          <w:tcPr>
            <w:tcW w:w="15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1、清洗乔灌木灰尘</w:t>
            </w:r>
          </w:p>
        </w:tc>
        <w:tc>
          <w:tcPr>
            <w:tcW w:w="4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4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每月考核时随机抽选5-10处，每处1000㎡。分别打分，最后计算得出本月得分。</w:t>
            </w:r>
          </w:p>
        </w:tc>
      </w:tr>
      <w:tr>
        <w:tblPrEx>
          <w:tblCellMar>
            <w:top w:w="0" w:type="dxa"/>
            <w:left w:w="108" w:type="dxa"/>
            <w:bottom w:w="0" w:type="dxa"/>
            <w:right w:w="108" w:type="dxa"/>
          </w:tblCellMar>
        </w:tblPrEx>
        <w:trPr>
          <w:trHeight w:val="640"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5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2、按要求及时完成涂白工作</w:t>
            </w:r>
          </w:p>
        </w:tc>
        <w:tc>
          <w:tcPr>
            <w:tcW w:w="4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4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60"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5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3、涂白高度整齐</w:t>
            </w:r>
          </w:p>
        </w:tc>
        <w:tc>
          <w:tcPr>
            <w:tcW w:w="4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14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00"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5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4、涂白剂涂抹均匀</w:t>
            </w:r>
          </w:p>
        </w:tc>
        <w:tc>
          <w:tcPr>
            <w:tcW w:w="4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4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420"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5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5、按标准进行药物配比</w:t>
            </w:r>
          </w:p>
        </w:tc>
        <w:tc>
          <w:tcPr>
            <w:tcW w:w="4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4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900" w:hRule="atLeast"/>
        </w:trPr>
        <w:tc>
          <w:tcPr>
            <w:tcW w:w="5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绿地整理25分</w:t>
            </w:r>
          </w:p>
        </w:tc>
        <w:tc>
          <w:tcPr>
            <w:tcW w:w="15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1、清理林带内的枯枝败叶及垃圾卫生打扫干净，保持林带内环境优美整洁。</w:t>
            </w:r>
          </w:p>
        </w:tc>
        <w:tc>
          <w:tcPr>
            <w:tcW w:w="4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5分</w:t>
            </w:r>
          </w:p>
        </w:tc>
        <w:tc>
          <w:tcPr>
            <w:tcW w:w="4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4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20"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2、林带内没有悬挂物、私搭乱建现象</w:t>
            </w:r>
          </w:p>
        </w:tc>
        <w:tc>
          <w:tcPr>
            <w:tcW w:w="4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4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80"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3、平整林带并进行中耕除草，松土</w:t>
            </w:r>
          </w:p>
        </w:tc>
        <w:tc>
          <w:tcPr>
            <w:tcW w:w="4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4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4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60"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4、确保树穴为下沉式</w:t>
            </w:r>
          </w:p>
        </w:tc>
        <w:tc>
          <w:tcPr>
            <w:tcW w:w="4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4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00"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5、及时保质地完成管线维修工作</w:t>
            </w:r>
          </w:p>
        </w:tc>
        <w:tc>
          <w:tcPr>
            <w:tcW w:w="4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4分</w:t>
            </w:r>
          </w:p>
        </w:tc>
        <w:tc>
          <w:tcPr>
            <w:tcW w:w="4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4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80"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6、及时完成花卉种植区的整理及中耕除草工作</w:t>
            </w:r>
          </w:p>
        </w:tc>
        <w:tc>
          <w:tcPr>
            <w:tcW w:w="4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4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4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580"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7、肥料需施在树穴并深翻</w:t>
            </w:r>
          </w:p>
        </w:tc>
        <w:tc>
          <w:tcPr>
            <w:tcW w:w="4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4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4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00"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8、在规定时间保质保量完成施肥工作</w:t>
            </w:r>
          </w:p>
        </w:tc>
        <w:tc>
          <w:tcPr>
            <w:tcW w:w="4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4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4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560" w:hRule="atLeast"/>
        </w:trPr>
        <w:tc>
          <w:tcPr>
            <w:tcW w:w="52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安全生产管理10分</w:t>
            </w:r>
          </w:p>
        </w:tc>
        <w:tc>
          <w:tcPr>
            <w:tcW w:w="15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1、及时排查处理安全隐患</w:t>
            </w:r>
          </w:p>
        </w:tc>
        <w:tc>
          <w:tcPr>
            <w:tcW w:w="4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4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433" w:type="pct"/>
            <w:tcBorders>
              <w:top w:val="single" w:color="000000" w:sz="4" w:space="0"/>
              <w:left w:val="single" w:color="000000" w:sz="4" w:space="0"/>
              <w:bottom w:val="single" w:color="000000" w:sz="4" w:space="0"/>
              <w:right w:val="nil"/>
            </w:tcBorders>
            <w:shd w:val="clear" w:color="auto" w:fill="FFFFFF"/>
            <w:noWrap/>
            <w:vAlign w:val="center"/>
          </w:tcPr>
          <w:p>
            <w:pPr>
              <w:rPr>
                <w:rFonts w:asciiTheme="minorEastAsia" w:hAnsiTheme="minorEastAsia" w:cstheme="minorEastAsia"/>
                <w:color w:val="000000"/>
                <w:sz w:val="24"/>
                <w:szCs w:val="24"/>
              </w:rPr>
            </w:pPr>
          </w:p>
        </w:tc>
        <w:tc>
          <w:tcPr>
            <w:tcW w:w="5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 xml:space="preserve">每月考核时随机抽选5-10处，每处1000㎡。分别打分，最后计算得出本月得分。  注释：绿色为增加条款。黄色为修改条款。 </w:t>
            </w:r>
          </w:p>
        </w:tc>
      </w:tr>
      <w:tr>
        <w:tblPrEx>
          <w:tblCellMar>
            <w:top w:w="0" w:type="dxa"/>
            <w:left w:w="108" w:type="dxa"/>
            <w:bottom w:w="0" w:type="dxa"/>
            <w:right w:w="108" w:type="dxa"/>
          </w:tblCellMar>
        </w:tblPrEx>
        <w:trPr>
          <w:trHeight w:val="540"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5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2、配备安全保护器材</w:t>
            </w:r>
          </w:p>
        </w:tc>
        <w:tc>
          <w:tcPr>
            <w:tcW w:w="4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4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433" w:type="pct"/>
            <w:tcBorders>
              <w:top w:val="single" w:color="000000" w:sz="4" w:space="0"/>
              <w:left w:val="single" w:color="000000" w:sz="4" w:space="0"/>
              <w:bottom w:val="single" w:color="000000" w:sz="4" w:space="0"/>
              <w:right w:val="nil"/>
            </w:tcBorders>
            <w:shd w:val="clear" w:color="auto" w:fill="FFFFFF"/>
            <w:noWrap/>
            <w:vAlign w:val="center"/>
          </w:tcPr>
          <w:p>
            <w:pPr>
              <w:rPr>
                <w:rFonts w:asciiTheme="minorEastAsia" w:hAnsiTheme="minorEastAsia" w:cstheme="minorEastAsia"/>
                <w:color w:val="000000"/>
                <w:sz w:val="24"/>
                <w:szCs w:val="24"/>
              </w:rPr>
            </w:pPr>
          </w:p>
        </w:tc>
        <w:tc>
          <w:tcPr>
            <w:tcW w:w="5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480"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5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3、合理规范操作机械</w:t>
            </w:r>
          </w:p>
        </w:tc>
        <w:tc>
          <w:tcPr>
            <w:tcW w:w="4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433" w:type="pct"/>
            <w:tcBorders>
              <w:top w:val="single" w:color="000000" w:sz="4" w:space="0"/>
              <w:left w:val="single" w:color="000000" w:sz="4" w:space="0"/>
              <w:bottom w:val="single" w:color="000000" w:sz="4" w:space="0"/>
              <w:right w:val="nil"/>
            </w:tcBorders>
            <w:shd w:val="clear" w:color="auto" w:fill="FFFFFF"/>
            <w:noWrap/>
            <w:vAlign w:val="center"/>
          </w:tcPr>
          <w:p>
            <w:pPr>
              <w:rPr>
                <w:rFonts w:asciiTheme="minorEastAsia" w:hAnsiTheme="minorEastAsia" w:cstheme="minorEastAsia"/>
                <w:color w:val="000000"/>
                <w:sz w:val="24"/>
                <w:szCs w:val="24"/>
              </w:rPr>
            </w:pPr>
          </w:p>
        </w:tc>
        <w:tc>
          <w:tcPr>
            <w:tcW w:w="5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560"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5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4、做好安全警示标志</w:t>
            </w:r>
          </w:p>
        </w:tc>
        <w:tc>
          <w:tcPr>
            <w:tcW w:w="4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433" w:type="pct"/>
            <w:tcBorders>
              <w:top w:val="single" w:color="000000" w:sz="4" w:space="0"/>
              <w:left w:val="single" w:color="000000" w:sz="4" w:space="0"/>
              <w:bottom w:val="single" w:color="000000" w:sz="4" w:space="0"/>
              <w:right w:val="nil"/>
            </w:tcBorders>
            <w:shd w:val="clear" w:color="auto" w:fill="FFFFFF"/>
            <w:noWrap/>
            <w:vAlign w:val="center"/>
          </w:tcPr>
          <w:p>
            <w:pPr>
              <w:rPr>
                <w:rFonts w:asciiTheme="minorEastAsia" w:hAnsiTheme="minorEastAsia" w:cstheme="minorEastAsia"/>
                <w:color w:val="000000"/>
                <w:sz w:val="24"/>
                <w:szCs w:val="24"/>
              </w:rPr>
            </w:pPr>
          </w:p>
        </w:tc>
        <w:tc>
          <w:tcPr>
            <w:tcW w:w="5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40" w:hRule="atLeast"/>
        </w:trPr>
        <w:tc>
          <w:tcPr>
            <w:tcW w:w="5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日常管理20分</w:t>
            </w:r>
          </w:p>
        </w:tc>
        <w:tc>
          <w:tcPr>
            <w:tcW w:w="15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1、养护单位对园林队安排的工作及时落实到位</w:t>
            </w:r>
          </w:p>
        </w:tc>
        <w:tc>
          <w:tcPr>
            <w:tcW w:w="4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5分</w:t>
            </w:r>
          </w:p>
        </w:tc>
        <w:tc>
          <w:tcPr>
            <w:tcW w:w="4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1433" w:type="pct"/>
            <w:tcBorders>
              <w:top w:val="single" w:color="000000" w:sz="4" w:space="0"/>
              <w:left w:val="single" w:color="000000" w:sz="4" w:space="0"/>
              <w:bottom w:val="single" w:color="000000" w:sz="4" w:space="0"/>
              <w:right w:val="nil"/>
            </w:tcBorders>
            <w:shd w:val="clear" w:color="auto" w:fill="FFFFFF"/>
            <w:vAlign w:val="center"/>
          </w:tcPr>
          <w:p>
            <w:pPr>
              <w:rPr>
                <w:rFonts w:asciiTheme="minorEastAsia" w:hAnsiTheme="minorEastAsia" w:cstheme="minorEastAsia"/>
                <w:color w:val="000000"/>
                <w:sz w:val="24"/>
                <w:szCs w:val="24"/>
              </w:rPr>
            </w:pPr>
          </w:p>
        </w:tc>
        <w:tc>
          <w:tcPr>
            <w:tcW w:w="5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60"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2、服从单位安排的应急事件并保质保量</w:t>
            </w:r>
          </w:p>
        </w:tc>
        <w:tc>
          <w:tcPr>
            <w:tcW w:w="4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4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1433" w:type="pct"/>
            <w:tcBorders>
              <w:top w:val="single" w:color="000000" w:sz="4" w:space="0"/>
              <w:left w:val="single" w:color="000000" w:sz="4" w:space="0"/>
              <w:bottom w:val="single" w:color="000000" w:sz="4" w:space="0"/>
              <w:right w:val="nil"/>
            </w:tcBorders>
            <w:shd w:val="clear" w:color="auto" w:fill="FFFFFF"/>
            <w:vAlign w:val="center"/>
          </w:tcPr>
          <w:p>
            <w:pPr>
              <w:rPr>
                <w:rFonts w:asciiTheme="minorEastAsia" w:hAnsiTheme="minorEastAsia" w:cstheme="minorEastAsia"/>
                <w:color w:val="000000"/>
                <w:sz w:val="24"/>
                <w:szCs w:val="24"/>
              </w:rPr>
            </w:pPr>
          </w:p>
        </w:tc>
        <w:tc>
          <w:tcPr>
            <w:tcW w:w="5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870"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3、对毁绿占绿现象及时发现、及时阻止、现场取证，上报主管科室，并配合监察科工作</w:t>
            </w:r>
          </w:p>
        </w:tc>
        <w:tc>
          <w:tcPr>
            <w:tcW w:w="4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4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1433" w:type="pct"/>
            <w:tcBorders>
              <w:top w:val="single" w:color="000000" w:sz="4" w:space="0"/>
              <w:left w:val="single" w:color="000000" w:sz="4" w:space="0"/>
              <w:bottom w:val="single" w:color="000000" w:sz="4" w:space="0"/>
              <w:right w:val="nil"/>
            </w:tcBorders>
            <w:shd w:val="clear" w:color="auto" w:fill="FFFFFF"/>
            <w:vAlign w:val="center"/>
          </w:tcPr>
          <w:p>
            <w:pPr>
              <w:rPr>
                <w:rFonts w:asciiTheme="minorEastAsia" w:hAnsiTheme="minorEastAsia" w:cstheme="minorEastAsia"/>
                <w:color w:val="000000"/>
                <w:sz w:val="24"/>
                <w:szCs w:val="24"/>
              </w:rPr>
            </w:pPr>
          </w:p>
        </w:tc>
        <w:tc>
          <w:tcPr>
            <w:tcW w:w="5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560"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4、未及时发现上报毁绿占绿现象</w:t>
            </w:r>
          </w:p>
        </w:tc>
        <w:tc>
          <w:tcPr>
            <w:tcW w:w="4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4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1433" w:type="pct"/>
            <w:tcBorders>
              <w:top w:val="single" w:color="000000" w:sz="4" w:space="0"/>
              <w:left w:val="single" w:color="000000" w:sz="4" w:space="0"/>
              <w:bottom w:val="single" w:color="000000" w:sz="4" w:space="0"/>
              <w:right w:val="nil"/>
            </w:tcBorders>
            <w:shd w:val="clear" w:color="auto" w:fill="FFFFFF"/>
            <w:vAlign w:val="center"/>
          </w:tcPr>
          <w:p>
            <w:pPr>
              <w:rPr>
                <w:rFonts w:asciiTheme="minorEastAsia" w:hAnsiTheme="minorEastAsia" w:cstheme="minorEastAsia"/>
                <w:color w:val="000000"/>
                <w:sz w:val="24"/>
                <w:szCs w:val="24"/>
              </w:rPr>
            </w:pPr>
          </w:p>
        </w:tc>
        <w:tc>
          <w:tcPr>
            <w:tcW w:w="5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00"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5、及时按要求上报工作计划、工作小结</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4分</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433" w:type="pct"/>
            <w:tcBorders>
              <w:top w:val="single" w:color="000000" w:sz="4" w:space="0"/>
              <w:left w:val="single" w:color="000000" w:sz="4" w:space="0"/>
              <w:bottom w:val="single" w:color="000000" w:sz="4" w:space="0"/>
              <w:right w:val="nil"/>
            </w:tcBorders>
            <w:shd w:val="clear" w:color="auto" w:fill="auto"/>
            <w:noWrap/>
            <w:vAlign w:val="center"/>
          </w:tcPr>
          <w:p>
            <w:pPr>
              <w:rPr>
                <w:rFonts w:asciiTheme="minorEastAsia" w:hAnsiTheme="minorEastAsia" w:cstheme="minorEastAsia"/>
                <w:color w:val="000000"/>
                <w:sz w:val="24"/>
                <w:szCs w:val="24"/>
              </w:rPr>
            </w:pPr>
          </w:p>
        </w:tc>
        <w:tc>
          <w:tcPr>
            <w:tcW w:w="5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480"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6、养护人员配置到位</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433" w:type="pct"/>
            <w:tcBorders>
              <w:top w:val="single" w:color="000000" w:sz="4" w:space="0"/>
              <w:left w:val="single" w:color="000000" w:sz="4" w:space="0"/>
              <w:bottom w:val="single" w:color="000000" w:sz="4" w:space="0"/>
              <w:right w:val="nil"/>
            </w:tcBorders>
            <w:shd w:val="clear" w:color="auto" w:fill="auto"/>
            <w:noWrap/>
            <w:vAlign w:val="center"/>
          </w:tcPr>
          <w:p>
            <w:pPr>
              <w:rPr>
                <w:rFonts w:asciiTheme="minorEastAsia" w:hAnsiTheme="minorEastAsia" w:cstheme="minorEastAsia"/>
                <w:color w:val="000000"/>
                <w:sz w:val="24"/>
                <w:szCs w:val="24"/>
              </w:rPr>
            </w:pPr>
          </w:p>
        </w:tc>
        <w:tc>
          <w:tcPr>
            <w:tcW w:w="5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75" w:hRule="atLeast"/>
        </w:trPr>
        <w:tc>
          <w:tcPr>
            <w:tcW w:w="5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设施设备维修5分</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1、各种标牌、标志物、辅助设施损坏及时修复</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433" w:type="pct"/>
            <w:tcBorders>
              <w:top w:val="single" w:color="000000" w:sz="4" w:space="0"/>
              <w:left w:val="single" w:color="000000" w:sz="4" w:space="0"/>
              <w:bottom w:val="single" w:color="000000" w:sz="4" w:space="0"/>
              <w:right w:val="nil"/>
            </w:tcBorders>
            <w:shd w:val="clear" w:color="auto" w:fill="auto"/>
            <w:noWrap/>
            <w:vAlign w:val="center"/>
          </w:tcPr>
          <w:p>
            <w:pPr>
              <w:rPr>
                <w:rFonts w:asciiTheme="minorEastAsia" w:hAnsiTheme="minorEastAsia" w:cstheme="minorEastAsia"/>
                <w:color w:val="000000"/>
                <w:sz w:val="24"/>
                <w:szCs w:val="24"/>
              </w:rPr>
            </w:pPr>
          </w:p>
        </w:tc>
        <w:tc>
          <w:tcPr>
            <w:tcW w:w="5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465"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91" w:type="pct"/>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2、林地内的水井盖完好</w:t>
            </w:r>
          </w:p>
        </w:tc>
        <w:tc>
          <w:tcPr>
            <w:tcW w:w="433" w:type="pct"/>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421" w:type="pct"/>
            <w:tcBorders>
              <w:top w:val="single" w:color="000000" w:sz="4" w:space="0"/>
              <w:left w:val="single" w:color="000000" w:sz="4" w:space="0"/>
              <w:bottom w:val="nil"/>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433" w:type="pct"/>
            <w:tcBorders>
              <w:top w:val="single" w:color="000000" w:sz="4" w:space="0"/>
              <w:left w:val="single" w:color="000000" w:sz="4" w:space="0"/>
              <w:bottom w:val="nil"/>
              <w:right w:val="nil"/>
            </w:tcBorders>
            <w:shd w:val="clear" w:color="auto" w:fill="auto"/>
            <w:noWrap/>
            <w:vAlign w:val="center"/>
          </w:tcPr>
          <w:p>
            <w:pPr>
              <w:rPr>
                <w:rFonts w:asciiTheme="minorEastAsia" w:hAnsiTheme="minorEastAsia" w:cstheme="minorEastAsia"/>
                <w:color w:val="000000"/>
                <w:sz w:val="24"/>
                <w:szCs w:val="24"/>
              </w:rPr>
            </w:pPr>
          </w:p>
        </w:tc>
        <w:tc>
          <w:tcPr>
            <w:tcW w:w="5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80" w:hRule="atLeast"/>
        </w:trPr>
        <w:tc>
          <w:tcPr>
            <w:tcW w:w="21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当月考核分数</w:t>
            </w:r>
          </w:p>
        </w:tc>
        <w:tc>
          <w:tcPr>
            <w:tcW w:w="228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cstheme="minorEastAsia"/>
                <w:color w:val="000000"/>
                <w:sz w:val="24"/>
                <w:szCs w:val="24"/>
              </w:rPr>
            </w:pPr>
          </w:p>
        </w:tc>
        <w:tc>
          <w:tcPr>
            <w:tcW w:w="5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500" w:hRule="atLeast"/>
        </w:trPr>
        <w:tc>
          <w:tcPr>
            <w:tcW w:w="2298" w:type="pct"/>
            <w:gridSpan w:val="2"/>
            <w:tcBorders>
              <w:top w:val="nil"/>
              <w:left w:val="nil"/>
              <w:bottom w:val="nil"/>
              <w:right w:val="nil"/>
            </w:tcBorders>
            <w:shd w:val="clear" w:color="auto" w:fill="auto"/>
            <w:noWrap/>
            <w:vAlign w:val="center"/>
          </w:tcPr>
          <w:p>
            <w:pP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 xml:space="preserve">考核人签字：                                              </w:t>
            </w:r>
          </w:p>
        </w:tc>
        <w:tc>
          <w:tcPr>
            <w:tcW w:w="2701" w:type="pct"/>
            <w:gridSpan w:val="4"/>
            <w:tcBorders>
              <w:top w:val="nil"/>
              <w:left w:val="nil"/>
              <w:bottom w:val="nil"/>
              <w:right w:val="nil"/>
            </w:tcBorders>
            <w:shd w:val="clear" w:color="auto" w:fill="auto"/>
            <w:noWrap/>
            <w:vAlign w:val="center"/>
          </w:tcPr>
          <w:p>
            <w:pP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养护单位负责人签字：</w:t>
            </w:r>
          </w:p>
        </w:tc>
      </w:tr>
    </w:tbl>
    <w:p>
      <w:pPr>
        <w:ind w:firstLine="482"/>
        <w:rPr>
          <w:rFonts w:cs="宋体" w:asciiTheme="minorEastAsia" w:hAnsiTheme="minorEastAsia"/>
          <w:b/>
          <w:sz w:val="24"/>
          <w:szCs w:val="24"/>
        </w:rPr>
      </w:pPr>
      <w:r>
        <w:rPr>
          <w:rFonts w:hint="eastAsia" w:cs="宋体" w:asciiTheme="minorEastAsia" w:hAnsiTheme="minorEastAsia"/>
          <w:b/>
          <w:sz w:val="24"/>
          <w:szCs w:val="24"/>
        </w:rPr>
        <w:br w:type="page"/>
      </w:r>
    </w:p>
    <w:tbl>
      <w:tblPr>
        <w:tblStyle w:val="34"/>
        <w:tblW w:w="5000" w:type="pct"/>
        <w:tblInd w:w="0" w:type="dxa"/>
        <w:tblLayout w:type="fixed"/>
        <w:tblCellMar>
          <w:top w:w="0" w:type="dxa"/>
          <w:left w:w="108" w:type="dxa"/>
          <w:bottom w:w="0" w:type="dxa"/>
          <w:right w:w="108" w:type="dxa"/>
        </w:tblCellMar>
      </w:tblPr>
      <w:tblGrid>
        <w:gridCol w:w="1202"/>
        <w:gridCol w:w="2916"/>
        <w:gridCol w:w="150"/>
        <w:gridCol w:w="600"/>
        <w:gridCol w:w="799"/>
        <w:gridCol w:w="2666"/>
        <w:gridCol w:w="955"/>
      </w:tblGrid>
      <w:tr>
        <w:tblPrEx>
          <w:tblCellMar>
            <w:top w:w="0" w:type="dxa"/>
            <w:left w:w="108" w:type="dxa"/>
            <w:bottom w:w="0" w:type="dxa"/>
            <w:right w:w="108" w:type="dxa"/>
          </w:tblCellMar>
        </w:tblPrEx>
        <w:trPr>
          <w:trHeight w:val="540" w:hRule="atLeast"/>
        </w:trPr>
        <w:tc>
          <w:tcPr>
            <w:tcW w:w="5000" w:type="pct"/>
            <w:gridSpan w:val="7"/>
            <w:tcBorders>
              <w:top w:val="nil"/>
              <w:left w:val="nil"/>
              <w:bottom w:val="nil"/>
              <w:right w:val="nil"/>
            </w:tcBorders>
            <w:shd w:val="clear" w:color="auto" w:fill="auto"/>
            <w:noWrap/>
            <w:vAlign w:val="center"/>
          </w:tcPr>
          <w:p>
            <w:pPr>
              <w:widowControl/>
              <w:ind w:firstLine="482"/>
              <w:jc w:val="center"/>
              <w:textAlignment w:val="center"/>
              <w:rPr>
                <w:rFonts w:asciiTheme="minorEastAsia" w:hAnsiTheme="minorEastAsia" w:cstheme="minorEastAsia"/>
                <w:b/>
                <w:bCs/>
                <w:color w:val="000000"/>
                <w:sz w:val="24"/>
                <w:szCs w:val="24"/>
              </w:rPr>
            </w:pPr>
            <w:r>
              <w:rPr>
                <w:rFonts w:hint="eastAsia" w:asciiTheme="minorEastAsia" w:hAnsiTheme="minorEastAsia" w:cstheme="minorEastAsia"/>
                <w:b/>
                <w:bCs/>
                <w:color w:val="000000"/>
                <w:kern w:val="0"/>
                <w:sz w:val="24"/>
                <w:szCs w:val="24"/>
                <w:lang w:bidi="ar"/>
              </w:rPr>
              <w:t>5月-9月米东区绿地养护考核评分表(道路四级)</w:t>
            </w:r>
          </w:p>
        </w:tc>
      </w:tr>
      <w:tr>
        <w:tblPrEx>
          <w:tblCellMar>
            <w:top w:w="0" w:type="dxa"/>
            <w:left w:w="108" w:type="dxa"/>
            <w:bottom w:w="0" w:type="dxa"/>
            <w:right w:w="108" w:type="dxa"/>
          </w:tblCellMar>
        </w:tblPrEx>
        <w:trPr>
          <w:trHeight w:val="375" w:hRule="atLeast"/>
        </w:trPr>
        <w:tc>
          <w:tcPr>
            <w:tcW w:w="5000" w:type="pct"/>
            <w:gridSpan w:val="7"/>
            <w:tcBorders>
              <w:top w:val="nil"/>
              <w:left w:val="nil"/>
              <w:bottom w:val="nil"/>
              <w:right w:val="nil"/>
            </w:tcBorders>
            <w:shd w:val="clear" w:color="auto" w:fill="auto"/>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 xml:space="preserve"> 日期：                       养护公司：                           养护面积：               </w:t>
            </w:r>
          </w:p>
        </w:tc>
      </w:tr>
      <w:tr>
        <w:tblPrEx>
          <w:tblCellMar>
            <w:top w:w="0" w:type="dxa"/>
            <w:left w:w="108" w:type="dxa"/>
            <w:bottom w:w="0" w:type="dxa"/>
            <w:right w:w="108" w:type="dxa"/>
          </w:tblCellMar>
        </w:tblPrEx>
        <w:trPr>
          <w:trHeight w:val="450" w:hRule="atLeast"/>
        </w:trPr>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考核项目</w:t>
            </w:r>
          </w:p>
        </w:tc>
        <w:tc>
          <w:tcPr>
            <w:tcW w:w="1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考核内容</w:t>
            </w:r>
          </w:p>
        </w:tc>
        <w:tc>
          <w:tcPr>
            <w:tcW w:w="40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评分标准</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得  分</w:t>
            </w:r>
          </w:p>
        </w:tc>
        <w:tc>
          <w:tcPr>
            <w:tcW w:w="1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扣分原因</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备  注</w:t>
            </w:r>
          </w:p>
        </w:tc>
      </w:tr>
      <w:tr>
        <w:tblPrEx>
          <w:tblCellMar>
            <w:top w:w="0" w:type="dxa"/>
            <w:left w:w="108" w:type="dxa"/>
            <w:bottom w:w="0" w:type="dxa"/>
            <w:right w:w="108" w:type="dxa"/>
          </w:tblCellMar>
        </w:tblPrEx>
        <w:trPr>
          <w:trHeight w:val="1020" w:hRule="atLeast"/>
        </w:trPr>
        <w:tc>
          <w:tcPr>
            <w:tcW w:w="6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乔灌木绿篱修剪20分</w:t>
            </w:r>
          </w:p>
        </w:tc>
        <w:tc>
          <w:tcPr>
            <w:tcW w:w="15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1、乔灌木生长势好，树形完整，层次清楚，没有人为偏冠.</w:t>
            </w:r>
          </w:p>
        </w:tc>
        <w:tc>
          <w:tcPr>
            <w:tcW w:w="40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4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 xml:space="preserve">                                                                                                                 每月考核时随机抽选5-10处，每处1000㎡。分别打分，最后计算得出本月得分。</w:t>
            </w:r>
          </w:p>
        </w:tc>
      </w:tr>
      <w:tr>
        <w:tblPrEx>
          <w:tblCellMar>
            <w:top w:w="0" w:type="dxa"/>
            <w:left w:w="108" w:type="dxa"/>
            <w:bottom w:w="0" w:type="dxa"/>
            <w:right w:w="108" w:type="dxa"/>
          </w:tblCellMar>
        </w:tblPrEx>
        <w:trPr>
          <w:trHeight w:val="960" w:hRule="atLeast"/>
        </w:trPr>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2、枯死枝、徒长枝、下垂枝、折枝、病虫枝、过密枝，萌蘖枝及时清理</w:t>
            </w:r>
          </w:p>
        </w:tc>
        <w:tc>
          <w:tcPr>
            <w:tcW w:w="40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4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4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375" w:hRule="atLeast"/>
        </w:trPr>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7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3、在规定时间内完成乔木，灌木，绿篱修剪，确保株形完美、线条整齐、形态逼真。</w:t>
            </w:r>
          </w:p>
        </w:tc>
        <w:tc>
          <w:tcPr>
            <w:tcW w:w="404"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4分</w:t>
            </w:r>
          </w:p>
        </w:tc>
        <w:tc>
          <w:tcPr>
            <w:tcW w:w="430"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heme="minorEastAsia" w:hAnsiTheme="minorEastAsia" w:cstheme="minorEastAsia"/>
                <w:color w:val="000000"/>
                <w:sz w:val="24"/>
                <w:szCs w:val="24"/>
              </w:rPr>
            </w:pPr>
          </w:p>
        </w:tc>
        <w:tc>
          <w:tcPr>
            <w:tcW w:w="1434"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heme="minorEastAsia" w:hAnsiTheme="minorEastAsia" w:cstheme="minorEastAsia"/>
                <w:color w:val="000000"/>
                <w:sz w:val="24"/>
                <w:szCs w:val="24"/>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540" w:hRule="atLeast"/>
        </w:trPr>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7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Theme="minorEastAsia" w:hAnsiTheme="minorEastAsia" w:cstheme="minorEastAsia"/>
                <w:color w:val="000000"/>
                <w:sz w:val="24"/>
                <w:szCs w:val="24"/>
              </w:rPr>
            </w:pPr>
          </w:p>
        </w:tc>
        <w:tc>
          <w:tcPr>
            <w:tcW w:w="404"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heme="minorEastAsia" w:hAnsiTheme="minorEastAsia" w:cstheme="minorEastAsia"/>
                <w:color w:val="000000"/>
                <w:sz w:val="24"/>
                <w:szCs w:val="24"/>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heme="minorEastAsia" w:hAnsiTheme="minorEastAsia" w:cstheme="minorEastAsia"/>
                <w:color w:val="000000"/>
                <w:sz w:val="24"/>
                <w:szCs w:val="24"/>
              </w:rPr>
            </w:pPr>
          </w:p>
        </w:tc>
        <w:tc>
          <w:tcPr>
            <w:tcW w:w="1434"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heme="minorEastAsia" w:hAnsiTheme="minorEastAsia" w:cstheme="minorEastAsia"/>
                <w:color w:val="000000"/>
                <w:sz w:val="24"/>
                <w:szCs w:val="24"/>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80" w:hRule="atLeast"/>
        </w:trPr>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4、苗木要按生长习性和花期进行修剪</w:t>
            </w:r>
          </w:p>
        </w:tc>
        <w:tc>
          <w:tcPr>
            <w:tcW w:w="40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4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80" w:hRule="atLeast"/>
        </w:trPr>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5、死树及时伐掉、倒树及时扶正</w:t>
            </w:r>
          </w:p>
        </w:tc>
        <w:tc>
          <w:tcPr>
            <w:tcW w:w="40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560" w:hRule="atLeast"/>
        </w:trPr>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6、修剪枝当天及时清理</w:t>
            </w:r>
          </w:p>
        </w:tc>
        <w:tc>
          <w:tcPr>
            <w:tcW w:w="40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510" w:hRule="atLeast"/>
        </w:trPr>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7、及时清除林地内杂草</w:t>
            </w:r>
          </w:p>
        </w:tc>
        <w:tc>
          <w:tcPr>
            <w:tcW w:w="40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5分</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20" w:hRule="atLeast"/>
        </w:trPr>
        <w:tc>
          <w:tcPr>
            <w:tcW w:w="6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植物病虫害防治10分</w:t>
            </w:r>
          </w:p>
        </w:tc>
        <w:tc>
          <w:tcPr>
            <w:tcW w:w="1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1、根据虫害发生情况及时以化学防治的方法打药预防</w:t>
            </w:r>
          </w:p>
        </w:tc>
        <w:tc>
          <w:tcPr>
            <w:tcW w:w="40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6分</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520" w:hRule="atLeast"/>
        </w:trPr>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2、必须使用高效低毒农药</w:t>
            </w:r>
          </w:p>
        </w:tc>
        <w:tc>
          <w:tcPr>
            <w:tcW w:w="40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4分</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45" w:hRule="atLeast"/>
        </w:trPr>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3、防治病虫害效果明显，在可控范围内</w:t>
            </w:r>
          </w:p>
        </w:tc>
        <w:tc>
          <w:tcPr>
            <w:tcW w:w="40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5分</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40" w:hRule="atLeast"/>
        </w:trPr>
        <w:tc>
          <w:tcPr>
            <w:tcW w:w="64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浇水20分</w:t>
            </w:r>
          </w:p>
        </w:tc>
        <w:tc>
          <w:tcPr>
            <w:tcW w:w="1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1、及时浇水，没有造成植物萎蔫，枝叶枯黄</w:t>
            </w:r>
          </w:p>
        </w:tc>
        <w:tc>
          <w:tcPr>
            <w:tcW w:w="40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6分</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5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每月考核时随机抽选5-10处，每处1000㎡。分别打分，最后计算得出本月得分。</w:t>
            </w:r>
          </w:p>
        </w:tc>
      </w:tr>
      <w:tr>
        <w:tblPrEx>
          <w:tblCellMar>
            <w:top w:w="0" w:type="dxa"/>
            <w:left w:w="108" w:type="dxa"/>
            <w:bottom w:w="0" w:type="dxa"/>
            <w:right w:w="108" w:type="dxa"/>
          </w:tblCellMar>
        </w:tblPrEx>
        <w:trPr>
          <w:trHeight w:val="540" w:hRule="atLeast"/>
        </w:trPr>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cstheme="minorEastAsia"/>
                <w:color w:val="000000"/>
                <w:sz w:val="24"/>
                <w:szCs w:val="24"/>
              </w:rPr>
            </w:pPr>
          </w:p>
        </w:tc>
        <w:tc>
          <w:tcPr>
            <w:tcW w:w="1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2、确保浇水浇到位</w:t>
            </w:r>
          </w:p>
        </w:tc>
        <w:tc>
          <w:tcPr>
            <w:tcW w:w="40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460" w:hRule="atLeast"/>
        </w:trPr>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cstheme="minorEastAsia"/>
                <w:color w:val="000000"/>
                <w:sz w:val="24"/>
                <w:szCs w:val="24"/>
              </w:rPr>
            </w:pPr>
          </w:p>
        </w:tc>
        <w:tc>
          <w:tcPr>
            <w:tcW w:w="1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3、确保浇水浇透</w:t>
            </w:r>
          </w:p>
        </w:tc>
        <w:tc>
          <w:tcPr>
            <w:tcW w:w="40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20" w:hRule="atLeast"/>
        </w:trPr>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cstheme="minorEastAsia"/>
                <w:color w:val="000000"/>
                <w:sz w:val="24"/>
                <w:szCs w:val="24"/>
              </w:rPr>
            </w:pPr>
          </w:p>
        </w:tc>
        <w:tc>
          <w:tcPr>
            <w:tcW w:w="1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4、确保各类灌溉系统正常浇水，未出现跑冒滴漏现象。</w:t>
            </w:r>
          </w:p>
        </w:tc>
        <w:tc>
          <w:tcPr>
            <w:tcW w:w="40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5分</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15" w:hRule="atLeast"/>
        </w:trPr>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cstheme="minorEastAsia"/>
                <w:color w:val="000000"/>
                <w:sz w:val="24"/>
                <w:szCs w:val="24"/>
              </w:rPr>
            </w:pPr>
          </w:p>
        </w:tc>
        <w:tc>
          <w:tcPr>
            <w:tcW w:w="15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5、及时清洗乔灌木灰尘</w:t>
            </w:r>
          </w:p>
        </w:tc>
        <w:tc>
          <w:tcPr>
            <w:tcW w:w="40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95" w:hRule="atLeast"/>
        </w:trPr>
        <w:tc>
          <w:tcPr>
            <w:tcW w:w="6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绿地整理15分</w:t>
            </w:r>
          </w:p>
        </w:tc>
        <w:tc>
          <w:tcPr>
            <w:tcW w:w="15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1、清理林带内的枯枝败叶以及垃圾卫生打扫干净，保持林带内环境优美整洁。</w:t>
            </w:r>
          </w:p>
        </w:tc>
        <w:tc>
          <w:tcPr>
            <w:tcW w:w="40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4分</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00" w:hRule="atLeast"/>
        </w:trPr>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2、林带没有悬挂物及私搭乱建现象</w:t>
            </w:r>
          </w:p>
        </w:tc>
        <w:tc>
          <w:tcPr>
            <w:tcW w:w="40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40" w:hRule="atLeast"/>
        </w:trPr>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3、平整林带并进行中耕松土</w:t>
            </w:r>
          </w:p>
        </w:tc>
        <w:tc>
          <w:tcPr>
            <w:tcW w:w="40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4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540" w:hRule="atLeast"/>
        </w:trPr>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4、确保树穴为下沉式</w:t>
            </w:r>
          </w:p>
        </w:tc>
        <w:tc>
          <w:tcPr>
            <w:tcW w:w="40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4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40" w:hRule="atLeast"/>
        </w:trPr>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5、肥料需施在树穴并深翻</w:t>
            </w:r>
          </w:p>
        </w:tc>
        <w:tc>
          <w:tcPr>
            <w:tcW w:w="40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4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20" w:hRule="atLeast"/>
        </w:trPr>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6、在规定时间保质保量完成施肥工作</w:t>
            </w:r>
          </w:p>
        </w:tc>
        <w:tc>
          <w:tcPr>
            <w:tcW w:w="40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4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480" w:hRule="atLeast"/>
        </w:trPr>
        <w:tc>
          <w:tcPr>
            <w:tcW w:w="64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安全生产管理10分</w:t>
            </w:r>
          </w:p>
        </w:tc>
        <w:tc>
          <w:tcPr>
            <w:tcW w:w="15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1、及时排查处理安全隐患</w:t>
            </w:r>
          </w:p>
        </w:tc>
        <w:tc>
          <w:tcPr>
            <w:tcW w:w="40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4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4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540" w:hRule="atLeast"/>
        </w:trPr>
        <w:tc>
          <w:tcPr>
            <w:tcW w:w="64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5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2、配备安全保护器材</w:t>
            </w:r>
          </w:p>
        </w:tc>
        <w:tc>
          <w:tcPr>
            <w:tcW w:w="40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4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4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520" w:hRule="atLeast"/>
        </w:trPr>
        <w:tc>
          <w:tcPr>
            <w:tcW w:w="64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5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3、合理规范操作机械</w:t>
            </w:r>
          </w:p>
        </w:tc>
        <w:tc>
          <w:tcPr>
            <w:tcW w:w="40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4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20" w:hRule="atLeast"/>
        </w:trPr>
        <w:tc>
          <w:tcPr>
            <w:tcW w:w="64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5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4、做好安全警示标志</w:t>
            </w:r>
          </w:p>
        </w:tc>
        <w:tc>
          <w:tcPr>
            <w:tcW w:w="40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4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840" w:hRule="atLeast"/>
        </w:trPr>
        <w:tc>
          <w:tcPr>
            <w:tcW w:w="6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日常管理20分</w:t>
            </w:r>
          </w:p>
        </w:tc>
        <w:tc>
          <w:tcPr>
            <w:tcW w:w="1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1、养护单位对园林队的工作安排及时落实到位</w:t>
            </w:r>
          </w:p>
        </w:tc>
        <w:tc>
          <w:tcPr>
            <w:tcW w:w="40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5分</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color w:val="000000"/>
                <w:sz w:val="24"/>
                <w:szCs w:val="24"/>
              </w:rPr>
            </w:pPr>
          </w:p>
        </w:tc>
        <w:tc>
          <w:tcPr>
            <w:tcW w:w="143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color w:val="000000"/>
                <w:sz w:val="24"/>
                <w:szCs w:val="24"/>
              </w:rPr>
            </w:pPr>
          </w:p>
        </w:tc>
        <w:tc>
          <w:tcPr>
            <w:tcW w:w="5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每月考核时随机抽选5-10处，每处1000㎡。分别打分，最后计算得出本月得分  注释：绿色为增加条款。黄色为修改条款。</w:t>
            </w:r>
          </w:p>
        </w:tc>
      </w:tr>
      <w:tr>
        <w:tblPrEx>
          <w:tblCellMar>
            <w:top w:w="0" w:type="dxa"/>
            <w:left w:w="108" w:type="dxa"/>
            <w:bottom w:w="0" w:type="dxa"/>
            <w:right w:w="108" w:type="dxa"/>
          </w:tblCellMar>
        </w:tblPrEx>
        <w:trPr>
          <w:trHeight w:val="760" w:hRule="atLeast"/>
        </w:trPr>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2、服从单位安排的应急事件并保质保量</w:t>
            </w:r>
          </w:p>
        </w:tc>
        <w:tc>
          <w:tcPr>
            <w:tcW w:w="40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43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14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1220" w:hRule="atLeast"/>
        </w:trPr>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3、对毁绿占绿现象及时发现、及时阻止、现场取证，上报主管科室，并配合监察科工作</w:t>
            </w:r>
          </w:p>
        </w:tc>
        <w:tc>
          <w:tcPr>
            <w:tcW w:w="40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4分</w:t>
            </w:r>
          </w:p>
        </w:tc>
        <w:tc>
          <w:tcPr>
            <w:tcW w:w="43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14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80" w:hRule="atLeast"/>
        </w:trPr>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4、及时按要求上报工作计划、工作小结</w:t>
            </w:r>
          </w:p>
        </w:tc>
        <w:tc>
          <w:tcPr>
            <w:tcW w:w="40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5分</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60" w:hRule="atLeast"/>
        </w:trPr>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5、养护人员配置到位</w:t>
            </w:r>
          </w:p>
        </w:tc>
        <w:tc>
          <w:tcPr>
            <w:tcW w:w="40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860" w:hRule="atLeast"/>
        </w:trPr>
        <w:tc>
          <w:tcPr>
            <w:tcW w:w="6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设施设备维修5分</w:t>
            </w:r>
          </w:p>
        </w:tc>
        <w:tc>
          <w:tcPr>
            <w:tcW w:w="1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1、各种标牌、标志物、辅助设施损坏及时修复</w:t>
            </w:r>
          </w:p>
        </w:tc>
        <w:tc>
          <w:tcPr>
            <w:tcW w:w="40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40" w:hRule="atLeast"/>
        </w:trPr>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2、林地内的水井盖完好</w:t>
            </w:r>
          </w:p>
        </w:tc>
        <w:tc>
          <w:tcPr>
            <w:tcW w:w="40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00" w:hRule="atLeast"/>
        </w:trPr>
        <w:tc>
          <w:tcPr>
            <w:tcW w:w="22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当月考核分数</w:t>
            </w:r>
          </w:p>
        </w:tc>
        <w:tc>
          <w:tcPr>
            <w:tcW w:w="226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cstheme="minorEastAsia"/>
                <w:color w:val="000000"/>
                <w:sz w:val="24"/>
                <w:szCs w:val="24"/>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500" w:hRule="atLeast"/>
        </w:trPr>
        <w:tc>
          <w:tcPr>
            <w:tcW w:w="2298" w:type="pct"/>
            <w:gridSpan w:val="3"/>
            <w:tcBorders>
              <w:top w:val="nil"/>
              <w:left w:val="nil"/>
              <w:bottom w:val="nil"/>
              <w:right w:val="nil"/>
            </w:tcBorders>
            <w:shd w:val="clear" w:color="auto" w:fill="auto"/>
            <w:noWrap/>
            <w:vAlign w:val="center"/>
          </w:tcPr>
          <w:p>
            <w:pP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 xml:space="preserve">考核人签字：                                              </w:t>
            </w:r>
          </w:p>
        </w:tc>
        <w:tc>
          <w:tcPr>
            <w:tcW w:w="2701" w:type="pct"/>
            <w:gridSpan w:val="4"/>
            <w:tcBorders>
              <w:top w:val="nil"/>
              <w:left w:val="nil"/>
              <w:bottom w:val="nil"/>
              <w:right w:val="nil"/>
            </w:tcBorders>
            <w:shd w:val="clear" w:color="auto" w:fill="auto"/>
            <w:noWrap/>
            <w:vAlign w:val="center"/>
          </w:tcPr>
          <w:p>
            <w:pP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养护单位负责人签字：</w:t>
            </w:r>
          </w:p>
        </w:tc>
      </w:tr>
    </w:tbl>
    <w:p>
      <w:pPr>
        <w:ind w:firstLine="482"/>
        <w:rPr>
          <w:rFonts w:cs="宋体" w:asciiTheme="minorEastAsia" w:hAnsiTheme="minorEastAsia"/>
          <w:b/>
          <w:sz w:val="24"/>
          <w:szCs w:val="24"/>
        </w:rPr>
      </w:pPr>
      <w:r>
        <w:rPr>
          <w:rFonts w:hint="eastAsia" w:cs="宋体" w:asciiTheme="minorEastAsia" w:hAnsiTheme="minorEastAsia"/>
          <w:b/>
          <w:sz w:val="24"/>
          <w:szCs w:val="24"/>
        </w:rPr>
        <w:br w:type="page"/>
      </w:r>
    </w:p>
    <w:tbl>
      <w:tblPr>
        <w:tblStyle w:val="34"/>
        <w:tblW w:w="5000" w:type="pct"/>
        <w:tblInd w:w="0" w:type="dxa"/>
        <w:tblLayout w:type="fixed"/>
        <w:tblCellMar>
          <w:top w:w="0" w:type="dxa"/>
          <w:left w:w="108" w:type="dxa"/>
          <w:bottom w:w="0" w:type="dxa"/>
          <w:right w:w="108" w:type="dxa"/>
        </w:tblCellMar>
      </w:tblPr>
      <w:tblGrid>
        <w:gridCol w:w="1197"/>
        <w:gridCol w:w="3377"/>
        <w:gridCol w:w="604"/>
        <w:gridCol w:w="869"/>
        <w:gridCol w:w="2002"/>
        <w:gridCol w:w="1239"/>
      </w:tblGrid>
      <w:tr>
        <w:tblPrEx>
          <w:tblCellMar>
            <w:top w:w="0" w:type="dxa"/>
            <w:left w:w="108" w:type="dxa"/>
            <w:bottom w:w="0" w:type="dxa"/>
            <w:right w:w="108" w:type="dxa"/>
          </w:tblCellMar>
        </w:tblPrEx>
        <w:trPr>
          <w:trHeight w:val="720" w:hRule="atLeast"/>
        </w:trPr>
        <w:tc>
          <w:tcPr>
            <w:tcW w:w="5000" w:type="pct"/>
            <w:gridSpan w:val="6"/>
            <w:tcBorders>
              <w:top w:val="nil"/>
              <w:left w:val="nil"/>
              <w:bottom w:val="nil"/>
              <w:right w:val="nil"/>
            </w:tcBorders>
            <w:shd w:val="clear" w:color="auto" w:fill="auto"/>
            <w:noWrap/>
            <w:vAlign w:val="center"/>
          </w:tcPr>
          <w:p>
            <w:pPr>
              <w:widowControl/>
              <w:ind w:firstLine="482"/>
              <w:jc w:val="center"/>
              <w:textAlignment w:val="center"/>
              <w:rPr>
                <w:rFonts w:asciiTheme="minorEastAsia" w:hAnsiTheme="minorEastAsia" w:cstheme="minorEastAsia"/>
                <w:b/>
                <w:bCs/>
                <w:color w:val="000000"/>
                <w:sz w:val="24"/>
                <w:szCs w:val="24"/>
              </w:rPr>
            </w:pPr>
            <w:r>
              <w:rPr>
                <w:rFonts w:hint="eastAsia" w:asciiTheme="minorEastAsia" w:hAnsiTheme="minorEastAsia" w:cstheme="minorEastAsia"/>
                <w:b/>
                <w:bCs/>
                <w:color w:val="000000"/>
                <w:kern w:val="0"/>
                <w:sz w:val="24"/>
                <w:szCs w:val="24"/>
                <w:lang w:bidi="ar"/>
              </w:rPr>
              <w:t>10月11月米东区绿地养护考核评分表(道路四级)</w:t>
            </w:r>
          </w:p>
        </w:tc>
      </w:tr>
      <w:tr>
        <w:tblPrEx>
          <w:tblCellMar>
            <w:top w:w="0" w:type="dxa"/>
            <w:left w:w="108" w:type="dxa"/>
            <w:bottom w:w="0" w:type="dxa"/>
            <w:right w:w="108" w:type="dxa"/>
          </w:tblCellMar>
        </w:tblPrEx>
        <w:trPr>
          <w:trHeight w:val="600" w:hRule="atLeast"/>
        </w:trPr>
        <w:tc>
          <w:tcPr>
            <w:tcW w:w="5000" w:type="pct"/>
            <w:gridSpan w:val="6"/>
            <w:tcBorders>
              <w:top w:val="nil"/>
              <w:left w:val="nil"/>
              <w:bottom w:val="nil"/>
              <w:right w:val="nil"/>
            </w:tcBorders>
            <w:shd w:val="clear" w:color="auto" w:fill="auto"/>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日期：                    养护公司：                         养护面积：</w:t>
            </w:r>
          </w:p>
        </w:tc>
      </w:tr>
      <w:tr>
        <w:tblPrEx>
          <w:tblCellMar>
            <w:top w:w="0" w:type="dxa"/>
            <w:left w:w="108" w:type="dxa"/>
            <w:bottom w:w="0" w:type="dxa"/>
            <w:right w:w="108" w:type="dxa"/>
          </w:tblCellMar>
        </w:tblPrEx>
        <w:trPr>
          <w:trHeight w:val="660" w:hRule="atLeast"/>
        </w:trPr>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考核项目</w:t>
            </w:r>
          </w:p>
        </w:tc>
        <w:tc>
          <w:tcPr>
            <w:tcW w:w="1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考核内容</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评分标准</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得  分</w:t>
            </w:r>
          </w:p>
        </w:tc>
        <w:tc>
          <w:tcPr>
            <w:tcW w:w="10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扣分原因</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备  注</w:t>
            </w:r>
          </w:p>
        </w:tc>
      </w:tr>
      <w:tr>
        <w:tblPrEx>
          <w:tblCellMar>
            <w:top w:w="0" w:type="dxa"/>
            <w:left w:w="108" w:type="dxa"/>
            <w:bottom w:w="0" w:type="dxa"/>
            <w:right w:w="108" w:type="dxa"/>
          </w:tblCellMar>
        </w:tblPrEx>
        <w:trPr>
          <w:trHeight w:val="680" w:hRule="atLeast"/>
        </w:trPr>
        <w:tc>
          <w:tcPr>
            <w:tcW w:w="6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乔灌木修剪20分</w:t>
            </w:r>
          </w:p>
        </w:tc>
        <w:tc>
          <w:tcPr>
            <w:tcW w:w="18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1、乔灌木生长势好，树形完整，层次清楚，没有人为偏冠</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4分</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0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6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 xml:space="preserve">                                                                                                              每月考核时随机抽选5-10处，每处1000㎡。分别打分，最后计算得出本月得分。</w:t>
            </w:r>
          </w:p>
        </w:tc>
      </w:tr>
      <w:tr>
        <w:tblPrEx>
          <w:tblCellMar>
            <w:top w:w="0" w:type="dxa"/>
            <w:left w:w="108" w:type="dxa"/>
            <w:bottom w:w="0" w:type="dxa"/>
            <w:right w:w="108" w:type="dxa"/>
          </w:tblCellMar>
        </w:tblPrEx>
        <w:trPr>
          <w:trHeight w:val="735" w:hRule="atLeast"/>
        </w:trPr>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8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2、枯死枝、徒长枝、下垂枝、折枝、病虫枝、过密枝及时清理</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4分</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0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6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580" w:hRule="atLeast"/>
        </w:trPr>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8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3、及时做好移植、定植工作。</w:t>
            </w:r>
          </w:p>
        </w:tc>
        <w:tc>
          <w:tcPr>
            <w:tcW w:w="3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0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80" w:hRule="atLeast"/>
        </w:trPr>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8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4、苗木要按生长习性修剪，按规定时间完成修剪工作。</w:t>
            </w:r>
          </w:p>
        </w:tc>
        <w:tc>
          <w:tcPr>
            <w:tcW w:w="3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4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0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450" w:hRule="atLeast"/>
        </w:trPr>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5、死树及时伐掉、倒树及时扶正</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0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6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465" w:hRule="atLeast"/>
        </w:trPr>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6、修剪枝当天及时清理</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0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6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60" w:hRule="atLeast"/>
        </w:trPr>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8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7、3㎝以上剪口、损伤部位涂防护剂</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0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6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00" w:hRule="atLeast"/>
        </w:trPr>
        <w:tc>
          <w:tcPr>
            <w:tcW w:w="64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乔灌木栽植10分</w:t>
            </w:r>
          </w:p>
        </w:tc>
        <w:tc>
          <w:tcPr>
            <w:tcW w:w="18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1、按要求合理规范施工</w:t>
            </w:r>
          </w:p>
        </w:tc>
        <w:tc>
          <w:tcPr>
            <w:tcW w:w="3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0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80" w:hRule="atLeast"/>
        </w:trPr>
        <w:tc>
          <w:tcPr>
            <w:tcW w:w="6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8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2、苗木当天需栽植并完成浇水工作</w:t>
            </w:r>
          </w:p>
        </w:tc>
        <w:tc>
          <w:tcPr>
            <w:tcW w:w="3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4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0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00" w:hRule="atLeast"/>
        </w:trPr>
        <w:tc>
          <w:tcPr>
            <w:tcW w:w="6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8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3、确保苗木的成活率</w:t>
            </w:r>
          </w:p>
        </w:tc>
        <w:tc>
          <w:tcPr>
            <w:tcW w:w="3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4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0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560" w:hRule="atLeast"/>
        </w:trPr>
        <w:tc>
          <w:tcPr>
            <w:tcW w:w="6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8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4、在规定时间内完成</w:t>
            </w:r>
          </w:p>
        </w:tc>
        <w:tc>
          <w:tcPr>
            <w:tcW w:w="3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0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570" w:hRule="atLeast"/>
        </w:trPr>
        <w:tc>
          <w:tcPr>
            <w:tcW w:w="64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浇水20分</w:t>
            </w:r>
          </w:p>
        </w:tc>
        <w:tc>
          <w:tcPr>
            <w:tcW w:w="1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1、按要求及时冬灌</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5分</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0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6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 xml:space="preserve">                                                                                                                每月考核时随机抽选5-10处，每处1000㎡。分别打分，最后计算得出本月得分。</w:t>
            </w:r>
          </w:p>
        </w:tc>
      </w:tr>
      <w:tr>
        <w:tblPrEx>
          <w:tblCellMar>
            <w:top w:w="0" w:type="dxa"/>
            <w:left w:w="108" w:type="dxa"/>
            <w:bottom w:w="0" w:type="dxa"/>
            <w:right w:w="108" w:type="dxa"/>
          </w:tblCellMar>
        </w:tblPrEx>
        <w:trPr>
          <w:trHeight w:val="555" w:hRule="atLeast"/>
        </w:trPr>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cstheme="minorEastAsia"/>
                <w:color w:val="000000"/>
                <w:sz w:val="24"/>
                <w:szCs w:val="24"/>
              </w:rPr>
            </w:pPr>
          </w:p>
        </w:tc>
        <w:tc>
          <w:tcPr>
            <w:tcW w:w="1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2、确保浇水浇到位</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5分</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0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6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15" w:hRule="atLeast"/>
        </w:trPr>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cstheme="minorEastAsia"/>
                <w:color w:val="000000"/>
                <w:sz w:val="24"/>
                <w:szCs w:val="24"/>
              </w:rPr>
            </w:pPr>
          </w:p>
        </w:tc>
        <w:tc>
          <w:tcPr>
            <w:tcW w:w="1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3、确保浇水浇透</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5分</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0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6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60" w:hRule="atLeast"/>
        </w:trPr>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cstheme="minorEastAsia"/>
                <w:color w:val="000000"/>
                <w:sz w:val="24"/>
                <w:szCs w:val="24"/>
              </w:rPr>
            </w:pPr>
          </w:p>
        </w:tc>
        <w:tc>
          <w:tcPr>
            <w:tcW w:w="1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4、及时做好排水工作</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0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6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60" w:hRule="atLeast"/>
        </w:trPr>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cstheme="minorEastAsia"/>
                <w:color w:val="000000"/>
                <w:sz w:val="24"/>
                <w:szCs w:val="24"/>
              </w:rPr>
            </w:pPr>
          </w:p>
        </w:tc>
        <w:tc>
          <w:tcPr>
            <w:tcW w:w="1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5、清洗乔灌木灰尘</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0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6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960" w:hRule="atLeast"/>
        </w:trPr>
        <w:tc>
          <w:tcPr>
            <w:tcW w:w="6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绿地整理15分</w:t>
            </w:r>
          </w:p>
        </w:tc>
        <w:tc>
          <w:tcPr>
            <w:tcW w:w="18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1、清理林带内的枯枝败叶以及垃圾，卫生打扫干净，保持林带内环境优美整洁。</w:t>
            </w:r>
          </w:p>
        </w:tc>
        <w:tc>
          <w:tcPr>
            <w:tcW w:w="3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5分</w:t>
            </w:r>
          </w:p>
        </w:tc>
        <w:tc>
          <w:tcPr>
            <w:tcW w:w="4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0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80" w:hRule="atLeast"/>
        </w:trPr>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8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2、林带内没有悬挂物及私搭乱建现象</w:t>
            </w:r>
          </w:p>
        </w:tc>
        <w:tc>
          <w:tcPr>
            <w:tcW w:w="3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0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00" w:hRule="atLeast"/>
        </w:trPr>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8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3、平整林带并进行中耕除草，松土</w:t>
            </w:r>
          </w:p>
        </w:tc>
        <w:tc>
          <w:tcPr>
            <w:tcW w:w="3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4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0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540" w:hRule="atLeast"/>
        </w:trPr>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8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4、确保树穴为下沉式</w:t>
            </w:r>
          </w:p>
        </w:tc>
        <w:tc>
          <w:tcPr>
            <w:tcW w:w="3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0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40" w:hRule="atLeast"/>
        </w:trPr>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8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5、及时完成花卉种植区的整理、翻土及中耕除草工作</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0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6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20" w:hRule="atLeast"/>
        </w:trPr>
        <w:tc>
          <w:tcPr>
            <w:tcW w:w="64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安全生产管理10分</w:t>
            </w:r>
          </w:p>
        </w:tc>
        <w:tc>
          <w:tcPr>
            <w:tcW w:w="18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1、及时排查处理安全隐患</w:t>
            </w:r>
          </w:p>
        </w:tc>
        <w:tc>
          <w:tcPr>
            <w:tcW w:w="3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4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0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20" w:hRule="atLeast"/>
        </w:trPr>
        <w:tc>
          <w:tcPr>
            <w:tcW w:w="6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8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2、配备安全保护器材</w:t>
            </w:r>
          </w:p>
        </w:tc>
        <w:tc>
          <w:tcPr>
            <w:tcW w:w="3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4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0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540" w:hRule="atLeast"/>
        </w:trPr>
        <w:tc>
          <w:tcPr>
            <w:tcW w:w="6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8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3、合理规范操作机械</w:t>
            </w:r>
          </w:p>
        </w:tc>
        <w:tc>
          <w:tcPr>
            <w:tcW w:w="3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0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560" w:hRule="atLeast"/>
        </w:trPr>
        <w:tc>
          <w:tcPr>
            <w:tcW w:w="6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8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4、做好安全警示标志</w:t>
            </w:r>
          </w:p>
        </w:tc>
        <w:tc>
          <w:tcPr>
            <w:tcW w:w="3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0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880" w:hRule="atLeast"/>
        </w:trPr>
        <w:tc>
          <w:tcPr>
            <w:tcW w:w="6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日常管理20分</w:t>
            </w:r>
          </w:p>
        </w:tc>
        <w:tc>
          <w:tcPr>
            <w:tcW w:w="18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1、养护单位对园林队安排的工作及时落实到位</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6分</w:t>
            </w: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color w:val="000000"/>
                <w:sz w:val="24"/>
                <w:szCs w:val="24"/>
              </w:rPr>
            </w:pPr>
          </w:p>
        </w:tc>
        <w:tc>
          <w:tcPr>
            <w:tcW w:w="107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color w:val="000000"/>
                <w:sz w:val="24"/>
                <w:szCs w:val="24"/>
              </w:rPr>
            </w:pPr>
          </w:p>
        </w:tc>
        <w:tc>
          <w:tcPr>
            <w:tcW w:w="6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每月考核时随机抽选5-10处，每处1000㎡。分别打分，最后计算得出本月得分  注释：绿色为增加条款。黄色为修改条款</w:t>
            </w:r>
          </w:p>
        </w:tc>
      </w:tr>
      <w:tr>
        <w:tblPrEx>
          <w:tblCellMar>
            <w:top w:w="0" w:type="dxa"/>
            <w:left w:w="108" w:type="dxa"/>
            <w:bottom w:w="0" w:type="dxa"/>
            <w:right w:w="108" w:type="dxa"/>
          </w:tblCellMar>
        </w:tblPrEx>
        <w:trPr>
          <w:trHeight w:val="680" w:hRule="atLeast"/>
        </w:trPr>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8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2、服从单位安排的应急事件并保质保量</w:t>
            </w:r>
          </w:p>
        </w:tc>
        <w:tc>
          <w:tcPr>
            <w:tcW w:w="3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4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10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6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1140" w:hRule="atLeast"/>
        </w:trPr>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8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3、对毁绿占绿现象及时发现、及时阻止、现场取证，上报主管科室，并配合监察科工作</w:t>
            </w:r>
          </w:p>
        </w:tc>
        <w:tc>
          <w:tcPr>
            <w:tcW w:w="3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4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10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6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20" w:hRule="atLeast"/>
        </w:trPr>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8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4、按时、按要求报工作计划、工作小结</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5分</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0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6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20" w:hRule="atLeast"/>
        </w:trPr>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8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5、养护人员配置到位</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0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6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885" w:hRule="atLeast"/>
        </w:trPr>
        <w:tc>
          <w:tcPr>
            <w:tcW w:w="6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br w:type="textWrapping"/>
            </w:r>
            <w:r>
              <w:rPr>
                <w:rFonts w:hint="eastAsia" w:asciiTheme="minorEastAsia" w:hAnsiTheme="minorEastAsia" w:cstheme="minorEastAsia"/>
                <w:color w:val="000000"/>
                <w:kern w:val="0"/>
                <w:sz w:val="24"/>
                <w:szCs w:val="24"/>
                <w:lang w:bidi="ar"/>
              </w:rPr>
              <w:t>设施设备维修5分</w:t>
            </w:r>
          </w:p>
        </w:tc>
        <w:tc>
          <w:tcPr>
            <w:tcW w:w="18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1、各种标牌、标志物、辅助设施损坏及时修复</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0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6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20" w:hRule="atLeast"/>
        </w:trPr>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8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2、林地内的水井盖完好</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0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6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80" w:hRule="atLeast"/>
        </w:trPr>
        <w:tc>
          <w:tcPr>
            <w:tcW w:w="24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当月考核得分</w:t>
            </w:r>
          </w:p>
        </w:tc>
        <w:tc>
          <w:tcPr>
            <w:tcW w:w="187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cstheme="minorEastAsia"/>
                <w:color w:val="000000"/>
                <w:sz w:val="24"/>
                <w:szCs w:val="24"/>
              </w:rPr>
            </w:pPr>
          </w:p>
        </w:tc>
        <w:tc>
          <w:tcPr>
            <w:tcW w:w="6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500" w:hRule="atLeast"/>
        </w:trPr>
        <w:tc>
          <w:tcPr>
            <w:tcW w:w="2462" w:type="pct"/>
            <w:gridSpan w:val="2"/>
            <w:tcBorders>
              <w:top w:val="nil"/>
              <w:left w:val="nil"/>
              <w:bottom w:val="nil"/>
              <w:right w:val="nil"/>
            </w:tcBorders>
            <w:shd w:val="clear" w:color="auto" w:fill="auto"/>
            <w:noWrap/>
            <w:vAlign w:val="center"/>
          </w:tcPr>
          <w:p>
            <w:pP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 xml:space="preserve">考核人签字：                                              </w:t>
            </w:r>
          </w:p>
        </w:tc>
        <w:tc>
          <w:tcPr>
            <w:tcW w:w="2537" w:type="pct"/>
            <w:gridSpan w:val="4"/>
            <w:tcBorders>
              <w:top w:val="nil"/>
              <w:left w:val="nil"/>
              <w:bottom w:val="nil"/>
              <w:right w:val="nil"/>
            </w:tcBorders>
            <w:shd w:val="clear" w:color="auto" w:fill="auto"/>
            <w:noWrap/>
            <w:vAlign w:val="center"/>
          </w:tcPr>
          <w:p>
            <w:pP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养护单位负责人签字：</w:t>
            </w:r>
          </w:p>
        </w:tc>
      </w:tr>
    </w:tbl>
    <w:p>
      <w:pPr>
        <w:ind w:firstLine="482"/>
        <w:rPr>
          <w:rFonts w:cs="宋体" w:asciiTheme="minorEastAsia" w:hAnsiTheme="minorEastAsia"/>
          <w:b/>
          <w:sz w:val="24"/>
          <w:szCs w:val="24"/>
        </w:rPr>
      </w:pPr>
      <w:r>
        <w:rPr>
          <w:rFonts w:hint="eastAsia" w:cs="宋体" w:asciiTheme="minorEastAsia" w:hAnsiTheme="minorEastAsia"/>
          <w:b/>
          <w:sz w:val="24"/>
          <w:szCs w:val="24"/>
        </w:rPr>
        <w:br w:type="page"/>
      </w:r>
    </w:p>
    <w:tbl>
      <w:tblPr>
        <w:tblStyle w:val="34"/>
        <w:tblW w:w="5000" w:type="pct"/>
        <w:tblInd w:w="0" w:type="dxa"/>
        <w:tblLayout w:type="autofit"/>
        <w:tblCellMar>
          <w:top w:w="0" w:type="dxa"/>
          <w:left w:w="108" w:type="dxa"/>
          <w:bottom w:w="0" w:type="dxa"/>
          <w:right w:w="108" w:type="dxa"/>
        </w:tblCellMar>
      </w:tblPr>
      <w:tblGrid>
        <w:gridCol w:w="1067"/>
        <w:gridCol w:w="3087"/>
        <w:gridCol w:w="581"/>
        <w:gridCol w:w="113"/>
        <w:gridCol w:w="854"/>
        <w:gridCol w:w="2627"/>
        <w:gridCol w:w="959"/>
      </w:tblGrid>
      <w:tr>
        <w:tblPrEx>
          <w:tblCellMar>
            <w:top w:w="0" w:type="dxa"/>
            <w:left w:w="108" w:type="dxa"/>
            <w:bottom w:w="0" w:type="dxa"/>
            <w:right w:w="108" w:type="dxa"/>
          </w:tblCellMar>
        </w:tblPrEx>
        <w:trPr>
          <w:trHeight w:val="840" w:hRule="atLeast"/>
        </w:trPr>
        <w:tc>
          <w:tcPr>
            <w:tcW w:w="5000" w:type="pct"/>
            <w:gridSpan w:val="7"/>
            <w:tcBorders>
              <w:top w:val="nil"/>
              <w:left w:val="nil"/>
              <w:bottom w:val="nil"/>
              <w:right w:val="nil"/>
            </w:tcBorders>
            <w:shd w:val="clear" w:color="auto" w:fill="auto"/>
            <w:noWrap/>
            <w:vAlign w:val="center"/>
          </w:tcPr>
          <w:p>
            <w:pPr>
              <w:widowControl/>
              <w:ind w:firstLine="482"/>
              <w:jc w:val="center"/>
              <w:textAlignment w:val="center"/>
              <w:rPr>
                <w:rFonts w:asciiTheme="minorEastAsia" w:hAnsiTheme="minorEastAsia" w:cstheme="minorEastAsia"/>
                <w:b/>
                <w:bCs/>
                <w:color w:val="000000"/>
                <w:sz w:val="24"/>
                <w:szCs w:val="24"/>
              </w:rPr>
            </w:pPr>
            <w:r>
              <w:rPr>
                <w:rFonts w:hint="eastAsia" w:asciiTheme="minorEastAsia" w:hAnsiTheme="minorEastAsia" w:cstheme="minorEastAsia"/>
                <w:b/>
                <w:bCs/>
                <w:color w:val="000000"/>
                <w:kern w:val="0"/>
                <w:sz w:val="24"/>
                <w:szCs w:val="24"/>
                <w:lang w:bidi="ar"/>
              </w:rPr>
              <w:t>12月1月2月米东区绿地养护考核评分表(道路四级)</w:t>
            </w:r>
          </w:p>
        </w:tc>
      </w:tr>
      <w:tr>
        <w:tblPrEx>
          <w:tblCellMar>
            <w:top w:w="0" w:type="dxa"/>
            <w:left w:w="108" w:type="dxa"/>
            <w:bottom w:w="0" w:type="dxa"/>
            <w:right w:w="108" w:type="dxa"/>
          </w:tblCellMar>
        </w:tblPrEx>
        <w:trPr>
          <w:trHeight w:val="780" w:hRule="atLeast"/>
        </w:trPr>
        <w:tc>
          <w:tcPr>
            <w:tcW w:w="5000" w:type="pct"/>
            <w:gridSpan w:val="7"/>
            <w:tcBorders>
              <w:top w:val="nil"/>
              <w:left w:val="nil"/>
              <w:bottom w:val="nil"/>
              <w:right w:val="nil"/>
            </w:tcBorders>
            <w:shd w:val="clear" w:color="auto" w:fill="auto"/>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 xml:space="preserve"> 日期：                   养护公司：                           养护面积：</w:t>
            </w:r>
          </w:p>
        </w:tc>
      </w:tr>
      <w:tr>
        <w:tblPrEx>
          <w:tblCellMar>
            <w:top w:w="0" w:type="dxa"/>
            <w:left w:w="108" w:type="dxa"/>
            <w:bottom w:w="0" w:type="dxa"/>
            <w:right w:w="108" w:type="dxa"/>
          </w:tblCellMar>
        </w:tblPrEx>
        <w:trPr>
          <w:trHeight w:val="840" w:hRule="atLeast"/>
        </w:trPr>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考核项目</w:t>
            </w:r>
          </w:p>
        </w:tc>
        <w:tc>
          <w:tcPr>
            <w:tcW w:w="1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考核内容</w:t>
            </w:r>
          </w:p>
        </w:tc>
        <w:tc>
          <w:tcPr>
            <w:tcW w:w="3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评分标准</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得  分</w:t>
            </w:r>
          </w:p>
        </w:tc>
        <w:tc>
          <w:tcPr>
            <w:tcW w:w="1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扣分原因</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备  注</w:t>
            </w:r>
          </w:p>
        </w:tc>
      </w:tr>
      <w:tr>
        <w:tblPrEx>
          <w:tblCellMar>
            <w:top w:w="0" w:type="dxa"/>
            <w:left w:w="108" w:type="dxa"/>
            <w:bottom w:w="0" w:type="dxa"/>
            <w:right w:w="108" w:type="dxa"/>
          </w:tblCellMar>
        </w:tblPrEx>
        <w:trPr>
          <w:trHeight w:val="990" w:hRule="atLeast"/>
        </w:trPr>
        <w:tc>
          <w:tcPr>
            <w:tcW w:w="5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绿地管理55分</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1、巡查养护林地，没有毁绿占绿现象，发现问题及时上报</w:t>
            </w:r>
          </w:p>
        </w:tc>
        <w:tc>
          <w:tcPr>
            <w:tcW w:w="3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10分</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5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每月考核时随机抽选5-10处，每处1000㎡。分别打分，最后计算得出本月得分。 注释：绿色为增加条款。黄色为修改条款</w:t>
            </w:r>
          </w:p>
        </w:tc>
      </w:tr>
      <w:tr>
        <w:tblPrEx>
          <w:tblCellMar>
            <w:top w:w="0" w:type="dxa"/>
            <w:left w:w="108" w:type="dxa"/>
            <w:bottom w:w="0" w:type="dxa"/>
            <w:right w:w="108" w:type="dxa"/>
          </w:tblCellMar>
        </w:tblPrEx>
        <w:trPr>
          <w:trHeight w:val="700" w:hRule="atLeast"/>
        </w:trPr>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2、及时制止人为倒融雪剂现象</w:t>
            </w:r>
          </w:p>
        </w:tc>
        <w:tc>
          <w:tcPr>
            <w:tcW w:w="3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30分</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900" w:hRule="atLeast"/>
        </w:trPr>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4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3、及时清理垃圾，卫生打扫干净，保持林带内环境优美整洁。</w:t>
            </w:r>
          </w:p>
        </w:tc>
        <w:tc>
          <w:tcPr>
            <w:tcW w:w="38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10分</w:t>
            </w:r>
          </w:p>
        </w:tc>
        <w:tc>
          <w:tcPr>
            <w:tcW w:w="4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6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60" w:hRule="atLeast"/>
        </w:trPr>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4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4、及时清除乔灌木枝叶上积雪</w:t>
            </w:r>
          </w:p>
        </w:tc>
        <w:tc>
          <w:tcPr>
            <w:tcW w:w="38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5分</w:t>
            </w:r>
          </w:p>
        </w:tc>
        <w:tc>
          <w:tcPr>
            <w:tcW w:w="4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6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40" w:hRule="atLeast"/>
        </w:trPr>
        <w:tc>
          <w:tcPr>
            <w:tcW w:w="51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安全生产管理10分</w:t>
            </w:r>
          </w:p>
        </w:tc>
        <w:tc>
          <w:tcPr>
            <w:tcW w:w="14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1、及时排查处理安全隐患</w:t>
            </w:r>
          </w:p>
        </w:tc>
        <w:tc>
          <w:tcPr>
            <w:tcW w:w="38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4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6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20" w:hRule="atLeast"/>
        </w:trPr>
        <w:tc>
          <w:tcPr>
            <w:tcW w:w="51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4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2、配备安全保护器材</w:t>
            </w:r>
          </w:p>
        </w:tc>
        <w:tc>
          <w:tcPr>
            <w:tcW w:w="38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4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6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40" w:hRule="atLeast"/>
        </w:trPr>
        <w:tc>
          <w:tcPr>
            <w:tcW w:w="51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4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3、合理规范操作机械</w:t>
            </w:r>
          </w:p>
        </w:tc>
        <w:tc>
          <w:tcPr>
            <w:tcW w:w="38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6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80" w:hRule="atLeast"/>
        </w:trPr>
        <w:tc>
          <w:tcPr>
            <w:tcW w:w="51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4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4、做好安全警示标志</w:t>
            </w:r>
          </w:p>
        </w:tc>
        <w:tc>
          <w:tcPr>
            <w:tcW w:w="38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6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960" w:hRule="atLeast"/>
        </w:trPr>
        <w:tc>
          <w:tcPr>
            <w:tcW w:w="5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日常管理30分</w:t>
            </w:r>
          </w:p>
        </w:tc>
        <w:tc>
          <w:tcPr>
            <w:tcW w:w="14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1、养护单位对园林队安排的工作及时落实到位</w:t>
            </w:r>
          </w:p>
        </w:tc>
        <w:tc>
          <w:tcPr>
            <w:tcW w:w="38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7分</w:t>
            </w:r>
          </w:p>
        </w:tc>
        <w:tc>
          <w:tcPr>
            <w:tcW w:w="4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1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5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每月考核时随机抽选5-10处，每处1000㎡。分别打分，最后计算得出本月得分。 注释：绿色为增加条款。黄色为修改条款</w:t>
            </w:r>
          </w:p>
        </w:tc>
      </w:tr>
      <w:tr>
        <w:tblPrEx>
          <w:tblCellMar>
            <w:top w:w="0" w:type="dxa"/>
            <w:left w:w="108" w:type="dxa"/>
            <w:bottom w:w="0" w:type="dxa"/>
            <w:right w:w="108" w:type="dxa"/>
          </w:tblCellMar>
        </w:tblPrEx>
        <w:trPr>
          <w:trHeight w:val="840" w:hRule="atLeast"/>
        </w:trPr>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4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2、服从单位安排的应急事件</w:t>
            </w:r>
          </w:p>
        </w:tc>
        <w:tc>
          <w:tcPr>
            <w:tcW w:w="38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5分</w:t>
            </w:r>
          </w:p>
        </w:tc>
        <w:tc>
          <w:tcPr>
            <w:tcW w:w="4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1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840" w:hRule="atLeast"/>
        </w:trPr>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4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3、保质保量完成应急事件</w:t>
            </w:r>
          </w:p>
        </w:tc>
        <w:tc>
          <w:tcPr>
            <w:tcW w:w="38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5分</w:t>
            </w:r>
          </w:p>
        </w:tc>
        <w:tc>
          <w:tcPr>
            <w:tcW w:w="4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1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920" w:hRule="atLeast"/>
        </w:trPr>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4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4、对毁绿占绿现象及时发现、及时阻止、现场取证，上报主管科室，并配合监察科工作</w:t>
            </w:r>
          </w:p>
        </w:tc>
        <w:tc>
          <w:tcPr>
            <w:tcW w:w="38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5分</w:t>
            </w:r>
          </w:p>
        </w:tc>
        <w:tc>
          <w:tcPr>
            <w:tcW w:w="4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1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900" w:hRule="atLeast"/>
        </w:trPr>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4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5、按时、按要求报工作计划、工作小结</w:t>
            </w:r>
          </w:p>
        </w:tc>
        <w:tc>
          <w:tcPr>
            <w:tcW w:w="38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5分</w:t>
            </w:r>
          </w:p>
        </w:tc>
        <w:tc>
          <w:tcPr>
            <w:tcW w:w="4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6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80" w:hRule="atLeast"/>
        </w:trPr>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4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6、养护人员配置到位</w:t>
            </w:r>
          </w:p>
        </w:tc>
        <w:tc>
          <w:tcPr>
            <w:tcW w:w="38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4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6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920" w:hRule="atLeast"/>
        </w:trPr>
        <w:tc>
          <w:tcPr>
            <w:tcW w:w="51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br w:type="textWrapping"/>
            </w:r>
            <w:r>
              <w:rPr>
                <w:rFonts w:hint="eastAsia" w:asciiTheme="minorEastAsia" w:hAnsiTheme="minorEastAsia" w:cstheme="minorEastAsia"/>
                <w:color w:val="000000"/>
                <w:kern w:val="0"/>
                <w:sz w:val="24"/>
                <w:szCs w:val="24"/>
                <w:lang w:bidi="ar"/>
              </w:rPr>
              <w:t>设施设备维修5分</w:t>
            </w:r>
          </w:p>
        </w:tc>
        <w:tc>
          <w:tcPr>
            <w:tcW w:w="14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1、各种标牌、标志物、辅助设施损坏及时修复</w:t>
            </w:r>
          </w:p>
        </w:tc>
        <w:tc>
          <w:tcPr>
            <w:tcW w:w="38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4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6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1080" w:hRule="atLeast"/>
        </w:trPr>
        <w:tc>
          <w:tcPr>
            <w:tcW w:w="51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4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2、林地内的水井盖完好</w:t>
            </w:r>
          </w:p>
        </w:tc>
        <w:tc>
          <w:tcPr>
            <w:tcW w:w="38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4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6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50" w:hRule="atLeast"/>
        </w:trPr>
        <w:tc>
          <w:tcPr>
            <w:tcW w:w="19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当月考核得分</w:t>
            </w:r>
          </w:p>
        </w:tc>
        <w:tc>
          <w:tcPr>
            <w:tcW w:w="243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cstheme="minorEastAsia"/>
                <w:color w:val="000000"/>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500" w:hRule="atLeast"/>
        </w:trPr>
        <w:tc>
          <w:tcPr>
            <w:tcW w:w="2298" w:type="pct"/>
            <w:gridSpan w:val="3"/>
            <w:tcBorders>
              <w:top w:val="nil"/>
              <w:left w:val="nil"/>
              <w:bottom w:val="nil"/>
              <w:right w:val="nil"/>
            </w:tcBorders>
            <w:shd w:val="clear" w:color="auto" w:fill="auto"/>
            <w:noWrap/>
            <w:vAlign w:val="center"/>
          </w:tcPr>
          <w:p>
            <w:pP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 xml:space="preserve">考核人签字：                                              </w:t>
            </w:r>
          </w:p>
        </w:tc>
        <w:tc>
          <w:tcPr>
            <w:tcW w:w="2701" w:type="pct"/>
            <w:gridSpan w:val="4"/>
            <w:tcBorders>
              <w:top w:val="nil"/>
              <w:left w:val="nil"/>
              <w:bottom w:val="nil"/>
              <w:right w:val="nil"/>
            </w:tcBorders>
            <w:shd w:val="clear" w:color="auto" w:fill="auto"/>
            <w:noWrap/>
            <w:vAlign w:val="center"/>
          </w:tcPr>
          <w:p>
            <w:pP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养护单位负责人签字：</w:t>
            </w:r>
          </w:p>
        </w:tc>
      </w:tr>
    </w:tbl>
    <w:p>
      <w:pPr>
        <w:ind w:firstLine="482"/>
        <w:rPr>
          <w:rFonts w:cs="宋体" w:asciiTheme="minorEastAsia" w:hAnsiTheme="minorEastAsia"/>
          <w:b/>
          <w:sz w:val="24"/>
          <w:szCs w:val="24"/>
        </w:rPr>
      </w:pPr>
      <w:r>
        <w:rPr>
          <w:rFonts w:hint="eastAsia" w:cs="宋体" w:asciiTheme="minorEastAsia" w:hAnsiTheme="minorEastAsia"/>
          <w:b/>
          <w:sz w:val="24"/>
          <w:szCs w:val="24"/>
        </w:rPr>
        <w:br w:type="page"/>
      </w:r>
    </w:p>
    <w:p>
      <w:pPr>
        <w:ind w:firstLine="482"/>
        <w:rPr>
          <w:rFonts w:cs="宋体" w:asciiTheme="minorEastAsia" w:hAnsiTheme="minorEastAsia"/>
          <w:b/>
          <w:sz w:val="24"/>
          <w:szCs w:val="24"/>
        </w:rPr>
      </w:pPr>
    </w:p>
    <w:tbl>
      <w:tblPr>
        <w:tblStyle w:val="34"/>
        <w:tblW w:w="5000" w:type="pct"/>
        <w:tblInd w:w="0" w:type="dxa"/>
        <w:tblLayout w:type="autofit"/>
        <w:tblCellMar>
          <w:top w:w="0" w:type="dxa"/>
          <w:left w:w="108" w:type="dxa"/>
          <w:bottom w:w="0" w:type="dxa"/>
          <w:right w:w="108" w:type="dxa"/>
        </w:tblCellMar>
      </w:tblPr>
      <w:tblGrid>
        <w:gridCol w:w="993"/>
        <w:gridCol w:w="3033"/>
        <w:gridCol w:w="785"/>
        <w:gridCol w:w="799"/>
        <w:gridCol w:w="2601"/>
        <w:gridCol w:w="1077"/>
      </w:tblGrid>
      <w:tr>
        <w:tblPrEx>
          <w:tblCellMar>
            <w:top w:w="0" w:type="dxa"/>
            <w:left w:w="108" w:type="dxa"/>
            <w:bottom w:w="0" w:type="dxa"/>
            <w:right w:w="108" w:type="dxa"/>
          </w:tblCellMar>
        </w:tblPrEx>
        <w:trPr>
          <w:trHeight w:val="660" w:hRule="atLeast"/>
        </w:trPr>
        <w:tc>
          <w:tcPr>
            <w:tcW w:w="5000" w:type="pct"/>
            <w:gridSpan w:val="6"/>
            <w:tcBorders>
              <w:top w:val="nil"/>
              <w:left w:val="nil"/>
              <w:bottom w:val="nil"/>
              <w:right w:val="nil"/>
            </w:tcBorders>
            <w:shd w:val="clear" w:color="auto" w:fill="auto"/>
            <w:noWrap/>
            <w:vAlign w:val="center"/>
          </w:tcPr>
          <w:p>
            <w:pPr>
              <w:widowControl/>
              <w:ind w:firstLine="482"/>
              <w:jc w:val="center"/>
              <w:textAlignment w:val="center"/>
              <w:rPr>
                <w:rFonts w:asciiTheme="minorEastAsia" w:hAnsiTheme="minorEastAsia" w:cstheme="minorEastAsia"/>
                <w:b/>
                <w:bCs/>
                <w:color w:val="000000"/>
                <w:sz w:val="24"/>
                <w:szCs w:val="24"/>
              </w:rPr>
            </w:pPr>
            <w:r>
              <w:rPr>
                <w:rFonts w:hint="eastAsia" w:asciiTheme="minorEastAsia" w:hAnsiTheme="minorEastAsia" w:cstheme="minorEastAsia"/>
                <w:b/>
                <w:bCs/>
                <w:color w:val="000000"/>
                <w:kern w:val="0"/>
                <w:sz w:val="24"/>
                <w:szCs w:val="24"/>
                <w:lang w:bidi="ar"/>
              </w:rPr>
              <w:t>3月4月米东区防护林养护考核评分表</w:t>
            </w:r>
          </w:p>
        </w:tc>
      </w:tr>
      <w:tr>
        <w:tblPrEx>
          <w:tblCellMar>
            <w:top w:w="0" w:type="dxa"/>
            <w:left w:w="108" w:type="dxa"/>
            <w:bottom w:w="0" w:type="dxa"/>
            <w:right w:w="108" w:type="dxa"/>
          </w:tblCellMar>
        </w:tblPrEx>
        <w:trPr>
          <w:trHeight w:val="460" w:hRule="atLeast"/>
        </w:trPr>
        <w:tc>
          <w:tcPr>
            <w:tcW w:w="5000" w:type="pct"/>
            <w:gridSpan w:val="6"/>
            <w:tcBorders>
              <w:top w:val="nil"/>
              <w:left w:val="nil"/>
              <w:bottom w:val="nil"/>
              <w:right w:val="nil"/>
            </w:tcBorders>
            <w:shd w:val="clear" w:color="auto" w:fill="auto"/>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 xml:space="preserve">   日期：                          养护公司：                      养护面积：</w:t>
            </w:r>
          </w:p>
        </w:tc>
      </w:tr>
      <w:tr>
        <w:tblPrEx>
          <w:tblCellMar>
            <w:top w:w="0" w:type="dxa"/>
            <w:left w:w="108" w:type="dxa"/>
            <w:bottom w:w="0" w:type="dxa"/>
            <w:right w:w="108" w:type="dxa"/>
          </w:tblCellMar>
        </w:tblPrEx>
        <w:trPr>
          <w:trHeight w:val="72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考核项目</w:t>
            </w:r>
          </w:p>
        </w:tc>
        <w:tc>
          <w:tcPr>
            <w:tcW w:w="1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考核内容</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评分标准</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 xml:space="preserve"> 得 分</w:t>
            </w:r>
          </w:p>
        </w:tc>
        <w:tc>
          <w:tcPr>
            <w:tcW w:w="1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扣分原因</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备  注</w:t>
            </w:r>
          </w:p>
        </w:tc>
      </w:tr>
      <w:tr>
        <w:tblPrEx>
          <w:tblCellMar>
            <w:top w:w="0" w:type="dxa"/>
            <w:left w:w="108" w:type="dxa"/>
            <w:bottom w:w="0" w:type="dxa"/>
            <w:right w:w="108" w:type="dxa"/>
          </w:tblCellMar>
        </w:tblPrEx>
        <w:trPr>
          <w:trHeight w:val="700" w:hRule="atLeast"/>
        </w:trPr>
        <w:tc>
          <w:tcPr>
            <w:tcW w:w="42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乔灌木修剪32分</w:t>
            </w:r>
          </w:p>
        </w:tc>
        <w:tc>
          <w:tcPr>
            <w:tcW w:w="13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1、乔灌木生长势好，树形完整，层次清楚，没有人为偏冠</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8分</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6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每月考核时随机抽选5-10处，每处1000㎡。分别打分，最后计算得出本月得分。</w:t>
            </w:r>
          </w:p>
        </w:tc>
      </w:tr>
      <w:tr>
        <w:tblPrEx>
          <w:tblCellMar>
            <w:top w:w="0" w:type="dxa"/>
            <w:left w:w="108" w:type="dxa"/>
            <w:bottom w:w="0" w:type="dxa"/>
            <w:right w:w="108" w:type="dxa"/>
          </w:tblCellMar>
        </w:tblPrEx>
        <w:trPr>
          <w:trHeight w:val="600"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3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2、枯死枝、徒长枝、下垂枝、折枝、病虫枝、过密枝及时清理</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6分</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6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480"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3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3、死树及时伐掉、倒树及时扶正</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5分</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6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525"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3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4、按规定时间完成修剪工作</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6分</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6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480"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3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5、修剪枝当天清理</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4分</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6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580"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3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6、3㎝以上剪口、损伤部位涂防护剂</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6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560" w:hRule="atLeast"/>
        </w:trPr>
        <w:tc>
          <w:tcPr>
            <w:tcW w:w="42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乔灌木栽植10分</w:t>
            </w:r>
          </w:p>
        </w:tc>
        <w:tc>
          <w:tcPr>
            <w:tcW w:w="13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1、按要求合理规范施工</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6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00"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3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2、苗木当天需栽植并完成浇水工作</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6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480"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3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3、确保苗木的成活率</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6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520"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3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4、在规定时间内完成</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6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40" w:hRule="atLeast"/>
        </w:trPr>
        <w:tc>
          <w:tcPr>
            <w:tcW w:w="42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涂白工作8分</w:t>
            </w:r>
          </w:p>
        </w:tc>
        <w:tc>
          <w:tcPr>
            <w:tcW w:w="13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1、按要求及时完成涂白工作</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6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60"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3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2、涂白高度整齐</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16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00"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3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3、涂白剂涂抹均匀</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6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420"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3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4、按标准进行药物配比</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6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880" w:hRule="atLeast"/>
        </w:trPr>
        <w:tc>
          <w:tcPr>
            <w:tcW w:w="42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绿地整理15分</w:t>
            </w:r>
          </w:p>
        </w:tc>
        <w:tc>
          <w:tcPr>
            <w:tcW w:w="13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1、清理林带内的枯枝败叶及垃圾卫生打扫干净，保持林带内环境优美整洁。</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6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20"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3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2、林带内没有悬挂物、私搭乱建现象</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6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80"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3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3、平整林带并进行中耕除草，松土</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6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80"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3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4、保质保量完成各类灌溉设施到位，摆放整齐，并且能正常使用。</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6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580"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3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5、按照要求施肥，肥料需施在树穴并深翻</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6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00"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3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6、在规定时间保质保量完成施肥工作</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6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560" w:hRule="atLeast"/>
        </w:trPr>
        <w:tc>
          <w:tcPr>
            <w:tcW w:w="42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安全生产管理10分</w:t>
            </w:r>
          </w:p>
        </w:tc>
        <w:tc>
          <w:tcPr>
            <w:tcW w:w="13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1、及时排查处理安全隐患</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671" w:type="pct"/>
            <w:tcBorders>
              <w:top w:val="single" w:color="000000" w:sz="4" w:space="0"/>
              <w:left w:val="single" w:color="000000" w:sz="4" w:space="0"/>
              <w:bottom w:val="single" w:color="000000" w:sz="4" w:space="0"/>
              <w:right w:val="nil"/>
            </w:tcBorders>
            <w:shd w:val="clear" w:color="auto" w:fill="FFFFFF"/>
            <w:noWrap/>
            <w:vAlign w:val="center"/>
          </w:tcPr>
          <w:p>
            <w:pPr>
              <w:rPr>
                <w:rFonts w:asciiTheme="minorEastAsia" w:hAnsiTheme="minorEastAsia" w:cstheme="minorEastAsia"/>
                <w:color w:val="000000"/>
                <w:sz w:val="24"/>
                <w:szCs w:val="24"/>
              </w:rPr>
            </w:pPr>
          </w:p>
        </w:tc>
        <w:tc>
          <w:tcPr>
            <w:tcW w:w="6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 xml:space="preserve">每月考核时随机抽选5-10处，每处1000㎡。分别打分，最后计算得出本月得分。  </w:t>
            </w:r>
          </w:p>
        </w:tc>
      </w:tr>
      <w:tr>
        <w:tblPrEx>
          <w:tblCellMar>
            <w:top w:w="0" w:type="dxa"/>
            <w:left w:w="108" w:type="dxa"/>
            <w:bottom w:w="0" w:type="dxa"/>
            <w:right w:w="108" w:type="dxa"/>
          </w:tblCellMar>
        </w:tblPrEx>
        <w:trPr>
          <w:trHeight w:val="540"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3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2、配备安全保护器材</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671" w:type="pct"/>
            <w:tcBorders>
              <w:top w:val="single" w:color="000000" w:sz="4" w:space="0"/>
              <w:left w:val="single" w:color="000000" w:sz="4" w:space="0"/>
              <w:bottom w:val="single" w:color="000000" w:sz="4" w:space="0"/>
              <w:right w:val="nil"/>
            </w:tcBorders>
            <w:shd w:val="clear" w:color="auto" w:fill="FFFFFF"/>
            <w:noWrap/>
            <w:vAlign w:val="center"/>
          </w:tcPr>
          <w:p>
            <w:pPr>
              <w:rPr>
                <w:rFonts w:asciiTheme="minorEastAsia" w:hAnsiTheme="minorEastAsia" w:cstheme="minorEastAsia"/>
                <w:color w:val="000000"/>
                <w:sz w:val="24"/>
                <w:szCs w:val="24"/>
              </w:rPr>
            </w:pPr>
          </w:p>
        </w:tc>
        <w:tc>
          <w:tcPr>
            <w:tcW w:w="6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480"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3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3、合理规范操作机械</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671" w:type="pct"/>
            <w:tcBorders>
              <w:top w:val="single" w:color="000000" w:sz="4" w:space="0"/>
              <w:left w:val="single" w:color="000000" w:sz="4" w:space="0"/>
              <w:bottom w:val="single" w:color="000000" w:sz="4" w:space="0"/>
              <w:right w:val="nil"/>
            </w:tcBorders>
            <w:shd w:val="clear" w:color="auto" w:fill="FFFFFF"/>
            <w:noWrap/>
            <w:vAlign w:val="center"/>
          </w:tcPr>
          <w:p>
            <w:pPr>
              <w:rPr>
                <w:rFonts w:asciiTheme="minorEastAsia" w:hAnsiTheme="minorEastAsia" w:cstheme="minorEastAsia"/>
                <w:color w:val="000000"/>
                <w:sz w:val="24"/>
                <w:szCs w:val="24"/>
              </w:rPr>
            </w:pPr>
          </w:p>
        </w:tc>
        <w:tc>
          <w:tcPr>
            <w:tcW w:w="6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560"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3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4、做好安全警示标志</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671" w:type="pct"/>
            <w:tcBorders>
              <w:top w:val="single" w:color="000000" w:sz="4" w:space="0"/>
              <w:left w:val="single" w:color="000000" w:sz="4" w:space="0"/>
              <w:bottom w:val="single" w:color="000000" w:sz="4" w:space="0"/>
              <w:right w:val="nil"/>
            </w:tcBorders>
            <w:shd w:val="clear" w:color="auto" w:fill="FFFFFF"/>
            <w:noWrap/>
            <w:vAlign w:val="center"/>
          </w:tcPr>
          <w:p>
            <w:pPr>
              <w:rPr>
                <w:rFonts w:asciiTheme="minorEastAsia" w:hAnsiTheme="minorEastAsia" w:cstheme="minorEastAsia"/>
                <w:color w:val="000000"/>
                <w:sz w:val="24"/>
                <w:szCs w:val="24"/>
              </w:rPr>
            </w:pPr>
          </w:p>
        </w:tc>
        <w:tc>
          <w:tcPr>
            <w:tcW w:w="6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40" w:hRule="atLeast"/>
        </w:trPr>
        <w:tc>
          <w:tcPr>
            <w:tcW w:w="42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日常管理20分</w:t>
            </w:r>
          </w:p>
        </w:tc>
        <w:tc>
          <w:tcPr>
            <w:tcW w:w="13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1、养护单位对园林队安排的工作及时落实到位</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6分</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1671" w:type="pct"/>
            <w:tcBorders>
              <w:top w:val="single" w:color="000000" w:sz="4" w:space="0"/>
              <w:left w:val="single" w:color="000000" w:sz="4" w:space="0"/>
              <w:bottom w:val="single" w:color="000000" w:sz="4" w:space="0"/>
              <w:right w:val="nil"/>
            </w:tcBorders>
            <w:shd w:val="clear" w:color="auto" w:fill="FFFFFF"/>
            <w:vAlign w:val="center"/>
          </w:tcPr>
          <w:p>
            <w:pPr>
              <w:rPr>
                <w:rFonts w:asciiTheme="minorEastAsia" w:hAnsiTheme="minorEastAsia" w:cstheme="minorEastAsia"/>
                <w:color w:val="000000"/>
                <w:sz w:val="24"/>
                <w:szCs w:val="24"/>
              </w:rPr>
            </w:pPr>
          </w:p>
        </w:tc>
        <w:tc>
          <w:tcPr>
            <w:tcW w:w="6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80"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3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2、服从单位安排的应急事件并保质保量完成</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1671" w:type="pct"/>
            <w:tcBorders>
              <w:top w:val="single" w:color="000000" w:sz="4" w:space="0"/>
              <w:left w:val="single" w:color="000000" w:sz="4" w:space="0"/>
              <w:bottom w:val="single" w:color="000000" w:sz="4" w:space="0"/>
              <w:right w:val="nil"/>
            </w:tcBorders>
            <w:shd w:val="clear" w:color="auto" w:fill="FFFFFF"/>
            <w:vAlign w:val="center"/>
          </w:tcPr>
          <w:p>
            <w:pPr>
              <w:rPr>
                <w:rFonts w:asciiTheme="minorEastAsia" w:hAnsiTheme="minorEastAsia" w:cstheme="minorEastAsia"/>
                <w:color w:val="000000"/>
                <w:sz w:val="24"/>
                <w:szCs w:val="24"/>
              </w:rPr>
            </w:pPr>
          </w:p>
        </w:tc>
        <w:tc>
          <w:tcPr>
            <w:tcW w:w="6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870"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3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3、对毁绿占绿现象及时发现、及时阻止、现场取证，上报主管科室，并配合监察科工作</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4分</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1671" w:type="pct"/>
            <w:tcBorders>
              <w:top w:val="single" w:color="000000" w:sz="4" w:space="0"/>
              <w:left w:val="single" w:color="000000" w:sz="4" w:space="0"/>
              <w:bottom w:val="single" w:color="000000" w:sz="4" w:space="0"/>
              <w:right w:val="nil"/>
            </w:tcBorders>
            <w:shd w:val="clear" w:color="auto" w:fill="FFFFFF"/>
            <w:vAlign w:val="center"/>
          </w:tcPr>
          <w:p>
            <w:pPr>
              <w:rPr>
                <w:rFonts w:asciiTheme="minorEastAsia" w:hAnsiTheme="minorEastAsia" w:cstheme="minorEastAsia"/>
                <w:color w:val="000000"/>
                <w:sz w:val="24"/>
                <w:szCs w:val="24"/>
              </w:rPr>
            </w:pPr>
          </w:p>
        </w:tc>
        <w:tc>
          <w:tcPr>
            <w:tcW w:w="6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40"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3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4、及时按要求上报工作计划、工作小结</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5分</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671" w:type="pct"/>
            <w:tcBorders>
              <w:top w:val="single" w:color="000000" w:sz="4" w:space="0"/>
              <w:left w:val="single" w:color="000000" w:sz="4" w:space="0"/>
              <w:bottom w:val="single" w:color="000000" w:sz="4" w:space="0"/>
              <w:right w:val="nil"/>
            </w:tcBorders>
            <w:shd w:val="clear" w:color="auto" w:fill="FFFFFF"/>
            <w:noWrap/>
            <w:vAlign w:val="center"/>
          </w:tcPr>
          <w:p>
            <w:pPr>
              <w:rPr>
                <w:rFonts w:asciiTheme="minorEastAsia" w:hAnsiTheme="minorEastAsia" w:cstheme="minorEastAsia"/>
                <w:color w:val="000000"/>
                <w:sz w:val="24"/>
                <w:szCs w:val="24"/>
              </w:rPr>
            </w:pPr>
          </w:p>
        </w:tc>
        <w:tc>
          <w:tcPr>
            <w:tcW w:w="6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40"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3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5、养护人员配置到位</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671" w:type="pct"/>
            <w:tcBorders>
              <w:top w:val="single" w:color="000000" w:sz="4" w:space="0"/>
              <w:left w:val="single" w:color="000000" w:sz="4" w:space="0"/>
              <w:bottom w:val="single" w:color="000000" w:sz="4" w:space="0"/>
              <w:right w:val="nil"/>
            </w:tcBorders>
            <w:shd w:val="clear" w:color="auto" w:fill="FFFFFF"/>
            <w:noWrap/>
            <w:vAlign w:val="center"/>
          </w:tcPr>
          <w:p>
            <w:pPr>
              <w:rPr>
                <w:rFonts w:asciiTheme="minorEastAsia" w:hAnsiTheme="minorEastAsia" w:cstheme="minorEastAsia"/>
                <w:color w:val="000000"/>
                <w:sz w:val="24"/>
                <w:szCs w:val="24"/>
              </w:rPr>
            </w:pPr>
          </w:p>
        </w:tc>
        <w:tc>
          <w:tcPr>
            <w:tcW w:w="6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75" w:hRule="atLeast"/>
        </w:trPr>
        <w:tc>
          <w:tcPr>
            <w:tcW w:w="4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设施设备维修5分</w:t>
            </w: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1、各种标牌、标志物、辅助设施损坏及时修复</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671" w:type="pct"/>
            <w:tcBorders>
              <w:top w:val="single" w:color="000000" w:sz="4" w:space="0"/>
              <w:left w:val="single" w:color="000000" w:sz="4" w:space="0"/>
              <w:bottom w:val="single" w:color="000000" w:sz="4" w:space="0"/>
              <w:right w:val="nil"/>
            </w:tcBorders>
            <w:shd w:val="clear" w:color="auto" w:fill="auto"/>
            <w:noWrap/>
            <w:vAlign w:val="center"/>
          </w:tcPr>
          <w:p>
            <w:pPr>
              <w:rPr>
                <w:rFonts w:asciiTheme="minorEastAsia" w:hAnsiTheme="minorEastAsia" w:cstheme="minorEastAsia"/>
                <w:color w:val="000000"/>
                <w:sz w:val="24"/>
                <w:szCs w:val="24"/>
              </w:rPr>
            </w:pPr>
          </w:p>
        </w:tc>
        <w:tc>
          <w:tcPr>
            <w:tcW w:w="6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465"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367" w:type="pct"/>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2、林地内的水井盖完好</w:t>
            </w:r>
          </w:p>
        </w:tc>
        <w:tc>
          <w:tcPr>
            <w:tcW w:w="486" w:type="pct"/>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371" w:type="pct"/>
            <w:tcBorders>
              <w:top w:val="single" w:color="000000" w:sz="4" w:space="0"/>
              <w:left w:val="single" w:color="000000" w:sz="4" w:space="0"/>
              <w:bottom w:val="nil"/>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671" w:type="pct"/>
            <w:tcBorders>
              <w:top w:val="single" w:color="000000" w:sz="4" w:space="0"/>
              <w:left w:val="single" w:color="000000" w:sz="4" w:space="0"/>
              <w:bottom w:val="nil"/>
              <w:right w:val="nil"/>
            </w:tcBorders>
            <w:shd w:val="clear" w:color="auto" w:fill="auto"/>
            <w:noWrap/>
            <w:vAlign w:val="center"/>
          </w:tcPr>
          <w:p>
            <w:pPr>
              <w:rPr>
                <w:rFonts w:asciiTheme="minorEastAsia" w:hAnsiTheme="minorEastAsia" w:cstheme="minorEastAsia"/>
                <w:color w:val="000000"/>
                <w:sz w:val="24"/>
                <w:szCs w:val="24"/>
              </w:rPr>
            </w:pPr>
          </w:p>
        </w:tc>
        <w:tc>
          <w:tcPr>
            <w:tcW w:w="6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80" w:hRule="atLeast"/>
        </w:trPr>
        <w:tc>
          <w:tcPr>
            <w:tcW w:w="17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当月考核分数</w:t>
            </w:r>
          </w:p>
        </w:tc>
        <w:tc>
          <w:tcPr>
            <w:tcW w:w="253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cstheme="minorEastAsia"/>
                <w:color w:val="000000"/>
                <w:sz w:val="24"/>
                <w:szCs w:val="24"/>
              </w:rPr>
            </w:pPr>
          </w:p>
        </w:tc>
        <w:tc>
          <w:tcPr>
            <w:tcW w:w="6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570" w:hRule="atLeast"/>
        </w:trPr>
        <w:tc>
          <w:tcPr>
            <w:tcW w:w="5000" w:type="pct"/>
            <w:gridSpan w:val="6"/>
            <w:tcBorders>
              <w:top w:val="nil"/>
              <w:left w:val="nil"/>
              <w:bottom w:val="nil"/>
              <w:right w:val="nil"/>
            </w:tcBorders>
            <w:shd w:val="clear" w:color="auto" w:fill="auto"/>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考核人签字：                                       养护单位负责人签字：</w:t>
            </w:r>
          </w:p>
        </w:tc>
      </w:tr>
    </w:tbl>
    <w:p>
      <w:pPr>
        <w:ind w:firstLine="482"/>
        <w:rPr>
          <w:rFonts w:cs="宋体" w:asciiTheme="minorEastAsia" w:hAnsiTheme="minorEastAsia"/>
          <w:b/>
          <w:sz w:val="24"/>
          <w:szCs w:val="24"/>
        </w:rPr>
      </w:pPr>
      <w:r>
        <w:rPr>
          <w:rFonts w:hint="eastAsia" w:cs="宋体" w:asciiTheme="minorEastAsia" w:hAnsiTheme="minorEastAsia"/>
          <w:b/>
          <w:sz w:val="24"/>
          <w:szCs w:val="24"/>
        </w:rPr>
        <w:br w:type="page"/>
      </w:r>
    </w:p>
    <w:tbl>
      <w:tblPr>
        <w:tblStyle w:val="34"/>
        <w:tblW w:w="5000" w:type="pct"/>
        <w:tblInd w:w="0" w:type="dxa"/>
        <w:tblLayout w:type="autofit"/>
        <w:tblCellMar>
          <w:top w:w="0" w:type="dxa"/>
          <w:left w:w="108" w:type="dxa"/>
          <w:bottom w:w="0" w:type="dxa"/>
          <w:right w:w="108" w:type="dxa"/>
        </w:tblCellMar>
      </w:tblPr>
      <w:tblGrid>
        <w:gridCol w:w="1127"/>
        <w:gridCol w:w="3151"/>
        <w:gridCol w:w="719"/>
        <w:gridCol w:w="823"/>
        <w:gridCol w:w="2435"/>
        <w:gridCol w:w="1033"/>
      </w:tblGrid>
      <w:tr>
        <w:tblPrEx>
          <w:tblCellMar>
            <w:top w:w="0" w:type="dxa"/>
            <w:left w:w="108" w:type="dxa"/>
            <w:bottom w:w="0" w:type="dxa"/>
            <w:right w:w="108" w:type="dxa"/>
          </w:tblCellMar>
        </w:tblPrEx>
        <w:trPr>
          <w:trHeight w:val="540" w:hRule="atLeast"/>
        </w:trPr>
        <w:tc>
          <w:tcPr>
            <w:tcW w:w="5000" w:type="pct"/>
            <w:gridSpan w:val="6"/>
            <w:tcBorders>
              <w:top w:val="nil"/>
              <w:left w:val="nil"/>
              <w:bottom w:val="nil"/>
              <w:right w:val="nil"/>
            </w:tcBorders>
            <w:shd w:val="clear" w:color="auto" w:fill="auto"/>
            <w:noWrap/>
            <w:vAlign w:val="center"/>
          </w:tcPr>
          <w:p>
            <w:pPr>
              <w:widowControl/>
              <w:ind w:firstLine="482"/>
              <w:jc w:val="center"/>
              <w:textAlignment w:val="center"/>
              <w:rPr>
                <w:rFonts w:asciiTheme="minorEastAsia" w:hAnsiTheme="minorEastAsia" w:cstheme="minorEastAsia"/>
                <w:b/>
                <w:bCs/>
                <w:color w:val="000000"/>
                <w:sz w:val="24"/>
                <w:szCs w:val="24"/>
              </w:rPr>
            </w:pPr>
            <w:r>
              <w:rPr>
                <w:rFonts w:hint="eastAsia" w:asciiTheme="minorEastAsia" w:hAnsiTheme="minorEastAsia" w:cstheme="minorEastAsia"/>
                <w:b/>
                <w:bCs/>
                <w:color w:val="000000"/>
                <w:kern w:val="0"/>
                <w:sz w:val="24"/>
                <w:szCs w:val="24"/>
                <w:lang w:bidi="ar"/>
              </w:rPr>
              <w:t>5月-9月米东区防护林养护考核评分表</w:t>
            </w:r>
          </w:p>
        </w:tc>
      </w:tr>
      <w:tr>
        <w:tblPrEx>
          <w:tblCellMar>
            <w:top w:w="0" w:type="dxa"/>
            <w:left w:w="108" w:type="dxa"/>
            <w:bottom w:w="0" w:type="dxa"/>
            <w:right w:w="108" w:type="dxa"/>
          </w:tblCellMar>
        </w:tblPrEx>
        <w:trPr>
          <w:trHeight w:val="375" w:hRule="atLeast"/>
        </w:trPr>
        <w:tc>
          <w:tcPr>
            <w:tcW w:w="5000" w:type="pct"/>
            <w:gridSpan w:val="6"/>
            <w:tcBorders>
              <w:top w:val="nil"/>
              <w:left w:val="nil"/>
              <w:bottom w:val="nil"/>
              <w:right w:val="nil"/>
            </w:tcBorders>
            <w:shd w:val="clear" w:color="auto" w:fill="auto"/>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 xml:space="preserve"> 日期：                       养护公司：                     养护面积：</w:t>
            </w:r>
          </w:p>
        </w:tc>
      </w:tr>
      <w:tr>
        <w:tblPrEx>
          <w:tblCellMar>
            <w:top w:w="0" w:type="dxa"/>
            <w:left w:w="108" w:type="dxa"/>
            <w:bottom w:w="0" w:type="dxa"/>
            <w:right w:w="108" w:type="dxa"/>
          </w:tblCellMar>
        </w:tblPrEx>
        <w:trPr>
          <w:trHeight w:val="600" w:hRule="atLeast"/>
        </w:trPr>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考核项目</w:t>
            </w:r>
          </w:p>
        </w:tc>
        <w:tc>
          <w:tcPr>
            <w:tcW w:w="1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考核内容</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评分标准</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得  分</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扣分原因</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备  注</w:t>
            </w:r>
          </w:p>
        </w:tc>
      </w:tr>
      <w:tr>
        <w:tblPrEx>
          <w:tblCellMar>
            <w:top w:w="0" w:type="dxa"/>
            <w:left w:w="108" w:type="dxa"/>
            <w:bottom w:w="0" w:type="dxa"/>
            <w:right w:w="108" w:type="dxa"/>
          </w:tblCellMar>
        </w:tblPrEx>
        <w:trPr>
          <w:trHeight w:val="1040" w:hRule="atLeast"/>
        </w:trPr>
        <w:tc>
          <w:tcPr>
            <w:tcW w:w="4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乔灌木绿篱修剪20分</w:t>
            </w:r>
          </w:p>
        </w:tc>
        <w:tc>
          <w:tcPr>
            <w:tcW w:w="1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1、乔灌木生长势好，树形完整，层次清楚，没有人为偏冠</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5分</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cstheme="minorEastAsia"/>
                <w:color w:val="000000"/>
                <w:sz w:val="24"/>
                <w:szCs w:val="24"/>
              </w:rPr>
            </w:pP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cstheme="minorEastAsia"/>
                <w:color w:val="000000"/>
                <w:sz w:val="24"/>
                <w:szCs w:val="24"/>
              </w:rPr>
            </w:pPr>
          </w:p>
        </w:tc>
        <w:tc>
          <w:tcPr>
            <w:tcW w:w="6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 xml:space="preserve">                                                                                                                 每月考核时随机抽选5-10处，每处1000㎡。分别打分，最后计算得出本月得分。</w:t>
            </w:r>
          </w:p>
        </w:tc>
      </w:tr>
      <w:tr>
        <w:tblPrEx>
          <w:tblCellMar>
            <w:top w:w="0" w:type="dxa"/>
            <w:left w:w="108" w:type="dxa"/>
            <w:bottom w:w="0" w:type="dxa"/>
            <w:right w:w="108" w:type="dxa"/>
          </w:tblCellMar>
        </w:tblPrEx>
        <w:trPr>
          <w:trHeight w:val="920" w:hRule="atLeast"/>
        </w:trPr>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2、枯死枝、徒长枝、下垂枝、折枝、病虫枝、过密枝，萌蘖枝及时清理</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4分</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00" w:hRule="atLeast"/>
        </w:trPr>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3、灌木，绿篱、绿雕徒长枝不能高于15CM</w:t>
            </w:r>
          </w:p>
        </w:tc>
        <w:tc>
          <w:tcPr>
            <w:tcW w:w="4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6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80" w:hRule="atLeast"/>
        </w:trPr>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4、死树及时伐掉、倒树及时扶正</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880" w:hRule="atLeast"/>
        </w:trPr>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5、修剪枝当天及时清理</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840" w:hRule="atLeast"/>
        </w:trPr>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6、及时清除林地内杂草</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4分</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1200" w:hRule="atLeast"/>
        </w:trPr>
        <w:tc>
          <w:tcPr>
            <w:tcW w:w="4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植物病虫害防治10分</w:t>
            </w:r>
          </w:p>
        </w:tc>
        <w:tc>
          <w:tcPr>
            <w:tcW w:w="1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1、根据虫害发生情况及时以化学防治的方法打药预防</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6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每月考核时随机抽选5-10处，每处1000㎡。分别打分，最后计算得出本月得分。</w:t>
            </w:r>
          </w:p>
        </w:tc>
      </w:tr>
      <w:tr>
        <w:tblPrEx>
          <w:tblCellMar>
            <w:top w:w="0" w:type="dxa"/>
            <w:left w:w="108" w:type="dxa"/>
            <w:bottom w:w="0" w:type="dxa"/>
            <w:right w:w="108" w:type="dxa"/>
          </w:tblCellMar>
        </w:tblPrEx>
        <w:trPr>
          <w:trHeight w:val="840" w:hRule="atLeast"/>
        </w:trPr>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2、必须使用高效低毒农药</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1000" w:hRule="atLeast"/>
        </w:trPr>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3、防治病虫害效果明显，在可控范围内</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4分</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1060" w:hRule="atLeast"/>
        </w:trPr>
        <w:tc>
          <w:tcPr>
            <w:tcW w:w="47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浇水25分</w:t>
            </w:r>
          </w:p>
        </w:tc>
        <w:tc>
          <w:tcPr>
            <w:tcW w:w="1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1、及时浇水，没有造成植物萎蔫，枝叶枯黄</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8分</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960" w:hRule="atLeast"/>
        </w:trPr>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cstheme="minorEastAsia"/>
                <w:color w:val="000000"/>
                <w:sz w:val="24"/>
                <w:szCs w:val="24"/>
              </w:rPr>
            </w:pPr>
          </w:p>
        </w:tc>
        <w:tc>
          <w:tcPr>
            <w:tcW w:w="1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2、确保浇水浇到位</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6分</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820" w:hRule="atLeast"/>
        </w:trPr>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cstheme="minorEastAsia"/>
                <w:color w:val="000000"/>
                <w:sz w:val="24"/>
                <w:szCs w:val="24"/>
              </w:rPr>
            </w:pPr>
          </w:p>
        </w:tc>
        <w:tc>
          <w:tcPr>
            <w:tcW w:w="1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3、确保浇水浇透</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6分</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1080" w:hRule="atLeast"/>
        </w:trPr>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cstheme="minorEastAsia"/>
                <w:color w:val="000000"/>
                <w:sz w:val="24"/>
                <w:szCs w:val="24"/>
              </w:rPr>
            </w:pPr>
          </w:p>
        </w:tc>
        <w:tc>
          <w:tcPr>
            <w:tcW w:w="1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4、确保各类灌溉系统正常浇水，未出现跑冒滴漏现象</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5分</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960" w:hRule="atLeast"/>
        </w:trPr>
        <w:tc>
          <w:tcPr>
            <w:tcW w:w="4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绿地整理15分</w:t>
            </w:r>
          </w:p>
        </w:tc>
        <w:tc>
          <w:tcPr>
            <w:tcW w:w="1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1、清理林带内的枯枝败叶以及垃圾，卫生打扫干净，保持林带内环境优美整洁。</w:t>
            </w:r>
          </w:p>
        </w:tc>
        <w:tc>
          <w:tcPr>
            <w:tcW w:w="4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5分</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6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每月考核时随机抽选5-10处，每处1000㎡。分别打分，最后计算得出本月得分</w:t>
            </w:r>
          </w:p>
        </w:tc>
      </w:tr>
      <w:tr>
        <w:tblPrEx>
          <w:tblCellMar>
            <w:top w:w="0" w:type="dxa"/>
            <w:left w:w="108" w:type="dxa"/>
            <w:bottom w:w="0" w:type="dxa"/>
            <w:right w:w="108" w:type="dxa"/>
          </w:tblCellMar>
        </w:tblPrEx>
        <w:trPr>
          <w:trHeight w:val="840" w:hRule="atLeast"/>
        </w:trPr>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2、林带没有悬挂物及私搭乱建现象</w:t>
            </w:r>
          </w:p>
        </w:tc>
        <w:tc>
          <w:tcPr>
            <w:tcW w:w="4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6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840" w:hRule="atLeast"/>
        </w:trPr>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3、平整林带并进行中耕松土</w:t>
            </w:r>
          </w:p>
        </w:tc>
        <w:tc>
          <w:tcPr>
            <w:tcW w:w="4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6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840" w:hRule="atLeast"/>
        </w:trPr>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4、及时安排人员进行挖树穴工作</w:t>
            </w:r>
          </w:p>
        </w:tc>
        <w:tc>
          <w:tcPr>
            <w:tcW w:w="4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6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800" w:hRule="atLeast"/>
        </w:trPr>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5、按照要求肥料需施在树穴里深翻，并保质保量完成施肥工作。</w:t>
            </w:r>
          </w:p>
        </w:tc>
        <w:tc>
          <w:tcPr>
            <w:tcW w:w="4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6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40" w:hRule="atLeast"/>
        </w:trPr>
        <w:tc>
          <w:tcPr>
            <w:tcW w:w="47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安全生产管理10分</w:t>
            </w:r>
          </w:p>
        </w:tc>
        <w:tc>
          <w:tcPr>
            <w:tcW w:w="1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1、及时排查处理安全隐患</w:t>
            </w:r>
          </w:p>
        </w:tc>
        <w:tc>
          <w:tcPr>
            <w:tcW w:w="4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6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820" w:hRule="atLeast"/>
        </w:trPr>
        <w:tc>
          <w:tcPr>
            <w:tcW w:w="47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2、配备安全保护器材</w:t>
            </w:r>
          </w:p>
        </w:tc>
        <w:tc>
          <w:tcPr>
            <w:tcW w:w="4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6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80" w:hRule="atLeast"/>
        </w:trPr>
        <w:tc>
          <w:tcPr>
            <w:tcW w:w="47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3、合理规范操作机械</w:t>
            </w:r>
          </w:p>
        </w:tc>
        <w:tc>
          <w:tcPr>
            <w:tcW w:w="4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6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60" w:hRule="atLeast"/>
        </w:trPr>
        <w:tc>
          <w:tcPr>
            <w:tcW w:w="47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4、做好安全警示标志</w:t>
            </w:r>
          </w:p>
        </w:tc>
        <w:tc>
          <w:tcPr>
            <w:tcW w:w="4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6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840" w:hRule="atLeast"/>
        </w:trPr>
        <w:tc>
          <w:tcPr>
            <w:tcW w:w="4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日常管理15分</w:t>
            </w:r>
          </w:p>
        </w:tc>
        <w:tc>
          <w:tcPr>
            <w:tcW w:w="1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1、养护单位对园林队的工作安排及时落实到位</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4分</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color w:val="000000"/>
                <w:sz w:val="24"/>
                <w:szCs w:val="24"/>
              </w:rPr>
            </w:pPr>
          </w:p>
        </w:tc>
        <w:tc>
          <w:tcPr>
            <w:tcW w:w="162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color w:val="000000"/>
                <w:sz w:val="24"/>
                <w:szCs w:val="24"/>
              </w:rPr>
            </w:pPr>
          </w:p>
        </w:tc>
        <w:tc>
          <w:tcPr>
            <w:tcW w:w="6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 xml:space="preserve">每月考核时随机抽选5-10处，每处1000㎡。分别打分，最后计算得出本月得分  </w:t>
            </w:r>
          </w:p>
        </w:tc>
      </w:tr>
      <w:tr>
        <w:tblPrEx>
          <w:tblCellMar>
            <w:top w:w="0" w:type="dxa"/>
            <w:left w:w="108" w:type="dxa"/>
            <w:bottom w:w="0" w:type="dxa"/>
            <w:right w:w="108" w:type="dxa"/>
          </w:tblCellMar>
        </w:tblPrEx>
        <w:trPr>
          <w:trHeight w:val="760" w:hRule="atLeast"/>
        </w:trPr>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2、服从单位安排的应急事件并保质保量完成</w:t>
            </w:r>
          </w:p>
        </w:tc>
        <w:tc>
          <w:tcPr>
            <w:tcW w:w="4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16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1220" w:hRule="atLeast"/>
        </w:trPr>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3、对毁绿占绿现象及时发现、及时阻止、现场取证，上报主管科室，并配合监察科工作</w:t>
            </w:r>
          </w:p>
        </w:tc>
        <w:tc>
          <w:tcPr>
            <w:tcW w:w="4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16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80" w:hRule="atLeast"/>
        </w:trPr>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4、及时按要求上报工作计划、工作小结</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4分</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60" w:hRule="atLeast"/>
        </w:trPr>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5、养护人员配置到位</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860" w:hRule="atLeast"/>
        </w:trPr>
        <w:tc>
          <w:tcPr>
            <w:tcW w:w="4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设施设备维修5分</w:t>
            </w:r>
          </w:p>
        </w:tc>
        <w:tc>
          <w:tcPr>
            <w:tcW w:w="1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1、各种标牌、标志物、辅助设施损坏及时修复</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40" w:hRule="atLeast"/>
        </w:trPr>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2、林地内的水井盖完好</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00" w:hRule="atLeast"/>
        </w:trPr>
        <w:tc>
          <w:tcPr>
            <w:tcW w:w="18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当月考核分数</w:t>
            </w:r>
          </w:p>
        </w:tc>
        <w:tc>
          <w:tcPr>
            <w:tcW w:w="246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cstheme="minorEastAsia"/>
                <w:color w:val="000000"/>
                <w:sz w:val="24"/>
                <w:szCs w:val="24"/>
              </w:rPr>
            </w:pP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bl>
    <w:p>
      <w:pPr>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t>考核人签字：                                       养护单位负责人签字：</w:t>
      </w:r>
    </w:p>
    <w:p>
      <w:pPr>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br w:type="page"/>
      </w:r>
    </w:p>
    <w:tbl>
      <w:tblPr>
        <w:tblStyle w:val="34"/>
        <w:tblW w:w="5000" w:type="pct"/>
        <w:tblInd w:w="0" w:type="dxa"/>
        <w:tblLayout w:type="fixed"/>
        <w:tblCellMar>
          <w:top w:w="0" w:type="dxa"/>
          <w:left w:w="108" w:type="dxa"/>
          <w:bottom w:w="0" w:type="dxa"/>
          <w:right w:w="108" w:type="dxa"/>
        </w:tblCellMar>
      </w:tblPr>
      <w:tblGrid>
        <w:gridCol w:w="1232"/>
        <w:gridCol w:w="2736"/>
        <w:gridCol w:w="832"/>
        <w:gridCol w:w="999"/>
        <w:gridCol w:w="2168"/>
        <w:gridCol w:w="1321"/>
      </w:tblGrid>
      <w:tr>
        <w:tblPrEx>
          <w:tblCellMar>
            <w:top w:w="0" w:type="dxa"/>
            <w:left w:w="108" w:type="dxa"/>
            <w:bottom w:w="0" w:type="dxa"/>
            <w:right w:w="108" w:type="dxa"/>
          </w:tblCellMar>
        </w:tblPrEx>
        <w:trPr>
          <w:trHeight w:val="720" w:hRule="atLeast"/>
        </w:trPr>
        <w:tc>
          <w:tcPr>
            <w:tcW w:w="5000" w:type="pct"/>
            <w:gridSpan w:val="6"/>
            <w:tcBorders>
              <w:top w:val="nil"/>
              <w:left w:val="nil"/>
              <w:bottom w:val="nil"/>
              <w:right w:val="nil"/>
            </w:tcBorders>
            <w:shd w:val="clear" w:color="auto" w:fill="auto"/>
            <w:noWrap/>
            <w:vAlign w:val="center"/>
          </w:tcPr>
          <w:p>
            <w:pPr>
              <w:widowControl/>
              <w:ind w:firstLine="482"/>
              <w:jc w:val="center"/>
              <w:textAlignment w:val="center"/>
              <w:rPr>
                <w:rFonts w:asciiTheme="minorEastAsia" w:hAnsiTheme="minorEastAsia" w:cstheme="minorEastAsia"/>
                <w:b/>
                <w:bCs/>
                <w:color w:val="000000"/>
                <w:sz w:val="24"/>
                <w:szCs w:val="24"/>
              </w:rPr>
            </w:pPr>
            <w:r>
              <w:rPr>
                <w:rFonts w:hint="eastAsia" w:asciiTheme="minorEastAsia" w:hAnsiTheme="minorEastAsia" w:cstheme="minorEastAsia"/>
                <w:b/>
                <w:bCs/>
                <w:color w:val="000000"/>
                <w:kern w:val="0"/>
                <w:sz w:val="24"/>
                <w:szCs w:val="24"/>
                <w:lang w:bidi="ar"/>
              </w:rPr>
              <w:t>10月11月米东区防护林绿化养护考核评分表</w:t>
            </w:r>
          </w:p>
        </w:tc>
      </w:tr>
      <w:tr>
        <w:tblPrEx>
          <w:tblCellMar>
            <w:top w:w="0" w:type="dxa"/>
            <w:left w:w="108" w:type="dxa"/>
            <w:bottom w:w="0" w:type="dxa"/>
            <w:right w:w="108" w:type="dxa"/>
          </w:tblCellMar>
        </w:tblPrEx>
        <w:trPr>
          <w:trHeight w:val="600" w:hRule="atLeast"/>
        </w:trPr>
        <w:tc>
          <w:tcPr>
            <w:tcW w:w="5000" w:type="pct"/>
            <w:gridSpan w:val="6"/>
            <w:tcBorders>
              <w:top w:val="nil"/>
              <w:left w:val="nil"/>
              <w:bottom w:val="nil"/>
              <w:right w:val="nil"/>
            </w:tcBorders>
            <w:shd w:val="clear" w:color="auto" w:fill="auto"/>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日期：               养护公司：                          养护面积：</w:t>
            </w:r>
          </w:p>
        </w:tc>
      </w:tr>
      <w:tr>
        <w:tblPrEx>
          <w:tblCellMar>
            <w:top w:w="0" w:type="dxa"/>
            <w:left w:w="108" w:type="dxa"/>
            <w:bottom w:w="0" w:type="dxa"/>
            <w:right w:w="108" w:type="dxa"/>
          </w:tblCellMar>
        </w:tblPrEx>
        <w:trPr>
          <w:trHeight w:val="660" w:hRule="atLeast"/>
        </w:trPr>
        <w:tc>
          <w:tcPr>
            <w:tcW w:w="6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cstheme="minorEastAsia"/>
                <w:color w:val="000000"/>
                <w:sz w:val="24"/>
                <w:szCs w:val="24"/>
              </w:rPr>
            </w:pPr>
          </w:p>
        </w:tc>
        <w:tc>
          <w:tcPr>
            <w:tcW w:w="1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考核内容</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评分标准</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得  分</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扣分原因</w:t>
            </w: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备  注</w:t>
            </w:r>
          </w:p>
        </w:tc>
      </w:tr>
      <w:tr>
        <w:tblPrEx>
          <w:tblCellMar>
            <w:top w:w="0" w:type="dxa"/>
            <w:left w:w="108" w:type="dxa"/>
            <w:bottom w:w="0" w:type="dxa"/>
            <w:right w:w="108" w:type="dxa"/>
          </w:tblCellMar>
        </w:tblPrEx>
        <w:trPr>
          <w:trHeight w:val="680" w:hRule="atLeast"/>
        </w:trPr>
        <w:tc>
          <w:tcPr>
            <w:tcW w:w="6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乔灌木修剪20分</w:t>
            </w:r>
          </w:p>
        </w:tc>
        <w:tc>
          <w:tcPr>
            <w:tcW w:w="14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1、乔灌木生长势好，树形完整，层次清楚，没有人为偏冠</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4分</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7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 xml:space="preserve">                                                                                                              每月考核时随机抽选5-10处，每处1000㎡。分别打分，最后计算得出本月得分。</w:t>
            </w:r>
          </w:p>
        </w:tc>
      </w:tr>
      <w:tr>
        <w:tblPrEx>
          <w:tblCellMar>
            <w:top w:w="0" w:type="dxa"/>
            <w:left w:w="108" w:type="dxa"/>
            <w:bottom w:w="0" w:type="dxa"/>
            <w:right w:w="108" w:type="dxa"/>
          </w:tblCellMar>
        </w:tblPrEx>
        <w:trPr>
          <w:trHeight w:val="735" w:hRule="atLeast"/>
        </w:trPr>
        <w:tc>
          <w:tcPr>
            <w:tcW w:w="6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4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2、枯死枝、徒长枝、下垂枝、折枝、病虫枝、过密枝及时清理</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4分</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35" w:hRule="atLeast"/>
        </w:trPr>
        <w:tc>
          <w:tcPr>
            <w:tcW w:w="6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4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3、按苗木生长习性修剪，灌木，绿篱、绿雕徒长枝不能高于15CM</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1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00" w:hRule="atLeast"/>
        </w:trPr>
        <w:tc>
          <w:tcPr>
            <w:tcW w:w="6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4、按规定时间完成修剪工作</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1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450" w:hRule="atLeast"/>
        </w:trPr>
        <w:tc>
          <w:tcPr>
            <w:tcW w:w="6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5、死树及时伐掉、倒树及时扶正</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1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465" w:hRule="atLeast"/>
        </w:trPr>
        <w:tc>
          <w:tcPr>
            <w:tcW w:w="6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6、修剪枝当天及时清理</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1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60" w:hRule="atLeast"/>
        </w:trPr>
        <w:tc>
          <w:tcPr>
            <w:tcW w:w="6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4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7、3㎝以上剪口、损伤部位涂防护剂</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1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00" w:hRule="atLeast"/>
        </w:trPr>
        <w:tc>
          <w:tcPr>
            <w:tcW w:w="66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乔灌木栽植10分</w:t>
            </w:r>
          </w:p>
        </w:tc>
        <w:tc>
          <w:tcPr>
            <w:tcW w:w="14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1、按要求合理规范施工</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1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80" w:hRule="atLeast"/>
        </w:trPr>
        <w:tc>
          <w:tcPr>
            <w:tcW w:w="66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4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2、苗木当天需栽植并完成浇水工作</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1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00" w:hRule="atLeast"/>
        </w:trPr>
        <w:tc>
          <w:tcPr>
            <w:tcW w:w="66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4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3、确保苗木的成活率</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1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560" w:hRule="atLeast"/>
        </w:trPr>
        <w:tc>
          <w:tcPr>
            <w:tcW w:w="66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4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4、在规定时间内完成</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1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570" w:hRule="atLeast"/>
        </w:trPr>
        <w:tc>
          <w:tcPr>
            <w:tcW w:w="66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浇水25分</w:t>
            </w:r>
          </w:p>
        </w:tc>
        <w:tc>
          <w:tcPr>
            <w:tcW w:w="1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1、按要求及时冬灌</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8分</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7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 xml:space="preserve">                                                                                                                每月考核时随机抽选5-10处，每处1000㎡。分别打分，最后计算得出本月得分。</w:t>
            </w:r>
          </w:p>
        </w:tc>
      </w:tr>
      <w:tr>
        <w:tblPrEx>
          <w:tblCellMar>
            <w:top w:w="0" w:type="dxa"/>
            <w:left w:w="108" w:type="dxa"/>
            <w:bottom w:w="0" w:type="dxa"/>
            <w:right w:w="108" w:type="dxa"/>
          </w:tblCellMar>
        </w:tblPrEx>
        <w:trPr>
          <w:trHeight w:val="555" w:hRule="atLeast"/>
        </w:trPr>
        <w:tc>
          <w:tcPr>
            <w:tcW w:w="66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cstheme="minorEastAsia"/>
                <w:color w:val="000000"/>
                <w:sz w:val="24"/>
                <w:szCs w:val="24"/>
              </w:rPr>
            </w:pPr>
          </w:p>
        </w:tc>
        <w:tc>
          <w:tcPr>
            <w:tcW w:w="1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2、确保浇水浇到位</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7分</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15" w:hRule="atLeast"/>
        </w:trPr>
        <w:tc>
          <w:tcPr>
            <w:tcW w:w="66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cstheme="minorEastAsia"/>
                <w:color w:val="000000"/>
                <w:sz w:val="24"/>
                <w:szCs w:val="24"/>
              </w:rPr>
            </w:pPr>
          </w:p>
        </w:tc>
        <w:tc>
          <w:tcPr>
            <w:tcW w:w="1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3、确保浇水浇透</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6分</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60" w:hRule="atLeast"/>
        </w:trPr>
        <w:tc>
          <w:tcPr>
            <w:tcW w:w="66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cstheme="minorEastAsia"/>
                <w:color w:val="000000"/>
                <w:sz w:val="24"/>
                <w:szCs w:val="24"/>
              </w:rPr>
            </w:pPr>
          </w:p>
        </w:tc>
        <w:tc>
          <w:tcPr>
            <w:tcW w:w="1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4、及时做好排水工作</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4分</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920" w:hRule="atLeast"/>
        </w:trPr>
        <w:tc>
          <w:tcPr>
            <w:tcW w:w="6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绿地整理13分</w:t>
            </w:r>
          </w:p>
        </w:tc>
        <w:tc>
          <w:tcPr>
            <w:tcW w:w="14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1、及时清理林带内的枯枝败叶以及垃圾，卫生打扫干净，保持林带内环境优美整洁。</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5分</w:t>
            </w:r>
          </w:p>
        </w:tc>
        <w:tc>
          <w:tcPr>
            <w:tcW w:w="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1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80" w:hRule="atLeast"/>
        </w:trPr>
        <w:tc>
          <w:tcPr>
            <w:tcW w:w="6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4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2、林带内没有悬挂物及私搭乱建现象</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1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00" w:hRule="atLeast"/>
        </w:trPr>
        <w:tc>
          <w:tcPr>
            <w:tcW w:w="6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4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3、平整林带并进行中耕除草，松土</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1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540" w:hRule="atLeast"/>
        </w:trPr>
        <w:tc>
          <w:tcPr>
            <w:tcW w:w="6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4、及时安排人员进行挖树穴工作</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1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20" w:hRule="atLeast"/>
        </w:trPr>
        <w:tc>
          <w:tcPr>
            <w:tcW w:w="66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安全生产管理10分</w:t>
            </w:r>
          </w:p>
        </w:tc>
        <w:tc>
          <w:tcPr>
            <w:tcW w:w="14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1、及时排查处理安全隐患</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1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20" w:hRule="atLeast"/>
        </w:trPr>
        <w:tc>
          <w:tcPr>
            <w:tcW w:w="66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4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2、配备安全保护器材</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1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540" w:hRule="atLeast"/>
        </w:trPr>
        <w:tc>
          <w:tcPr>
            <w:tcW w:w="66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4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3、合理规范操作机械</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1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560" w:hRule="atLeast"/>
        </w:trPr>
        <w:tc>
          <w:tcPr>
            <w:tcW w:w="66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4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4、做好安全警示标志</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1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880" w:hRule="atLeast"/>
        </w:trPr>
        <w:tc>
          <w:tcPr>
            <w:tcW w:w="6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日常管理17分</w:t>
            </w:r>
          </w:p>
        </w:tc>
        <w:tc>
          <w:tcPr>
            <w:tcW w:w="14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1、养护单位对园林队安排的工作及时落实到位</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6分</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color w:val="000000"/>
                <w:sz w:val="24"/>
                <w:szCs w:val="24"/>
              </w:rPr>
            </w:pPr>
          </w:p>
        </w:tc>
        <w:tc>
          <w:tcPr>
            <w:tcW w:w="116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color w:val="000000"/>
                <w:sz w:val="24"/>
                <w:szCs w:val="24"/>
              </w:rPr>
            </w:pPr>
          </w:p>
        </w:tc>
        <w:tc>
          <w:tcPr>
            <w:tcW w:w="7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每月考核时随机抽选5-10处，每处1000㎡。分别打分，最后计算得出本月得分  注释：绿色为增加条款。黄色为修改条款</w:t>
            </w:r>
          </w:p>
        </w:tc>
      </w:tr>
      <w:tr>
        <w:tblPrEx>
          <w:tblCellMar>
            <w:top w:w="0" w:type="dxa"/>
            <w:left w:w="108" w:type="dxa"/>
            <w:bottom w:w="0" w:type="dxa"/>
            <w:right w:w="108" w:type="dxa"/>
          </w:tblCellMar>
        </w:tblPrEx>
        <w:trPr>
          <w:trHeight w:val="680" w:hRule="atLeast"/>
        </w:trPr>
        <w:tc>
          <w:tcPr>
            <w:tcW w:w="6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4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2、服从单位安排的应急事件并保质保量</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5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11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1140" w:hRule="atLeast"/>
        </w:trPr>
        <w:tc>
          <w:tcPr>
            <w:tcW w:w="6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4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4、对毁绿占绿现象及时发现、及时阻止、现场取证，上报主管科室，并配合监察科工作</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5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11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20" w:hRule="atLeast"/>
        </w:trPr>
        <w:tc>
          <w:tcPr>
            <w:tcW w:w="6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4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5、按时、按要求报工作计划、工作小结</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20" w:hRule="atLeast"/>
        </w:trPr>
        <w:tc>
          <w:tcPr>
            <w:tcW w:w="6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4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6、养护人员配置到位</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885" w:hRule="atLeast"/>
        </w:trPr>
        <w:tc>
          <w:tcPr>
            <w:tcW w:w="6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br w:type="textWrapping"/>
            </w:r>
            <w:r>
              <w:rPr>
                <w:rFonts w:hint="eastAsia" w:asciiTheme="minorEastAsia" w:hAnsiTheme="minorEastAsia" w:cstheme="minorEastAsia"/>
                <w:color w:val="000000"/>
                <w:kern w:val="0"/>
                <w:sz w:val="24"/>
                <w:szCs w:val="24"/>
                <w:lang w:bidi="ar"/>
              </w:rPr>
              <w:t>设施设备维修5分</w:t>
            </w:r>
          </w:p>
        </w:tc>
        <w:tc>
          <w:tcPr>
            <w:tcW w:w="14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1、各种标牌、标志物、辅助设施损坏及时修复</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20" w:hRule="atLeast"/>
        </w:trPr>
        <w:tc>
          <w:tcPr>
            <w:tcW w:w="6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4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2、林地内的水井盖完好</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80" w:hRule="atLeast"/>
        </w:trPr>
        <w:tc>
          <w:tcPr>
            <w:tcW w:w="21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当月考核得分</w:t>
            </w:r>
          </w:p>
        </w:tc>
        <w:tc>
          <w:tcPr>
            <w:tcW w:w="215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cstheme="minorEastAsia"/>
                <w:color w:val="000000"/>
                <w:sz w:val="24"/>
                <w:szCs w:val="24"/>
              </w:rPr>
            </w:pP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bl>
    <w:p>
      <w:pPr>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t>考核人签字：                                       养护单位负责人签字：</w:t>
      </w:r>
    </w:p>
    <w:p>
      <w:pPr>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br w:type="page"/>
      </w:r>
    </w:p>
    <w:tbl>
      <w:tblPr>
        <w:tblStyle w:val="34"/>
        <w:tblW w:w="5000" w:type="pct"/>
        <w:tblInd w:w="0" w:type="dxa"/>
        <w:tblLayout w:type="autofit"/>
        <w:tblCellMar>
          <w:top w:w="0" w:type="dxa"/>
          <w:left w:w="108" w:type="dxa"/>
          <w:bottom w:w="0" w:type="dxa"/>
          <w:right w:w="108" w:type="dxa"/>
        </w:tblCellMar>
      </w:tblPr>
      <w:tblGrid>
        <w:gridCol w:w="1009"/>
        <w:gridCol w:w="2894"/>
        <w:gridCol w:w="674"/>
        <w:gridCol w:w="811"/>
        <w:gridCol w:w="2875"/>
        <w:gridCol w:w="1025"/>
      </w:tblGrid>
      <w:tr>
        <w:tblPrEx>
          <w:tblCellMar>
            <w:top w:w="0" w:type="dxa"/>
            <w:left w:w="108" w:type="dxa"/>
            <w:bottom w:w="0" w:type="dxa"/>
            <w:right w:w="108" w:type="dxa"/>
          </w:tblCellMar>
        </w:tblPrEx>
        <w:trPr>
          <w:trHeight w:val="840" w:hRule="atLeast"/>
        </w:trPr>
        <w:tc>
          <w:tcPr>
            <w:tcW w:w="5000" w:type="pct"/>
            <w:gridSpan w:val="6"/>
            <w:tcBorders>
              <w:top w:val="nil"/>
              <w:left w:val="nil"/>
              <w:bottom w:val="nil"/>
              <w:right w:val="nil"/>
            </w:tcBorders>
            <w:shd w:val="clear" w:color="auto" w:fill="auto"/>
            <w:noWrap/>
            <w:vAlign w:val="center"/>
          </w:tcPr>
          <w:p>
            <w:pPr>
              <w:widowControl/>
              <w:ind w:firstLine="482"/>
              <w:jc w:val="center"/>
              <w:textAlignment w:val="center"/>
              <w:rPr>
                <w:rFonts w:asciiTheme="minorEastAsia" w:hAnsiTheme="minorEastAsia" w:cstheme="minorEastAsia"/>
                <w:b/>
                <w:bCs/>
                <w:color w:val="000000"/>
                <w:sz w:val="24"/>
                <w:szCs w:val="24"/>
              </w:rPr>
            </w:pPr>
            <w:r>
              <w:rPr>
                <w:rFonts w:hint="eastAsia" w:asciiTheme="minorEastAsia" w:hAnsiTheme="minorEastAsia" w:cstheme="minorEastAsia"/>
                <w:b/>
                <w:bCs/>
                <w:color w:val="000000"/>
                <w:kern w:val="0"/>
                <w:sz w:val="24"/>
                <w:szCs w:val="24"/>
                <w:lang w:bidi="ar"/>
              </w:rPr>
              <w:t>12月1月2月米东区防护林养护考核评分表</w:t>
            </w:r>
          </w:p>
        </w:tc>
      </w:tr>
      <w:tr>
        <w:tblPrEx>
          <w:tblCellMar>
            <w:top w:w="0" w:type="dxa"/>
            <w:left w:w="108" w:type="dxa"/>
            <w:bottom w:w="0" w:type="dxa"/>
            <w:right w:w="108" w:type="dxa"/>
          </w:tblCellMar>
        </w:tblPrEx>
        <w:trPr>
          <w:trHeight w:val="780" w:hRule="atLeast"/>
        </w:trPr>
        <w:tc>
          <w:tcPr>
            <w:tcW w:w="5000" w:type="pct"/>
            <w:gridSpan w:val="6"/>
            <w:tcBorders>
              <w:top w:val="nil"/>
              <w:left w:val="nil"/>
              <w:bottom w:val="nil"/>
              <w:right w:val="nil"/>
            </w:tcBorders>
            <w:shd w:val="clear" w:color="auto" w:fill="auto"/>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日期：年   月    日                   养护公司：                 养护面积：</w:t>
            </w:r>
          </w:p>
        </w:tc>
      </w:tr>
      <w:tr>
        <w:tblPrEx>
          <w:tblCellMar>
            <w:top w:w="0" w:type="dxa"/>
            <w:left w:w="108" w:type="dxa"/>
            <w:bottom w:w="0" w:type="dxa"/>
            <w:right w:w="108" w:type="dxa"/>
          </w:tblCellMar>
        </w:tblPrEx>
        <w:trPr>
          <w:trHeight w:val="840"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考核项目</w:t>
            </w:r>
          </w:p>
        </w:tc>
        <w:tc>
          <w:tcPr>
            <w:tcW w:w="1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考核内容</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评分标准</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得  分</w:t>
            </w:r>
          </w:p>
        </w:tc>
        <w:tc>
          <w:tcPr>
            <w:tcW w:w="18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扣分原因</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备  注</w:t>
            </w:r>
          </w:p>
        </w:tc>
      </w:tr>
      <w:tr>
        <w:tblPrEx>
          <w:tblCellMar>
            <w:top w:w="0" w:type="dxa"/>
            <w:left w:w="108" w:type="dxa"/>
            <w:bottom w:w="0" w:type="dxa"/>
            <w:right w:w="108" w:type="dxa"/>
          </w:tblCellMar>
        </w:tblPrEx>
        <w:trPr>
          <w:trHeight w:val="990" w:hRule="atLeast"/>
        </w:trPr>
        <w:tc>
          <w:tcPr>
            <w:tcW w:w="4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绿地管理55分</w:t>
            </w:r>
          </w:p>
        </w:tc>
        <w:tc>
          <w:tcPr>
            <w:tcW w:w="1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1、巡查养护林地，没有毁绿占绿现象，发现问题及时上报</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40分</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8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6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每月考核时随机抽选5-10处，每处1000㎡。分别打分，最后计算得出本月得分。 注释：绿色为增加条款。黄色为修改条款</w:t>
            </w:r>
          </w:p>
        </w:tc>
      </w:tr>
      <w:tr>
        <w:tblPrEx>
          <w:tblCellMar>
            <w:top w:w="0" w:type="dxa"/>
            <w:left w:w="108" w:type="dxa"/>
            <w:bottom w:w="0" w:type="dxa"/>
            <w:right w:w="108" w:type="dxa"/>
          </w:tblCellMar>
        </w:tblPrEx>
        <w:trPr>
          <w:trHeight w:val="900" w:hRule="atLeast"/>
        </w:trPr>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3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3、及时清理垃圾，卫生打扫干净，保持林带内环境优美整洁。</w:t>
            </w: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10分</w:t>
            </w:r>
          </w:p>
        </w:tc>
        <w:tc>
          <w:tcPr>
            <w:tcW w:w="3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8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60" w:hRule="atLeast"/>
        </w:trPr>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c>
          <w:tcPr>
            <w:tcW w:w="1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4、及时清除乔灌木枝叶上积雪</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5分</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18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40" w:hRule="atLeast"/>
        </w:trPr>
        <w:tc>
          <w:tcPr>
            <w:tcW w:w="41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安全生产管理10分</w:t>
            </w:r>
          </w:p>
        </w:tc>
        <w:tc>
          <w:tcPr>
            <w:tcW w:w="13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1、及时排查处理安全隐患</w:t>
            </w: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3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8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20" w:hRule="atLeast"/>
        </w:trPr>
        <w:tc>
          <w:tcPr>
            <w:tcW w:w="41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3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2、配备安全保护器材</w:t>
            </w: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3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8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640" w:hRule="atLeast"/>
        </w:trPr>
        <w:tc>
          <w:tcPr>
            <w:tcW w:w="41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3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3、合理规范操作机械</w:t>
            </w: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8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80" w:hRule="atLeast"/>
        </w:trPr>
        <w:tc>
          <w:tcPr>
            <w:tcW w:w="41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3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4、做好安全警示标志</w:t>
            </w: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8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960" w:hRule="atLeast"/>
        </w:trPr>
        <w:tc>
          <w:tcPr>
            <w:tcW w:w="41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日常管理30分</w:t>
            </w:r>
          </w:p>
        </w:tc>
        <w:tc>
          <w:tcPr>
            <w:tcW w:w="13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1、养护单位对园林队安排的工作及时落实到位</w:t>
            </w: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10分</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18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6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 xml:space="preserve">每月考核时随机抽选5-10处，每处1000㎡。分别打分，最后计算得出本月得分。 </w:t>
            </w:r>
          </w:p>
        </w:tc>
      </w:tr>
      <w:tr>
        <w:tblPrEx>
          <w:tblCellMar>
            <w:top w:w="0" w:type="dxa"/>
            <w:left w:w="108" w:type="dxa"/>
            <w:bottom w:w="0" w:type="dxa"/>
            <w:right w:w="108" w:type="dxa"/>
          </w:tblCellMar>
        </w:tblPrEx>
        <w:trPr>
          <w:trHeight w:val="840" w:hRule="atLeast"/>
        </w:trPr>
        <w:tc>
          <w:tcPr>
            <w:tcW w:w="41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3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2、服从单位安排的应急事件，并保质保量完成应急事件。</w:t>
            </w: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5分</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18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920" w:hRule="atLeast"/>
        </w:trPr>
        <w:tc>
          <w:tcPr>
            <w:tcW w:w="41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3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4、对毁绿占绿现象及时发现、及时阻止、现场取证，上报主管科室，并配合监察科工作</w:t>
            </w: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8分</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18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900" w:hRule="atLeast"/>
        </w:trPr>
        <w:tc>
          <w:tcPr>
            <w:tcW w:w="41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3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5、按时、按要求报工作计划、工作小结</w:t>
            </w: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5分</w:t>
            </w:r>
          </w:p>
        </w:tc>
        <w:tc>
          <w:tcPr>
            <w:tcW w:w="3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8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80" w:hRule="atLeast"/>
        </w:trPr>
        <w:tc>
          <w:tcPr>
            <w:tcW w:w="41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3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6、养护人员配置到位</w:t>
            </w: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8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920" w:hRule="atLeast"/>
        </w:trPr>
        <w:tc>
          <w:tcPr>
            <w:tcW w:w="41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br w:type="textWrapping"/>
            </w:r>
            <w:r>
              <w:rPr>
                <w:rFonts w:hint="eastAsia" w:asciiTheme="minorEastAsia" w:hAnsiTheme="minorEastAsia" w:cstheme="minorEastAsia"/>
                <w:color w:val="000000"/>
                <w:kern w:val="0"/>
                <w:sz w:val="24"/>
                <w:szCs w:val="24"/>
                <w:lang w:bidi="ar"/>
              </w:rPr>
              <w:t>设施设备维修5分</w:t>
            </w:r>
          </w:p>
        </w:tc>
        <w:tc>
          <w:tcPr>
            <w:tcW w:w="13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1、各种标牌、标志物、辅助设施损坏及时修复</w:t>
            </w: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2分</w:t>
            </w:r>
          </w:p>
        </w:tc>
        <w:tc>
          <w:tcPr>
            <w:tcW w:w="3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8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1080" w:hRule="atLeast"/>
        </w:trPr>
        <w:tc>
          <w:tcPr>
            <w:tcW w:w="41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z w:val="24"/>
                <w:szCs w:val="24"/>
              </w:rPr>
            </w:pPr>
          </w:p>
        </w:tc>
        <w:tc>
          <w:tcPr>
            <w:tcW w:w="13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2、林地内的水井盖完好</w:t>
            </w: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3分</w:t>
            </w:r>
          </w:p>
        </w:tc>
        <w:tc>
          <w:tcPr>
            <w:tcW w:w="3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18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heme="minorEastAsia" w:hAnsiTheme="minorEastAsia" w:cstheme="minorEastAsia"/>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trHeight w:val="750" w:hRule="atLeast"/>
        </w:trPr>
        <w:tc>
          <w:tcPr>
            <w:tcW w:w="171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当月考核得分</w:t>
            </w:r>
          </w:p>
        </w:tc>
        <w:tc>
          <w:tcPr>
            <w:tcW w:w="263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cstheme="minorEastAsia"/>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szCs w:val="24"/>
              </w:rPr>
            </w:pPr>
          </w:p>
        </w:tc>
      </w:tr>
    </w:tbl>
    <w:p>
      <w:pPr>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t>考核人签字：                                       养护单位负责人签字：</w:t>
      </w:r>
    </w:p>
    <w:p>
      <w:pPr>
        <w:ind w:firstLine="482"/>
        <w:rPr>
          <w:rFonts w:cs="宋体" w:asciiTheme="minorEastAsia" w:hAnsiTheme="minorEastAsia"/>
          <w:b/>
          <w:sz w:val="24"/>
          <w:szCs w:val="24"/>
        </w:rPr>
      </w:pPr>
      <w:r>
        <w:rPr>
          <w:rFonts w:hint="eastAsia" w:cs="宋体" w:asciiTheme="minorEastAsia" w:hAnsiTheme="minorEastAsia"/>
          <w:b/>
          <w:sz w:val="24"/>
          <w:szCs w:val="24"/>
        </w:rPr>
        <w:br w:type="page"/>
      </w:r>
    </w:p>
    <w:p>
      <w:pPr>
        <w:ind w:firstLine="482"/>
        <w:rPr>
          <w:rFonts w:cs="宋体" w:asciiTheme="minorEastAsia" w:hAnsiTheme="minorEastAsia"/>
          <w:b/>
          <w:sz w:val="24"/>
          <w:szCs w:val="24"/>
        </w:rPr>
      </w:pPr>
    </w:p>
    <w:p>
      <w:pPr>
        <w:spacing w:line="440" w:lineRule="exact"/>
        <w:ind w:firstLine="482"/>
        <w:jc w:val="center"/>
        <w:outlineLvl w:val="0"/>
        <w:rPr>
          <w:rFonts w:cs="宋体" w:asciiTheme="minorEastAsia" w:hAnsiTheme="minorEastAsia"/>
          <w:b/>
          <w:sz w:val="24"/>
          <w:szCs w:val="24"/>
        </w:rPr>
      </w:pPr>
      <w:bookmarkStart w:id="55" w:name="_Toc16899"/>
      <w:r>
        <w:rPr>
          <w:rFonts w:hint="eastAsia" w:cs="宋体" w:asciiTheme="minorEastAsia" w:hAnsiTheme="minorEastAsia"/>
          <w:b/>
          <w:sz w:val="24"/>
          <w:szCs w:val="24"/>
        </w:rPr>
        <w:t>第四章技术标准和要求</w:t>
      </w:r>
      <w:bookmarkEnd w:id="55"/>
      <w:bookmarkStart w:id="56" w:name="_Toc138638538"/>
      <w:bookmarkEnd w:id="56"/>
      <w:bookmarkStart w:id="57" w:name="_Toc138638534"/>
      <w:bookmarkEnd w:id="57"/>
      <w:bookmarkStart w:id="58" w:name="_Toc138638509"/>
      <w:bookmarkEnd w:id="58"/>
      <w:bookmarkStart w:id="59" w:name="_Toc138639090"/>
      <w:bookmarkEnd w:id="59"/>
      <w:bookmarkStart w:id="60" w:name="_Toc138638702"/>
      <w:bookmarkEnd w:id="60"/>
      <w:bookmarkStart w:id="61" w:name="_Toc138638910"/>
      <w:bookmarkEnd w:id="61"/>
      <w:bookmarkStart w:id="62" w:name="_Toc138638510"/>
      <w:bookmarkEnd w:id="62"/>
      <w:bookmarkStart w:id="63" w:name="_Toc138638907"/>
      <w:bookmarkEnd w:id="63"/>
      <w:bookmarkStart w:id="64" w:name="_Toc138639145"/>
      <w:bookmarkEnd w:id="64"/>
      <w:bookmarkStart w:id="65" w:name="_Toc138638718"/>
      <w:bookmarkEnd w:id="65"/>
      <w:bookmarkStart w:id="66" w:name="_Toc138639091"/>
      <w:bookmarkEnd w:id="66"/>
      <w:bookmarkStart w:id="67" w:name="_合同文件的组成及解释顺序"/>
      <w:bookmarkEnd w:id="67"/>
      <w:bookmarkStart w:id="68" w:name="_Toc138638906"/>
      <w:bookmarkEnd w:id="68"/>
      <w:bookmarkStart w:id="69" w:name="_Toc138639074"/>
      <w:bookmarkEnd w:id="69"/>
      <w:bookmarkStart w:id="70" w:name="_Toc138638883"/>
      <w:bookmarkEnd w:id="70"/>
      <w:bookmarkStart w:id="71" w:name="_Toc138638719"/>
      <w:bookmarkEnd w:id="71"/>
      <w:bookmarkStart w:id="72" w:name="_Toc138638535"/>
      <w:bookmarkEnd w:id="72"/>
      <w:bookmarkStart w:id="73" w:name="_Toc138638884"/>
      <w:bookmarkEnd w:id="73"/>
      <w:bookmarkStart w:id="74" w:name="_Toc138638773"/>
      <w:bookmarkEnd w:id="74"/>
    </w:p>
    <w:p>
      <w:pPr>
        <w:spacing w:line="440" w:lineRule="exact"/>
        <w:ind w:firstLine="542"/>
        <w:jc w:val="center"/>
        <w:rPr>
          <w:rFonts w:hint="eastAsia" w:cs="宋体" w:asciiTheme="minorEastAsia" w:hAnsiTheme="minorEastAsia" w:eastAsiaTheme="minorEastAsia"/>
          <w:b/>
          <w:kern w:val="0"/>
          <w:sz w:val="27"/>
          <w:szCs w:val="27"/>
          <w:lang w:eastAsia="zh-CN"/>
        </w:rPr>
      </w:pPr>
      <w:r>
        <w:rPr>
          <w:rFonts w:hint="eastAsia" w:cs="宋体" w:asciiTheme="minorEastAsia" w:hAnsiTheme="minorEastAsia"/>
          <w:b/>
          <w:kern w:val="0"/>
          <w:sz w:val="27"/>
          <w:szCs w:val="27"/>
          <w:lang w:eastAsia="zh-CN"/>
        </w:rPr>
        <w:t>2024年-2026年米东区公共绿地绿化养护项目第9包</w:t>
      </w:r>
    </w:p>
    <w:tbl>
      <w:tblPr>
        <w:tblStyle w:val="3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416"/>
        <w:gridCol w:w="1656"/>
        <w:gridCol w:w="1416"/>
        <w:gridCol w:w="1418"/>
        <w:gridCol w:w="1416"/>
        <w:gridCol w:w="1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trPr>
        <w:tc>
          <w:tcPr>
            <w:tcW w:w="765" w:type="pct"/>
            <w:vMerge w:val="restar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序号</w:t>
            </w:r>
          </w:p>
        </w:tc>
        <w:tc>
          <w:tcPr>
            <w:tcW w:w="879" w:type="pct"/>
            <w:vMerge w:val="restar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分项名称</w:t>
            </w:r>
          </w:p>
        </w:tc>
        <w:tc>
          <w:tcPr>
            <w:tcW w:w="1531" w:type="pct"/>
            <w:gridSpan w:val="2"/>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长度</w:t>
            </w:r>
          </w:p>
        </w:tc>
        <w:tc>
          <w:tcPr>
            <w:tcW w:w="765" w:type="pct"/>
            <w:vMerge w:val="restar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面积m²</w:t>
            </w:r>
          </w:p>
        </w:tc>
        <w:tc>
          <w:tcPr>
            <w:tcW w:w="1058" w:type="pct"/>
            <w:vMerge w:val="restar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养护等级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65" w:type="pct"/>
            <w:vMerge w:val="continue"/>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879" w:type="pct"/>
            <w:vMerge w:val="continue"/>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65" w:type="pc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东（南）</w:t>
            </w:r>
          </w:p>
        </w:tc>
        <w:tc>
          <w:tcPr>
            <w:tcW w:w="765" w:type="pc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西（北）</w:t>
            </w:r>
          </w:p>
        </w:tc>
        <w:tc>
          <w:tcPr>
            <w:tcW w:w="765" w:type="pct"/>
            <w:vMerge w:val="continue"/>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058" w:type="pct"/>
            <w:vMerge w:val="continue"/>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65" w:type="pct"/>
            <w:vMerge w:val="restart"/>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879" w:type="pc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历史文化园</w:t>
            </w:r>
          </w:p>
        </w:tc>
        <w:tc>
          <w:tcPr>
            <w:tcW w:w="765" w:type="pct"/>
            <w:vMerge w:val="restart"/>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65" w:type="pct"/>
            <w:vMerge w:val="restart"/>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65" w:type="pct"/>
            <w:vMerge w:val="restar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13484</w:t>
            </w:r>
          </w:p>
        </w:tc>
        <w:tc>
          <w:tcPr>
            <w:tcW w:w="1058" w:type="pc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游园一级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65" w:type="pct"/>
            <w:vMerge w:val="continue"/>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879" w:type="pc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设施维护费用</w:t>
            </w:r>
          </w:p>
        </w:tc>
        <w:tc>
          <w:tcPr>
            <w:tcW w:w="765" w:type="pct"/>
            <w:vMerge w:val="continue"/>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65" w:type="pct"/>
            <w:vMerge w:val="continue"/>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65" w:type="pct"/>
            <w:vMerge w:val="continue"/>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058" w:type="pct"/>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65" w:type="pct"/>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879" w:type="pct"/>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一方园</w:t>
            </w:r>
          </w:p>
        </w:tc>
        <w:tc>
          <w:tcPr>
            <w:tcW w:w="765" w:type="pct"/>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65" w:type="pct"/>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65" w:type="pc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5008</w:t>
            </w:r>
          </w:p>
        </w:tc>
        <w:tc>
          <w:tcPr>
            <w:tcW w:w="1058" w:type="pc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游园三级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65" w:type="pct"/>
            <w:vMerge w:val="restart"/>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879" w:type="pc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康泰园</w:t>
            </w:r>
          </w:p>
        </w:tc>
        <w:tc>
          <w:tcPr>
            <w:tcW w:w="765" w:type="pct"/>
            <w:vMerge w:val="restart"/>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65" w:type="pct"/>
            <w:vMerge w:val="restart"/>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65" w:type="pct"/>
            <w:vMerge w:val="restar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9793</w:t>
            </w:r>
          </w:p>
        </w:tc>
        <w:tc>
          <w:tcPr>
            <w:tcW w:w="1058" w:type="pc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游园二级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65" w:type="pct"/>
            <w:vMerge w:val="continue"/>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879" w:type="pc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设施维护费用</w:t>
            </w:r>
          </w:p>
        </w:tc>
        <w:tc>
          <w:tcPr>
            <w:tcW w:w="765" w:type="pct"/>
            <w:vMerge w:val="continue"/>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65" w:type="pct"/>
            <w:vMerge w:val="continue"/>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65" w:type="pct"/>
            <w:vMerge w:val="continue"/>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058" w:type="pct"/>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65" w:type="pct"/>
            <w:vMerge w:val="restart"/>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879" w:type="pc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五谷园</w:t>
            </w:r>
          </w:p>
        </w:tc>
        <w:tc>
          <w:tcPr>
            <w:tcW w:w="765" w:type="pct"/>
            <w:vMerge w:val="restart"/>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65" w:type="pct"/>
            <w:vMerge w:val="restart"/>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65" w:type="pct"/>
            <w:vMerge w:val="restar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5315</w:t>
            </w:r>
          </w:p>
        </w:tc>
        <w:tc>
          <w:tcPr>
            <w:tcW w:w="1058" w:type="pc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游园二级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65" w:type="pct"/>
            <w:vMerge w:val="continue"/>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879" w:type="pc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设施维护费用</w:t>
            </w:r>
          </w:p>
        </w:tc>
        <w:tc>
          <w:tcPr>
            <w:tcW w:w="765" w:type="pct"/>
            <w:vMerge w:val="continue"/>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65" w:type="pct"/>
            <w:vMerge w:val="continue"/>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65" w:type="pct"/>
            <w:vMerge w:val="continue"/>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058" w:type="pct"/>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65" w:type="pct"/>
            <w:vMerge w:val="restart"/>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879" w:type="pc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旱生园</w:t>
            </w:r>
          </w:p>
        </w:tc>
        <w:tc>
          <w:tcPr>
            <w:tcW w:w="765" w:type="pct"/>
            <w:vMerge w:val="restart"/>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65" w:type="pct"/>
            <w:vMerge w:val="restart"/>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65" w:type="pct"/>
            <w:vMerge w:val="restar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3046</w:t>
            </w:r>
          </w:p>
        </w:tc>
        <w:tc>
          <w:tcPr>
            <w:tcW w:w="1058" w:type="pc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游园二级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65" w:type="pct"/>
            <w:vMerge w:val="continue"/>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879" w:type="pc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设施维护费用</w:t>
            </w:r>
          </w:p>
        </w:tc>
        <w:tc>
          <w:tcPr>
            <w:tcW w:w="765" w:type="pct"/>
            <w:vMerge w:val="continue"/>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65" w:type="pct"/>
            <w:vMerge w:val="continue"/>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65" w:type="pct"/>
            <w:vMerge w:val="continue"/>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058" w:type="pct"/>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65" w:type="pct"/>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879" w:type="pc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百草园</w:t>
            </w:r>
          </w:p>
        </w:tc>
        <w:tc>
          <w:tcPr>
            <w:tcW w:w="765" w:type="pct"/>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65" w:type="pct"/>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65" w:type="pc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1684</w:t>
            </w:r>
          </w:p>
        </w:tc>
        <w:tc>
          <w:tcPr>
            <w:tcW w:w="1058" w:type="pc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游园三级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65" w:type="pct"/>
            <w:vMerge w:val="restart"/>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879" w:type="pc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光明园</w:t>
            </w:r>
          </w:p>
        </w:tc>
        <w:tc>
          <w:tcPr>
            <w:tcW w:w="765" w:type="pct"/>
            <w:vMerge w:val="restart"/>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65" w:type="pct"/>
            <w:vMerge w:val="restart"/>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65" w:type="pct"/>
            <w:vMerge w:val="restar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2955</w:t>
            </w:r>
          </w:p>
        </w:tc>
        <w:tc>
          <w:tcPr>
            <w:tcW w:w="1058" w:type="pc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游园二级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65" w:type="pct"/>
            <w:vMerge w:val="continue"/>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879" w:type="pc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设施维护费用</w:t>
            </w:r>
          </w:p>
        </w:tc>
        <w:tc>
          <w:tcPr>
            <w:tcW w:w="765" w:type="pct"/>
            <w:vMerge w:val="continue"/>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65" w:type="pct"/>
            <w:vMerge w:val="continue"/>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65" w:type="pct"/>
            <w:vMerge w:val="continue"/>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058" w:type="pct"/>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65" w:type="pct"/>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879" w:type="pc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皇渠嘉禾园</w:t>
            </w:r>
          </w:p>
        </w:tc>
        <w:tc>
          <w:tcPr>
            <w:tcW w:w="765" w:type="pct"/>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65" w:type="pct"/>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65" w:type="pc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1456</w:t>
            </w:r>
          </w:p>
        </w:tc>
        <w:tc>
          <w:tcPr>
            <w:tcW w:w="1058" w:type="pc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游园三级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65" w:type="pct"/>
            <w:vMerge w:val="restart"/>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c>
          <w:tcPr>
            <w:tcW w:w="879" w:type="pc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老电影院游园</w:t>
            </w:r>
          </w:p>
        </w:tc>
        <w:tc>
          <w:tcPr>
            <w:tcW w:w="765" w:type="pct"/>
            <w:vMerge w:val="restart"/>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65" w:type="pct"/>
            <w:vMerge w:val="restart"/>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65" w:type="pct"/>
            <w:vMerge w:val="restar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8569</w:t>
            </w:r>
          </w:p>
        </w:tc>
        <w:tc>
          <w:tcPr>
            <w:tcW w:w="1058" w:type="pc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游园二级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65" w:type="pct"/>
            <w:vMerge w:val="continue"/>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879" w:type="pc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设施维护费用</w:t>
            </w:r>
          </w:p>
        </w:tc>
        <w:tc>
          <w:tcPr>
            <w:tcW w:w="765" w:type="pct"/>
            <w:vMerge w:val="continue"/>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65" w:type="pct"/>
            <w:vMerge w:val="continue"/>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65" w:type="pct"/>
            <w:vMerge w:val="continue"/>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058" w:type="pct"/>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65" w:type="pct"/>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879" w:type="pc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政府院内游园</w:t>
            </w:r>
          </w:p>
        </w:tc>
        <w:tc>
          <w:tcPr>
            <w:tcW w:w="765" w:type="pct"/>
            <w:vMerge w:val="restart"/>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65" w:type="pct"/>
            <w:vMerge w:val="restart"/>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65" w:type="pct"/>
            <w:vMerge w:val="restar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31246</w:t>
            </w:r>
          </w:p>
        </w:tc>
        <w:tc>
          <w:tcPr>
            <w:tcW w:w="1058" w:type="pc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游园二级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65" w:type="pct"/>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w:t>
            </w:r>
          </w:p>
        </w:tc>
        <w:tc>
          <w:tcPr>
            <w:tcW w:w="879" w:type="pc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设施维护费用</w:t>
            </w:r>
          </w:p>
        </w:tc>
        <w:tc>
          <w:tcPr>
            <w:tcW w:w="765" w:type="pct"/>
            <w:vMerge w:val="continue"/>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65" w:type="pct"/>
            <w:vMerge w:val="continue"/>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65" w:type="pct"/>
            <w:vMerge w:val="continue"/>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058" w:type="pct"/>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65" w:type="pct"/>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w:t>
            </w:r>
          </w:p>
        </w:tc>
        <w:tc>
          <w:tcPr>
            <w:tcW w:w="879" w:type="pct"/>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金盛集团东侧河坝边游园 </w:t>
            </w:r>
          </w:p>
        </w:tc>
        <w:tc>
          <w:tcPr>
            <w:tcW w:w="765" w:type="pct"/>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65" w:type="pct"/>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65" w:type="pc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4464</w:t>
            </w:r>
          </w:p>
        </w:tc>
        <w:tc>
          <w:tcPr>
            <w:tcW w:w="1058" w:type="pc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游园三级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65" w:type="pct"/>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w:t>
            </w:r>
          </w:p>
        </w:tc>
        <w:tc>
          <w:tcPr>
            <w:tcW w:w="879" w:type="pct"/>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文润园</w:t>
            </w:r>
          </w:p>
        </w:tc>
        <w:tc>
          <w:tcPr>
            <w:tcW w:w="765" w:type="pct"/>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65" w:type="pct"/>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65" w:type="pc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11923</w:t>
            </w:r>
          </w:p>
        </w:tc>
        <w:tc>
          <w:tcPr>
            <w:tcW w:w="1058" w:type="pc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游园三级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65" w:type="pct"/>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w:t>
            </w:r>
          </w:p>
        </w:tc>
        <w:tc>
          <w:tcPr>
            <w:tcW w:w="879" w:type="pct"/>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汇趣园</w:t>
            </w:r>
          </w:p>
        </w:tc>
        <w:tc>
          <w:tcPr>
            <w:tcW w:w="765" w:type="pct"/>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65" w:type="pct"/>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65" w:type="pc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19999</w:t>
            </w:r>
          </w:p>
        </w:tc>
        <w:tc>
          <w:tcPr>
            <w:tcW w:w="1058" w:type="pc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游园三级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65" w:type="pct"/>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w:t>
            </w:r>
          </w:p>
        </w:tc>
        <w:tc>
          <w:tcPr>
            <w:tcW w:w="879" w:type="pct"/>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兴盛园</w:t>
            </w:r>
          </w:p>
        </w:tc>
        <w:tc>
          <w:tcPr>
            <w:tcW w:w="765" w:type="pct"/>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65" w:type="pct"/>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65" w:type="pc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8132</w:t>
            </w:r>
          </w:p>
        </w:tc>
        <w:tc>
          <w:tcPr>
            <w:tcW w:w="1058" w:type="pc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游园三级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65" w:type="pct"/>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16</w:t>
            </w:r>
          </w:p>
        </w:tc>
        <w:tc>
          <w:tcPr>
            <w:tcW w:w="879" w:type="pct"/>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嘉隆园</w:t>
            </w:r>
          </w:p>
        </w:tc>
        <w:tc>
          <w:tcPr>
            <w:tcW w:w="765" w:type="pct"/>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65" w:type="pct"/>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65" w:type="pc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9338</w:t>
            </w:r>
          </w:p>
        </w:tc>
        <w:tc>
          <w:tcPr>
            <w:tcW w:w="1058" w:type="pc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游园三级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65" w:type="pct"/>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17</w:t>
            </w:r>
          </w:p>
        </w:tc>
        <w:tc>
          <w:tcPr>
            <w:tcW w:w="879" w:type="pct"/>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嘉禾园</w:t>
            </w:r>
          </w:p>
        </w:tc>
        <w:tc>
          <w:tcPr>
            <w:tcW w:w="765" w:type="pct"/>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65" w:type="pct"/>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65" w:type="pc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25346</w:t>
            </w:r>
          </w:p>
        </w:tc>
        <w:tc>
          <w:tcPr>
            <w:tcW w:w="1058" w:type="pc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游园三级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65" w:type="pct"/>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18</w:t>
            </w:r>
          </w:p>
        </w:tc>
        <w:tc>
          <w:tcPr>
            <w:tcW w:w="879" w:type="pct"/>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府前路(三道坝路-米东大道）</w:t>
            </w:r>
          </w:p>
        </w:tc>
        <w:tc>
          <w:tcPr>
            <w:tcW w:w="765" w:type="pct"/>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65" w:type="pct"/>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65" w:type="pc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31934.5</w:t>
            </w:r>
          </w:p>
        </w:tc>
        <w:tc>
          <w:tcPr>
            <w:tcW w:w="1058" w:type="pc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道路一级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65" w:type="pct"/>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w:t>
            </w:r>
          </w:p>
        </w:tc>
        <w:tc>
          <w:tcPr>
            <w:tcW w:w="879" w:type="pct"/>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中颐路（府前路-揽胜街）</w:t>
            </w:r>
          </w:p>
        </w:tc>
        <w:tc>
          <w:tcPr>
            <w:tcW w:w="765" w:type="pct"/>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325</w:t>
            </w:r>
          </w:p>
        </w:tc>
        <w:tc>
          <w:tcPr>
            <w:tcW w:w="765" w:type="pct"/>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351.6</w:t>
            </w:r>
          </w:p>
        </w:tc>
        <w:tc>
          <w:tcPr>
            <w:tcW w:w="765" w:type="pc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5864</w:t>
            </w:r>
          </w:p>
        </w:tc>
        <w:tc>
          <w:tcPr>
            <w:tcW w:w="1058" w:type="pc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道路一级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65" w:type="pct"/>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w:t>
            </w:r>
          </w:p>
        </w:tc>
        <w:tc>
          <w:tcPr>
            <w:tcW w:w="879" w:type="pct"/>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民康路</w:t>
            </w:r>
          </w:p>
        </w:tc>
        <w:tc>
          <w:tcPr>
            <w:tcW w:w="765" w:type="pct"/>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574</w:t>
            </w:r>
          </w:p>
        </w:tc>
        <w:tc>
          <w:tcPr>
            <w:tcW w:w="765" w:type="pct"/>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581</w:t>
            </w:r>
          </w:p>
        </w:tc>
        <w:tc>
          <w:tcPr>
            <w:tcW w:w="765" w:type="pc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4507</w:t>
            </w:r>
          </w:p>
        </w:tc>
        <w:tc>
          <w:tcPr>
            <w:tcW w:w="1058" w:type="pc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道路一级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65" w:type="pct"/>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w:t>
            </w:r>
          </w:p>
        </w:tc>
        <w:tc>
          <w:tcPr>
            <w:tcW w:w="879" w:type="pct"/>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揽胜街（广场东路-中颐路）</w:t>
            </w:r>
          </w:p>
        </w:tc>
        <w:tc>
          <w:tcPr>
            <w:tcW w:w="765" w:type="pct"/>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65" w:type="pct"/>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65" w:type="pc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32420</w:t>
            </w:r>
          </w:p>
        </w:tc>
        <w:tc>
          <w:tcPr>
            <w:tcW w:w="1058" w:type="pc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道路一级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65" w:type="pct"/>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22</w:t>
            </w:r>
          </w:p>
        </w:tc>
        <w:tc>
          <w:tcPr>
            <w:tcW w:w="879" w:type="pct"/>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万和街</w:t>
            </w:r>
          </w:p>
        </w:tc>
        <w:tc>
          <w:tcPr>
            <w:tcW w:w="765" w:type="pct"/>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682</w:t>
            </w:r>
          </w:p>
        </w:tc>
        <w:tc>
          <w:tcPr>
            <w:tcW w:w="765" w:type="pct"/>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672</w:t>
            </w:r>
          </w:p>
        </w:tc>
        <w:tc>
          <w:tcPr>
            <w:tcW w:w="765" w:type="pc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2849</w:t>
            </w:r>
          </w:p>
        </w:tc>
        <w:tc>
          <w:tcPr>
            <w:tcW w:w="1058" w:type="pc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道路一级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65" w:type="pct"/>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23</w:t>
            </w:r>
          </w:p>
        </w:tc>
        <w:tc>
          <w:tcPr>
            <w:tcW w:w="879" w:type="pct"/>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中颐南路支巷（中颐南路-府前东路）</w:t>
            </w:r>
          </w:p>
        </w:tc>
        <w:tc>
          <w:tcPr>
            <w:tcW w:w="765" w:type="pct"/>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65" w:type="pct"/>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65" w:type="pct"/>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2004</w:t>
            </w:r>
          </w:p>
        </w:tc>
        <w:tc>
          <w:tcPr>
            <w:tcW w:w="1058" w:type="pc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道路一级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65" w:type="pct"/>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24</w:t>
            </w:r>
          </w:p>
        </w:tc>
        <w:tc>
          <w:tcPr>
            <w:tcW w:w="879" w:type="pct"/>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民康北路（揽胜东街-府前路）</w:t>
            </w:r>
          </w:p>
        </w:tc>
        <w:tc>
          <w:tcPr>
            <w:tcW w:w="765" w:type="pct"/>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65" w:type="pct"/>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65" w:type="pct"/>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3796</w:t>
            </w:r>
          </w:p>
        </w:tc>
        <w:tc>
          <w:tcPr>
            <w:tcW w:w="1058" w:type="pc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道路一级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65" w:type="pct"/>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25</w:t>
            </w:r>
          </w:p>
        </w:tc>
        <w:tc>
          <w:tcPr>
            <w:tcW w:w="879" w:type="pct"/>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政府院内停车场内地</w:t>
            </w:r>
          </w:p>
        </w:tc>
        <w:tc>
          <w:tcPr>
            <w:tcW w:w="765" w:type="pct"/>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65" w:type="pct"/>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65" w:type="pc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2903</w:t>
            </w:r>
          </w:p>
        </w:tc>
        <w:tc>
          <w:tcPr>
            <w:tcW w:w="1058" w:type="pc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道路一级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65" w:type="pct"/>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26</w:t>
            </w:r>
          </w:p>
        </w:tc>
        <w:tc>
          <w:tcPr>
            <w:tcW w:w="879" w:type="pct"/>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米泉路（揽胜街-古牧地路）</w:t>
            </w:r>
          </w:p>
        </w:tc>
        <w:tc>
          <w:tcPr>
            <w:tcW w:w="765" w:type="pct"/>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319</w:t>
            </w:r>
          </w:p>
        </w:tc>
        <w:tc>
          <w:tcPr>
            <w:tcW w:w="765" w:type="pct"/>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303</w:t>
            </w:r>
          </w:p>
        </w:tc>
        <w:tc>
          <w:tcPr>
            <w:tcW w:w="765" w:type="pc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2772</w:t>
            </w:r>
          </w:p>
        </w:tc>
        <w:tc>
          <w:tcPr>
            <w:tcW w:w="1058" w:type="pc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道路一级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65" w:type="pct"/>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27</w:t>
            </w:r>
          </w:p>
        </w:tc>
        <w:tc>
          <w:tcPr>
            <w:tcW w:w="879" w:type="pct"/>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皇渠路（古牧地路-揽胜东街）</w:t>
            </w:r>
          </w:p>
        </w:tc>
        <w:tc>
          <w:tcPr>
            <w:tcW w:w="765" w:type="pct"/>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65" w:type="pct"/>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65" w:type="pc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1596</w:t>
            </w:r>
          </w:p>
        </w:tc>
        <w:tc>
          <w:tcPr>
            <w:tcW w:w="1058" w:type="pc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道路三级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65" w:type="pct"/>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28</w:t>
            </w:r>
          </w:p>
        </w:tc>
        <w:tc>
          <w:tcPr>
            <w:tcW w:w="879" w:type="pct"/>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揽胜街软隔离</w:t>
            </w:r>
          </w:p>
        </w:tc>
        <w:tc>
          <w:tcPr>
            <w:tcW w:w="765" w:type="pct"/>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65" w:type="pct"/>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65" w:type="pc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205</w:t>
            </w:r>
          </w:p>
        </w:tc>
        <w:tc>
          <w:tcPr>
            <w:tcW w:w="1058" w:type="pc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道路三级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65" w:type="pct"/>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29</w:t>
            </w:r>
          </w:p>
        </w:tc>
        <w:tc>
          <w:tcPr>
            <w:tcW w:w="879" w:type="pct"/>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府前路软隔离</w:t>
            </w:r>
          </w:p>
        </w:tc>
        <w:tc>
          <w:tcPr>
            <w:tcW w:w="1531" w:type="pct"/>
            <w:gridSpan w:val="2"/>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539</w:t>
            </w:r>
          </w:p>
        </w:tc>
        <w:tc>
          <w:tcPr>
            <w:tcW w:w="765" w:type="pc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1186</w:t>
            </w:r>
          </w:p>
        </w:tc>
        <w:tc>
          <w:tcPr>
            <w:tcW w:w="1058" w:type="pc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道路三级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65" w:type="pct"/>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30</w:t>
            </w:r>
          </w:p>
        </w:tc>
        <w:tc>
          <w:tcPr>
            <w:tcW w:w="879" w:type="pct"/>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中颐路软隔离</w:t>
            </w:r>
          </w:p>
        </w:tc>
        <w:tc>
          <w:tcPr>
            <w:tcW w:w="765" w:type="pct"/>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280.9</w:t>
            </w:r>
          </w:p>
        </w:tc>
        <w:tc>
          <w:tcPr>
            <w:tcW w:w="765" w:type="pct"/>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165</w:t>
            </w:r>
          </w:p>
        </w:tc>
        <w:tc>
          <w:tcPr>
            <w:tcW w:w="765" w:type="pc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981</w:t>
            </w:r>
          </w:p>
        </w:tc>
        <w:tc>
          <w:tcPr>
            <w:tcW w:w="1058" w:type="pc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道路三级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65" w:type="pct"/>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31</w:t>
            </w:r>
          </w:p>
        </w:tc>
        <w:tc>
          <w:tcPr>
            <w:tcW w:w="879" w:type="pc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海棠花绿地</w:t>
            </w:r>
          </w:p>
        </w:tc>
        <w:tc>
          <w:tcPr>
            <w:tcW w:w="765" w:type="pct"/>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65" w:type="pct"/>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65" w:type="pc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1483</w:t>
            </w:r>
          </w:p>
        </w:tc>
        <w:tc>
          <w:tcPr>
            <w:tcW w:w="1058" w:type="pc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道路三级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65" w:type="pct"/>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32</w:t>
            </w:r>
          </w:p>
        </w:tc>
        <w:tc>
          <w:tcPr>
            <w:tcW w:w="879" w:type="pc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红沟河绿地</w:t>
            </w:r>
          </w:p>
        </w:tc>
        <w:tc>
          <w:tcPr>
            <w:tcW w:w="765" w:type="pct"/>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65" w:type="pct"/>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65" w:type="pc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1700</w:t>
            </w:r>
          </w:p>
        </w:tc>
        <w:tc>
          <w:tcPr>
            <w:tcW w:w="1058" w:type="pc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道路三级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65" w:type="pct"/>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33</w:t>
            </w:r>
          </w:p>
        </w:tc>
        <w:tc>
          <w:tcPr>
            <w:tcW w:w="879" w:type="pct"/>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府前西路三角地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（国际大酒店旁）</w:t>
            </w:r>
          </w:p>
        </w:tc>
        <w:tc>
          <w:tcPr>
            <w:tcW w:w="765" w:type="pct"/>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65" w:type="pct"/>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65" w:type="pc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6132</w:t>
            </w:r>
          </w:p>
        </w:tc>
        <w:tc>
          <w:tcPr>
            <w:tcW w:w="1058" w:type="pc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道路三级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65" w:type="pct"/>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34</w:t>
            </w:r>
          </w:p>
        </w:tc>
        <w:tc>
          <w:tcPr>
            <w:tcW w:w="879" w:type="pc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中医院西绿地</w:t>
            </w:r>
          </w:p>
        </w:tc>
        <w:tc>
          <w:tcPr>
            <w:tcW w:w="765" w:type="pct"/>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65" w:type="pct"/>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65" w:type="pc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3533</w:t>
            </w:r>
          </w:p>
        </w:tc>
        <w:tc>
          <w:tcPr>
            <w:tcW w:w="1058" w:type="pc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道路三级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65" w:type="pct"/>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35</w:t>
            </w:r>
          </w:p>
        </w:tc>
        <w:tc>
          <w:tcPr>
            <w:tcW w:w="879" w:type="pc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家和华府绿地</w:t>
            </w:r>
          </w:p>
        </w:tc>
        <w:tc>
          <w:tcPr>
            <w:tcW w:w="765" w:type="pct"/>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65" w:type="pct"/>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65" w:type="pc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2364</w:t>
            </w:r>
          </w:p>
        </w:tc>
        <w:tc>
          <w:tcPr>
            <w:tcW w:w="1058" w:type="pc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道路三级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65" w:type="pct"/>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36</w:t>
            </w:r>
          </w:p>
        </w:tc>
        <w:tc>
          <w:tcPr>
            <w:tcW w:w="879" w:type="pct"/>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政府停车场河</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坝西侧绿地</w:t>
            </w:r>
          </w:p>
        </w:tc>
        <w:tc>
          <w:tcPr>
            <w:tcW w:w="765" w:type="pct"/>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65" w:type="pct"/>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65" w:type="pc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2752</w:t>
            </w:r>
          </w:p>
        </w:tc>
        <w:tc>
          <w:tcPr>
            <w:tcW w:w="1058" w:type="pc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道路三级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65" w:type="pct"/>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37</w:t>
            </w:r>
          </w:p>
        </w:tc>
        <w:tc>
          <w:tcPr>
            <w:tcW w:w="879" w:type="pct"/>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零星绿地</w:t>
            </w:r>
          </w:p>
        </w:tc>
        <w:tc>
          <w:tcPr>
            <w:tcW w:w="2296" w:type="pct"/>
            <w:gridSpan w:val="3"/>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058" w:type="pct"/>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r>
    </w:tbl>
    <w:p>
      <w:pPr>
        <w:spacing w:line="360" w:lineRule="auto"/>
        <w:ind w:firstLine="480" w:firstLineChars="200"/>
        <w:rPr>
          <w:rFonts w:asciiTheme="minorEastAsia" w:hAnsiTheme="minorEastAsia" w:cstheme="minorEastAsia"/>
          <w:sz w:val="24"/>
          <w:szCs w:val="24"/>
        </w:rPr>
      </w:pPr>
    </w:p>
    <w:p>
      <w:pPr>
        <w:widowControl/>
        <w:spacing w:line="360" w:lineRule="auto"/>
        <w:ind w:firstLine="480" w:firstLineChars="200"/>
        <w:jc w:val="left"/>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备注：</w:t>
      </w:r>
      <w:r>
        <w:rPr>
          <w:rFonts w:hint="eastAsia" w:cs="宋体" w:asciiTheme="minorEastAsia" w:hAnsiTheme="minorEastAsia"/>
          <w:color w:val="000000" w:themeColor="text1"/>
          <w:kern w:val="0"/>
          <w:sz w:val="24"/>
          <w:szCs w:val="24"/>
          <w14:textFill>
            <w14:solidFill>
              <w14:schemeClr w14:val="tx1"/>
            </w14:solidFill>
          </w14:textFill>
        </w:rPr>
        <w:t>1、绿化养护内容包括:绿地灌溉、管网维修（含管线、喷头、滴头、自来水井、阀门、井盖等）、机井维修（含水泵、变压器、配电箱及元器件、线路等）、水资源费、电费、病虫害防治、乔灌木草坪修剪、中耕除草施肥（不含肥料）、花卉栽植（不含花卉）、苗木补植（含苗木）、卫生保洁、全年养护巡查。包含所有人工、机械及材料。</w:t>
      </w:r>
    </w:p>
    <w:p>
      <w:pPr>
        <w:widowControl/>
        <w:spacing w:line="360" w:lineRule="auto"/>
        <w:ind w:firstLine="480" w:firstLineChars="200"/>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 xml:space="preserve">    2、设施维护内容包括：园林建筑（厕所）、园林小品（园灯、导游牌、宣传牌、果皮箱、圆桌椅、栏杆、健身器材）、园路及铺装场地、园艺设施、园林电器设备（主要为广播、景观照明、配电箱、线路）。</w:t>
      </w:r>
    </w:p>
    <w:p>
      <w:pPr>
        <w:widowControl/>
        <w:spacing w:line="360" w:lineRule="auto"/>
        <w:ind w:firstLine="480" w:firstLineChars="200"/>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设施维护是指设施的日常维修保养（含保洁），即为保持设施的完整和正常运行所进行的预防性保养和轻微损坏部分的修补，不包括设施更新和园林建筑主体结构的修复；为保证设施的正常运转及维护设施的缘由功能而进行的清洁、紧固、调整、润滑剂检修等，不包括设施大修。此设施维护费标准不包含水电费。</w:t>
      </w:r>
    </w:p>
    <w:p>
      <w:pPr>
        <w:widowControl/>
        <w:spacing w:line="360" w:lineRule="auto"/>
        <w:ind w:firstLine="480" w:firstLineChars="200"/>
        <w:jc w:val="left"/>
        <w:rPr>
          <w:rFonts w:cs="宋体" w:asciiTheme="minorEastAsia" w:hAnsiTheme="minorEastAsia"/>
          <w:color w:val="000000" w:themeColor="text1"/>
          <w:kern w:val="0"/>
          <w:sz w:val="24"/>
          <w:szCs w:val="24"/>
          <w:highlight w:val="yellow"/>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设施维护费用的使用：养护企业根据中标的设施维护费用，及设施损坏的程度，上报养护科维修地点、项目、预算，经园林局领导审核同意后进行维修。维修时间为每年5月至9月之间，完工后经养护科验收合格，送第三方审计公司审核。园林管理局财务科根据审计价一次性付款97%，预留3%质保金。剩余设施维护费用上交国库。</w:t>
      </w:r>
    </w:p>
    <w:p>
      <w:pPr>
        <w:widowControl/>
        <w:spacing w:line="360" w:lineRule="auto"/>
        <w:ind w:firstLine="480" w:firstLineChars="200"/>
        <w:jc w:val="left"/>
        <w:rPr>
          <w:rFonts w:cs="宋体" w:asciiTheme="minorEastAsia" w:hAnsiTheme="minorEastAsia"/>
          <w:color w:val="FF0000"/>
          <w:kern w:val="0"/>
          <w:sz w:val="24"/>
          <w:szCs w:val="24"/>
          <w:highlight w:val="yellow"/>
        </w:rPr>
      </w:pPr>
    </w:p>
    <w:p>
      <w:pPr>
        <w:widowControl/>
        <w:spacing w:line="360" w:lineRule="auto"/>
        <w:ind w:firstLine="480" w:firstLineChars="200"/>
        <w:jc w:val="left"/>
        <w:rPr>
          <w:rFonts w:cs="宋体" w:asciiTheme="minorEastAsia" w:hAnsiTheme="minorEastAsia"/>
          <w:color w:val="FF0000"/>
          <w:kern w:val="0"/>
          <w:sz w:val="24"/>
          <w:szCs w:val="24"/>
          <w:highlight w:val="yellow"/>
        </w:rPr>
      </w:pPr>
    </w:p>
    <w:p>
      <w:pPr>
        <w:widowControl/>
        <w:spacing w:line="360" w:lineRule="auto"/>
        <w:ind w:firstLine="480" w:firstLineChars="200"/>
        <w:jc w:val="left"/>
        <w:rPr>
          <w:rFonts w:cs="宋体" w:asciiTheme="minorEastAsia" w:hAnsiTheme="minorEastAsia"/>
          <w:color w:val="FF0000"/>
          <w:kern w:val="0"/>
          <w:sz w:val="24"/>
          <w:szCs w:val="24"/>
          <w:highlight w:val="yellow"/>
        </w:rPr>
      </w:pPr>
    </w:p>
    <w:p>
      <w:pPr>
        <w:widowControl/>
        <w:spacing w:line="360" w:lineRule="auto"/>
        <w:ind w:firstLine="480" w:firstLineChars="200"/>
        <w:jc w:val="left"/>
        <w:rPr>
          <w:rFonts w:cs="宋体" w:asciiTheme="minorEastAsia" w:hAnsiTheme="minorEastAsia"/>
          <w:color w:val="FF0000"/>
          <w:kern w:val="0"/>
          <w:sz w:val="24"/>
          <w:szCs w:val="24"/>
          <w:highlight w:val="yellow"/>
        </w:rPr>
      </w:pPr>
    </w:p>
    <w:p>
      <w:pPr>
        <w:widowControl/>
        <w:spacing w:line="360" w:lineRule="auto"/>
        <w:ind w:firstLine="480" w:firstLineChars="200"/>
        <w:jc w:val="left"/>
        <w:rPr>
          <w:rFonts w:cs="宋体" w:asciiTheme="minorEastAsia" w:hAnsiTheme="minorEastAsia"/>
          <w:color w:val="FF0000"/>
          <w:kern w:val="0"/>
          <w:sz w:val="24"/>
          <w:szCs w:val="24"/>
          <w:highlight w:val="yellow"/>
        </w:rPr>
      </w:pPr>
    </w:p>
    <w:p>
      <w:pPr>
        <w:widowControl/>
        <w:spacing w:line="360" w:lineRule="auto"/>
        <w:ind w:firstLine="480" w:firstLineChars="200"/>
        <w:jc w:val="left"/>
        <w:rPr>
          <w:rFonts w:cs="宋体" w:asciiTheme="minorEastAsia" w:hAnsiTheme="minorEastAsia"/>
          <w:color w:val="FF0000"/>
          <w:kern w:val="0"/>
          <w:sz w:val="24"/>
          <w:szCs w:val="24"/>
          <w:highlight w:val="yellow"/>
        </w:rPr>
      </w:pPr>
    </w:p>
    <w:p>
      <w:pPr>
        <w:widowControl/>
        <w:spacing w:line="360" w:lineRule="auto"/>
        <w:ind w:firstLine="480" w:firstLineChars="200"/>
        <w:jc w:val="left"/>
        <w:rPr>
          <w:rFonts w:cs="宋体" w:asciiTheme="minorEastAsia" w:hAnsiTheme="minorEastAsia"/>
          <w:color w:val="FF0000"/>
          <w:kern w:val="0"/>
          <w:sz w:val="24"/>
          <w:szCs w:val="24"/>
          <w:highlight w:val="yellow"/>
        </w:rPr>
      </w:pPr>
    </w:p>
    <w:p>
      <w:pPr>
        <w:widowControl/>
        <w:spacing w:line="360" w:lineRule="auto"/>
        <w:ind w:firstLine="480" w:firstLineChars="200"/>
        <w:jc w:val="left"/>
        <w:rPr>
          <w:rFonts w:cs="宋体" w:asciiTheme="minorEastAsia" w:hAnsiTheme="minorEastAsia"/>
          <w:color w:val="FF0000"/>
          <w:kern w:val="0"/>
          <w:sz w:val="24"/>
          <w:szCs w:val="24"/>
          <w:highlight w:val="yellow"/>
        </w:rPr>
      </w:pPr>
    </w:p>
    <w:p>
      <w:pPr>
        <w:widowControl/>
        <w:spacing w:line="360" w:lineRule="auto"/>
        <w:ind w:firstLine="480" w:firstLineChars="200"/>
        <w:jc w:val="left"/>
        <w:rPr>
          <w:rFonts w:cs="宋体" w:asciiTheme="minorEastAsia" w:hAnsiTheme="minorEastAsia"/>
          <w:color w:val="FF0000"/>
          <w:kern w:val="0"/>
          <w:sz w:val="24"/>
          <w:szCs w:val="24"/>
          <w:highlight w:val="yellow"/>
        </w:rPr>
      </w:pPr>
    </w:p>
    <w:p>
      <w:pPr>
        <w:widowControl/>
        <w:spacing w:line="360" w:lineRule="auto"/>
        <w:ind w:firstLine="480" w:firstLineChars="200"/>
        <w:jc w:val="left"/>
        <w:rPr>
          <w:rFonts w:cs="宋体" w:asciiTheme="minorEastAsia" w:hAnsiTheme="minorEastAsia"/>
          <w:color w:val="FF0000"/>
          <w:kern w:val="0"/>
          <w:sz w:val="24"/>
          <w:szCs w:val="24"/>
          <w:highlight w:val="yellow"/>
        </w:rPr>
      </w:pPr>
    </w:p>
    <w:p>
      <w:pPr>
        <w:widowControl/>
        <w:spacing w:line="360" w:lineRule="auto"/>
        <w:ind w:firstLine="480" w:firstLineChars="200"/>
        <w:jc w:val="left"/>
        <w:rPr>
          <w:rFonts w:cs="宋体" w:asciiTheme="minorEastAsia" w:hAnsiTheme="minorEastAsia"/>
          <w:color w:val="FF0000"/>
          <w:kern w:val="0"/>
          <w:sz w:val="24"/>
          <w:szCs w:val="24"/>
          <w:highlight w:val="yellow"/>
        </w:rPr>
      </w:pPr>
    </w:p>
    <w:p>
      <w:pPr>
        <w:widowControl/>
        <w:spacing w:line="360" w:lineRule="auto"/>
        <w:ind w:firstLine="480" w:firstLineChars="200"/>
        <w:jc w:val="left"/>
        <w:rPr>
          <w:rFonts w:cs="宋体" w:asciiTheme="minorEastAsia" w:hAnsiTheme="minorEastAsia"/>
          <w:color w:val="FF0000"/>
          <w:kern w:val="0"/>
          <w:sz w:val="24"/>
          <w:szCs w:val="24"/>
          <w:highlight w:val="yellow"/>
        </w:rPr>
      </w:pPr>
    </w:p>
    <w:p>
      <w:pPr>
        <w:rPr>
          <w:rFonts w:cs="宋体" w:asciiTheme="minorEastAsia" w:hAnsiTheme="minorEastAsia"/>
          <w:color w:val="FF0000"/>
          <w:kern w:val="0"/>
          <w:sz w:val="24"/>
          <w:szCs w:val="24"/>
          <w:highlight w:val="yellow"/>
        </w:rPr>
      </w:pPr>
      <w:r>
        <w:rPr>
          <w:rFonts w:hint="eastAsia" w:cs="宋体" w:asciiTheme="minorEastAsia" w:hAnsiTheme="minorEastAsia"/>
          <w:color w:val="FF0000"/>
          <w:kern w:val="0"/>
          <w:sz w:val="24"/>
          <w:szCs w:val="24"/>
          <w:highlight w:val="yellow"/>
        </w:rPr>
        <w:br w:type="page"/>
      </w:r>
    </w:p>
    <w:p>
      <w:pPr>
        <w:widowControl/>
        <w:spacing w:line="360" w:lineRule="auto"/>
        <w:ind w:firstLine="482"/>
        <w:rPr>
          <w:rFonts w:cs="宋体" w:asciiTheme="minorEastAsia" w:hAnsiTheme="minorEastAsia"/>
          <w:b/>
          <w:bCs/>
          <w:kern w:val="0"/>
          <w:sz w:val="24"/>
          <w:szCs w:val="24"/>
        </w:rPr>
      </w:pPr>
      <w:r>
        <w:rPr>
          <w:rFonts w:hint="eastAsia" w:cs="宋体" w:asciiTheme="minorEastAsia" w:hAnsiTheme="minorEastAsia"/>
          <w:b/>
          <w:bCs/>
          <w:kern w:val="0"/>
          <w:sz w:val="24"/>
          <w:szCs w:val="24"/>
        </w:rPr>
        <w:t>注：养护费组成如下</w:t>
      </w:r>
    </w:p>
    <w:tbl>
      <w:tblPr>
        <w:tblStyle w:val="34"/>
        <w:tblW w:w="5000" w:type="pct"/>
        <w:tblInd w:w="0" w:type="dxa"/>
        <w:tblLayout w:type="autofit"/>
        <w:tblCellMar>
          <w:top w:w="0" w:type="dxa"/>
          <w:left w:w="108" w:type="dxa"/>
          <w:bottom w:w="0" w:type="dxa"/>
          <w:right w:w="108" w:type="dxa"/>
        </w:tblCellMar>
      </w:tblPr>
      <w:tblGrid>
        <w:gridCol w:w="1008"/>
        <w:gridCol w:w="889"/>
        <w:gridCol w:w="889"/>
        <w:gridCol w:w="889"/>
        <w:gridCol w:w="889"/>
        <w:gridCol w:w="968"/>
        <w:gridCol w:w="968"/>
        <w:gridCol w:w="889"/>
        <w:gridCol w:w="890"/>
        <w:gridCol w:w="1009"/>
      </w:tblGrid>
      <w:tr>
        <w:tblPrEx>
          <w:tblCellMar>
            <w:top w:w="0" w:type="dxa"/>
            <w:left w:w="108" w:type="dxa"/>
            <w:bottom w:w="0" w:type="dxa"/>
            <w:right w:w="108" w:type="dxa"/>
          </w:tblCellMar>
        </w:tblPrEx>
        <w:trPr>
          <w:trHeight w:val="703" w:hRule="atLeast"/>
        </w:trPr>
        <w:tc>
          <w:tcPr>
            <w:tcW w:w="5000" w:type="pct"/>
            <w:gridSpan w:val="10"/>
            <w:tcBorders>
              <w:top w:val="nil"/>
              <w:left w:val="nil"/>
              <w:bottom w:val="nil"/>
              <w:right w:val="nil"/>
            </w:tcBorders>
            <w:shd w:val="clear" w:color="auto" w:fill="auto"/>
            <w:noWrap/>
            <w:vAlign w:val="center"/>
          </w:tcPr>
          <w:p>
            <w:pPr>
              <w:widowControl/>
              <w:ind w:firstLine="482"/>
              <w:jc w:val="center"/>
              <w:textAlignment w:val="center"/>
              <w:rPr>
                <w:rFonts w:asciiTheme="minorEastAsia" w:hAnsiTheme="minorEastAsia" w:cstheme="minorEastAsia"/>
                <w:color w:val="000000"/>
                <w:sz w:val="24"/>
                <w:szCs w:val="24"/>
              </w:rPr>
            </w:pPr>
            <w:bookmarkStart w:id="75" w:name="_Toc482628481"/>
            <w:bookmarkStart w:id="76" w:name="_Toc21888"/>
            <w:r>
              <w:rPr>
                <w:rFonts w:hint="eastAsia" w:asciiTheme="minorEastAsia" w:hAnsiTheme="minorEastAsia" w:cstheme="minorEastAsia"/>
                <w:b/>
                <w:bCs/>
                <w:color w:val="000000"/>
                <w:kern w:val="0"/>
                <w:sz w:val="24"/>
                <w:szCs w:val="24"/>
                <w:lang w:bidi="ar"/>
              </w:rPr>
              <w:t>米东区园林管理局绿化养护费等级标准</w:t>
            </w:r>
          </w:p>
        </w:tc>
      </w:tr>
      <w:tr>
        <w:tblPrEx>
          <w:tblCellMar>
            <w:top w:w="0" w:type="dxa"/>
            <w:left w:w="108" w:type="dxa"/>
            <w:bottom w:w="0" w:type="dxa"/>
            <w:right w:w="108" w:type="dxa"/>
          </w:tblCellMar>
        </w:tblPrEx>
        <w:trPr>
          <w:trHeight w:val="760" w:hRule="atLeast"/>
        </w:trPr>
        <w:tc>
          <w:tcPr>
            <w:tcW w:w="54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名称</w:t>
            </w:r>
          </w:p>
        </w:tc>
        <w:tc>
          <w:tcPr>
            <w:tcW w:w="4453"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绿化养护级别</w:t>
            </w:r>
          </w:p>
        </w:tc>
      </w:tr>
      <w:tr>
        <w:tblPrEx>
          <w:tblCellMar>
            <w:top w:w="0" w:type="dxa"/>
            <w:left w:w="108" w:type="dxa"/>
            <w:bottom w:w="0" w:type="dxa"/>
            <w:right w:w="108" w:type="dxa"/>
          </w:tblCellMar>
        </w:tblPrEx>
        <w:trPr>
          <w:trHeight w:val="840" w:hRule="atLeast"/>
        </w:trPr>
        <w:tc>
          <w:tcPr>
            <w:tcW w:w="5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cstheme="minorEastAsia"/>
                <w:color w:val="000000"/>
                <w:sz w:val="24"/>
                <w:szCs w:val="24"/>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道路一级</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道路二级</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道路三级</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道路四级</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公园级</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游园一级</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游园二级</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游园三级</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农区防护林</w:t>
            </w:r>
          </w:p>
        </w:tc>
      </w:tr>
      <w:tr>
        <w:tblPrEx>
          <w:tblCellMar>
            <w:top w:w="0" w:type="dxa"/>
            <w:left w:w="108" w:type="dxa"/>
            <w:bottom w:w="0" w:type="dxa"/>
            <w:right w:w="108" w:type="dxa"/>
          </w:tblCellMar>
        </w:tblPrEx>
        <w:trPr>
          <w:trHeight w:val="840" w:hRule="atLeast"/>
        </w:trPr>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养护费</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5元/m²</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4元/m²</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3元/m²</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1.5元/m²</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7.5元/m²</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7.5元/m²</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6元/m²</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5元/m²</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1.1元/m²</w:t>
            </w:r>
          </w:p>
        </w:tc>
      </w:tr>
      <w:tr>
        <w:tblPrEx>
          <w:tblCellMar>
            <w:top w:w="0" w:type="dxa"/>
            <w:left w:w="108" w:type="dxa"/>
            <w:bottom w:w="0" w:type="dxa"/>
            <w:right w:w="108" w:type="dxa"/>
          </w:tblCellMar>
        </w:tblPrEx>
        <w:trPr>
          <w:trHeight w:val="940" w:hRule="atLeast"/>
        </w:trPr>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水费</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3.2元/m²</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2.6元/m²</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2元/m²</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2.6元/m²</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3.2元/m²</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3.2元/m²</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3.2元/m²</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3.2元/m²</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0.7元/m²</w:t>
            </w:r>
          </w:p>
        </w:tc>
      </w:tr>
      <w:tr>
        <w:tblPrEx>
          <w:tblCellMar>
            <w:top w:w="0" w:type="dxa"/>
            <w:left w:w="108" w:type="dxa"/>
            <w:bottom w:w="0" w:type="dxa"/>
            <w:right w:w="108" w:type="dxa"/>
          </w:tblCellMar>
        </w:tblPrEx>
        <w:trPr>
          <w:trHeight w:val="900" w:hRule="atLeast"/>
        </w:trPr>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管线费</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0.8元/m²</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0.6元/m²</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0.5元/m²</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0.6元/m²</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0.8元/m²</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0.8元/m²</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0.8元/m²</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0.8元/m²</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0.3元/m²</w:t>
            </w:r>
          </w:p>
        </w:tc>
      </w:tr>
      <w:tr>
        <w:tblPrEx>
          <w:tblCellMar>
            <w:top w:w="0" w:type="dxa"/>
            <w:left w:w="108" w:type="dxa"/>
            <w:bottom w:w="0" w:type="dxa"/>
            <w:right w:w="108" w:type="dxa"/>
          </w:tblCellMar>
        </w:tblPrEx>
        <w:trPr>
          <w:trHeight w:val="1040" w:hRule="atLeast"/>
        </w:trPr>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养护费合计</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9元/m²</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7.2元/m²</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5.5元/m²</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4.7元/m²</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11.5元/m²</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11.5元/m²</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10元/m²</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9元/m²</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2.1元/m²</w:t>
            </w:r>
          </w:p>
        </w:tc>
      </w:tr>
    </w:tbl>
    <w:p>
      <w:pPr>
        <w:spacing w:line="440" w:lineRule="exact"/>
        <w:rPr>
          <w:rFonts w:cs="Arial" w:asciiTheme="minorEastAsia" w:hAnsiTheme="minorEastAsia"/>
          <w:szCs w:val="24"/>
        </w:rPr>
      </w:pPr>
    </w:p>
    <w:tbl>
      <w:tblPr>
        <w:tblStyle w:val="34"/>
        <w:tblW w:w="5000" w:type="pct"/>
        <w:tblInd w:w="0" w:type="dxa"/>
        <w:tblLayout w:type="autofit"/>
        <w:tblCellMar>
          <w:top w:w="0" w:type="dxa"/>
          <w:left w:w="108" w:type="dxa"/>
          <w:bottom w:w="0" w:type="dxa"/>
          <w:right w:w="108" w:type="dxa"/>
        </w:tblCellMar>
      </w:tblPr>
      <w:tblGrid>
        <w:gridCol w:w="1100"/>
        <w:gridCol w:w="967"/>
        <w:gridCol w:w="1057"/>
        <w:gridCol w:w="1057"/>
        <w:gridCol w:w="1057"/>
        <w:gridCol w:w="1057"/>
        <w:gridCol w:w="1057"/>
        <w:gridCol w:w="968"/>
        <w:gridCol w:w="968"/>
      </w:tblGrid>
      <w:tr>
        <w:tblPrEx>
          <w:tblCellMar>
            <w:top w:w="0" w:type="dxa"/>
            <w:left w:w="108" w:type="dxa"/>
            <w:bottom w:w="0" w:type="dxa"/>
            <w:right w:w="108" w:type="dxa"/>
          </w:tblCellMar>
        </w:tblPrEx>
        <w:trPr>
          <w:trHeight w:val="737" w:hRule="atLeast"/>
        </w:trPr>
        <w:tc>
          <w:tcPr>
            <w:tcW w:w="5000" w:type="pct"/>
            <w:gridSpan w:val="9"/>
            <w:tcBorders>
              <w:top w:val="nil"/>
              <w:left w:val="nil"/>
              <w:bottom w:val="nil"/>
              <w:right w:val="nil"/>
            </w:tcBorders>
            <w:shd w:val="clear" w:color="auto" w:fill="auto"/>
            <w:noWrap/>
            <w:vAlign w:val="center"/>
          </w:tcPr>
          <w:p>
            <w:pPr>
              <w:widowControl/>
              <w:ind w:firstLine="482"/>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b/>
                <w:bCs/>
                <w:color w:val="000000"/>
                <w:kern w:val="0"/>
                <w:sz w:val="24"/>
                <w:szCs w:val="24"/>
                <w:lang w:bidi="ar"/>
              </w:rPr>
              <w:t>石化片区绿化养护费等级标准</w:t>
            </w:r>
          </w:p>
        </w:tc>
      </w:tr>
      <w:tr>
        <w:tblPrEx>
          <w:tblCellMar>
            <w:top w:w="0" w:type="dxa"/>
            <w:left w:w="108" w:type="dxa"/>
            <w:bottom w:w="0" w:type="dxa"/>
            <w:right w:w="108" w:type="dxa"/>
          </w:tblCellMar>
        </w:tblPrEx>
        <w:trPr>
          <w:trHeight w:val="760" w:hRule="atLeast"/>
        </w:trPr>
        <w:tc>
          <w:tcPr>
            <w:tcW w:w="59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名称</w:t>
            </w:r>
          </w:p>
        </w:tc>
        <w:tc>
          <w:tcPr>
            <w:tcW w:w="4404"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绿化养护级别</w:t>
            </w:r>
          </w:p>
        </w:tc>
      </w:tr>
      <w:tr>
        <w:tblPrEx>
          <w:tblCellMar>
            <w:top w:w="0" w:type="dxa"/>
            <w:left w:w="108" w:type="dxa"/>
            <w:bottom w:w="0" w:type="dxa"/>
            <w:right w:w="108" w:type="dxa"/>
          </w:tblCellMar>
        </w:tblPrEx>
        <w:trPr>
          <w:trHeight w:val="840" w:hRule="atLeast"/>
        </w:trPr>
        <w:tc>
          <w:tcPr>
            <w:tcW w:w="59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cstheme="minorEastAsia"/>
                <w:color w:val="000000"/>
                <w:sz w:val="24"/>
                <w:szCs w:val="24"/>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道路一级</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道路二级</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道路三级</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道路四级</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公园级</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游园一级</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游园二级</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游园三级</w:t>
            </w:r>
          </w:p>
        </w:tc>
      </w:tr>
      <w:tr>
        <w:tblPrEx>
          <w:tblCellMar>
            <w:top w:w="0" w:type="dxa"/>
            <w:left w:w="108" w:type="dxa"/>
            <w:bottom w:w="0" w:type="dxa"/>
            <w:right w:w="108" w:type="dxa"/>
          </w:tblCellMar>
        </w:tblPrEx>
        <w:trPr>
          <w:trHeight w:val="840" w:hRule="atLeast"/>
        </w:trPr>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养护费</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5元/m²</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4元/m²</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3元/m²</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1.5元/m²</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7.5元/m²</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7.5元/m²</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6元/m²</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5元/m²</w:t>
            </w:r>
          </w:p>
        </w:tc>
      </w:tr>
      <w:tr>
        <w:tblPrEx>
          <w:tblCellMar>
            <w:top w:w="0" w:type="dxa"/>
            <w:left w:w="108" w:type="dxa"/>
            <w:bottom w:w="0" w:type="dxa"/>
            <w:right w:w="108" w:type="dxa"/>
          </w:tblCellMar>
        </w:tblPrEx>
        <w:trPr>
          <w:trHeight w:val="940" w:hRule="atLeast"/>
        </w:trPr>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水费</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5.2元/m²</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4.26元/m²</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3.28元/m²</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4.26元/m²</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5.2元/m²</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5.2元/m²</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5.2元/m²</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5.2元/m²</w:t>
            </w:r>
          </w:p>
        </w:tc>
      </w:tr>
      <w:tr>
        <w:tblPrEx>
          <w:tblCellMar>
            <w:top w:w="0" w:type="dxa"/>
            <w:left w:w="108" w:type="dxa"/>
            <w:bottom w:w="0" w:type="dxa"/>
            <w:right w:w="108" w:type="dxa"/>
          </w:tblCellMar>
        </w:tblPrEx>
        <w:trPr>
          <w:trHeight w:val="900" w:hRule="atLeast"/>
        </w:trPr>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管线费</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0.8元/m²</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0.6元/m²</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0.5元/m²</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0.6元/m²</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0.8元/m²</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0.8元/m²</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0.8元/m²</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0.8元/m²</w:t>
            </w:r>
          </w:p>
        </w:tc>
      </w:tr>
      <w:tr>
        <w:tblPrEx>
          <w:tblCellMar>
            <w:top w:w="0" w:type="dxa"/>
            <w:left w:w="108" w:type="dxa"/>
            <w:bottom w:w="0" w:type="dxa"/>
            <w:right w:w="108" w:type="dxa"/>
          </w:tblCellMar>
        </w:tblPrEx>
        <w:trPr>
          <w:trHeight w:val="1040" w:hRule="atLeast"/>
        </w:trPr>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养护费合计</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11元/m²</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8.86元/m²</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6.78元/m²</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6.36元/m²</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13.5元/m²</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13.5元/m²</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12元/m²</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11元/m²</w:t>
            </w:r>
          </w:p>
        </w:tc>
      </w:tr>
    </w:tbl>
    <w:p>
      <w:pPr>
        <w:spacing w:line="440" w:lineRule="exact"/>
        <w:outlineLvl w:val="0"/>
        <w:rPr>
          <w:rFonts w:cs="Arial" w:asciiTheme="minorEastAsia" w:hAnsiTheme="minorEastAsia"/>
          <w:szCs w:val="24"/>
        </w:rPr>
        <w:sectPr>
          <w:pgSz w:w="11906" w:h="16838"/>
          <w:pgMar w:top="1134" w:right="1417" w:bottom="1134" w:left="1417" w:header="851" w:footer="992" w:gutter="0"/>
          <w:cols w:space="0" w:num="1"/>
          <w:docGrid w:linePitch="312" w:charSpace="0"/>
        </w:sectPr>
      </w:pPr>
      <w:r>
        <w:rPr>
          <w:rFonts w:hint="eastAsia" w:cs="Arial" w:asciiTheme="minorEastAsia" w:hAnsiTheme="minorEastAsia"/>
          <w:szCs w:val="24"/>
        </w:rPr>
        <w:br w:type="page"/>
      </w:r>
      <w:bookmarkEnd w:id="75"/>
      <w:bookmarkEnd w:id="76"/>
    </w:p>
    <w:p>
      <w:pPr>
        <w:spacing w:line="440" w:lineRule="exact"/>
        <w:ind w:firstLine="482"/>
        <w:jc w:val="center"/>
        <w:outlineLvl w:val="0"/>
        <w:rPr>
          <w:rFonts w:cs="宋体" w:asciiTheme="minorEastAsia" w:hAnsiTheme="minorEastAsia"/>
          <w:b/>
          <w:sz w:val="24"/>
          <w:szCs w:val="24"/>
        </w:rPr>
      </w:pPr>
      <w:bookmarkStart w:id="77" w:name="_Toc23869"/>
      <w:r>
        <w:rPr>
          <w:rFonts w:hint="eastAsia" w:cs="宋体" w:asciiTheme="minorEastAsia" w:hAnsiTheme="minorEastAsia"/>
          <w:b/>
          <w:sz w:val="24"/>
          <w:szCs w:val="24"/>
        </w:rPr>
        <w:t>第五章投标文件格式</w:t>
      </w:r>
      <w:bookmarkEnd w:id="77"/>
    </w:p>
    <w:p>
      <w:pPr>
        <w:ind w:firstLine="482"/>
        <w:rPr>
          <w:rFonts w:cs="宋体" w:asciiTheme="minorEastAsia" w:hAnsiTheme="minorEastAsia"/>
          <w:b/>
          <w:sz w:val="24"/>
          <w:szCs w:val="24"/>
        </w:rPr>
      </w:pPr>
    </w:p>
    <w:p>
      <w:pPr>
        <w:ind w:firstLine="482"/>
        <w:rPr>
          <w:rFonts w:cs="宋体" w:asciiTheme="minorEastAsia" w:hAnsiTheme="minorEastAsia"/>
          <w:b/>
          <w:sz w:val="24"/>
          <w:szCs w:val="24"/>
        </w:rPr>
      </w:pPr>
    </w:p>
    <w:p>
      <w:pPr>
        <w:rPr>
          <w:rFonts w:cs="宋体" w:asciiTheme="minorEastAsia" w:hAnsiTheme="minorEastAsia"/>
          <w:sz w:val="24"/>
          <w:szCs w:val="24"/>
          <w:u w:val="single"/>
        </w:rPr>
      </w:pPr>
      <w:r>
        <w:rPr>
          <w:rFonts w:hint="eastAsia" w:cs="宋体" w:asciiTheme="minorEastAsia" w:hAnsiTheme="minorEastAsia"/>
          <w:sz w:val="24"/>
          <w:szCs w:val="24"/>
          <w:u w:val="single"/>
        </w:rPr>
        <w:t>投标文件封面示例</w:t>
      </w:r>
    </w:p>
    <w:p>
      <w:pPr>
        <w:spacing w:line="720" w:lineRule="auto"/>
        <w:ind w:right="315" w:firstLine="482"/>
        <w:jc w:val="right"/>
        <w:rPr>
          <w:rFonts w:cs="宋体" w:asciiTheme="minorEastAsia" w:hAnsiTheme="minorEastAsia"/>
          <w:b/>
          <w:sz w:val="24"/>
          <w:szCs w:val="24"/>
          <w:bdr w:val="single" w:color="auto" w:sz="4" w:space="0"/>
        </w:rPr>
      </w:pPr>
      <w:r>
        <w:rPr>
          <w:rFonts w:hint="eastAsia" w:cs="宋体" w:asciiTheme="minorEastAsia" w:hAnsiTheme="minorEastAsia"/>
          <w:b/>
          <w:sz w:val="24"/>
          <w:szCs w:val="24"/>
          <w:bdr w:val="single" w:color="auto" w:sz="4" w:space="0"/>
        </w:rPr>
        <w:t>正本</w:t>
      </w:r>
    </w:p>
    <w:p>
      <w:pPr>
        <w:spacing w:line="480" w:lineRule="auto"/>
        <w:ind w:firstLine="482"/>
        <w:jc w:val="center"/>
        <w:rPr>
          <w:rFonts w:cs="宋体" w:asciiTheme="minorEastAsia" w:hAnsiTheme="minorEastAsia"/>
          <w:b/>
          <w:bCs/>
          <w:sz w:val="24"/>
          <w:szCs w:val="24"/>
          <w:u w:val="single"/>
        </w:rPr>
      </w:pPr>
      <w:r>
        <w:rPr>
          <w:rFonts w:hint="eastAsia" w:cs="宋体" w:asciiTheme="minorEastAsia" w:hAnsiTheme="minorEastAsia"/>
          <w:b/>
          <w:bCs/>
          <w:sz w:val="24"/>
          <w:szCs w:val="24"/>
          <w:u w:val="single"/>
        </w:rPr>
        <w:t>（项目名称）</w:t>
      </w:r>
    </w:p>
    <w:p>
      <w:pPr>
        <w:spacing w:line="480" w:lineRule="auto"/>
        <w:ind w:firstLine="482"/>
        <w:jc w:val="center"/>
        <w:rPr>
          <w:rFonts w:cs="宋体" w:asciiTheme="minorEastAsia" w:hAnsiTheme="minorEastAsia"/>
          <w:b/>
          <w:bCs/>
          <w:sz w:val="24"/>
          <w:szCs w:val="24"/>
          <w:u w:val="single"/>
        </w:rPr>
      </w:pPr>
      <w:r>
        <w:rPr>
          <w:rFonts w:hint="eastAsia" w:cs="宋体" w:asciiTheme="minorEastAsia" w:hAnsiTheme="minorEastAsia"/>
          <w:b/>
          <w:bCs/>
          <w:sz w:val="24"/>
          <w:szCs w:val="24"/>
          <w:u w:val="single"/>
        </w:rPr>
        <w:t>（标项名称）</w:t>
      </w:r>
    </w:p>
    <w:p>
      <w:pPr>
        <w:spacing w:line="480" w:lineRule="auto"/>
        <w:ind w:firstLine="482"/>
        <w:jc w:val="center"/>
        <w:rPr>
          <w:rFonts w:cs="宋体" w:asciiTheme="minorEastAsia" w:hAnsiTheme="minorEastAsia"/>
          <w:b/>
          <w:bCs/>
          <w:sz w:val="24"/>
          <w:szCs w:val="24"/>
          <w:u w:val="single"/>
        </w:rPr>
      </w:pPr>
      <w:r>
        <w:rPr>
          <w:rFonts w:hint="eastAsia" w:cs="宋体" w:asciiTheme="minorEastAsia" w:hAnsiTheme="minorEastAsia"/>
          <w:b/>
          <w:bCs/>
          <w:sz w:val="24"/>
          <w:szCs w:val="24"/>
          <w:u w:val="single"/>
        </w:rPr>
        <w:t>（标段编号）</w:t>
      </w:r>
    </w:p>
    <w:p>
      <w:pPr>
        <w:spacing w:line="300" w:lineRule="exact"/>
        <w:ind w:firstLine="482"/>
        <w:jc w:val="center"/>
        <w:rPr>
          <w:rFonts w:cs="宋体" w:asciiTheme="minorEastAsia" w:hAnsiTheme="minorEastAsia"/>
          <w:b/>
          <w:bCs/>
          <w:sz w:val="24"/>
          <w:szCs w:val="24"/>
        </w:rPr>
      </w:pPr>
    </w:p>
    <w:p>
      <w:pPr>
        <w:spacing w:line="300" w:lineRule="exact"/>
        <w:ind w:firstLine="482"/>
        <w:jc w:val="center"/>
        <w:rPr>
          <w:rFonts w:cs="宋体" w:asciiTheme="minorEastAsia" w:hAnsiTheme="minorEastAsia"/>
          <w:b/>
          <w:bCs/>
          <w:sz w:val="24"/>
          <w:szCs w:val="24"/>
        </w:rPr>
      </w:pPr>
    </w:p>
    <w:p>
      <w:pPr>
        <w:spacing w:line="300" w:lineRule="exact"/>
        <w:ind w:firstLine="482"/>
        <w:jc w:val="center"/>
        <w:rPr>
          <w:rFonts w:cs="宋体" w:asciiTheme="minorEastAsia" w:hAnsiTheme="minorEastAsia"/>
          <w:b/>
          <w:bCs/>
          <w:sz w:val="24"/>
          <w:szCs w:val="24"/>
        </w:rPr>
      </w:pPr>
      <w:r>
        <w:rPr>
          <w:rFonts w:hint="eastAsia" w:cs="宋体" w:asciiTheme="minorEastAsia" w:hAnsiTheme="minorEastAsia"/>
          <w:b/>
          <w:bCs/>
          <w:sz w:val="24"/>
          <w:szCs w:val="24"/>
        </w:rPr>
        <w:t>投标文件</w:t>
      </w:r>
    </w:p>
    <w:p>
      <w:pPr>
        <w:spacing w:line="720" w:lineRule="auto"/>
        <w:rPr>
          <w:rFonts w:cs="宋体" w:asciiTheme="minorEastAsia" w:hAnsiTheme="minorEastAsia"/>
          <w:sz w:val="24"/>
          <w:szCs w:val="24"/>
        </w:rPr>
      </w:pPr>
    </w:p>
    <w:p>
      <w:pPr>
        <w:spacing w:line="720" w:lineRule="auto"/>
        <w:rPr>
          <w:rFonts w:cs="宋体" w:asciiTheme="minorEastAsia" w:hAnsiTheme="minorEastAsia"/>
          <w:sz w:val="24"/>
          <w:szCs w:val="24"/>
        </w:rPr>
      </w:pPr>
      <w:r>
        <w:rPr>
          <w:rFonts w:hint="eastAsia" w:cs="宋体" w:asciiTheme="minorEastAsia" w:hAnsiTheme="minorEastAsia"/>
          <w:sz w:val="24"/>
          <w:szCs w:val="24"/>
        </w:rPr>
        <w:t>投标人：（盖章）</w:t>
      </w:r>
    </w:p>
    <w:p>
      <w:pPr>
        <w:spacing w:line="720" w:lineRule="auto"/>
        <w:rPr>
          <w:rFonts w:cs="宋体" w:asciiTheme="minorEastAsia" w:hAnsiTheme="minorEastAsia"/>
          <w:sz w:val="24"/>
          <w:szCs w:val="24"/>
        </w:rPr>
      </w:pPr>
      <w:r>
        <w:rPr>
          <w:rFonts w:hint="eastAsia" w:cs="宋体" w:asciiTheme="minorEastAsia" w:hAnsiTheme="minorEastAsia"/>
          <w:sz w:val="24"/>
          <w:szCs w:val="24"/>
        </w:rPr>
        <w:t>法定代表人：（盖章）</w:t>
      </w:r>
    </w:p>
    <w:p>
      <w:pPr>
        <w:spacing w:line="720" w:lineRule="auto"/>
        <w:rPr>
          <w:rFonts w:cs="宋体" w:asciiTheme="minorEastAsia" w:hAnsiTheme="minorEastAsia"/>
          <w:sz w:val="24"/>
          <w:szCs w:val="24"/>
        </w:rPr>
      </w:pPr>
      <w:r>
        <w:rPr>
          <w:rFonts w:hint="eastAsia" w:cs="宋体" w:asciiTheme="minorEastAsia" w:hAnsiTheme="minorEastAsia"/>
          <w:sz w:val="24"/>
          <w:szCs w:val="24"/>
        </w:rPr>
        <w:t>单位地址：</w:t>
      </w:r>
    </w:p>
    <w:p>
      <w:pPr>
        <w:spacing w:line="720" w:lineRule="auto"/>
        <w:rPr>
          <w:rFonts w:cs="宋体" w:asciiTheme="minorEastAsia" w:hAnsiTheme="minorEastAsia"/>
          <w:sz w:val="24"/>
          <w:szCs w:val="24"/>
        </w:rPr>
      </w:pPr>
      <w:r>
        <w:rPr>
          <w:rFonts w:hint="eastAsia" w:cs="宋体" w:asciiTheme="minorEastAsia" w:hAnsiTheme="minorEastAsia"/>
          <w:sz w:val="24"/>
          <w:szCs w:val="24"/>
        </w:rPr>
        <w:t>邮政编码：</w:t>
      </w:r>
    </w:p>
    <w:p>
      <w:pPr>
        <w:spacing w:line="720" w:lineRule="auto"/>
        <w:rPr>
          <w:rFonts w:cs="宋体" w:asciiTheme="minorEastAsia" w:hAnsiTheme="minorEastAsia"/>
          <w:sz w:val="24"/>
          <w:szCs w:val="24"/>
        </w:rPr>
      </w:pPr>
      <w:r>
        <w:rPr>
          <w:rFonts w:hint="eastAsia" w:cs="宋体" w:asciiTheme="minorEastAsia" w:hAnsiTheme="minorEastAsia"/>
          <w:sz w:val="24"/>
          <w:szCs w:val="24"/>
        </w:rPr>
        <w:t>联系人：</w:t>
      </w:r>
    </w:p>
    <w:p>
      <w:pPr>
        <w:spacing w:line="720" w:lineRule="auto"/>
        <w:rPr>
          <w:rFonts w:cs="宋体" w:asciiTheme="minorEastAsia" w:hAnsiTheme="minorEastAsia"/>
          <w:sz w:val="24"/>
          <w:szCs w:val="24"/>
        </w:rPr>
      </w:pPr>
      <w:r>
        <w:rPr>
          <w:rFonts w:hint="eastAsia" w:cs="宋体" w:asciiTheme="minorEastAsia" w:hAnsiTheme="minorEastAsia"/>
          <w:sz w:val="24"/>
          <w:szCs w:val="24"/>
        </w:rPr>
        <w:t>联系电话：</w:t>
      </w:r>
    </w:p>
    <w:p>
      <w:pPr>
        <w:spacing w:line="720" w:lineRule="auto"/>
        <w:rPr>
          <w:rFonts w:cs="宋体" w:asciiTheme="minorEastAsia" w:hAnsiTheme="minorEastAsia"/>
          <w:sz w:val="24"/>
          <w:szCs w:val="24"/>
        </w:rPr>
      </w:pPr>
    </w:p>
    <w:p>
      <w:pPr>
        <w:spacing w:line="720" w:lineRule="auto"/>
        <w:ind w:firstLine="2" w:firstLineChars="1"/>
        <w:jc w:val="center"/>
        <w:rPr>
          <w:rFonts w:cs="宋体" w:asciiTheme="minorEastAsia" w:hAnsiTheme="minorEastAsia"/>
          <w:sz w:val="24"/>
          <w:szCs w:val="24"/>
        </w:rPr>
      </w:pPr>
      <w:r>
        <w:rPr>
          <w:rFonts w:hint="eastAsia" w:cs="宋体" w:asciiTheme="minorEastAsia" w:hAnsiTheme="minorEastAsia"/>
          <w:sz w:val="24"/>
          <w:szCs w:val="24"/>
        </w:rPr>
        <w:t>年月日</w:t>
      </w:r>
    </w:p>
    <w:p>
      <w:pPr>
        <w:tabs>
          <w:tab w:val="center" w:pos="4832"/>
          <w:tab w:val="left" w:pos="7140"/>
        </w:tabs>
        <w:ind w:firstLine="482"/>
        <w:jc w:val="center"/>
        <w:outlineLvl w:val="1"/>
        <w:rPr>
          <w:rFonts w:cs="宋体" w:asciiTheme="minorEastAsia" w:hAnsiTheme="minorEastAsia"/>
          <w:b/>
          <w:sz w:val="24"/>
          <w:szCs w:val="24"/>
        </w:rPr>
      </w:pPr>
      <w:r>
        <w:rPr>
          <w:rFonts w:cs="宋体" w:asciiTheme="minorEastAsia" w:hAnsiTheme="minorEastAsia"/>
          <w:b/>
          <w:sz w:val="24"/>
          <w:szCs w:val="24"/>
        </w:rPr>
        <w:br w:type="page"/>
      </w:r>
      <w:bookmarkStart w:id="78" w:name="_Toc21602"/>
      <w:bookmarkStart w:id="79" w:name="_Toc508295341"/>
      <w:r>
        <w:rPr>
          <w:rFonts w:hint="eastAsia" w:cs="宋体" w:asciiTheme="minorEastAsia" w:hAnsiTheme="minorEastAsia"/>
          <w:b/>
          <w:sz w:val="24"/>
          <w:szCs w:val="24"/>
        </w:rPr>
        <w:t>目录</w:t>
      </w:r>
      <w:bookmarkEnd w:id="78"/>
      <w:bookmarkEnd w:id="79"/>
    </w:p>
    <w:p>
      <w:pPr>
        <w:numPr>
          <w:ilvl w:val="0"/>
          <w:numId w:val="2"/>
        </w:numPr>
        <w:spacing w:line="280" w:lineRule="exact"/>
        <w:rPr>
          <w:rFonts w:ascii="宋体" w:hAnsi="宋体" w:eastAsia="宋体" w:cs="Times New Roman"/>
          <w:bCs/>
          <w:sz w:val="24"/>
          <w:szCs w:val="24"/>
        </w:rPr>
      </w:pPr>
      <w:r>
        <w:rPr>
          <w:rFonts w:hint="eastAsia" w:ascii="宋体" w:hAnsi="宋体" w:eastAsia="宋体" w:cs="Times New Roman"/>
          <w:bCs/>
          <w:sz w:val="24"/>
          <w:szCs w:val="24"/>
        </w:rPr>
        <w:t>投标函</w:t>
      </w:r>
    </w:p>
    <w:p>
      <w:pPr>
        <w:numPr>
          <w:ilvl w:val="0"/>
          <w:numId w:val="2"/>
        </w:numPr>
        <w:spacing w:line="280" w:lineRule="exact"/>
        <w:rPr>
          <w:rFonts w:ascii="宋体" w:hAnsi="宋体" w:eastAsia="宋体" w:cs="Times New Roman"/>
          <w:bCs/>
          <w:sz w:val="24"/>
          <w:szCs w:val="24"/>
        </w:rPr>
      </w:pPr>
      <w:r>
        <w:rPr>
          <w:rFonts w:hint="eastAsia" w:ascii="宋体" w:hAnsi="宋体" w:eastAsia="宋体" w:cs="Times New Roman"/>
          <w:bCs/>
          <w:sz w:val="24"/>
          <w:szCs w:val="24"/>
        </w:rPr>
        <w:t>开标一览表</w:t>
      </w:r>
    </w:p>
    <w:p>
      <w:pPr>
        <w:numPr>
          <w:ilvl w:val="0"/>
          <w:numId w:val="2"/>
        </w:numPr>
        <w:spacing w:line="280" w:lineRule="exact"/>
        <w:rPr>
          <w:rFonts w:ascii="宋体" w:hAnsi="宋体" w:eastAsia="宋体" w:cs="Times New Roman"/>
          <w:bCs/>
          <w:sz w:val="24"/>
          <w:szCs w:val="24"/>
        </w:rPr>
      </w:pPr>
      <w:r>
        <w:rPr>
          <w:rFonts w:hint="eastAsia" w:ascii="宋体" w:hAnsi="宋体" w:eastAsia="宋体" w:cs="Times New Roman"/>
          <w:bCs/>
          <w:sz w:val="24"/>
          <w:szCs w:val="24"/>
        </w:rPr>
        <w:t>反商业贿赂承诺书</w:t>
      </w:r>
    </w:p>
    <w:p>
      <w:pPr>
        <w:numPr>
          <w:ilvl w:val="0"/>
          <w:numId w:val="2"/>
        </w:numPr>
        <w:spacing w:line="280" w:lineRule="exact"/>
        <w:rPr>
          <w:rFonts w:ascii="宋体" w:hAnsi="宋体" w:eastAsia="宋体" w:cs="Times New Roman"/>
          <w:bCs/>
          <w:sz w:val="24"/>
          <w:szCs w:val="24"/>
        </w:rPr>
      </w:pPr>
      <w:r>
        <w:rPr>
          <w:rFonts w:hint="eastAsia" w:ascii="宋体" w:hAnsi="宋体" w:eastAsia="宋体" w:cs="Times New Roman"/>
          <w:bCs/>
          <w:sz w:val="24"/>
          <w:szCs w:val="24"/>
        </w:rPr>
        <w:t>技术条款偏离表</w:t>
      </w:r>
    </w:p>
    <w:p>
      <w:pPr>
        <w:spacing w:line="280" w:lineRule="exact"/>
        <w:rPr>
          <w:rFonts w:ascii="宋体" w:hAnsi="宋体" w:eastAsia="宋体" w:cs="Times New Roman"/>
          <w:bCs/>
          <w:sz w:val="24"/>
          <w:szCs w:val="24"/>
        </w:rPr>
      </w:pPr>
      <w:r>
        <w:rPr>
          <w:rFonts w:hint="eastAsia" w:ascii="宋体" w:hAnsi="宋体" w:eastAsia="宋体" w:cs="Times New Roman"/>
          <w:bCs/>
          <w:sz w:val="24"/>
          <w:szCs w:val="24"/>
        </w:rPr>
        <w:t>5、商务条款偏离表</w:t>
      </w:r>
    </w:p>
    <w:p>
      <w:pPr>
        <w:spacing w:line="280" w:lineRule="exact"/>
        <w:rPr>
          <w:rFonts w:ascii="宋体" w:hAnsi="宋体" w:eastAsia="宋体" w:cs="Times New Roman"/>
          <w:bCs/>
          <w:sz w:val="24"/>
          <w:szCs w:val="24"/>
        </w:rPr>
      </w:pPr>
      <w:r>
        <w:rPr>
          <w:rFonts w:hint="eastAsia" w:ascii="宋体" w:hAnsi="宋体" w:eastAsia="宋体" w:cs="Times New Roman"/>
          <w:bCs/>
          <w:sz w:val="24"/>
          <w:szCs w:val="24"/>
        </w:rPr>
        <w:t>6、法定代表人身份证明书</w:t>
      </w:r>
    </w:p>
    <w:p>
      <w:pPr>
        <w:spacing w:line="280" w:lineRule="exact"/>
        <w:rPr>
          <w:rFonts w:ascii="宋体" w:hAnsi="宋体" w:eastAsia="宋体" w:cs="Times New Roman"/>
          <w:bCs/>
          <w:sz w:val="24"/>
          <w:szCs w:val="24"/>
        </w:rPr>
      </w:pPr>
      <w:r>
        <w:rPr>
          <w:rFonts w:hint="eastAsia" w:ascii="宋体" w:hAnsi="宋体" w:eastAsia="宋体" w:cs="Times New Roman"/>
          <w:bCs/>
          <w:sz w:val="24"/>
          <w:szCs w:val="24"/>
        </w:rPr>
        <w:t>7、法定代表人授权委托书</w:t>
      </w:r>
    </w:p>
    <w:p>
      <w:pPr>
        <w:spacing w:line="280" w:lineRule="exact"/>
        <w:rPr>
          <w:rFonts w:ascii="宋体" w:hAnsi="宋体" w:eastAsia="宋体" w:cs="Times New Roman"/>
          <w:bCs/>
          <w:sz w:val="24"/>
          <w:szCs w:val="24"/>
        </w:rPr>
      </w:pPr>
      <w:r>
        <w:rPr>
          <w:rFonts w:hint="eastAsia" w:ascii="宋体" w:hAnsi="宋体" w:eastAsia="宋体" w:cs="Times New Roman"/>
          <w:bCs/>
          <w:sz w:val="24"/>
          <w:szCs w:val="24"/>
        </w:rPr>
        <w:t>8、投标人基本情况</w:t>
      </w:r>
    </w:p>
    <w:p>
      <w:pPr>
        <w:spacing w:line="280" w:lineRule="exact"/>
        <w:rPr>
          <w:rFonts w:ascii="宋体" w:hAnsi="宋体" w:eastAsia="宋体" w:cs="Times New Roman"/>
          <w:bCs/>
          <w:sz w:val="24"/>
          <w:szCs w:val="24"/>
        </w:rPr>
      </w:pPr>
      <w:r>
        <w:rPr>
          <w:rFonts w:hint="eastAsia" w:ascii="宋体" w:hAnsi="宋体" w:eastAsia="宋体" w:cs="Times New Roman"/>
          <w:bCs/>
          <w:sz w:val="24"/>
          <w:szCs w:val="24"/>
        </w:rPr>
        <w:t>9、投标人近年类似项目情况表</w:t>
      </w:r>
    </w:p>
    <w:p>
      <w:pPr>
        <w:spacing w:line="280" w:lineRule="exact"/>
        <w:rPr>
          <w:rFonts w:ascii="宋体" w:hAnsi="宋体" w:eastAsia="宋体" w:cs="Times New Roman"/>
          <w:bCs/>
          <w:sz w:val="24"/>
          <w:szCs w:val="24"/>
        </w:rPr>
      </w:pPr>
      <w:r>
        <w:rPr>
          <w:rFonts w:hint="eastAsia" w:ascii="宋体" w:hAnsi="宋体" w:eastAsia="宋体" w:cs="Times New Roman"/>
          <w:bCs/>
          <w:sz w:val="24"/>
          <w:szCs w:val="24"/>
        </w:rPr>
        <w:t>10、拟投入本项目主要机械设备</w:t>
      </w:r>
    </w:p>
    <w:p>
      <w:pPr>
        <w:spacing w:line="280" w:lineRule="exact"/>
        <w:rPr>
          <w:rFonts w:ascii="宋体" w:hAnsi="宋体" w:eastAsia="宋体" w:cs="Times New Roman"/>
          <w:bCs/>
          <w:sz w:val="24"/>
          <w:szCs w:val="24"/>
        </w:rPr>
      </w:pPr>
      <w:r>
        <w:rPr>
          <w:rFonts w:hint="eastAsia" w:ascii="宋体" w:hAnsi="宋体" w:eastAsia="宋体" w:cs="Times New Roman"/>
          <w:bCs/>
          <w:sz w:val="24"/>
          <w:szCs w:val="24"/>
        </w:rPr>
        <w:t>11、项目负责人简历表</w:t>
      </w:r>
    </w:p>
    <w:p>
      <w:pPr>
        <w:spacing w:line="280" w:lineRule="exact"/>
        <w:rPr>
          <w:rFonts w:ascii="宋体" w:hAnsi="宋体" w:eastAsia="宋体" w:cs="Times New Roman"/>
          <w:bCs/>
          <w:sz w:val="24"/>
          <w:szCs w:val="24"/>
        </w:rPr>
      </w:pPr>
      <w:r>
        <w:rPr>
          <w:rFonts w:hint="eastAsia" w:ascii="宋体" w:hAnsi="宋体" w:eastAsia="宋体" w:cs="Times New Roman"/>
          <w:bCs/>
          <w:sz w:val="24"/>
          <w:szCs w:val="24"/>
        </w:rPr>
        <w:t>12、拟投入人员配置表</w:t>
      </w:r>
    </w:p>
    <w:p>
      <w:pPr>
        <w:spacing w:line="280" w:lineRule="exact"/>
        <w:rPr>
          <w:rFonts w:ascii="宋体" w:hAnsi="宋体" w:eastAsia="宋体" w:cs="Times New Roman"/>
          <w:bCs/>
          <w:sz w:val="24"/>
          <w:szCs w:val="24"/>
        </w:rPr>
      </w:pPr>
      <w:r>
        <w:rPr>
          <w:rFonts w:hint="eastAsia" w:ascii="宋体" w:hAnsi="宋体" w:eastAsia="宋体" w:cs="Times New Roman"/>
          <w:bCs/>
          <w:sz w:val="24"/>
          <w:szCs w:val="24"/>
        </w:rPr>
        <w:t>13、合理化建议</w:t>
      </w:r>
    </w:p>
    <w:p>
      <w:pPr>
        <w:spacing w:line="280" w:lineRule="exact"/>
        <w:rPr>
          <w:rFonts w:ascii="宋体" w:hAnsi="宋体" w:eastAsia="宋体" w:cs="Times New Roman"/>
          <w:bCs/>
          <w:sz w:val="24"/>
          <w:szCs w:val="24"/>
        </w:rPr>
      </w:pPr>
      <w:r>
        <w:rPr>
          <w:rFonts w:hint="eastAsia" w:ascii="宋体" w:hAnsi="宋体" w:eastAsia="宋体" w:cs="Times New Roman"/>
          <w:bCs/>
          <w:sz w:val="24"/>
          <w:szCs w:val="24"/>
        </w:rPr>
        <w:t>14、养护作业方案</w:t>
      </w:r>
    </w:p>
    <w:p>
      <w:pPr>
        <w:spacing w:line="280" w:lineRule="exact"/>
        <w:rPr>
          <w:rFonts w:ascii="宋体" w:hAnsi="宋体" w:eastAsia="宋体" w:cs="Times New Roman"/>
          <w:bCs/>
          <w:sz w:val="24"/>
          <w:szCs w:val="24"/>
        </w:rPr>
      </w:pPr>
      <w:r>
        <w:rPr>
          <w:rFonts w:hint="eastAsia" w:ascii="宋体" w:hAnsi="宋体" w:eastAsia="宋体" w:cs="Times New Roman"/>
          <w:bCs/>
          <w:sz w:val="24"/>
          <w:szCs w:val="24"/>
        </w:rPr>
        <w:t>15、质量管理方案</w:t>
      </w:r>
    </w:p>
    <w:p>
      <w:pPr>
        <w:spacing w:line="280" w:lineRule="exact"/>
        <w:rPr>
          <w:rFonts w:ascii="宋体" w:hAnsi="宋体" w:eastAsia="宋体" w:cs="Times New Roman"/>
          <w:bCs/>
          <w:sz w:val="24"/>
          <w:szCs w:val="24"/>
        </w:rPr>
      </w:pPr>
      <w:r>
        <w:rPr>
          <w:rFonts w:hint="eastAsia" w:ascii="宋体" w:hAnsi="宋体" w:eastAsia="宋体" w:cs="Times New Roman"/>
          <w:bCs/>
          <w:sz w:val="24"/>
          <w:szCs w:val="24"/>
        </w:rPr>
        <w:t>16、应急抢险方案</w:t>
      </w:r>
    </w:p>
    <w:p>
      <w:pPr>
        <w:spacing w:line="280" w:lineRule="exact"/>
        <w:rPr>
          <w:rFonts w:ascii="宋体" w:hAnsi="宋体" w:eastAsia="宋体" w:cs="Times New Roman"/>
          <w:bCs/>
          <w:sz w:val="24"/>
          <w:szCs w:val="24"/>
        </w:rPr>
      </w:pPr>
      <w:r>
        <w:rPr>
          <w:rFonts w:hint="eastAsia" w:ascii="宋体" w:hAnsi="宋体" w:eastAsia="宋体" w:cs="Times New Roman"/>
          <w:bCs/>
          <w:sz w:val="24"/>
          <w:szCs w:val="24"/>
        </w:rPr>
        <w:t>17、安全服务方案</w:t>
      </w:r>
    </w:p>
    <w:p>
      <w:pPr>
        <w:spacing w:line="280" w:lineRule="exact"/>
        <w:rPr>
          <w:rFonts w:ascii="宋体" w:hAnsi="宋体" w:eastAsia="宋体" w:cs="Times New Roman"/>
          <w:bCs/>
          <w:sz w:val="24"/>
          <w:szCs w:val="24"/>
        </w:rPr>
      </w:pPr>
      <w:r>
        <w:rPr>
          <w:rFonts w:hint="eastAsia" w:ascii="宋体" w:hAnsi="宋体" w:eastAsia="宋体" w:cs="Times New Roman"/>
          <w:bCs/>
          <w:sz w:val="24"/>
          <w:szCs w:val="24"/>
        </w:rPr>
        <w:t>18、文明作业方案</w:t>
      </w:r>
    </w:p>
    <w:p>
      <w:pPr>
        <w:spacing w:line="280" w:lineRule="exact"/>
        <w:rPr>
          <w:rFonts w:cs="Times New Roman" w:asciiTheme="minorEastAsia" w:hAnsiTheme="minorEastAsia"/>
          <w:bCs/>
          <w:sz w:val="24"/>
          <w:szCs w:val="24"/>
        </w:rPr>
      </w:pPr>
      <w:r>
        <w:rPr>
          <w:rFonts w:hint="eastAsia" w:ascii="宋体" w:hAnsi="宋体" w:eastAsia="宋体" w:cs="Times New Roman"/>
          <w:bCs/>
          <w:sz w:val="24"/>
          <w:szCs w:val="24"/>
        </w:rPr>
        <w:t>19、其他需要提交的资料（根据招标文件的要求和投标人认为需要提供的资料）</w:t>
      </w:r>
    </w:p>
    <w:p>
      <w:pPr>
        <w:spacing w:line="280" w:lineRule="exact"/>
        <w:rPr>
          <w:rFonts w:cs="Times New Roman" w:asciiTheme="minorEastAsia" w:hAnsiTheme="minorEastAsia"/>
          <w:bCs/>
          <w:sz w:val="24"/>
          <w:szCs w:val="24"/>
        </w:rPr>
      </w:pPr>
      <w:r>
        <w:rPr>
          <w:rFonts w:hint="eastAsia" w:cs="Times New Roman" w:asciiTheme="minorEastAsia" w:hAnsiTheme="minorEastAsia"/>
          <w:bCs/>
          <w:sz w:val="24"/>
          <w:szCs w:val="24"/>
        </w:rPr>
        <w:t>注：为了便于查找，请按上述顺序编制投标文件内容，并在目录中标明每项内容的起始页码。</w:t>
      </w:r>
    </w:p>
    <w:p>
      <w:pPr>
        <w:tabs>
          <w:tab w:val="center" w:pos="4832"/>
          <w:tab w:val="left" w:pos="7140"/>
        </w:tabs>
        <w:ind w:firstLine="482"/>
        <w:jc w:val="center"/>
        <w:outlineLvl w:val="1"/>
        <w:rPr>
          <w:rFonts w:cs="宋体" w:asciiTheme="minorEastAsia" w:hAnsiTheme="minorEastAsia"/>
          <w:b/>
          <w:sz w:val="24"/>
          <w:szCs w:val="24"/>
        </w:rPr>
      </w:pPr>
      <w:r>
        <w:rPr>
          <w:rFonts w:cs="宋体" w:asciiTheme="minorEastAsia" w:hAnsiTheme="minorEastAsia"/>
          <w:b/>
          <w:sz w:val="24"/>
          <w:szCs w:val="24"/>
        </w:rPr>
        <w:br w:type="page"/>
      </w:r>
      <w:bookmarkStart w:id="80" w:name="_Toc9000"/>
      <w:r>
        <w:rPr>
          <w:rFonts w:hint="eastAsia" w:cs="宋体" w:asciiTheme="minorEastAsia" w:hAnsiTheme="minorEastAsia"/>
          <w:b/>
          <w:sz w:val="24"/>
          <w:szCs w:val="24"/>
        </w:rPr>
        <w:t>一、投标函</w:t>
      </w:r>
      <w:bookmarkEnd w:id="80"/>
    </w:p>
    <w:p>
      <w:pPr>
        <w:widowControl/>
        <w:shd w:val="clear" w:color="auto" w:fill="FFFFFF"/>
        <w:snapToGrid w:val="0"/>
        <w:spacing w:line="384" w:lineRule="auto"/>
        <w:jc w:val="left"/>
        <w:rPr>
          <w:rFonts w:cs="Arial" w:asciiTheme="minorEastAsia" w:hAnsiTheme="minorEastAsia"/>
          <w:kern w:val="0"/>
          <w:sz w:val="24"/>
          <w:szCs w:val="24"/>
        </w:rPr>
      </w:pPr>
    </w:p>
    <w:p>
      <w:pPr>
        <w:widowControl/>
        <w:shd w:val="clear" w:color="auto" w:fill="FFFFFF"/>
        <w:snapToGrid w:val="0"/>
        <w:spacing w:line="384" w:lineRule="auto"/>
        <w:jc w:val="left"/>
        <w:rPr>
          <w:rFonts w:cs="Arial" w:asciiTheme="minorEastAsia" w:hAnsiTheme="minorEastAsia"/>
          <w:kern w:val="0"/>
          <w:sz w:val="24"/>
          <w:szCs w:val="24"/>
        </w:rPr>
      </w:pPr>
      <w:r>
        <w:rPr>
          <w:rFonts w:hint="eastAsia" w:cs="Arial" w:asciiTheme="minorEastAsia" w:hAnsiTheme="minorEastAsia"/>
          <w:kern w:val="0"/>
          <w:sz w:val="24"/>
          <w:szCs w:val="24"/>
        </w:rPr>
        <w:t>致：（采购人名称）</w:t>
      </w:r>
    </w:p>
    <w:p>
      <w:pPr>
        <w:widowControl/>
        <w:shd w:val="clear" w:color="auto" w:fill="FFFFFF"/>
        <w:snapToGrid w:val="0"/>
        <w:spacing w:line="384" w:lineRule="auto"/>
        <w:jc w:val="left"/>
        <w:rPr>
          <w:rFonts w:cs="Arial" w:asciiTheme="minorEastAsia" w:hAnsiTheme="minorEastAsia"/>
          <w:kern w:val="0"/>
          <w:sz w:val="24"/>
          <w:szCs w:val="24"/>
        </w:rPr>
      </w:pPr>
    </w:p>
    <w:p>
      <w:pPr>
        <w:widowControl/>
        <w:shd w:val="clear" w:color="auto" w:fill="FFFFFF"/>
        <w:snapToGrid w:val="0"/>
        <w:spacing w:line="384" w:lineRule="auto"/>
        <w:ind w:firstLine="480"/>
        <w:jc w:val="left"/>
        <w:rPr>
          <w:rFonts w:cs="Arial" w:asciiTheme="minorEastAsia" w:hAnsiTheme="minorEastAsia"/>
          <w:kern w:val="0"/>
          <w:sz w:val="24"/>
          <w:szCs w:val="24"/>
        </w:rPr>
      </w:pPr>
      <w:r>
        <w:rPr>
          <w:rFonts w:hint="eastAsia" w:cs="Arial" w:asciiTheme="minorEastAsia" w:hAnsiTheme="minorEastAsia"/>
          <w:kern w:val="0"/>
          <w:sz w:val="24"/>
          <w:szCs w:val="24"/>
        </w:rPr>
        <w:t>根据已收到的项目的招标文件，遵照招标投标法律法规的规定，经考察现场和充分研究贵方的招标文件的全部内容后，我方郑重承诺如下：</w:t>
      </w:r>
    </w:p>
    <w:p>
      <w:pPr>
        <w:widowControl/>
        <w:shd w:val="clear" w:color="auto" w:fill="FFFFFF"/>
        <w:snapToGrid w:val="0"/>
        <w:spacing w:line="384" w:lineRule="auto"/>
        <w:ind w:firstLine="480"/>
        <w:jc w:val="left"/>
        <w:rPr>
          <w:rFonts w:cs="Arial" w:asciiTheme="minorEastAsia" w:hAnsiTheme="minorEastAsia"/>
          <w:color w:val="auto"/>
          <w:kern w:val="0"/>
          <w:sz w:val="24"/>
          <w:szCs w:val="24"/>
        </w:rPr>
      </w:pPr>
      <w:r>
        <w:rPr>
          <w:rFonts w:cs="Arial" w:asciiTheme="minorEastAsia" w:hAnsiTheme="minorEastAsia"/>
          <w:kern w:val="0"/>
          <w:sz w:val="24"/>
          <w:szCs w:val="24"/>
        </w:rPr>
        <w:t>1.</w:t>
      </w:r>
      <w:r>
        <w:rPr>
          <w:rFonts w:hint="eastAsia" w:cs="Arial" w:asciiTheme="minorEastAsia" w:hAnsiTheme="minorEastAsia"/>
          <w:kern w:val="0"/>
          <w:sz w:val="24"/>
          <w:szCs w:val="24"/>
        </w:rPr>
        <w:t>我方投标价格为</w:t>
      </w:r>
      <w:r>
        <w:rPr>
          <w:rFonts w:hint="eastAsia" w:cs="Arial" w:asciiTheme="minorEastAsia" w:hAnsiTheme="minorEastAsia"/>
          <w:kern w:val="0"/>
          <w:sz w:val="24"/>
          <w:szCs w:val="24"/>
          <w:u w:val="single"/>
        </w:rPr>
        <w:t xml:space="preserve">      </w:t>
      </w:r>
      <w:r>
        <w:rPr>
          <w:rFonts w:hint="eastAsia" w:cs="Arial" w:asciiTheme="minorEastAsia" w:hAnsiTheme="minorEastAsia"/>
          <w:kern w:val="0"/>
          <w:sz w:val="24"/>
          <w:szCs w:val="24"/>
        </w:rPr>
        <w:t>人民币元/</w:t>
      </w:r>
      <w:r>
        <w:rPr>
          <w:rFonts w:hint="eastAsia" w:cs="Arial" w:asciiTheme="minorEastAsia" w:hAnsiTheme="minorEastAsia"/>
          <w:sz w:val="24"/>
          <w:szCs w:val="24"/>
        </w:rPr>
        <w:t>年</w:t>
      </w:r>
      <w:r>
        <w:rPr>
          <w:rFonts w:hint="eastAsia" w:cs="Arial" w:asciiTheme="minorEastAsia" w:hAnsiTheme="minorEastAsia"/>
          <w:kern w:val="0"/>
          <w:sz w:val="24"/>
          <w:szCs w:val="24"/>
        </w:rPr>
        <w:t>（大写</w:t>
      </w:r>
      <w:r>
        <w:rPr>
          <w:rFonts w:hint="eastAsia" w:cs="Arial" w:asciiTheme="minorEastAsia" w:hAnsiTheme="minorEastAsia"/>
          <w:kern w:val="0"/>
          <w:sz w:val="24"/>
          <w:szCs w:val="24"/>
          <w:u w:val="single"/>
        </w:rPr>
        <w:t xml:space="preserve">      </w:t>
      </w:r>
      <w:r>
        <w:rPr>
          <w:rFonts w:hint="eastAsia" w:cs="Arial" w:asciiTheme="minorEastAsia" w:hAnsiTheme="minorEastAsia"/>
          <w:kern w:val="0"/>
          <w:sz w:val="24"/>
          <w:szCs w:val="24"/>
        </w:rPr>
        <w:t>），服务周期为</w:t>
      </w:r>
      <w:r>
        <w:rPr>
          <w:rFonts w:hint="eastAsia" w:cs="Arial" w:asciiTheme="minorEastAsia" w:hAnsiTheme="minorEastAsia"/>
          <w:kern w:val="0"/>
          <w:sz w:val="24"/>
          <w:szCs w:val="24"/>
          <w:lang w:eastAsia="zh-CN"/>
        </w:rPr>
        <w:t>：</w:t>
      </w:r>
      <w:r>
        <w:rPr>
          <w:rFonts w:hint="eastAsia" w:cs="仿宋" w:asciiTheme="minorEastAsia" w:hAnsiTheme="minorEastAsia"/>
          <w:color w:val="auto"/>
          <w:sz w:val="24"/>
          <w:szCs w:val="24"/>
          <w:u w:val="single"/>
        </w:rPr>
        <w:t>1年（服务开始时间2024年1月，绿化养护在年底考核，考核通过后，续签下一年合同，中标通知书有效期三年。）</w:t>
      </w:r>
    </w:p>
    <w:p>
      <w:pPr>
        <w:widowControl/>
        <w:shd w:val="clear" w:color="auto" w:fill="FFFFFF"/>
        <w:snapToGrid w:val="0"/>
        <w:spacing w:line="384" w:lineRule="auto"/>
        <w:ind w:firstLine="480"/>
        <w:jc w:val="left"/>
        <w:rPr>
          <w:rFonts w:cs="Arial" w:asciiTheme="minorEastAsia" w:hAnsiTheme="minorEastAsia"/>
          <w:kern w:val="0"/>
          <w:sz w:val="24"/>
          <w:szCs w:val="24"/>
        </w:rPr>
      </w:pPr>
      <w:r>
        <w:rPr>
          <w:rFonts w:cs="Arial" w:asciiTheme="minorEastAsia" w:hAnsiTheme="minorEastAsia"/>
          <w:kern w:val="0"/>
          <w:sz w:val="24"/>
          <w:szCs w:val="24"/>
        </w:rPr>
        <w:t>2.</w:t>
      </w:r>
      <w:r>
        <w:rPr>
          <w:rFonts w:hint="eastAsia" w:cs="Arial" w:asciiTheme="minorEastAsia" w:hAnsiTheme="minorEastAsia"/>
          <w:kern w:val="0"/>
          <w:sz w:val="24"/>
          <w:szCs w:val="24"/>
        </w:rPr>
        <w:t>如果我方中标，我方将按规定履行合同责任义务。保证在合同约定的服务周期内提供服务，并确保我方提供相关服务满足招标文件的要求。</w:t>
      </w:r>
    </w:p>
    <w:p>
      <w:pPr>
        <w:widowControl/>
        <w:shd w:val="clear" w:color="auto" w:fill="FFFFFF"/>
        <w:snapToGrid w:val="0"/>
        <w:spacing w:line="384" w:lineRule="auto"/>
        <w:ind w:firstLine="480"/>
        <w:jc w:val="left"/>
        <w:rPr>
          <w:rFonts w:cs="Arial" w:asciiTheme="minorEastAsia" w:hAnsiTheme="minorEastAsia"/>
          <w:kern w:val="0"/>
          <w:sz w:val="24"/>
          <w:szCs w:val="24"/>
        </w:rPr>
      </w:pPr>
      <w:r>
        <w:rPr>
          <w:rFonts w:hint="eastAsia" w:cs="Arial" w:asciiTheme="minorEastAsia" w:hAnsiTheme="minorEastAsia"/>
          <w:kern w:val="0"/>
          <w:sz w:val="24"/>
          <w:szCs w:val="24"/>
        </w:rPr>
        <w:t>3</w:t>
      </w:r>
      <w:r>
        <w:rPr>
          <w:rFonts w:cs="Arial" w:asciiTheme="minorEastAsia" w:hAnsiTheme="minorEastAsia"/>
          <w:kern w:val="0"/>
          <w:sz w:val="24"/>
          <w:szCs w:val="24"/>
        </w:rPr>
        <w:t>.</w:t>
      </w:r>
      <w:r>
        <w:rPr>
          <w:rFonts w:hint="eastAsia" w:cs="Arial" w:asciiTheme="minorEastAsia" w:hAnsiTheme="minorEastAsia"/>
          <w:kern w:val="0"/>
          <w:sz w:val="24"/>
          <w:szCs w:val="24"/>
        </w:rPr>
        <w:t>本投标文件在招标文件规定的投标有效期内对我方具有约束力，如果我方在投标有效期内撤销投标，其投标保证金将被贵方没收。</w:t>
      </w:r>
    </w:p>
    <w:p>
      <w:pPr>
        <w:widowControl/>
        <w:shd w:val="clear" w:color="auto" w:fill="FFFFFF"/>
        <w:snapToGrid w:val="0"/>
        <w:spacing w:line="384" w:lineRule="auto"/>
        <w:ind w:firstLine="480"/>
        <w:jc w:val="left"/>
        <w:rPr>
          <w:rFonts w:cs="Arial" w:asciiTheme="minorEastAsia" w:hAnsiTheme="minorEastAsia"/>
          <w:kern w:val="0"/>
          <w:sz w:val="24"/>
          <w:szCs w:val="24"/>
        </w:rPr>
      </w:pPr>
      <w:r>
        <w:rPr>
          <w:rFonts w:hint="eastAsia" w:cs="Arial" w:asciiTheme="minorEastAsia" w:hAnsiTheme="minorEastAsia"/>
          <w:kern w:val="0"/>
          <w:sz w:val="24"/>
          <w:szCs w:val="24"/>
        </w:rPr>
        <w:t>4</w:t>
      </w:r>
      <w:r>
        <w:rPr>
          <w:rFonts w:cs="Arial" w:asciiTheme="minorEastAsia" w:hAnsiTheme="minorEastAsia"/>
          <w:kern w:val="0"/>
          <w:sz w:val="24"/>
          <w:szCs w:val="24"/>
        </w:rPr>
        <w:t>.</w:t>
      </w:r>
      <w:r>
        <w:rPr>
          <w:rFonts w:hint="eastAsia" w:cs="Arial" w:asciiTheme="minorEastAsia" w:hAnsiTheme="minorEastAsia"/>
          <w:kern w:val="0"/>
          <w:sz w:val="24"/>
          <w:szCs w:val="24"/>
        </w:rPr>
        <w:t>我方已详细审查全部招标文件并完全理解并同意放弃对这方面有不明及误解的权力。</w:t>
      </w:r>
    </w:p>
    <w:p>
      <w:pPr>
        <w:widowControl/>
        <w:shd w:val="clear" w:color="auto" w:fill="FFFFFF"/>
        <w:snapToGrid w:val="0"/>
        <w:spacing w:line="384" w:lineRule="auto"/>
        <w:ind w:firstLine="480"/>
        <w:jc w:val="left"/>
        <w:rPr>
          <w:rFonts w:cs="Arial" w:asciiTheme="minorEastAsia" w:hAnsiTheme="minorEastAsia"/>
          <w:kern w:val="0"/>
          <w:sz w:val="24"/>
          <w:szCs w:val="24"/>
        </w:rPr>
      </w:pPr>
      <w:r>
        <w:rPr>
          <w:rFonts w:hint="eastAsia" w:cs="Arial" w:asciiTheme="minorEastAsia" w:hAnsiTheme="minorEastAsia"/>
          <w:kern w:val="0"/>
          <w:sz w:val="24"/>
          <w:szCs w:val="24"/>
        </w:rPr>
        <w:t>5</w:t>
      </w:r>
      <w:r>
        <w:rPr>
          <w:rFonts w:cs="Arial" w:asciiTheme="minorEastAsia" w:hAnsiTheme="minorEastAsia"/>
          <w:kern w:val="0"/>
          <w:sz w:val="24"/>
          <w:szCs w:val="24"/>
        </w:rPr>
        <w:t>.</w:t>
      </w:r>
      <w:r>
        <w:rPr>
          <w:rFonts w:hint="eastAsia" w:cs="Arial" w:asciiTheme="minorEastAsia" w:hAnsiTheme="minorEastAsia"/>
          <w:kern w:val="0"/>
          <w:sz w:val="24"/>
          <w:szCs w:val="24"/>
        </w:rPr>
        <w:t>我方愿意提供贵方可能要求的与投标有关的一切数据或资料，完全理解贵方不一定接受最低投标报价的投标或收到的任何投标。</w:t>
      </w:r>
    </w:p>
    <w:p>
      <w:pPr>
        <w:widowControl/>
        <w:shd w:val="clear" w:color="auto" w:fill="FFFFFF"/>
        <w:snapToGrid w:val="0"/>
        <w:spacing w:line="384" w:lineRule="auto"/>
        <w:ind w:firstLine="480"/>
        <w:jc w:val="left"/>
        <w:rPr>
          <w:rFonts w:cs="Arial" w:asciiTheme="minorEastAsia" w:hAnsiTheme="minorEastAsia"/>
          <w:kern w:val="0"/>
          <w:sz w:val="24"/>
          <w:szCs w:val="24"/>
        </w:rPr>
      </w:pPr>
      <w:r>
        <w:rPr>
          <w:rFonts w:hint="eastAsia" w:cs="Arial" w:asciiTheme="minorEastAsia" w:hAnsiTheme="minorEastAsia"/>
          <w:kern w:val="0"/>
          <w:sz w:val="24"/>
          <w:szCs w:val="24"/>
        </w:rPr>
        <w:t>6</w:t>
      </w:r>
      <w:r>
        <w:rPr>
          <w:rFonts w:cs="Arial" w:asciiTheme="minorEastAsia" w:hAnsiTheme="minorEastAsia"/>
          <w:kern w:val="0"/>
          <w:sz w:val="24"/>
          <w:szCs w:val="24"/>
        </w:rPr>
        <w:t>.</w:t>
      </w:r>
      <w:r>
        <w:rPr>
          <w:rFonts w:hint="eastAsia" w:cs="Arial" w:asciiTheme="minorEastAsia" w:hAnsiTheme="minorEastAsia"/>
          <w:kern w:val="0"/>
          <w:sz w:val="24"/>
          <w:szCs w:val="24"/>
        </w:rPr>
        <w:t>我方派法定代表人或其授权委托人作为我方代表，负责按时参加开标会并签署与投标有关的相关文件等。</w:t>
      </w:r>
    </w:p>
    <w:p>
      <w:pPr>
        <w:widowControl/>
        <w:shd w:val="clear" w:color="auto" w:fill="FFFFFF"/>
        <w:snapToGrid w:val="0"/>
        <w:spacing w:line="384" w:lineRule="auto"/>
        <w:ind w:firstLine="480"/>
        <w:jc w:val="left"/>
        <w:rPr>
          <w:rFonts w:cs="Arial" w:asciiTheme="minorEastAsia" w:hAnsiTheme="minorEastAsia"/>
          <w:kern w:val="0"/>
          <w:sz w:val="24"/>
          <w:szCs w:val="24"/>
        </w:rPr>
      </w:pPr>
      <w:r>
        <w:rPr>
          <w:rFonts w:hint="eastAsia" w:cs="Arial" w:asciiTheme="minorEastAsia" w:hAnsiTheme="minorEastAsia"/>
          <w:kern w:val="0"/>
          <w:sz w:val="24"/>
          <w:szCs w:val="24"/>
        </w:rPr>
        <w:t>7.如我方中标，在合同签订后3个工作日内向采购代理机构提供采购合同原件一份用于采购资料备案工作。</w:t>
      </w:r>
    </w:p>
    <w:p>
      <w:pPr>
        <w:widowControl/>
        <w:shd w:val="clear" w:color="auto" w:fill="FFFFFF"/>
        <w:snapToGrid w:val="0"/>
        <w:spacing w:line="384" w:lineRule="auto"/>
        <w:jc w:val="left"/>
        <w:rPr>
          <w:rFonts w:cs="Arial" w:asciiTheme="minorEastAsia" w:hAnsiTheme="minorEastAsia"/>
          <w:kern w:val="0"/>
          <w:sz w:val="24"/>
          <w:szCs w:val="24"/>
        </w:rPr>
      </w:pPr>
    </w:p>
    <w:p>
      <w:pPr>
        <w:widowControl/>
        <w:shd w:val="clear" w:color="auto" w:fill="FFFFFF"/>
        <w:snapToGrid w:val="0"/>
        <w:spacing w:line="384" w:lineRule="auto"/>
        <w:jc w:val="left"/>
        <w:rPr>
          <w:rFonts w:cs="Arial" w:asciiTheme="minorEastAsia" w:hAnsiTheme="minorEastAsia"/>
          <w:kern w:val="0"/>
          <w:sz w:val="24"/>
          <w:szCs w:val="24"/>
        </w:rPr>
      </w:pPr>
      <w:r>
        <w:rPr>
          <w:rFonts w:hint="eastAsia" w:cs="Arial" w:asciiTheme="minorEastAsia" w:hAnsiTheme="minorEastAsia"/>
          <w:kern w:val="0"/>
          <w:sz w:val="24"/>
          <w:szCs w:val="24"/>
        </w:rPr>
        <w:t>投标人：（盖章）</w:t>
      </w:r>
    </w:p>
    <w:p>
      <w:pPr>
        <w:widowControl/>
        <w:shd w:val="clear" w:color="auto" w:fill="FFFFFF"/>
        <w:snapToGrid w:val="0"/>
        <w:spacing w:line="384" w:lineRule="auto"/>
        <w:jc w:val="left"/>
        <w:rPr>
          <w:rFonts w:cs="Arial" w:asciiTheme="minorEastAsia" w:hAnsiTheme="minorEastAsia"/>
          <w:kern w:val="0"/>
          <w:sz w:val="24"/>
          <w:szCs w:val="24"/>
        </w:rPr>
      </w:pPr>
    </w:p>
    <w:p>
      <w:pPr>
        <w:widowControl/>
        <w:shd w:val="clear" w:color="auto" w:fill="FFFFFF"/>
        <w:snapToGrid w:val="0"/>
        <w:spacing w:line="384" w:lineRule="auto"/>
        <w:jc w:val="left"/>
        <w:rPr>
          <w:rFonts w:cs="Arial" w:asciiTheme="minorEastAsia" w:hAnsiTheme="minorEastAsia"/>
          <w:kern w:val="0"/>
          <w:sz w:val="24"/>
          <w:szCs w:val="24"/>
        </w:rPr>
      </w:pPr>
      <w:r>
        <w:rPr>
          <w:rFonts w:hint="eastAsia" w:cs="Arial" w:asciiTheme="minorEastAsia" w:hAnsiTheme="minorEastAsia"/>
          <w:kern w:val="0"/>
          <w:sz w:val="24"/>
          <w:szCs w:val="24"/>
        </w:rPr>
        <w:t>法定代表人：（盖章）</w:t>
      </w:r>
    </w:p>
    <w:p>
      <w:pPr>
        <w:widowControl/>
        <w:jc w:val="center"/>
        <w:rPr>
          <w:rFonts w:cs="Arial" w:asciiTheme="minorEastAsia" w:hAnsiTheme="minorEastAsia"/>
          <w:kern w:val="0"/>
          <w:sz w:val="24"/>
          <w:szCs w:val="24"/>
        </w:rPr>
      </w:pPr>
      <w:r>
        <w:rPr>
          <w:rFonts w:hint="eastAsia" w:cs="Arial" w:asciiTheme="minorEastAsia" w:hAnsiTheme="minorEastAsia"/>
          <w:kern w:val="0"/>
          <w:sz w:val="24"/>
          <w:szCs w:val="24"/>
        </w:rPr>
        <w:t>日期：年月日</w:t>
      </w:r>
    </w:p>
    <w:p>
      <w:pPr>
        <w:rPr>
          <w:rFonts w:cs="Arial" w:asciiTheme="minorEastAsia" w:hAnsiTheme="minorEastAsia"/>
          <w:kern w:val="0"/>
          <w:sz w:val="24"/>
          <w:szCs w:val="24"/>
        </w:rPr>
      </w:pPr>
      <w:r>
        <w:rPr>
          <w:rFonts w:hint="eastAsia" w:cs="Arial" w:asciiTheme="minorEastAsia" w:hAnsiTheme="minorEastAsia"/>
          <w:kern w:val="0"/>
          <w:sz w:val="24"/>
          <w:szCs w:val="24"/>
        </w:rPr>
        <w:br w:type="page"/>
      </w:r>
    </w:p>
    <w:p>
      <w:pPr>
        <w:widowControl/>
        <w:shd w:val="clear" w:color="auto" w:fill="FFFFFF"/>
        <w:snapToGrid w:val="0"/>
        <w:spacing w:line="384" w:lineRule="auto"/>
        <w:ind w:firstLine="482"/>
        <w:jc w:val="center"/>
        <w:rPr>
          <w:rFonts w:cs="Arial" w:asciiTheme="minorEastAsia" w:hAnsiTheme="minorEastAsia"/>
          <w:b/>
          <w:kern w:val="0"/>
          <w:sz w:val="24"/>
          <w:szCs w:val="24"/>
        </w:rPr>
      </w:pPr>
      <w:r>
        <w:rPr>
          <w:rFonts w:hint="eastAsia" w:cs="宋体" w:asciiTheme="minorEastAsia" w:hAnsiTheme="minorEastAsia"/>
          <w:b/>
          <w:sz w:val="24"/>
          <w:szCs w:val="24"/>
        </w:rPr>
        <w:t>1.2</w:t>
      </w:r>
      <w:r>
        <w:rPr>
          <w:rFonts w:hint="eastAsia" w:cs="Arial" w:asciiTheme="minorEastAsia" w:hAnsiTheme="minorEastAsia"/>
          <w:b/>
          <w:kern w:val="0"/>
          <w:sz w:val="24"/>
          <w:szCs w:val="24"/>
        </w:rPr>
        <w:t>资格声明函</w:t>
      </w:r>
    </w:p>
    <w:p>
      <w:pPr>
        <w:autoSpaceDE w:val="0"/>
        <w:autoSpaceDN w:val="0"/>
        <w:adjustRightInd w:val="0"/>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招标人：</w:t>
      </w:r>
    </w:p>
    <w:p>
      <w:pPr>
        <w:autoSpaceDE w:val="0"/>
        <w:autoSpaceDN w:val="0"/>
        <w:adjustRightInd w:val="0"/>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 xml:space="preserve">    关于贵方组织的</w:t>
      </w:r>
      <w:r>
        <w:rPr>
          <w:rFonts w:hint="eastAsia" w:cs="宋体" w:asciiTheme="minorEastAsia" w:hAnsiTheme="minorEastAsia"/>
          <w:kern w:val="0"/>
          <w:sz w:val="24"/>
          <w:szCs w:val="24"/>
          <w:u w:val="single"/>
        </w:rPr>
        <w:t xml:space="preserve">               </w:t>
      </w:r>
      <w:r>
        <w:rPr>
          <w:rFonts w:hint="eastAsia" w:cs="宋体" w:asciiTheme="minorEastAsia" w:hAnsiTheme="minorEastAsia"/>
          <w:kern w:val="0"/>
          <w:sz w:val="24"/>
          <w:szCs w:val="24"/>
        </w:rPr>
        <w:t>采购项目的招标，我方愿意参加投标响应，提供招标文件中规定的货物，并郑重声明如下：</w:t>
      </w:r>
    </w:p>
    <w:p>
      <w:pPr>
        <w:autoSpaceDE w:val="0"/>
        <w:autoSpaceDN w:val="0"/>
        <w:adjustRightInd w:val="0"/>
        <w:spacing w:line="360" w:lineRule="auto"/>
        <w:jc w:val="left"/>
        <w:rPr>
          <w:rFonts w:cs="宋体" w:asciiTheme="minorEastAsia" w:hAnsiTheme="minorEastAsia"/>
          <w:kern w:val="0"/>
          <w:sz w:val="24"/>
          <w:szCs w:val="24"/>
        </w:rPr>
      </w:pPr>
      <w:r>
        <w:rPr>
          <w:rFonts w:cs="宋体" w:asciiTheme="minorEastAsia" w:hAnsiTheme="minorEastAsia"/>
          <w:kern w:val="0"/>
          <w:sz w:val="24"/>
          <w:szCs w:val="24"/>
        </w:rPr>
        <w:t>1</w:t>
      </w:r>
      <w:r>
        <w:rPr>
          <w:rFonts w:hint="eastAsia" w:cs="宋体" w:asciiTheme="minorEastAsia" w:hAnsiTheme="minorEastAsia"/>
          <w:kern w:val="0"/>
          <w:sz w:val="24"/>
          <w:szCs w:val="24"/>
        </w:rPr>
        <w:t>、我方具备履行合同所必需的设备和专业技术能力。</w:t>
      </w:r>
    </w:p>
    <w:p>
      <w:pPr>
        <w:autoSpaceDE w:val="0"/>
        <w:autoSpaceDN w:val="0"/>
        <w:adjustRightInd w:val="0"/>
        <w:spacing w:line="360" w:lineRule="auto"/>
        <w:jc w:val="left"/>
        <w:rPr>
          <w:rFonts w:cs="宋体" w:asciiTheme="minorEastAsia" w:hAnsiTheme="minorEastAsia"/>
          <w:kern w:val="0"/>
          <w:sz w:val="24"/>
          <w:szCs w:val="24"/>
        </w:rPr>
      </w:pPr>
      <w:r>
        <w:rPr>
          <w:rFonts w:hint="eastAsia" w:asciiTheme="minorEastAsia" w:hAnsiTheme="minorEastAsia"/>
          <w:sz w:val="24"/>
          <w:szCs w:val="24"/>
        </w:rPr>
        <w:t xml:space="preserve">2、 </w:t>
      </w:r>
      <w:r>
        <w:rPr>
          <w:rFonts w:hint="eastAsia" w:cs="宋体" w:asciiTheme="minorEastAsia" w:hAnsiTheme="minorEastAsia"/>
          <w:kern w:val="0"/>
          <w:sz w:val="24"/>
          <w:szCs w:val="24"/>
        </w:rPr>
        <w:t>我方</w:t>
      </w:r>
      <w:r>
        <w:rPr>
          <w:rFonts w:hint="eastAsia" w:asciiTheme="minorEastAsia" w:hAnsiTheme="minorEastAsia"/>
          <w:sz w:val="24"/>
          <w:szCs w:val="24"/>
        </w:rPr>
        <w:t>在“信用中国”（</w:t>
      </w:r>
      <w:r>
        <w:rPr>
          <w:rFonts w:asciiTheme="minorEastAsia" w:hAnsiTheme="minorEastAsia"/>
          <w:sz w:val="24"/>
          <w:szCs w:val="24"/>
        </w:rPr>
        <w:t>www.creditchina.gov.cn</w:t>
      </w:r>
      <w:r>
        <w:rPr>
          <w:rFonts w:hint="eastAsia" w:asciiTheme="minorEastAsia" w:hAnsiTheme="minorEastAsia"/>
          <w:sz w:val="24"/>
          <w:szCs w:val="24"/>
        </w:rPr>
        <w:t>）和中国政府采购网（</w:t>
      </w:r>
      <w:r>
        <w:rPr>
          <w:rFonts w:asciiTheme="minorEastAsia" w:hAnsiTheme="minorEastAsia"/>
          <w:sz w:val="24"/>
          <w:szCs w:val="24"/>
        </w:rPr>
        <w:t>www.ccgp.gov.cn</w:t>
      </w:r>
      <w:r>
        <w:rPr>
          <w:rFonts w:hint="eastAsia" w:asciiTheme="minorEastAsia" w:hAnsiTheme="minorEastAsia"/>
          <w:sz w:val="24"/>
          <w:szCs w:val="24"/>
        </w:rPr>
        <w:t>）网站上未被列入失信被执行人、重大税收违法案件当事人名单以及政府采购严重违法失信行为记录名单；</w:t>
      </w:r>
    </w:p>
    <w:p>
      <w:pPr>
        <w:autoSpaceDE w:val="0"/>
        <w:autoSpaceDN w:val="0"/>
        <w:adjustRightInd w:val="0"/>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3、我方在参加本次采购活动前</w:t>
      </w:r>
      <w:r>
        <w:rPr>
          <w:rFonts w:cs="宋体" w:asciiTheme="minorEastAsia" w:hAnsiTheme="minorEastAsia"/>
          <w:kern w:val="0"/>
          <w:sz w:val="24"/>
          <w:szCs w:val="24"/>
        </w:rPr>
        <w:t>3</w:t>
      </w:r>
      <w:r>
        <w:rPr>
          <w:rFonts w:hint="eastAsia" w:cs="宋体" w:asciiTheme="minorEastAsia" w:hAnsiTheme="minorEastAsia"/>
          <w:kern w:val="0"/>
          <w:sz w:val="24"/>
          <w:szCs w:val="24"/>
        </w:rPr>
        <w:t>年内在经营活动中没有重大违法记录。</w:t>
      </w:r>
    </w:p>
    <w:p>
      <w:pPr>
        <w:autoSpaceDE w:val="0"/>
        <w:autoSpaceDN w:val="0"/>
        <w:adjustRightInd w:val="0"/>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4、我方已按招标文件规定办理报名登记手续并购买了招标文件。</w:t>
      </w:r>
    </w:p>
    <w:p>
      <w:pPr>
        <w:autoSpaceDE w:val="0"/>
        <w:autoSpaceDN w:val="0"/>
        <w:adjustRightInd w:val="0"/>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5、我方是在法律、财务和运作上独立于招标人、招标代理机构的投标人。</w:t>
      </w:r>
    </w:p>
    <w:p>
      <w:pPr>
        <w:autoSpaceDE w:val="0"/>
        <w:autoSpaceDN w:val="0"/>
        <w:adjustRightInd w:val="0"/>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6、我方在本次采购活动中，不存在单位负责人为同一人或者存在直接控股、管理关系的不同投标人，同时参加同一合同项下的采购活动之情形。</w:t>
      </w:r>
    </w:p>
    <w:p>
      <w:pPr>
        <w:autoSpaceDE w:val="0"/>
        <w:autoSpaceDN w:val="0"/>
        <w:adjustRightInd w:val="0"/>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7、我方不是为本项目提供食材供应、规范编制或者项目实施要求等服务的投标人及其附属机构。</w:t>
      </w:r>
    </w:p>
    <w:p>
      <w:pPr>
        <w:autoSpaceDE w:val="0"/>
        <w:autoSpaceDN w:val="0"/>
        <w:adjustRightInd w:val="0"/>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 xml:space="preserve">    我方保证上述声明的事项都是真实的，如有虚假，我方承担相应的法律责任，并承担因此给贵公司以及本项目招标人所造成的一切损失。</w:t>
      </w:r>
    </w:p>
    <w:p>
      <w:pPr>
        <w:autoSpaceDE w:val="0"/>
        <w:autoSpaceDN w:val="0"/>
        <w:adjustRightInd w:val="0"/>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 xml:space="preserve">    我方已经按照贵方招标文件的要求，提交了所要求提交的能够证明上述声明事项真实性的全部文件材料，并保证随时按照贵方的要求提供能够证明上述声明事项真实性的任何有效文件。</w:t>
      </w:r>
    </w:p>
    <w:p>
      <w:pPr>
        <w:autoSpaceDE w:val="0"/>
        <w:autoSpaceDN w:val="0"/>
        <w:adjustRightInd w:val="0"/>
        <w:spacing w:line="360" w:lineRule="auto"/>
        <w:jc w:val="left"/>
        <w:rPr>
          <w:rFonts w:cs="宋体" w:asciiTheme="minorEastAsia" w:hAnsiTheme="minorEastAsia"/>
          <w:kern w:val="0"/>
          <w:sz w:val="24"/>
          <w:szCs w:val="24"/>
        </w:rPr>
      </w:pPr>
    </w:p>
    <w:p>
      <w:pPr>
        <w:autoSpaceDE w:val="0"/>
        <w:autoSpaceDN w:val="0"/>
        <w:adjustRightInd w:val="0"/>
        <w:jc w:val="left"/>
        <w:rPr>
          <w:rFonts w:cs="宋体" w:asciiTheme="minorEastAsia" w:hAnsiTheme="minorEastAsia"/>
          <w:kern w:val="0"/>
          <w:sz w:val="24"/>
          <w:szCs w:val="24"/>
        </w:rPr>
      </w:pPr>
    </w:p>
    <w:p>
      <w:pPr>
        <w:autoSpaceDE w:val="0"/>
        <w:autoSpaceDN w:val="0"/>
        <w:adjustRightInd w:val="0"/>
        <w:jc w:val="left"/>
        <w:rPr>
          <w:rFonts w:cs="宋体" w:asciiTheme="minorEastAsia" w:hAnsiTheme="minorEastAsia"/>
          <w:kern w:val="0"/>
          <w:sz w:val="24"/>
          <w:szCs w:val="24"/>
        </w:rPr>
      </w:pPr>
    </w:p>
    <w:p>
      <w:pPr>
        <w:autoSpaceDE w:val="0"/>
        <w:autoSpaceDN w:val="0"/>
        <w:adjustRightInd w:val="0"/>
        <w:jc w:val="left"/>
        <w:rPr>
          <w:rFonts w:cs="宋体" w:asciiTheme="minorEastAsia" w:hAnsiTheme="minorEastAsia"/>
          <w:kern w:val="0"/>
          <w:sz w:val="24"/>
          <w:szCs w:val="24"/>
        </w:rPr>
      </w:pPr>
    </w:p>
    <w:p>
      <w:pPr>
        <w:autoSpaceDE w:val="0"/>
        <w:autoSpaceDN w:val="0"/>
        <w:adjustRightInd w:val="0"/>
        <w:jc w:val="left"/>
        <w:rPr>
          <w:rFonts w:cs="宋体" w:asciiTheme="minorEastAsia" w:hAnsiTheme="minorEastAsia"/>
          <w:kern w:val="0"/>
          <w:sz w:val="24"/>
          <w:szCs w:val="24"/>
        </w:rPr>
      </w:pPr>
    </w:p>
    <w:p>
      <w:pPr>
        <w:autoSpaceDE w:val="0"/>
        <w:autoSpaceDN w:val="0"/>
        <w:adjustRightInd w:val="0"/>
        <w:jc w:val="left"/>
        <w:rPr>
          <w:rFonts w:cs="宋体" w:asciiTheme="minorEastAsia" w:hAnsiTheme="minorEastAsia"/>
          <w:kern w:val="0"/>
          <w:sz w:val="24"/>
          <w:szCs w:val="24"/>
        </w:rPr>
      </w:pPr>
    </w:p>
    <w:p>
      <w:pPr>
        <w:autoSpaceDE w:val="0"/>
        <w:autoSpaceDN w:val="0"/>
        <w:adjustRightInd w:val="0"/>
        <w:jc w:val="left"/>
        <w:rPr>
          <w:rFonts w:cs="宋体" w:asciiTheme="minorEastAsia" w:hAnsiTheme="minorEastAsia"/>
          <w:kern w:val="0"/>
          <w:sz w:val="24"/>
          <w:szCs w:val="24"/>
          <w:u w:val="single"/>
        </w:rPr>
      </w:pPr>
      <w:r>
        <w:rPr>
          <w:rFonts w:hint="eastAsia" w:cs="宋体" w:asciiTheme="minorEastAsia" w:hAnsiTheme="minorEastAsia"/>
          <w:kern w:val="0"/>
          <w:sz w:val="24"/>
          <w:szCs w:val="24"/>
        </w:rPr>
        <w:t>投标人：</w:t>
      </w:r>
      <w:r>
        <w:rPr>
          <w:rFonts w:hint="eastAsia" w:cs="宋体" w:asciiTheme="minorEastAsia" w:hAnsiTheme="minorEastAsia"/>
          <w:kern w:val="0"/>
          <w:sz w:val="24"/>
          <w:szCs w:val="24"/>
          <w:u w:val="single"/>
        </w:rPr>
        <w:t xml:space="preserve">         </w:t>
      </w:r>
      <w:r>
        <w:rPr>
          <w:rFonts w:hint="eastAsia" w:cs="宋体" w:asciiTheme="minorEastAsia" w:hAnsiTheme="minorEastAsia"/>
          <w:kern w:val="0"/>
          <w:sz w:val="24"/>
          <w:szCs w:val="24"/>
        </w:rPr>
        <w:t>（盖章）</w:t>
      </w:r>
    </w:p>
    <w:p>
      <w:pPr>
        <w:autoSpaceDE w:val="0"/>
        <w:autoSpaceDN w:val="0"/>
        <w:adjustRightInd w:val="0"/>
        <w:jc w:val="left"/>
        <w:rPr>
          <w:rFonts w:cs="宋体" w:asciiTheme="minorEastAsia" w:hAnsiTheme="minorEastAsia"/>
          <w:kern w:val="0"/>
          <w:sz w:val="24"/>
          <w:szCs w:val="24"/>
        </w:rPr>
      </w:pPr>
    </w:p>
    <w:p>
      <w:pPr>
        <w:autoSpaceDE w:val="0"/>
        <w:autoSpaceDN w:val="0"/>
        <w:adjustRightInd w:val="0"/>
        <w:jc w:val="left"/>
        <w:rPr>
          <w:rFonts w:cs="宋体" w:asciiTheme="minorEastAsia" w:hAnsiTheme="minorEastAsia"/>
          <w:kern w:val="0"/>
          <w:sz w:val="24"/>
          <w:szCs w:val="24"/>
        </w:rPr>
      </w:pPr>
    </w:p>
    <w:p>
      <w:pPr>
        <w:autoSpaceDE w:val="0"/>
        <w:autoSpaceDN w:val="0"/>
        <w:adjustRightInd w:val="0"/>
        <w:jc w:val="left"/>
        <w:rPr>
          <w:rFonts w:cs="宋体" w:asciiTheme="minorEastAsia" w:hAnsiTheme="minorEastAsia"/>
          <w:kern w:val="0"/>
          <w:sz w:val="24"/>
          <w:szCs w:val="24"/>
          <w:u w:val="single"/>
        </w:rPr>
      </w:pPr>
      <w:r>
        <w:rPr>
          <w:rFonts w:hint="eastAsia" w:cs="宋体" w:asciiTheme="minorEastAsia" w:hAnsiTheme="minorEastAsia"/>
          <w:kern w:val="0"/>
          <w:sz w:val="24"/>
          <w:szCs w:val="24"/>
        </w:rPr>
        <w:t>法定代表人：</w:t>
      </w:r>
      <w:r>
        <w:rPr>
          <w:rFonts w:hint="eastAsia" w:cs="宋体" w:asciiTheme="minorEastAsia" w:hAnsiTheme="minorEastAsia"/>
          <w:kern w:val="0"/>
          <w:sz w:val="24"/>
          <w:szCs w:val="24"/>
          <w:u w:val="single"/>
        </w:rPr>
        <w:t xml:space="preserve">      </w:t>
      </w:r>
      <w:r>
        <w:rPr>
          <w:rFonts w:hint="eastAsia" w:cs="宋体" w:asciiTheme="minorEastAsia" w:hAnsiTheme="minorEastAsia"/>
          <w:kern w:val="0"/>
          <w:sz w:val="24"/>
          <w:szCs w:val="24"/>
        </w:rPr>
        <w:t>（盖章）</w:t>
      </w:r>
    </w:p>
    <w:p>
      <w:pPr>
        <w:autoSpaceDE w:val="0"/>
        <w:autoSpaceDN w:val="0"/>
        <w:adjustRightInd w:val="0"/>
        <w:jc w:val="left"/>
        <w:rPr>
          <w:rFonts w:cs="宋体" w:asciiTheme="minorEastAsia" w:hAnsiTheme="minorEastAsia"/>
          <w:kern w:val="0"/>
          <w:sz w:val="24"/>
          <w:szCs w:val="24"/>
        </w:rPr>
      </w:pPr>
      <w:r>
        <w:rPr>
          <w:rFonts w:hint="eastAsia" w:cs="宋体" w:asciiTheme="minorEastAsia" w:hAnsiTheme="minorEastAsia"/>
          <w:kern w:val="0"/>
          <w:sz w:val="24"/>
          <w:szCs w:val="24"/>
        </w:rPr>
        <w:t xml:space="preserve">                                      </w:t>
      </w:r>
    </w:p>
    <w:p>
      <w:pPr>
        <w:autoSpaceDE w:val="0"/>
        <w:autoSpaceDN w:val="0"/>
        <w:adjustRightInd w:val="0"/>
        <w:jc w:val="left"/>
        <w:rPr>
          <w:rFonts w:cs="宋体" w:asciiTheme="minorEastAsia" w:hAnsiTheme="minorEastAsia"/>
          <w:kern w:val="0"/>
          <w:sz w:val="24"/>
          <w:szCs w:val="24"/>
        </w:rPr>
      </w:pPr>
    </w:p>
    <w:p>
      <w:pPr>
        <w:autoSpaceDE w:val="0"/>
        <w:autoSpaceDN w:val="0"/>
        <w:adjustRightInd w:val="0"/>
        <w:jc w:val="left"/>
        <w:rPr>
          <w:rFonts w:cs="Arial" w:asciiTheme="minorEastAsia" w:hAnsiTheme="minorEastAsia"/>
          <w:kern w:val="0"/>
          <w:sz w:val="24"/>
          <w:szCs w:val="24"/>
        </w:rPr>
      </w:pPr>
      <w:r>
        <w:rPr>
          <w:rFonts w:hint="eastAsia" w:cs="宋体" w:asciiTheme="minorEastAsia" w:hAnsiTheme="minorEastAsia"/>
          <w:kern w:val="0"/>
          <w:sz w:val="24"/>
          <w:szCs w:val="24"/>
        </w:rPr>
        <w:t>日期：</w:t>
      </w:r>
      <w:r>
        <w:rPr>
          <w:rFonts w:cs="宋体" w:asciiTheme="minorEastAsia" w:hAnsiTheme="minorEastAsia"/>
          <w:kern w:val="0"/>
          <w:sz w:val="24"/>
          <w:szCs w:val="24"/>
          <w:u w:val="single"/>
        </w:rPr>
        <w:t xml:space="preserve"> </w:t>
      </w:r>
      <w:r>
        <w:rPr>
          <w:rFonts w:hint="eastAsia" w:cs="宋体" w:asciiTheme="minorEastAsia" w:hAnsiTheme="minorEastAsia"/>
          <w:kern w:val="0"/>
          <w:sz w:val="24"/>
          <w:szCs w:val="24"/>
          <w:u w:val="single"/>
        </w:rPr>
        <w:t xml:space="preserve">       </w:t>
      </w:r>
      <w:r>
        <w:rPr>
          <w:rFonts w:hint="eastAsia" w:cs="宋体" w:asciiTheme="minorEastAsia" w:hAnsiTheme="minorEastAsia"/>
          <w:kern w:val="0"/>
          <w:sz w:val="24"/>
          <w:szCs w:val="24"/>
        </w:rPr>
        <w:t>年</w:t>
      </w:r>
      <w:r>
        <w:rPr>
          <w:rFonts w:hint="eastAsia" w:cs="宋体" w:asciiTheme="minorEastAsia" w:hAnsiTheme="minorEastAsia"/>
          <w:kern w:val="0"/>
          <w:sz w:val="24"/>
          <w:szCs w:val="24"/>
          <w:u w:val="single"/>
        </w:rPr>
        <w:t xml:space="preserve">         </w:t>
      </w:r>
      <w:r>
        <w:rPr>
          <w:rFonts w:hint="eastAsia" w:cs="宋体" w:asciiTheme="minorEastAsia" w:hAnsiTheme="minorEastAsia"/>
          <w:kern w:val="0"/>
          <w:sz w:val="24"/>
          <w:szCs w:val="24"/>
        </w:rPr>
        <w:t xml:space="preserve">月 </w:t>
      </w:r>
      <w:r>
        <w:rPr>
          <w:rFonts w:hint="eastAsia" w:cs="宋体" w:asciiTheme="minorEastAsia" w:hAnsiTheme="minorEastAsia"/>
          <w:kern w:val="0"/>
          <w:sz w:val="24"/>
          <w:szCs w:val="24"/>
          <w:u w:val="single"/>
        </w:rPr>
        <w:t xml:space="preserve">        </w:t>
      </w:r>
      <w:r>
        <w:rPr>
          <w:rFonts w:hint="eastAsia" w:cs="宋体" w:asciiTheme="minorEastAsia" w:hAnsiTheme="minorEastAsia"/>
          <w:kern w:val="0"/>
          <w:sz w:val="24"/>
          <w:szCs w:val="24"/>
        </w:rPr>
        <w:t>日</w:t>
      </w:r>
    </w:p>
    <w:p>
      <w:pPr>
        <w:widowControl/>
        <w:ind w:firstLine="482"/>
        <w:jc w:val="left"/>
        <w:rPr>
          <w:rFonts w:cs="Arial" w:asciiTheme="minorEastAsia" w:hAnsiTheme="minorEastAsia"/>
          <w:b/>
          <w:bCs/>
          <w:kern w:val="36"/>
          <w:sz w:val="24"/>
          <w:szCs w:val="24"/>
        </w:rPr>
      </w:pPr>
      <w:r>
        <w:rPr>
          <w:rFonts w:cs="Arial" w:asciiTheme="minorEastAsia" w:hAnsiTheme="minorEastAsia"/>
          <w:b/>
          <w:bCs/>
          <w:kern w:val="36"/>
          <w:sz w:val="24"/>
          <w:szCs w:val="24"/>
        </w:rPr>
        <w:br w:type="page"/>
      </w:r>
    </w:p>
    <w:p>
      <w:pPr>
        <w:autoSpaceDE w:val="0"/>
        <w:autoSpaceDN w:val="0"/>
        <w:adjustRightInd w:val="0"/>
        <w:spacing w:line="360" w:lineRule="auto"/>
        <w:ind w:firstLine="482"/>
        <w:jc w:val="center"/>
        <w:rPr>
          <w:rFonts w:cs="宋体" w:asciiTheme="minorEastAsia" w:hAnsiTheme="minorEastAsia"/>
          <w:b/>
          <w:kern w:val="0"/>
          <w:sz w:val="24"/>
          <w:szCs w:val="24"/>
        </w:rPr>
      </w:pPr>
      <w:r>
        <w:rPr>
          <w:rFonts w:hint="eastAsia" w:cs="宋体" w:asciiTheme="minorEastAsia" w:hAnsiTheme="minorEastAsia"/>
          <w:b/>
          <w:kern w:val="0"/>
          <w:sz w:val="24"/>
          <w:szCs w:val="24"/>
        </w:rPr>
        <w:t>1.3不参与围标串标承诺书</w:t>
      </w:r>
    </w:p>
    <w:p>
      <w:pPr>
        <w:autoSpaceDE w:val="0"/>
        <w:autoSpaceDN w:val="0"/>
        <w:adjustRightInd w:val="0"/>
        <w:spacing w:line="360" w:lineRule="auto"/>
        <w:ind w:firstLine="480" w:firstLineChars="200"/>
        <w:jc w:val="left"/>
        <w:rPr>
          <w:rFonts w:cs="宋体" w:asciiTheme="minorEastAsia" w:hAnsiTheme="minorEastAsia"/>
          <w:kern w:val="0"/>
          <w:sz w:val="24"/>
          <w:szCs w:val="24"/>
        </w:rPr>
      </w:pPr>
    </w:p>
    <w:p>
      <w:pPr>
        <w:autoSpaceDE w:val="0"/>
        <w:autoSpaceDN w:val="0"/>
        <w:adjustRightInd w:val="0"/>
        <w:spacing w:line="360" w:lineRule="auto"/>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本人作为经授权投标人代表，清楚知晓我单位本项目投标活动，对以下事项作出承诺:</w:t>
      </w:r>
    </w:p>
    <w:p>
      <w:pPr>
        <w:autoSpaceDE w:val="0"/>
        <w:autoSpaceDN w:val="0"/>
        <w:adjustRightInd w:val="0"/>
        <w:spacing w:line="360" w:lineRule="auto"/>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 xml:space="preserve">      一、我单位和我本人遵循公开、公平、公正、诚实守信的原则，依法依规参与本项目竞标。</w:t>
      </w:r>
    </w:p>
    <w:p>
      <w:pPr>
        <w:autoSpaceDE w:val="0"/>
        <w:autoSpaceDN w:val="0"/>
        <w:adjustRightInd w:val="0"/>
        <w:spacing w:line="360" w:lineRule="auto"/>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 xml:space="preserve">      二、我单位和我本人在本项目采购活动中，未参与围标串标。</w:t>
      </w:r>
    </w:p>
    <w:p>
      <w:pPr>
        <w:autoSpaceDE w:val="0"/>
        <w:autoSpaceDN w:val="0"/>
        <w:adjustRightInd w:val="0"/>
        <w:spacing w:line="360" w:lineRule="auto"/>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 xml:space="preserve">      三、我单位如被查实在本项目采购活动中存在围标串标行为的，递交投标文件行为作为实施串通投标违法行为的关键环节，本人承担直接责任人员法律责任，接受相应行政处罚和失信惩戒。</w:t>
      </w:r>
    </w:p>
    <w:p>
      <w:pPr>
        <w:autoSpaceDE w:val="0"/>
        <w:autoSpaceDN w:val="0"/>
        <w:adjustRightInd w:val="0"/>
        <w:jc w:val="left"/>
        <w:rPr>
          <w:rFonts w:cs="宋体" w:asciiTheme="minorEastAsia" w:hAnsiTheme="minorEastAsia"/>
          <w:kern w:val="0"/>
          <w:sz w:val="24"/>
          <w:szCs w:val="24"/>
        </w:rPr>
      </w:pPr>
    </w:p>
    <w:p>
      <w:pPr>
        <w:autoSpaceDE w:val="0"/>
        <w:autoSpaceDN w:val="0"/>
        <w:adjustRightInd w:val="0"/>
        <w:jc w:val="left"/>
        <w:rPr>
          <w:rFonts w:cs="宋体" w:asciiTheme="minorEastAsia" w:hAnsiTheme="minorEastAsia"/>
          <w:kern w:val="0"/>
          <w:sz w:val="24"/>
          <w:szCs w:val="24"/>
        </w:rPr>
      </w:pPr>
    </w:p>
    <w:p>
      <w:pPr>
        <w:autoSpaceDE w:val="0"/>
        <w:autoSpaceDN w:val="0"/>
        <w:adjustRightInd w:val="0"/>
        <w:jc w:val="left"/>
        <w:rPr>
          <w:rFonts w:cs="宋体" w:asciiTheme="minorEastAsia" w:hAnsiTheme="minorEastAsia"/>
          <w:kern w:val="0"/>
          <w:sz w:val="24"/>
          <w:szCs w:val="24"/>
        </w:rPr>
      </w:pPr>
    </w:p>
    <w:p>
      <w:pPr>
        <w:autoSpaceDE w:val="0"/>
        <w:autoSpaceDN w:val="0"/>
        <w:adjustRightInd w:val="0"/>
        <w:jc w:val="left"/>
        <w:rPr>
          <w:rFonts w:cs="宋体" w:asciiTheme="minorEastAsia" w:hAnsiTheme="minorEastAsia"/>
          <w:kern w:val="0"/>
          <w:sz w:val="24"/>
          <w:szCs w:val="24"/>
        </w:rPr>
      </w:pPr>
    </w:p>
    <w:p>
      <w:pPr>
        <w:autoSpaceDE w:val="0"/>
        <w:autoSpaceDN w:val="0"/>
        <w:adjustRightInd w:val="0"/>
        <w:jc w:val="left"/>
        <w:rPr>
          <w:rFonts w:cs="宋体" w:asciiTheme="minorEastAsia" w:hAnsiTheme="minorEastAsia"/>
          <w:kern w:val="0"/>
          <w:sz w:val="24"/>
          <w:szCs w:val="24"/>
        </w:rPr>
      </w:pPr>
    </w:p>
    <w:p>
      <w:pPr>
        <w:autoSpaceDE w:val="0"/>
        <w:autoSpaceDN w:val="0"/>
        <w:adjustRightInd w:val="0"/>
        <w:jc w:val="left"/>
        <w:rPr>
          <w:rFonts w:cs="宋体" w:asciiTheme="minorEastAsia" w:hAnsiTheme="minorEastAsia"/>
          <w:kern w:val="0"/>
          <w:sz w:val="24"/>
          <w:szCs w:val="24"/>
        </w:rPr>
      </w:pPr>
    </w:p>
    <w:p>
      <w:pPr>
        <w:autoSpaceDE w:val="0"/>
        <w:autoSpaceDN w:val="0"/>
        <w:adjustRightInd w:val="0"/>
        <w:jc w:val="left"/>
        <w:rPr>
          <w:rFonts w:cs="宋体" w:asciiTheme="minorEastAsia" w:hAnsiTheme="minorEastAsia"/>
          <w:kern w:val="0"/>
          <w:sz w:val="24"/>
          <w:szCs w:val="24"/>
        </w:rPr>
      </w:pPr>
    </w:p>
    <w:p>
      <w:pPr>
        <w:autoSpaceDE w:val="0"/>
        <w:autoSpaceDN w:val="0"/>
        <w:adjustRightInd w:val="0"/>
        <w:jc w:val="left"/>
        <w:rPr>
          <w:rFonts w:cs="宋体" w:asciiTheme="minorEastAsia" w:hAnsiTheme="minorEastAsia"/>
          <w:kern w:val="0"/>
          <w:sz w:val="24"/>
          <w:szCs w:val="24"/>
        </w:rPr>
      </w:pPr>
    </w:p>
    <w:p>
      <w:pPr>
        <w:autoSpaceDE w:val="0"/>
        <w:autoSpaceDN w:val="0"/>
        <w:adjustRightInd w:val="0"/>
        <w:jc w:val="left"/>
        <w:rPr>
          <w:rFonts w:cs="宋体" w:asciiTheme="minorEastAsia" w:hAnsiTheme="minorEastAsia"/>
          <w:kern w:val="0"/>
          <w:sz w:val="24"/>
          <w:szCs w:val="24"/>
          <w:u w:val="single"/>
        </w:rPr>
      </w:pPr>
      <w:r>
        <w:rPr>
          <w:rFonts w:hint="eastAsia" w:cs="宋体" w:asciiTheme="minorEastAsia" w:hAnsiTheme="minorEastAsia"/>
          <w:kern w:val="0"/>
          <w:sz w:val="24"/>
          <w:szCs w:val="24"/>
        </w:rPr>
        <w:t>投标人：</w:t>
      </w:r>
      <w:r>
        <w:rPr>
          <w:rFonts w:hint="eastAsia" w:cs="宋体" w:asciiTheme="minorEastAsia" w:hAnsiTheme="minorEastAsia"/>
          <w:kern w:val="0"/>
          <w:sz w:val="24"/>
          <w:szCs w:val="24"/>
          <w:u w:val="single"/>
        </w:rPr>
        <w:t xml:space="preserve">         </w:t>
      </w:r>
      <w:r>
        <w:rPr>
          <w:rFonts w:hint="eastAsia" w:cs="宋体" w:asciiTheme="minorEastAsia" w:hAnsiTheme="minorEastAsia"/>
          <w:kern w:val="0"/>
          <w:sz w:val="24"/>
          <w:szCs w:val="24"/>
        </w:rPr>
        <w:t>（盖章）</w:t>
      </w:r>
    </w:p>
    <w:p>
      <w:pPr>
        <w:autoSpaceDE w:val="0"/>
        <w:autoSpaceDN w:val="0"/>
        <w:adjustRightInd w:val="0"/>
        <w:jc w:val="left"/>
        <w:rPr>
          <w:rFonts w:cs="宋体" w:asciiTheme="minorEastAsia" w:hAnsiTheme="minorEastAsia"/>
          <w:kern w:val="0"/>
          <w:sz w:val="24"/>
          <w:szCs w:val="24"/>
        </w:rPr>
      </w:pPr>
    </w:p>
    <w:p>
      <w:pPr>
        <w:autoSpaceDE w:val="0"/>
        <w:autoSpaceDN w:val="0"/>
        <w:adjustRightInd w:val="0"/>
        <w:jc w:val="left"/>
        <w:rPr>
          <w:rFonts w:cs="宋体" w:asciiTheme="minorEastAsia" w:hAnsiTheme="minorEastAsia"/>
          <w:kern w:val="0"/>
          <w:sz w:val="24"/>
          <w:szCs w:val="24"/>
        </w:rPr>
      </w:pPr>
    </w:p>
    <w:p>
      <w:pPr>
        <w:autoSpaceDE w:val="0"/>
        <w:autoSpaceDN w:val="0"/>
        <w:adjustRightInd w:val="0"/>
        <w:jc w:val="left"/>
        <w:rPr>
          <w:rFonts w:cs="宋体" w:asciiTheme="minorEastAsia" w:hAnsiTheme="minorEastAsia"/>
          <w:kern w:val="0"/>
          <w:sz w:val="24"/>
          <w:szCs w:val="24"/>
          <w:u w:val="single"/>
        </w:rPr>
      </w:pPr>
      <w:r>
        <w:rPr>
          <w:rFonts w:hint="eastAsia" w:cs="宋体" w:asciiTheme="minorEastAsia" w:hAnsiTheme="minorEastAsia"/>
          <w:kern w:val="0"/>
          <w:sz w:val="24"/>
          <w:szCs w:val="24"/>
        </w:rPr>
        <w:t>法定代表人：</w:t>
      </w:r>
      <w:r>
        <w:rPr>
          <w:rFonts w:hint="eastAsia" w:cs="宋体" w:asciiTheme="minorEastAsia" w:hAnsiTheme="minorEastAsia"/>
          <w:kern w:val="0"/>
          <w:sz w:val="24"/>
          <w:szCs w:val="24"/>
          <w:u w:val="single"/>
        </w:rPr>
        <w:t xml:space="preserve">      </w:t>
      </w:r>
      <w:r>
        <w:rPr>
          <w:rFonts w:hint="eastAsia" w:cs="宋体" w:asciiTheme="minorEastAsia" w:hAnsiTheme="minorEastAsia"/>
          <w:kern w:val="0"/>
          <w:sz w:val="24"/>
          <w:szCs w:val="24"/>
        </w:rPr>
        <w:t>（盖章）</w:t>
      </w:r>
    </w:p>
    <w:p>
      <w:pPr>
        <w:autoSpaceDE w:val="0"/>
        <w:autoSpaceDN w:val="0"/>
        <w:adjustRightInd w:val="0"/>
        <w:jc w:val="left"/>
        <w:rPr>
          <w:rFonts w:cs="宋体" w:asciiTheme="minorEastAsia" w:hAnsiTheme="minorEastAsia"/>
          <w:kern w:val="0"/>
          <w:sz w:val="24"/>
          <w:szCs w:val="24"/>
        </w:rPr>
      </w:pPr>
      <w:r>
        <w:rPr>
          <w:rFonts w:hint="eastAsia" w:cs="宋体" w:asciiTheme="minorEastAsia" w:hAnsiTheme="minorEastAsia"/>
          <w:kern w:val="0"/>
          <w:sz w:val="24"/>
          <w:szCs w:val="24"/>
        </w:rPr>
        <w:t xml:space="preserve">                                      </w:t>
      </w:r>
    </w:p>
    <w:p>
      <w:pPr>
        <w:autoSpaceDE w:val="0"/>
        <w:autoSpaceDN w:val="0"/>
        <w:adjustRightInd w:val="0"/>
        <w:jc w:val="left"/>
        <w:rPr>
          <w:rFonts w:cs="宋体" w:asciiTheme="minorEastAsia" w:hAnsiTheme="minorEastAsia"/>
          <w:kern w:val="0"/>
          <w:sz w:val="24"/>
          <w:szCs w:val="24"/>
        </w:rPr>
      </w:pPr>
    </w:p>
    <w:p>
      <w:pPr>
        <w:autoSpaceDE w:val="0"/>
        <w:autoSpaceDN w:val="0"/>
        <w:adjustRightInd w:val="0"/>
        <w:jc w:val="left"/>
        <w:rPr>
          <w:rFonts w:cs="Arial" w:asciiTheme="minorEastAsia" w:hAnsiTheme="minorEastAsia"/>
          <w:kern w:val="0"/>
          <w:sz w:val="24"/>
          <w:szCs w:val="24"/>
        </w:rPr>
      </w:pPr>
      <w:r>
        <w:rPr>
          <w:rFonts w:hint="eastAsia" w:cs="宋体" w:asciiTheme="minorEastAsia" w:hAnsiTheme="minorEastAsia"/>
          <w:kern w:val="0"/>
          <w:sz w:val="24"/>
          <w:szCs w:val="24"/>
        </w:rPr>
        <w:t>日期：</w:t>
      </w:r>
      <w:r>
        <w:rPr>
          <w:rFonts w:cs="宋体" w:asciiTheme="minorEastAsia" w:hAnsiTheme="minorEastAsia"/>
          <w:kern w:val="0"/>
          <w:sz w:val="24"/>
          <w:szCs w:val="24"/>
          <w:u w:val="single"/>
        </w:rPr>
        <w:t xml:space="preserve"> </w:t>
      </w:r>
      <w:r>
        <w:rPr>
          <w:rFonts w:hint="eastAsia" w:cs="宋体" w:asciiTheme="minorEastAsia" w:hAnsiTheme="minorEastAsia"/>
          <w:kern w:val="0"/>
          <w:sz w:val="24"/>
          <w:szCs w:val="24"/>
          <w:u w:val="single"/>
        </w:rPr>
        <w:t xml:space="preserve">       </w:t>
      </w:r>
      <w:r>
        <w:rPr>
          <w:rFonts w:hint="eastAsia" w:cs="宋体" w:asciiTheme="minorEastAsia" w:hAnsiTheme="minorEastAsia"/>
          <w:kern w:val="0"/>
          <w:sz w:val="24"/>
          <w:szCs w:val="24"/>
        </w:rPr>
        <w:t>年</w:t>
      </w:r>
      <w:r>
        <w:rPr>
          <w:rFonts w:hint="eastAsia" w:cs="宋体" w:asciiTheme="minorEastAsia" w:hAnsiTheme="minorEastAsia"/>
          <w:kern w:val="0"/>
          <w:sz w:val="24"/>
          <w:szCs w:val="24"/>
          <w:u w:val="single"/>
        </w:rPr>
        <w:t xml:space="preserve">         </w:t>
      </w:r>
      <w:r>
        <w:rPr>
          <w:rFonts w:hint="eastAsia" w:cs="宋体" w:asciiTheme="minorEastAsia" w:hAnsiTheme="minorEastAsia"/>
          <w:kern w:val="0"/>
          <w:sz w:val="24"/>
          <w:szCs w:val="24"/>
        </w:rPr>
        <w:t xml:space="preserve">月 </w:t>
      </w:r>
      <w:r>
        <w:rPr>
          <w:rFonts w:hint="eastAsia" w:cs="宋体" w:asciiTheme="minorEastAsia" w:hAnsiTheme="minorEastAsia"/>
          <w:kern w:val="0"/>
          <w:sz w:val="24"/>
          <w:szCs w:val="24"/>
          <w:u w:val="single"/>
        </w:rPr>
        <w:t xml:space="preserve">        </w:t>
      </w:r>
      <w:r>
        <w:rPr>
          <w:rFonts w:hint="eastAsia" w:cs="宋体" w:asciiTheme="minorEastAsia" w:hAnsiTheme="minorEastAsia"/>
          <w:kern w:val="0"/>
          <w:sz w:val="24"/>
          <w:szCs w:val="24"/>
        </w:rPr>
        <w:t>日</w:t>
      </w:r>
    </w:p>
    <w:p>
      <w:pPr>
        <w:ind w:firstLine="482"/>
        <w:rPr>
          <w:rFonts w:cs="宋体" w:asciiTheme="minorEastAsia" w:hAnsiTheme="minorEastAsia"/>
          <w:b/>
          <w:sz w:val="24"/>
          <w:szCs w:val="24"/>
        </w:rPr>
      </w:pPr>
      <w:r>
        <w:rPr>
          <w:rFonts w:hint="eastAsia" w:cs="宋体" w:asciiTheme="minorEastAsia" w:hAnsiTheme="minorEastAsia"/>
          <w:b/>
          <w:sz w:val="24"/>
          <w:szCs w:val="24"/>
        </w:rPr>
        <w:br w:type="page"/>
      </w:r>
    </w:p>
    <w:p>
      <w:pPr>
        <w:tabs>
          <w:tab w:val="center" w:pos="4832"/>
          <w:tab w:val="left" w:pos="7140"/>
        </w:tabs>
        <w:ind w:firstLine="482"/>
        <w:jc w:val="center"/>
        <w:outlineLvl w:val="1"/>
        <w:rPr>
          <w:rFonts w:cs="宋体" w:asciiTheme="minorEastAsia" w:hAnsiTheme="minorEastAsia"/>
          <w:b/>
          <w:sz w:val="24"/>
          <w:szCs w:val="24"/>
        </w:rPr>
      </w:pPr>
      <w:bookmarkStart w:id="81" w:name="_Toc11816"/>
      <w:r>
        <w:rPr>
          <w:rFonts w:hint="eastAsia" w:cs="宋体" w:asciiTheme="minorEastAsia" w:hAnsiTheme="minorEastAsia"/>
          <w:b/>
          <w:sz w:val="24"/>
          <w:szCs w:val="24"/>
        </w:rPr>
        <w:t>二、开标一览表</w:t>
      </w:r>
      <w:bookmarkEnd w:id="81"/>
    </w:p>
    <w:p>
      <w:pPr>
        <w:spacing w:line="360" w:lineRule="auto"/>
        <w:ind w:left="424" w:leftChars="202"/>
        <w:rPr>
          <w:rFonts w:cs="宋体" w:asciiTheme="minorEastAsia" w:hAnsiTheme="minorEastAsia"/>
          <w:sz w:val="24"/>
          <w:szCs w:val="24"/>
        </w:rPr>
      </w:pPr>
    </w:p>
    <w:p>
      <w:pPr>
        <w:spacing w:line="360" w:lineRule="auto"/>
        <w:ind w:left="424" w:leftChars="202"/>
        <w:rPr>
          <w:rFonts w:cs="宋体" w:asciiTheme="minorEastAsia" w:hAnsiTheme="minorEastAsia"/>
          <w:sz w:val="24"/>
          <w:szCs w:val="24"/>
          <w:u w:val="single"/>
        </w:rPr>
      </w:pPr>
      <w:r>
        <w:rPr>
          <w:rFonts w:hint="eastAsia" w:cs="宋体" w:asciiTheme="minorEastAsia" w:hAnsiTheme="minorEastAsia"/>
          <w:sz w:val="24"/>
          <w:szCs w:val="24"/>
        </w:rPr>
        <w:t>项目名称：</w:t>
      </w:r>
    </w:p>
    <w:tbl>
      <w:tblPr>
        <w:tblStyle w:val="34"/>
        <w:tblW w:w="9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3"/>
        <w:gridCol w:w="2205"/>
        <w:gridCol w:w="5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vAlign w:val="center"/>
          </w:tcPr>
          <w:p>
            <w:pPr>
              <w:autoSpaceDE w:val="0"/>
              <w:autoSpaceDN w:val="0"/>
              <w:adjustRightInd w:val="0"/>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序号</w:t>
            </w:r>
          </w:p>
        </w:tc>
        <w:tc>
          <w:tcPr>
            <w:tcW w:w="2205" w:type="dxa"/>
            <w:vAlign w:val="center"/>
          </w:tcPr>
          <w:p>
            <w:pPr>
              <w:autoSpaceDE w:val="0"/>
              <w:autoSpaceDN w:val="0"/>
              <w:adjustRightInd w:val="0"/>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项目</w:t>
            </w:r>
          </w:p>
        </w:tc>
        <w:tc>
          <w:tcPr>
            <w:tcW w:w="5880" w:type="dxa"/>
            <w:vAlign w:val="center"/>
          </w:tcPr>
          <w:p>
            <w:pPr>
              <w:autoSpaceDE w:val="0"/>
              <w:autoSpaceDN w:val="0"/>
              <w:adjustRightInd w:val="0"/>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vAlign w:val="center"/>
          </w:tcPr>
          <w:p>
            <w:pPr>
              <w:autoSpaceDE w:val="0"/>
              <w:autoSpaceDN w:val="0"/>
              <w:adjustRightInd w:val="0"/>
              <w:spacing w:line="360" w:lineRule="auto"/>
              <w:jc w:val="center"/>
              <w:rPr>
                <w:rFonts w:cs="宋体" w:asciiTheme="minorEastAsia" w:hAnsiTheme="minorEastAsia"/>
                <w:kern w:val="0"/>
                <w:sz w:val="24"/>
                <w:szCs w:val="24"/>
              </w:rPr>
            </w:pPr>
            <w:r>
              <w:rPr>
                <w:rFonts w:cs="宋体" w:asciiTheme="minorEastAsia" w:hAnsiTheme="minorEastAsia"/>
                <w:kern w:val="0"/>
                <w:sz w:val="24"/>
                <w:szCs w:val="24"/>
              </w:rPr>
              <w:t>1</w:t>
            </w:r>
          </w:p>
        </w:tc>
        <w:tc>
          <w:tcPr>
            <w:tcW w:w="2205" w:type="dxa"/>
            <w:vAlign w:val="center"/>
          </w:tcPr>
          <w:p>
            <w:pPr>
              <w:autoSpaceDE w:val="0"/>
              <w:autoSpaceDN w:val="0"/>
              <w:adjustRightInd w:val="0"/>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投标报价（元）</w:t>
            </w:r>
          </w:p>
        </w:tc>
        <w:tc>
          <w:tcPr>
            <w:tcW w:w="5880" w:type="dxa"/>
            <w:vAlign w:val="center"/>
          </w:tcPr>
          <w:p>
            <w:pPr>
              <w:autoSpaceDE w:val="0"/>
              <w:autoSpaceDN w:val="0"/>
              <w:adjustRightInd w:val="0"/>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大写：</w:t>
            </w:r>
            <w:r>
              <w:rPr>
                <w:rFonts w:hint="eastAsia" w:cs="宋体" w:asciiTheme="minorEastAsia" w:hAnsiTheme="minorEastAsia"/>
                <w:kern w:val="0"/>
                <w:sz w:val="24"/>
                <w:szCs w:val="24"/>
                <w:u w:val="single"/>
              </w:rPr>
              <w:t xml:space="preserve">                           </w:t>
            </w:r>
            <w:r>
              <w:rPr>
                <w:rFonts w:hint="eastAsia" w:cs="宋体" w:asciiTheme="minorEastAsia" w:hAnsiTheme="minorEastAsia"/>
                <w:kern w:val="0"/>
                <w:sz w:val="24"/>
                <w:szCs w:val="24"/>
              </w:rPr>
              <w:t>；</w:t>
            </w:r>
          </w:p>
          <w:p>
            <w:pPr>
              <w:autoSpaceDE w:val="0"/>
              <w:autoSpaceDN w:val="0"/>
              <w:adjustRightInd w:val="0"/>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小写：</w:t>
            </w:r>
            <w:r>
              <w:rPr>
                <w:rFonts w:hint="eastAsia" w:cs="宋体" w:asciiTheme="minorEastAsia" w:hAnsiTheme="minorEastAsia"/>
                <w:kern w:val="0"/>
                <w:sz w:val="24"/>
                <w:szCs w:val="24"/>
                <w:u w:val="single"/>
              </w:rPr>
              <w:t xml:space="preserve">                           </w:t>
            </w:r>
            <w:r>
              <w:rPr>
                <w:rFonts w:hint="eastAsia" w:cs="宋体" w:asciiTheme="minorEastAsia" w:hAnsiTheme="minorEastAsia"/>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9138" w:type="dxa"/>
            <w:gridSpan w:val="3"/>
            <w:vAlign w:val="center"/>
          </w:tcPr>
          <w:p>
            <w:pPr>
              <w:autoSpaceDE w:val="0"/>
              <w:autoSpaceDN w:val="0"/>
              <w:adjustRightInd w:val="0"/>
              <w:spacing w:line="360" w:lineRule="auto"/>
              <w:rPr>
                <w:rFonts w:cs="宋体" w:asciiTheme="minorEastAsia" w:hAnsiTheme="minorEastAsia"/>
                <w:kern w:val="0"/>
                <w:sz w:val="24"/>
                <w:szCs w:val="24"/>
                <w:u w:val="single"/>
              </w:rPr>
            </w:pPr>
            <w:r>
              <w:rPr>
                <w:rFonts w:hint="eastAsia" w:cs="Arial" w:asciiTheme="minorEastAsia" w:hAnsiTheme="minorEastAsia"/>
                <w:kern w:val="0"/>
                <w:sz w:val="24"/>
                <w:szCs w:val="24"/>
              </w:rPr>
              <w:t>服务周期：</w:t>
            </w:r>
            <w:r>
              <w:rPr>
                <w:rFonts w:hint="eastAsia" w:cs="仿宋" w:asciiTheme="minorEastAsia" w:hAnsiTheme="minorEastAsia"/>
                <w:color w:val="auto"/>
                <w:sz w:val="24"/>
                <w:szCs w:val="24"/>
                <w:u w:val="none"/>
              </w:rPr>
              <w:t>1年（服务开始时间2024年1月，绿化养护在年底考核，考核通过后，续签下一年合同，中标通知书有效期三年。）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9138" w:type="dxa"/>
            <w:gridSpan w:val="3"/>
            <w:vAlign w:val="center"/>
          </w:tcPr>
          <w:p>
            <w:pPr>
              <w:autoSpaceDE w:val="0"/>
              <w:autoSpaceDN w:val="0"/>
              <w:adjustRightInd w:val="0"/>
              <w:spacing w:line="360" w:lineRule="auto"/>
              <w:rPr>
                <w:rFonts w:cs="宋体" w:asciiTheme="minorEastAsia" w:hAnsiTheme="minorEastAsia"/>
                <w:kern w:val="0"/>
                <w:sz w:val="24"/>
                <w:szCs w:val="24"/>
              </w:rPr>
            </w:pPr>
            <w:r>
              <w:rPr>
                <w:rFonts w:hint="eastAsia" w:cs="宋体" w:asciiTheme="minorEastAsia" w:hAnsiTheme="minorEastAsia"/>
                <w:kern w:val="0"/>
                <w:sz w:val="24"/>
                <w:szCs w:val="24"/>
              </w:rPr>
              <w:t>备注：</w:t>
            </w:r>
          </w:p>
        </w:tc>
      </w:tr>
    </w:tbl>
    <w:p>
      <w:pPr>
        <w:autoSpaceDE w:val="0"/>
        <w:autoSpaceDN w:val="0"/>
        <w:adjustRightInd w:val="0"/>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注：</w:t>
      </w:r>
      <w:r>
        <w:rPr>
          <w:rFonts w:cs="宋体" w:asciiTheme="minorEastAsia" w:hAnsiTheme="minorEastAsia"/>
          <w:kern w:val="0"/>
          <w:sz w:val="24"/>
          <w:szCs w:val="24"/>
        </w:rPr>
        <w:t>1.</w:t>
      </w:r>
      <w:r>
        <w:rPr>
          <w:rFonts w:hint="eastAsia" w:cs="宋体" w:asciiTheme="minorEastAsia" w:hAnsiTheme="minorEastAsia"/>
          <w:kern w:val="0"/>
          <w:sz w:val="24"/>
          <w:szCs w:val="24"/>
        </w:rPr>
        <w:t>表中大小写不一致时，以大写为准。</w:t>
      </w:r>
    </w:p>
    <w:p>
      <w:pPr>
        <w:autoSpaceDE w:val="0"/>
        <w:autoSpaceDN w:val="0"/>
        <w:adjustRightInd w:val="0"/>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lang w:val="en-US" w:eastAsia="zh-CN"/>
        </w:rPr>
        <w:t>2</w:t>
      </w:r>
      <w:r>
        <w:rPr>
          <w:rFonts w:cs="宋体" w:asciiTheme="minorEastAsia" w:hAnsiTheme="minorEastAsia"/>
          <w:kern w:val="0"/>
          <w:sz w:val="24"/>
          <w:szCs w:val="24"/>
        </w:rPr>
        <w:t>.</w:t>
      </w:r>
      <w:r>
        <w:rPr>
          <w:rFonts w:hint="eastAsia" w:cs="宋体" w:asciiTheme="minorEastAsia" w:hAnsiTheme="minorEastAsia"/>
          <w:kern w:val="0"/>
          <w:sz w:val="24"/>
          <w:szCs w:val="24"/>
        </w:rPr>
        <w:t>投标报价为完成本次采购项目内的所有内容的一切相关费用。可根据需要附报价明细。</w:t>
      </w:r>
    </w:p>
    <w:p>
      <w:pPr>
        <w:spacing w:line="360" w:lineRule="auto"/>
        <w:rPr>
          <w:rFonts w:cs="宋体" w:asciiTheme="minorEastAsia" w:hAnsiTheme="minorEastAsia"/>
          <w:kern w:val="0"/>
          <w:sz w:val="24"/>
          <w:szCs w:val="24"/>
        </w:rPr>
      </w:pPr>
      <w:r>
        <w:rPr>
          <w:rFonts w:hint="eastAsia" w:cs="宋体" w:asciiTheme="minorEastAsia" w:hAnsiTheme="minorEastAsia"/>
          <w:kern w:val="0"/>
          <w:sz w:val="24"/>
          <w:szCs w:val="24"/>
          <w:lang w:val="en-US" w:eastAsia="zh-CN"/>
        </w:rPr>
        <w:t>3</w:t>
      </w:r>
      <w:bookmarkStart w:id="113" w:name="_GoBack"/>
      <w:bookmarkEnd w:id="113"/>
      <w:r>
        <w:rPr>
          <w:rFonts w:cs="宋体" w:asciiTheme="minorEastAsia" w:hAnsiTheme="minorEastAsia"/>
          <w:kern w:val="0"/>
          <w:sz w:val="24"/>
          <w:szCs w:val="24"/>
        </w:rPr>
        <w:t>.</w:t>
      </w:r>
      <w:r>
        <w:rPr>
          <w:rFonts w:hint="eastAsia" w:cs="宋体" w:asciiTheme="minorEastAsia" w:hAnsiTheme="minorEastAsia"/>
          <w:kern w:val="0"/>
          <w:sz w:val="24"/>
          <w:szCs w:val="24"/>
        </w:rPr>
        <w:t>本表中“投标总报价”必须与《投标函》中的“投标价格”均保持一致，如不一致，以《开标一览表》为准。</w:t>
      </w:r>
    </w:p>
    <w:p>
      <w:pPr>
        <w:widowControl/>
        <w:shd w:val="clear" w:color="auto" w:fill="FFFFFF"/>
        <w:snapToGrid w:val="0"/>
        <w:spacing w:line="384" w:lineRule="auto"/>
        <w:jc w:val="left"/>
        <w:rPr>
          <w:rFonts w:cs="Arial" w:asciiTheme="minorEastAsia" w:hAnsiTheme="minorEastAsia"/>
          <w:kern w:val="0"/>
          <w:sz w:val="24"/>
          <w:szCs w:val="24"/>
        </w:rPr>
      </w:pPr>
    </w:p>
    <w:p>
      <w:pPr>
        <w:widowControl/>
        <w:shd w:val="clear" w:color="auto" w:fill="FFFFFF"/>
        <w:snapToGrid w:val="0"/>
        <w:spacing w:line="384" w:lineRule="auto"/>
        <w:jc w:val="left"/>
        <w:rPr>
          <w:rFonts w:cs="Arial" w:asciiTheme="minorEastAsia" w:hAnsiTheme="minorEastAsia"/>
          <w:kern w:val="0"/>
          <w:sz w:val="24"/>
          <w:szCs w:val="24"/>
        </w:rPr>
      </w:pPr>
    </w:p>
    <w:p>
      <w:pPr>
        <w:widowControl/>
        <w:shd w:val="clear" w:color="auto" w:fill="FFFFFF"/>
        <w:snapToGrid w:val="0"/>
        <w:spacing w:line="384" w:lineRule="auto"/>
        <w:jc w:val="left"/>
        <w:rPr>
          <w:rFonts w:cs="Arial" w:asciiTheme="minorEastAsia" w:hAnsiTheme="minorEastAsia"/>
          <w:kern w:val="0"/>
          <w:sz w:val="24"/>
          <w:szCs w:val="24"/>
        </w:rPr>
      </w:pPr>
      <w:r>
        <w:rPr>
          <w:rFonts w:hint="eastAsia" w:cs="Arial" w:asciiTheme="minorEastAsia" w:hAnsiTheme="minorEastAsia"/>
          <w:kern w:val="0"/>
          <w:sz w:val="24"/>
          <w:szCs w:val="24"/>
        </w:rPr>
        <w:t>投标人：（盖章）</w:t>
      </w:r>
    </w:p>
    <w:p>
      <w:pPr>
        <w:widowControl/>
        <w:shd w:val="clear" w:color="auto" w:fill="FFFFFF"/>
        <w:snapToGrid w:val="0"/>
        <w:spacing w:line="384" w:lineRule="auto"/>
        <w:jc w:val="left"/>
        <w:rPr>
          <w:rFonts w:cs="Arial" w:asciiTheme="minorEastAsia" w:hAnsiTheme="minorEastAsia"/>
          <w:kern w:val="0"/>
          <w:sz w:val="24"/>
          <w:szCs w:val="24"/>
        </w:rPr>
      </w:pPr>
    </w:p>
    <w:p>
      <w:pPr>
        <w:widowControl/>
        <w:shd w:val="clear" w:color="auto" w:fill="FFFFFF"/>
        <w:snapToGrid w:val="0"/>
        <w:spacing w:line="384" w:lineRule="auto"/>
        <w:jc w:val="left"/>
        <w:rPr>
          <w:rFonts w:cs="Arial" w:asciiTheme="minorEastAsia" w:hAnsiTheme="minorEastAsia"/>
          <w:kern w:val="0"/>
          <w:sz w:val="24"/>
          <w:szCs w:val="24"/>
        </w:rPr>
      </w:pPr>
      <w:r>
        <w:rPr>
          <w:rFonts w:hint="eastAsia" w:cs="Arial" w:asciiTheme="minorEastAsia" w:hAnsiTheme="minorEastAsia"/>
          <w:kern w:val="0"/>
          <w:sz w:val="24"/>
          <w:szCs w:val="24"/>
        </w:rPr>
        <w:t>法定代表人：（盖章）</w:t>
      </w:r>
    </w:p>
    <w:p>
      <w:pPr>
        <w:widowControl/>
        <w:shd w:val="clear" w:color="auto" w:fill="FFFFFF"/>
        <w:wordWrap w:val="0"/>
        <w:snapToGrid w:val="0"/>
        <w:spacing w:line="384" w:lineRule="auto"/>
        <w:ind w:firstLine="480"/>
        <w:jc w:val="right"/>
        <w:rPr>
          <w:rFonts w:cs="Arial" w:asciiTheme="minorEastAsia" w:hAnsiTheme="minorEastAsia"/>
          <w:kern w:val="0"/>
          <w:sz w:val="24"/>
          <w:szCs w:val="24"/>
        </w:rPr>
      </w:pPr>
      <w:r>
        <w:rPr>
          <w:rFonts w:hint="eastAsia" w:cs="Arial" w:asciiTheme="minorEastAsia" w:hAnsiTheme="minorEastAsia"/>
          <w:kern w:val="0"/>
          <w:sz w:val="24"/>
          <w:szCs w:val="24"/>
        </w:rPr>
        <w:t>日期：年月日</w:t>
      </w:r>
    </w:p>
    <w:p>
      <w:pPr>
        <w:spacing w:line="360" w:lineRule="auto"/>
        <w:rPr>
          <w:rFonts w:cs="宋体" w:asciiTheme="minorEastAsia" w:hAnsiTheme="minorEastAsia"/>
          <w:kern w:val="0"/>
          <w:sz w:val="24"/>
          <w:szCs w:val="24"/>
        </w:rPr>
      </w:pPr>
    </w:p>
    <w:p>
      <w:pPr>
        <w:spacing w:line="360" w:lineRule="auto"/>
        <w:ind w:left="424" w:leftChars="202"/>
        <w:rPr>
          <w:rFonts w:cs="宋体" w:asciiTheme="minorEastAsia" w:hAnsiTheme="minorEastAsia"/>
          <w:sz w:val="24"/>
          <w:szCs w:val="24"/>
        </w:rPr>
      </w:pPr>
    </w:p>
    <w:p>
      <w:pPr>
        <w:widowControl/>
        <w:shd w:val="clear" w:color="auto" w:fill="FFFFFF"/>
        <w:snapToGrid w:val="0"/>
        <w:spacing w:line="360" w:lineRule="auto"/>
        <w:ind w:firstLine="480"/>
        <w:jc w:val="center"/>
        <w:rPr>
          <w:rFonts w:cs="Arial" w:asciiTheme="minorEastAsia" w:hAnsiTheme="minorEastAsia"/>
          <w:kern w:val="0"/>
          <w:sz w:val="24"/>
          <w:szCs w:val="24"/>
        </w:rPr>
      </w:pPr>
    </w:p>
    <w:p>
      <w:pPr>
        <w:widowControl/>
        <w:ind w:firstLine="482"/>
        <w:jc w:val="left"/>
        <w:rPr>
          <w:rFonts w:cs="宋体" w:asciiTheme="minorEastAsia" w:hAnsiTheme="minorEastAsia"/>
          <w:b/>
          <w:sz w:val="24"/>
          <w:szCs w:val="24"/>
        </w:rPr>
      </w:pPr>
    </w:p>
    <w:p>
      <w:pPr>
        <w:widowControl/>
        <w:ind w:firstLine="482"/>
        <w:jc w:val="left"/>
        <w:rPr>
          <w:rFonts w:cs="宋体" w:asciiTheme="minorEastAsia" w:hAnsiTheme="minorEastAsia"/>
          <w:b/>
          <w:sz w:val="24"/>
          <w:szCs w:val="24"/>
        </w:rPr>
      </w:pPr>
      <w:r>
        <w:rPr>
          <w:rFonts w:cs="宋体" w:asciiTheme="minorEastAsia" w:hAnsiTheme="minorEastAsia"/>
          <w:b/>
          <w:sz w:val="24"/>
          <w:szCs w:val="24"/>
        </w:rPr>
        <w:br w:type="page"/>
      </w:r>
    </w:p>
    <w:p>
      <w:pPr>
        <w:tabs>
          <w:tab w:val="center" w:pos="4832"/>
          <w:tab w:val="left" w:pos="7140"/>
        </w:tabs>
        <w:ind w:firstLine="482"/>
        <w:jc w:val="center"/>
        <w:rPr>
          <w:rFonts w:cs="宋体" w:asciiTheme="minorEastAsia" w:hAnsiTheme="minorEastAsia"/>
          <w:b/>
          <w:sz w:val="24"/>
          <w:szCs w:val="24"/>
        </w:rPr>
      </w:pPr>
      <w:r>
        <w:rPr>
          <w:rFonts w:hint="eastAsia" w:cs="宋体" w:asciiTheme="minorEastAsia" w:hAnsiTheme="minorEastAsia"/>
          <w:b/>
          <w:sz w:val="24"/>
          <w:szCs w:val="24"/>
        </w:rPr>
        <w:t>2.2、投标价格明细表</w:t>
      </w:r>
    </w:p>
    <w:tbl>
      <w:tblPr>
        <w:tblStyle w:val="34"/>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17"/>
        <w:gridCol w:w="1536"/>
        <w:gridCol w:w="997"/>
        <w:gridCol w:w="983"/>
        <w:gridCol w:w="1173"/>
        <w:gridCol w:w="1118"/>
        <w:gridCol w:w="1350"/>
        <w:gridCol w:w="12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9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序号</w:t>
            </w:r>
          </w:p>
        </w:tc>
        <w:tc>
          <w:tcPr>
            <w:tcW w:w="82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分项名称</w:t>
            </w:r>
          </w:p>
        </w:tc>
        <w:tc>
          <w:tcPr>
            <w:tcW w:w="10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长度</w:t>
            </w:r>
          </w:p>
        </w:tc>
        <w:tc>
          <w:tcPr>
            <w:tcW w:w="63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面积m²</w:t>
            </w:r>
          </w:p>
        </w:tc>
        <w:tc>
          <w:tcPr>
            <w:tcW w:w="6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全费用综合单价（元/m²/年）</w:t>
            </w:r>
          </w:p>
        </w:tc>
        <w:tc>
          <w:tcPr>
            <w:tcW w:w="7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合价（元/年）</w:t>
            </w:r>
          </w:p>
        </w:tc>
        <w:tc>
          <w:tcPr>
            <w:tcW w:w="65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养护等级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东（南）</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西（北）</w:t>
            </w:r>
          </w:p>
        </w:tc>
        <w:tc>
          <w:tcPr>
            <w:tcW w:w="6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历史文化园</w:t>
            </w:r>
          </w:p>
        </w:tc>
        <w:tc>
          <w:tcPr>
            <w:tcW w:w="53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3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13484</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游园一级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设施维护费用</w:t>
            </w:r>
          </w:p>
        </w:tc>
        <w:tc>
          <w:tcPr>
            <w:tcW w:w="5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一方园</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5008</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游园三级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康泰园</w:t>
            </w:r>
          </w:p>
        </w:tc>
        <w:tc>
          <w:tcPr>
            <w:tcW w:w="53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3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9793</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游园二级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设施维护费用</w:t>
            </w:r>
          </w:p>
        </w:tc>
        <w:tc>
          <w:tcPr>
            <w:tcW w:w="5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五谷园</w:t>
            </w:r>
          </w:p>
        </w:tc>
        <w:tc>
          <w:tcPr>
            <w:tcW w:w="53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3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5315</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游园二级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设施维护费用</w:t>
            </w:r>
          </w:p>
        </w:tc>
        <w:tc>
          <w:tcPr>
            <w:tcW w:w="5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旱生园</w:t>
            </w:r>
          </w:p>
        </w:tc>
        <w:tc>
          <w:tcPr>
            <w:tcW w:w="53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3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3046</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游园二级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设施维护费用</w:t>
            </w:r>
          </w:p>
        </w:tc>
        <w:tc>
          <w:tcPr>
            <w:tcW w:w="5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百草园</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1684</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游园三级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光明园</w:t>
            </w:r>
          </w:p>
        </w:tc>
        <w:tc>
          <w:tcPr>
            <w:tcW w:w="53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3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2955</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游园二级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设施维护费用</w:t>
            </w:r>
          </w:p>
        </w:tc>
        <w:tc>
          <w:tcPr>
            <w:tcW w:w="5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皇渠嘉禾园</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1456</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游园三级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c>
          <w:tcPr>
            <w:tcW w:w="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老电影院游园</w:t>
            </w:r>
          </w:p>
        </w:tc>
        <w:tc>
          <w:tcPr>
            <w:tcW w:w="53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3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8569</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游园二级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设施维护费用</w:t>
            </w:r>
          </w:p>
        </w:tc>
        <w:tc>
          <w:tcPr>
            <w:tcW w:w="5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政府院内游园</w:t>
            </w:r>
          </w:p>
        </w:tc>
        <w:tc>
          <w:tcPr>
            <w:tcW w:w="53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3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31246</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游园二级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w:t>
            </w:r>
          </w:p>
        </w:tc>
        <w:tc>
          <w:tcPr>
            <w:tcW w:w="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设施维护费用</w:t>
            </w:r>
          </w:p>
        </w:tc>
        <w:tc>
          <w:tcPr>
            <w:tcW w:w="5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金盛集团东侧河坝边游园 </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4464</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游园三级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文润园</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11923</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游园三级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汇趣园</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19999</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游园三级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兴盛园</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8132</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游园三级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16</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嘉隆园</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9338</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游园三级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17</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嘉禾园</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25346</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游园三级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18</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府前路(三道坝路-米东大道）</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31934.5</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道路一级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中颐路（府前路-揽胜街）</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325</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351.6</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5864</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道路一级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民康路</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574</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581</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4507</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道路一级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揽胜街（广场东路-中颐路）</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32420</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道路一级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22</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万和街</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682</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672</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2849</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道路一级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23</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中颐南路支巷（中颐南路-府前东路）</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2004</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道路一级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24</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民康北路（揽胜东街-府前路）</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3796</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道路一级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25</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政府院内停车场内地</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2903</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道路一级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26</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米泉路（揽胜街-古牧地路）</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319</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303</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2772</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道路一级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27</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皇渠路（古牧地路-揽胜东街）</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1596</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道路三级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28</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揽胜街软隔离</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205</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道路三级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29</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府前路软隔离</w:t>
            </w:r>
          </w:p>
        </w:tc>
        <w:tc>
          <w:tcPr>
            <w:tcW w:w="10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539</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1186</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道路三级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30</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中颐路软隔离</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280.9</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165</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981</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道路三级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31</w:t>
            </w:r>
          </w:p>
        </w:tc>
        <w:tc>
          <w:tcPr>
            <w:tcW w:w="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海棠花绿地</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1483</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道路三级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32</w:t>
            </w:r>
          </w:p>
        </w:tc>
        <w:tc>
          <w:tcPr>
            <w:tcW w:w="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红沟河绿地</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1700</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道路三级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33</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府前西路三角地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（国际大酒店旁）</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6132</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道路三级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34</w:t>
            </w:r>
          </w:p>
        </w:tc>
        <w:tc>
          <w:tcPr>
            <w:tcW w:w="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中医院西绿地</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3533</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道路三级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35</w:t>
            </w:r>
          </w:p>
        </w:tc>
        <w:tc>
          <w:tcPr>
            <w:tcW w:w="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家和华府绿地</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2364</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道路三级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36</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政府停车场河</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坝西侧绿地</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2752</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道路三级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37</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零星绿地</w:t>
            </w:r>
          </w:p>
        </w:tc>
        <w:tc>
          <w:tcPr>
            <w:tcW w:w="230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100000</w:t>
            </w: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2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合计：</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272739</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i w:val="0"/>
                <w:iCs w:val="0"/>
                <w:color w:val="000000"/>
                <w:sz w:val="24"/>
                <w:szCs w:val="24"/>
                <w:u w:val="none"/>
              </w:rPr>
            </w:pPr>
          </w:p>
        </w:tc>
      </w:tr>
    </w:tbl>
    <w:p>
      <w:pPr>
        <w:spacing w:line="360" w:lineRule="auto"/>
        <w:jc w:val="left"/>
        <w:rPr>
          <w:rFonts w:cs="Times New Roman" w:asciiTheme="minorEastAsia" w:hAnsiTheme="minorEastAsia"/>
          <w:sz w:val="24"/>
          <w:szCs w:val="24"/>
        </w:rPr>
      </w:pPr>
    </w:p>
    <w:p>
      <w:pPr>
        <w:spacing w:line="360" w:lineRule="auto"/>
        <w:jc w:val="left"/>
        <w:rPr>
          <w:rFonts w:cs="Times New Roman" w:asciiTheme="minorEastAsia" w:hAnsiTheme="minorEastAsia"/>
          <w:szCs w:val="21"/>
        </w:rPr>
      </w:pPr>
    </w:p>
    <w:p>
      <w:pPr>
        <w:spacing w:line="360" w:lineRule="auto"/>
        <w:jc w:val="left"/>
        <w:rPr>
          <w:rFonts w:cs="Times New Roman" w:asciiTheme="minorEastAsia" w:hAnsiTheme="minorEastAsia"/>
          <w:szCs w:val="21"/>
        </w:rPr>
      </w:pPr>
      <w:r>
        <w:rPr>
          <w:rFonts w:hint="eastAsia" w:cs="Times New Roman" w:asciiTheme="minorEastAsia" w:hAnsiTheme="minorEastAsia"/>
          <w:szCs w:val="21"/>
        </w:rPr>
        <w:t>备注：</w:t>
      </w:r>
    </w:p>
    <w:p>
      <w:pPr>
        <w:spacing w:line="360" w:lineRule="auto"/>
        <w:jc w:val="left"/>
        <w:rPr>
          <w:rFonts w:cs="Times New Roman" w:asciiTheme="minorEastAsia" w:hAnsiTheme="minorEastAsia"/>
          <w:szCs w:val="21"/>
        </w:rPr>
      </w:pPr>
      <w:r>
        <w:rPr>
          <w:rFonts w:cs="Times New Roman" w:asciiTheme="minorEastAsia" w:hAnsiTheme="minorEastAsia"/>
          <w:szCs w:val="21"/>
        </w:rPr>
        <w:t>1</w:t>
      </w:r>
      <w:r>
        <w:rPr>
          <w:rFonts w:hint="eastAsia" w:cs="Times New Roman" w:asciiTheme="minorEastAsia" w:hAnsiTheme="minorEastAsia"/>
          <w:szCs w:val="21"/>
        </w:rPr>
        <w:t>、名称和数量应按照第四章“技术标准和要求”内容填写。</w:t>
      </w:r>
    </w:p>
    <w:p>
      <w:pPr>
        <w:spacing w:line="360" w:lineRule="auto"/>
        <w:jc w:val="left"/>
        <w:rPr>
          <w:rFonts w:cs="Times New Roman" w:asciiTheme="minorEastAsia" w:hAnsiTheme="minorEastAsia"/>
          <w:szCs w:val="21"/>
        </w:rPr>
      </w:pPr>
      <w:r>
        <w:rPr>
          <w:rFonts w:cs="Times New Roman" w:asciiTheme="minorEastAsia" w:hAnsiTheme="minorEastAsia"/>
          <w:szCs w:val="21"/>
        </w:rPr>
        <w:t>2</w:t>
      </w:r>
      <w:r>
        <w:rPr>
          <w:rFonts w:hint="eastAsia" w:cs="Times New Roman" w:asciiTheme="minorEastAsia" w:hAnsiTheme="minorEastAsia"/>
          <w:szCs w:val="21"/>
        </w:rPr>
        <w:t>、投标人填报价格合计应与投标函载明价格一致，若不一致，应按照第二章评标办法修正原则进行修正。</w:t>
      </w:r>
    </w:p>
    <w:p>
      <w:pPr>
        <w:spacing w:line="360" w:lineRule="auto"/>
        <w:jc w:val="left"/>
        <w:rPr>
          <w:rFonts w:cs="Times New Roman" w:asciiTheme="minorEastAsia" w:hAnsiTheme="minorEastAsia"/>
          <w:szCs w:val="21"/>
        </w:rPr>
      </w:pPr>
      <w:r>
        <w:rPr>
          <w:rFonts w:hint="eastAsia" w:cs="Times New Roman" w:asciiTheme="minorEastAsia" w:hAnsiTheme="minorEastAsia"/>
          <w:szCs w:val="21"/>
        </w:rPr>
        <w:t>3、绿化养护全费用综合单价包含但不限于：绿地灌溉、管网维修（含管线、喷头、滴头、自来水井、阀门、井盖等）、机井维修（含水泵、变压器、配电箱及元器件、线路等）、水资源费、电费、病虫害防治、乔灌木草坪修剪、中耕除草施肥（不含肥料）、花卉栽植（不含花卉）、苗木补植（含苗木）、卫生保洁、全年养护巡查。包含所有人工、机械及材料。</w:t>
      </w:r>
    </w:p>
    <w:p>
      <w:pPr>
        <w:spacing w:line="360" w:lineRule="auto"/>
        <w:jc w:val="left"/>
        <w:rPr>
          <w:rFonts w:cs="Times New Roman" w:asciiTheme="minorEastAsia" w:hAnsiTheme="minorEastAsia"/>
          <w:szCs w:val="21"/>
        </w:rPr>
      </w:pPr>
      <w:r>
        <w:rPr>
          <w:rFonts w:hint="eastAsia" w:cs="Times New Roman" w:asciiTheme="minorEastAsia" w:hAnsiTheme="minorEastAsia"/>
          <w:szCs w:val="21"/>
        </w:rPr>
        <w:t>设施维护全费用综合单价包含但不限于：园林建筑（厕所）、园林小品（园灯、导游牌、宣传牌、果皮箱、园桌椅、栏杆、健身器材等）、园路及铺装场地、园艺设施、园林电器设备（主要为广播、景观照明、配电箱、线路等）。设施维护是指设施的日常维修保养（含保洁），即为保持设施的完整和正常运行所进行的预防性保养和轻微损坏部分的修补，不包括设施更新和园林建筑主体结构的修复；为保证设施的正常运转及维护设施的缘由功能而进行的清洁、紧固、调整、润滑及检修等，不包括设施大修。此设施维护费标准不包含水电费。</w:t>
      </w:r>
    </w:p>
    <w:p>
      <w:pPr>
        <w:widowControl/>
        <w:shd w:val="clear" w:color="auto" w:fill="FFFFFF"/>
        <w:snapToGrid w:val="0"/>
        <w:spacing w:line="384" w:lineRule="auto"/>
        <w:jc w:val="left"/>
        <w:rPr>
          <w:rFonts w:cs="Arial" w:asciiTheme="minorEastAsia" w:hAnsiTheme="minorEastAsia"/>
          <w:kern w:val="0"/>
          <w:sz w:val="24"/>
          <w:szCs w:val="24"/>
        </w:rPr>
      </w:pPr>
    </w:p>
    <w:p>
      <w:pPr>
        <w:widowControl/>
        <w:shd w:val="clear" w:color="auto" w:fill="FFFFFF"/>
        <w:snapToGrid w:val="0"/>
        <w:spacing w:line="384" w:lineRule="auto"/>
        <w:jc w:val="left"/>
        <w:rPr>
          <w:rFonts w:cs="Arial" w:asciiTheme="minorEastAsia" w:hAnsiTheme="minorEastAsia"/>
          <w:kern w:val="0"/>
          <w:sz w:val="24"/>
          <w:szCs w:val="24"/>
        </w:rPr>
      </w:pPr>
      <w:r>
        <w:rPr>
          <w:rFonts w:hint="eastAsia" w:cs="Arial" w:asciiTheme="minorEastAsia" w:hAnsiTheme="minorEastAsia"/>
          <w:kern w:val="0"/>
          <w:sz w:val="24"/>
          <w:szCs w:val="24"/>
        </w:rPr>
        <w:t>投标人：（盖章）</w:t>
      </w:r>
    </w:p>
    <w:p>
      <w:pPr>
        <w:widowControl/>
        <w:shd w:val="clear" w:color="auto" w:fill="FFFFFF"/>
        <w:snapToGrid w:val="0"/>
        <w:spacing w:line="384" w:lineRule="auto"/>
        <w:jc w:val="left"/>
        <w:rPr>
          <w:rFonts w:cs="Arial" w:asciiTheme="minorEastAsia" w:hAnsiTheme="minorEastAsia"/>
          <w:kern w:val="0"/>
          <w:sz w:val="24"/>
          <w:szCs w:val="24"/>
        </w:rPr>
      </w:pPr>
    </w:p>
    <w:p>
      <w:pPr>
        <w:widowControl/>
        <w:shd w:val="clear" w:color="auto" w:fill="FFFFFF"/>
        <w:snapToGrid w:val="0"/>
        <w:spacing w:line="384" w:lineRule="auto"/>
        <w:jc w:val="left"/>
        <w:rPr>
          <w:rFonts w:cs="Arial" w:asciiTheme="minorEastAsia" w:hAnsiTheme="minorEastAsia"/>
          <w:kern w:val="0"/>
          <w:sz w:val="24"/>
          <w:szCs w:val="24"/>
        </w:rPr>
      </w:pPr>
      <w:r>
        <w:rPr>
          <w:rFonts w:hint="eastAsia" w:cs="Arial" w:asciiTheme="minorEastAsia" w:hAnsiTheme="minorEastAsia"/>
          <w:kern w:val="0"/>
          <w:sz w:val="24"/>
          <w:szCs w:val="24"/>
        </w:rPr>
        <w:t>法定代表人：（盖章）</w:t>
      </w:r>
    </w:p>
    <w:p>
      <w:pPr>
        <w:widowControl/>
        <w:shd w:val="clear" w:color="auto" w:fill="FFFFFF"/>
        <w:wordWrap w:val="0"/>
        <w:snapToGrid w:val="0"/>
        <w:spacing w:line="384" w:lineRule="auto"/>
        <w:ind w:firstLine="480"/>
        <w:jc w:val="right"/>
        <w:rPr>
          <w:rFonts w:cs="Arial" w:asciiTheme="minorEastAsia" w:hAnsiTheme="minorEastAsia"/>
          <w:kern w:val="0"/>
          <w:sz w:val="24"/>
          <w:szCs w:val="24"/>
        </w:rPr>
      </w:pPr>
      <w:r>
        <w:rPr>
          <w:rFonts w:hint="eastAsia" w:cs="Arial" w:asciiTheme="minorEastAsia" w:hAnsiTheme="minorEastAsia"/>
          <w:kern w:val="0"/>
          <w:sz w:val="24"/>
          <w:szCs w:val="24"/>
        </w:rPr>
        <w:t>日期：年月日</w:t>
      </w:r>
    </w:p>
    <w:p>
      <w:pPr>
        <w:widowControl/>
        <w:ind w:firstLine="482"/>
        <w:jc w:val="left"/>
        <w:rPr>
          <w:rFonts w:cs="Arial" w:asciiTheme="minorEastAsia" w:hAnsiTheme="minorEastAsia"/>
          <w:b/>
          <w:bCs/>
          <w:kern w:val="36"/>
          <w:sz w:val="24"/>
          <w:szCs w:val="24"/>
        </w:rPr>
      </w:pPr>
      <w:r>
        <w:rPr>
          <w:rFonts w:cs="Arial" w:asciiTheme="minorEastAsia" w:hAnsiTheme="minorEastAsia"/>
          <w:b/>
          <w:bCs/>
          <w:kern w:val="36"/>
          <w:sz w:val="24"/>
          <w:szCs w:val="24"/>
        </w:rPr>
        <w:br w:type="page"/>
      </w:r>
    </w:p>
    <w:p>
      <w:pPr>
        <w:ind w:firstLine="482"/>
        <w:rPr>
          <w:rFonts w:cs="宋体" w:asciiTheme="minorEastAsia" w:hAnsiTheme="minorEastAsia"/>
          <w:b/>
          <w:sz w:val="24"/>
          <w:szCs w:val="24"/>
        </w:rPr>
      </w:pPr>
    </w:p>
    <w:p>
      <w:pPr>
        <w:widowControl/>
        <w:ind w:firstLine="482"/>
        <w:jc w:val="center"/>
        <w:outlineLvl w:val="1"/>
        <w:rPr>
          <w:rFonts w:cs="宋体" w:asciiTheme="minorEastAsia" w:hAnsiTheme="minorEastAsia"/>
          <w:b/>
          <w:kern w:val="0"/>
          <w:sz w:val="24"/>
          <w:szCs w:val="24"/>
        </w:rPr>
      </w:pPr>
      <w:bookmarkStart w:id="82" w:name="_Toc11916"/>
      <w:bookmarkStart w:id="83" w:name="_Toc11101"/>
      <w:r>
        <w:rPr>
          <w:rFonts w:hint="eastAsia" w:cs="宋体" w:asciiTheme="minorEastAsia" w:hAnsiTheme="minorEastAsia"/>
          <w:b/>
          <w:sz w:val="24"/>
          <w:szCs w:val="24"/>
        </w:rPr>
        <w:t>三、</w:t>
      </w:r>
      <w:r>
        <w:rPr>
          <w:rFonts w:hint="eastAsia" w:cs="宋体" w:asciiTheme="minorEastAsia" w:hAnsiTheme="minorEastAsia"/>
          <w:b/>
          <w:kern w:val="0"/>
          <w:sz w:val="24"/>
          <w:szCs w:val="24"/>
        </w:rPr>
        <w:t>反商业贿赂承诺书</w:t>
      </w:r>
      <w:bookmarkEnd w:id="82"/>
      <w:bookmarkEnd w:id="83"/>
    </w:p>
    <w:p>
      <w:pPr>
        <w:widowControl/>
        <w:rPr>
          <w:rFonts w:cs="宋体" w:asciiTheme="minorEastAsia" w:hAnsiTheme="minorEastAsia"/>
          <w:kern w:val="0"/>
          <w:sz w:val="24"/>
          <w:szCs w:val="24"/>
        </w:rPr>
      </w:pPr>
    </w:p>
    <w:p>
      <w:pPr>
        <w:autoSpaceDE w:val="0"/>
        <w:autoSpaceDN w:val="0"/>
        <w:adjustRightInd w:val="0"/>
        <w:spacing w:line="360" w:lineRule="auto"/>
        <w:ind w:firstLine="482"/>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承诺书</w:t>
      </w:r>
    </w:p>
    <w:p>
      <w:pPr>
        <w:autoSpaceDE w:val="0"/>
        <w:autoSpaceDN w:val="0"/>
        <w:adjustRightInd w:val="0"/>
        <w:spacing w:line="360" w:lineRule="auto"/>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我公司承诺在</w:t>
      </w:r>
      <w:r>
        <w:rPr>
          <w:rFonts w:hint="eastAsia" w:cs="宋体" w:asciiTheme="minorEastAsia" w:hAnsiTheme="minorEastAsia"/>
          <w:kern w:val="0"/>
          <w:sz w:val="24"/>
          <w:szCs w:val="24"/>
          <w:u w:val="single"/>
        </w:rPr>
        <w:t>（标段编号、标段名称）</w:t>
      </w:r>
      <w:r>
        <w:rPr>
          <w:rFonts w:hint="eastAsia" w:cs="宋体" w:asciiTheme="minorEastAsia" w:hAnsiTheme="minorEastAsia"/>
          <w:kern w:val="0"/>
          <w:sz w:val="24"/>
          <w:szCs w:val="24"/>
        </w:rPr>
        <w:t>招标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w:t>
      </w:r>
    </w:p>
    <w:p>
      <w:pPr>
        <w:autoSpaceDE w:val="0"/>
        <w:autoSpaceDN w:val="0"/>
        <w:adjustRightInd w:val="0"/>
        <w:spacing w:line="360" w:lineRule="auto"/>
        <w:ind w:firstLine="480" w:firstLineChars="200"/>
        <w:jc w:val="left"/>
        <w:rPr>
          <w:rFonts w:cs="宋体" w:asciiTheme="minorEastAsia" w:hAnsiTheme="minorEastAsia"/>
          <w:kern w:val="0"/>
          <w:sz w:val="24"/>
          <w:szCs w:val="24"/>
        </w:rPr>
      </w:pPr>
    </w:p>
    <w:p>
      <w:pPr>
        <w:autoSpaceDE w:val="0"/>
        <w:autoSpaceDN w:val="0"/>
        <w:adjustRightInd w:val="0"/>
        <w:spacing w:line="360" w:lineRule="auto"/>
        <w:ind w:firstLine="480" w:firstLineChars="200"/>
        <w:jc w:val="left"/>
        <w:rPr>
          <w:rFonts w:cs="宋体" w:asciiTheme="minorEastAsia" w:hAnsiTheme="minorEastAsia"/>
          <w:kern w:val="0"/>
          <w:sz w:val="24"/>
          <w:szCs w:val="24"/>
        </w:rPr>
      </w:pPr>
    </w:p>
    <w:p>
      <w:pPr>
        <w:autoSpaceDE w:val="0"/>
        <w:autoSpaceDN w:val="0"/>
        <w:adjustRightInd w:val="0"/>
        <w:spacing w:line="360" w:lineRule="auto"/>
        <w:ind w:firstLine="480" w:firstLineChars="200"/>
        <w:jc w:val="left"/>
        <w:rPr>
          <w:rFonts w:cs="宋体" w:asciiTheme="minorEastAsia" w:hAnsiTheme="minorEastAsia"/>
          <w:kern w:val="0"/>
          <w:sz w:val="24"/>
          <w:szCs w:val="24"/>
        </w:rPr>
      </w:pPr>
    </w:p>
    <w:p>
      <w:pPr>
        <w:autoSpaceDE w:val="0"/>
        <w:autoSpaceDN w:val="0"/>
        <w:adjustRightInd w:val="0"/>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投标人：</w:t>
      </w:r>
      <w:r>
        <w:rPr>
          <w:rFonts w:hint="eastAsia" w:cs="宋体" w:asciiTheme="minorEastAsia" w:hAnsiTheme="minorEastAsia"/>
          <w:kern w:val="0"/>
          <w:sz w:val="24"/>
          <w:szCs w:val="24"/>
          <w:u w:val="single"/>
        </w:rPr>
        <w:t>（全称）（盖章）</w:t>
      </w:r>
    </w:p>
    <w:p>
      <w:pPr>
        <w:autoSpaceDE w:val="0"/>
        <w:autoSpaceDN w:val="0"/>
        <w:adjustRightInd w:val="0"/>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法定代表人：</w:t>
      </w:r>
      <w:r>
        <w:rPr>
          <w:rFonts w:hint="eastAsia" w:cs="宋体" w:asciiTheme="minorEastAsia" w:hAnsiTheme="minorEastAsia"/>
          <w:kern w:val="0"/>
          <w:sz w:val="24"/>
          <w:szCs w:val="24"/>
          <w:u w:val="single"/>
        </w:rPr>
        <w:t>（盖章）</w:t>
      </w:r>
    </w:p>
    <w:p>
      <w:pPr>
        <w:autoSpaceDE w:val="0"/>
        <w:autoSpaceDN w:val="0"/>
        <w:adjustRightInd w:val="0"/>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日期：</w:t>
      </w:r>
      <w:r>
        <w:rPr>
          <w:rFonts w:hint="eastAsia" w:asciiTheme="minorEastAsia" w:hAnsiTheme="minorEastAsia"/>
          <w:sz w:val="24"/>
          <w:szCs w:val="24"/>
          <w:u w:val="single"/>
        </w:rPr>
        <w:t xml:space="preserve">    </w:t>
      </w:r>
      <w:r>
        <w:rPr>
          <w:rFonts w:asciiTheme="minorEastAsia" w:hAnsiTheme="minorEastAsia"/>
          <w:sz w:val="24"/>
          <w:szCs w:val="24"/>
        </w:rPr>
        <w:t>年</w:t>
      </w:r>
      <w:r>
        <w:rPr>
          <w:rFonts w:hint="eastAsia" w:asciiTheme="minorEastAsia" w:hAnsiTheme="minorEastAsia"/>
          <w:sz w:val="24"/>
          <w:szCs w:val="24"/>
          <w:u w:val="single"/>
        </w:rPr>
        <w:t xml:space="preserve">    </w:t>
      </w:r>
      <w:r>
        <w:rPr>
          <w:rFonts w:asciiTheme="minorEastAsia" w:hAnsiTheme="minorEastAsia"/>
          <w:sz w:val="24"/>
          <w:szCs w:val="24"/>
        </w:rPr>
        <w:t>月</w:t>
      </w:r>
      <w:r>
        <w:rPr>
          <w:rFonts w:hint="eastAsia" w:asciiTheme="minorEastAsia" w:hAnsiTheme="minorEastAsia"/>
          <w:sz w:val="24"/>
          <w:szCs w:val="24"/>
          <w:u w:val="single"/>
        </w:rPr>
        <w:t xml:space="preserve">    </w:t>
      </w:r>
      <w:r>
        <w:rPr>
          <w:rFonts w:asciiTheme="minorEastAsia" w:hAnsiTheme="minorEastAsia"/>
          <w:sz w:val="24"/>
          <w:szCs w:val="24"/>
        </w:rPr>
        <w:t>日</w:t>
      </w:r>
    </w:p>
    <w:p>
      <w:pPr>
        <w:tabs>
          <w:tab w:val="center" w:pos="4832"/>
          <w:tab w:val="left" w:pos="7140"/>
        </w:tabs>
        <w:jc w:val="left"/>
        <w:rPr>
          <w:rFonts w:cs="宋体" w:asciiTheme="minorEastAsia" w:hAnsiTheme="minorEastAsia"/>
          <w:kern w:val="0"/>
          <w:sz w:val="24"/>
          <w:szCs w:val="24"/>
        </w:rPr>
      </w:pPr>
    </w:p>
    <w:p>
      <w:pPr>
        <w:ind w:firstLine="482"/>
        <w:rPr>
          <w:rFonts w:cs="宋体" w:asciiTheme="minorEastAsia" w:hAnsiTheme="minorEastAsia"/>
          <w:b/>
          <w:sz w:val="24"/>
          <w:szCs w:val="24"/>
        </w:rPr>
      </w:pPr>
      <w:r>
        <w:rPr>
          <w:rFonts w:hint="eastAsia" w:cs="宋体" w:asciiTheme="minorEastAsia" w:hAnsiTheme="minorEastAsia"/>
          <w:b/>
          <w:sz w:val="24"/>
          <w:szCs w:val="24"/>
        </w:rPr>
        <w:br w:type="page"/>
      </w:r>
    </w:p>
    <w:p>
      <w:pPr>
        <w:tabs>
          <w:tab w:val="center" w:pos="4832"/>
          <w:tab w:val="left" w:pos="7140"/>
        </w:tabs>
        <w:ind w:firstLine="482"/>
        <w:jc w:val="center"/>
        <w:outlineLvl w:val="1"/>
        <w:rPr>
          <w:rFonts w:cs="宋体" w:asciiTheme="minorEastAsia" w:hAnsiTheme="minorEastAsia"/>
          <w:b/>
          <w:sz w:val="24"/>
          <w:szCs w:val="24"/>
        </w:rPr>
      </w:pPr>
      <w:bookmarkStart w:id="84" w:name="_Toc14696"/>
      <w:bookmarkStart w:id="85" w:name="_Toc3213"/>
      <w:r>
        <w:rPr>
          <w:rFonts w:hint="eastAsia" w:cs="宋体" w:asciiTheme="minorEastAsia" w:hAnsiTheme="minorEastAsia"/>
          <w:b/>
          <w:sz w:val="24"/>
          <w:szCs w:val="24"/>
        </w:rPr>
        <w:t>四、技术条款偏离表</w:t>
      </w:r>
      <w:bookmarkEnd w:id="84"/>
      <w:bookmarkEnd w:id="85"/>
    </w:p>
    <w:tbl>
      <w:tblPr>
        <w:tblStyle w:val="3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05"/>
        <w:gridCol w:w="1357"/>
        <w:gridCol w:w="1326"/>
        <w:gridCol w:w="1326"/>
        <w:gridCol w:w="1326"/>
        <w:gridCol w:w="1327"/>
        <w:gridCol w:w="13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vAlign w:val="center"/>
          </w:tcPr>
          <w:p>
            <w:pPr>
              <w:jc w:val="center"/>
              <w:rPr>
                <w:rFonts w:cs="宋体" w:asciiTheme="minorEastAsia" w:hAnsiTheme="minorEastAsia"/>
                <w:bCs/>
                <w:sz w:val="24"/>
                <w:szCs w:val="24"/>
              </w:rPr>
            </w:pPr>
            <w:r>
              <w:rPr>
                <w:rFonts w:hint="eastAsia" w:cs="宋体" w:asciiTheme="minorEastAsia" w:hAnsiTheme="minorEastAsia"/>
                <w:bCs/>
                <w:sz w:val="24"/>
                <w:szCs w:val="24"/>
              </w:rPr>
              <w:t>序号</w:t>
            </w:r>
          </w:p>
        </w:tc>
        <w:tc>
          <w:tcPr>
            <w:tcW w:w="1357" w:type="dxa"/>
            <w:vAlign w:val="center"/>
          </w:tcPr>
          <w:p>
            <w:pPr>
              <w:jc w:val="center"/>
              <w:rPr>
                <w:rFonts w:cs="宋体" w:asciiTheme="minorEastAsia" w:hAnsiTheme="minorEastAsia"/>
                <w:bCs/>
                <w:sz w:val="24"/>
                <w:szCs w:val="24"/>
              </w:rPr>
            </w:pPr>
            <w:r>
              <w:rPr>
                <w:rFonts w:hint="eastAsia" w:cs="宋体" w:asciiTheme="minorEastAsia" w:hAnsiTheme="minorEastAsia"/>
                <w:bCs/>
                <w:sz w:val="24"/>
                <w:szCs w:val="24"/>
              </w:rPr>
              <w:t>货物名称</w:t>
            </w:r>
          </w:p>
        </w:tc>
        <w:tc>
          <w:tcPr>
            <w:tcW w:w="1326" w:type="dxa"/>
            <w:vAlign w:val="center"/>
          </w:tcPr>
          <w:p>
            <w:pPr>
              <w:jc w:val="center"/>
              <w:rPr>
                <w:rFonts w:cs="宋体" w:asciiTheme="minorEastAsia" w:hAnsiTheme="minorEastAsia"/>
                <w:bCs/>
                <w:sz w:val="24"/>
                <w:szCs w:val="24"/>
              </w:rPr>
            </w:pPr>
            <w:r>
              <w:rPr>
                <w:rFonts w:hint="eastAsia" w:cs="宋体" w:asciiTheme="minorEastAsia" w:hAnsiTheme="minorEastAsia"/>
                <w:bCs/>
                <w:sz w:val="24"/>
                <w:szCs w:val="24"/>
              </w:rPr>
              <w:t>招标文件条目号</w:t>
            </w:r>
          </w:p>
        </w:tc>
        <w:tc>
          <w:tcPr>
            <w:tcW w:w="1326" w:type="dxa"/>
            <w:vAlign w:val="center"/>
          </w:tcPr>
          <w:p>
            <w:pPr>
              <w:jc w:val="center"/>
              <w:rPr>
                <w:rFonts w:cs="宋体" w:asciiTheme="minorEastAsia" w:hAnsiTheme="minorEastAsia"/>
                <w:bCs/>
                <w:sz w:val="24"/>
                <w:szCs w:val="24"/>
              </w:rPr>
            </w:pPr>
            <w:r>
              <w:rPr>
                <w:rFonts w:hint="eastAsia" w:cs="宋体" w:asciiTheme="minorEastAsia" w:hAnsiTheme="minorEastAsia"/>
                <w:bCs/>
                <w:sz w:val="24"/>
                <w:szCs w:val="24"/>
              </w:rPr>
              <w:t>招标文件要求规格</w:t>
            </w:r>
          </w:p>
        </w:tc>
        <w:tc>
          <w:tcPr>
            <w:tcW w:w="1326" w:type="dxa"/>
            <w:vAlign w:val="center"/>
          </w:tcPr>
          <w:p>
            <w:pPr>
              <w:jc w:val="center"/>
              <w:rPr>
                <w:rFonts w:cs="宋体" w:asciiTheme="minorEastAsia" w:hAnsiTheme="minorEastAsia"/>
                <w:bCs/>
                <w:sz w:val="24"/>
                <w:szCs w:val="24"/>
              </w:rPr>
            </w:pPr>
            <w:r>
              <w:rPr>
                <w:rFonts w:hint="eastAsia" w:cs="宋体" w:asciiTheme="minorEastAsia" w:hAnsiTheme="minorEastAsia"/>
                <w:bCs/>
                <w:sz w:val="24"/>
                <w:szCs w:val="24"/>
              </w:rPr>
              <w:t>投标规格</w:t>
            </w:r>
          </w:p>
        </w:tc>
        <w:tc>
          <w:tcPr>
            <w:tcW w:w="1327" w:type="dxa"/>
            <w:vAlign w:val="center"/>
          </w:tcPr>
          <w:p>
            <w:pPr>
              <w:jc w:val="center"/>
              <w:rPr>
                <w:rFonts w:cs="宋体" w:asciiTheme="minorEastAsia" w:hAnsiTheme="minorEastAsia"/>
                <w:bCs/>
                <w:sz w:val="24"/>
                <w:szCs w:val="24"/>
              </w:rPr>
            </w:pPr>
            <w:r>
              <w:rPr>
                <w:rFonts w:hint="eastAsia" w:cs="宋体" w:asciiTheme="minorEastAsia" w:hAnsiTheme="minorEastAsia"/>
                <w:bCs/>
                <w:sz w:val="24"/>
                <w:szCs w:val="24"/>
              </w:rPr>
              <w:t>偏离</w:t>
            </w:r>
          </w:p>
        </w:tc>
        <w:tc>
          <w:tcPr>
            <w:tcW w:w="1327" w:type="dxa"/>
            <w:vAlign w:val="center"/>
          </w:tcPr>
          <w:p>
            <w:pPr>
              <w:jc w:val="center"/>
              <w:rPr>
                <w:rFonts w:cs="宋体" w:asciiTheme="minorEastAsia" w:hAnsiTheme="minorEastAsia"/>
                <w:bCs/>
                <w:sz w:val="24"/>
                <w:szCs w:val="24"/>
              </w:rPr>
            </w:pPr>
            <w:r>
              <w:rPr>
                <w:rFonts w:hint="eastAsia" w:cs="宋体" w:asciiTheme="minorEastAsia" w:hAnsiTheme="minorEastAsia"/>
                <w:bCs/>
                <w:sz w:val="24"/>
                <w:szCs w:val="24"/>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pPr>
              <w:ind w:firstLine="482"/>
              <w:jc w:val="center"/>
              <w:rPr>
                <w:rFonts w:cs="宋体" w:asciiTheme="minorEastAsia" w:hAnsiTheme="minorEastAsia"/>
                <w:b/>
                <w:bCs/>
                <w:sz w:val="24"/>
                <w:szCs w:val="24"/>
              </w:rPr>
            </w:pPr>
          </w:p>
        </w:tc>
        <w:tc>
          <w:tcPr>
            <w:tcW w:w="1357" w:type="dxa"/>
          </w:tcPr>
          <w:p>
            <w:pPr>
              <w:ind w:firstLine="482"/>
              <w:jc w:val="center"/>
              <w:rPr>
                <w:rFonts w:cs="宋体" w:asciiTheme="minorEastAsia" w:hAnsiTheme="minorEastAsia"/>
                <w:b/>
                <w:bCs/>
                <w:sz w:val="24"/>
                <w:szCs w:val="24"/>
              </w:rPr>
            </w:pPr>
          </w:p>
        </w:tc>
        <w:tc>
          <w:tcPr>
            <w:tcW w:w="1326" w:type="dxa"/>
          </w:tcPr>
          <w:p>
            <w:pPr>
              <w:ind w:firstLine="482"/>
              <w:jc w:val="center"/>
              <w:rPr>
                <w:rFonts w:cs="宋体" w:asciiTheme="minorEastAsia" w:hAnsiTheme="minorEastAsia"/>
                <w:b/>
                <w:bCs/>
                <w:sz w:val="24"/>
                <w:szCs w:val="24"/>
              </w:rPr>
            </w:pPr>
          </w:p>
        </w:tc>
        <w:tc>
          <w:tcPr>
            <w:tcW w:w="1326" w:type="dxa"/>
          </w:tcPr>
          <w:p>
            <w:pPr>
              <w:ind w:firstLine="482"/>
              <w:jc w:val="center"/>
              <w:rPr>
                <w:rFonts w:cs="宋体" w:asciiTheme="minorEastAsia" w:hAnsiTheme="minorEastAsia"/>
                <w:b/>
                <w:bCs/>
                <w:sz w:val="24"/>
                <w:szCs w:val="24"/>
              </w:rPr>
            </w:pPr>
          </w:p>
        </w:tc>
        <w:tc>
          <w:tcPr>
            <w:tcW w:w="1326" w:type="dxa"/>
          </w:tcPr>
          <w:p>
            <w:pPr>
              <w:ind w:firstLine="482"/>
              <w:jc w:val="center"/>
              <w:rPr>
                <w:rFonts w:cs="宋体" w:asciiTheme="minorEastAsia" w:hAnsiTheme="minorEastAsia"/>
                <w:b/>
                <w:bCs/>
                <w:sz w:val="24"/>
                <w:szCs w:val="24"/>
              </w:rPr>
            </w:pPr>
          </w:p>
        </w:tc>
        <w:tc>
          <w:tcPr>
            <w:tcW w:w="1327" w:type="dxa"/>
          </w:tcPr>
          <w:p>
            <w:pPr>
              <w:ind w:firstLine="482"/>
              <w:jc w:val="center"/>
              <w:rPr>
                <w:rFonts w:cs="宋体" w:asciiTheme="minorEastAsia" w:hAnsiTheme="minorEastAsia"/>
                <w:b/>
                <w:bCs/>
                <w:sz w:val="24"/>
                <w:szCs w:val="24"/>
              </w:rPr>
            </w:pPr>
          </w:p>
        </w:tc>
        <w:tc>
          <w:tcPr>
            <w:tcW w:w="1327" w:type="dxa"/>
          </w:tcPr>
          <w:p>
            <w:pPr>
              <w:ind w:firstLine="482"/>
              <w:jc w:val="center"/>
              <w:rPr>
                <w:rFonts w:cs="宋体" w:asciiTheme="minorEastAsia" w:hAnsiTheme="minorEastAsia"/>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pPr>
              <w:ind w:firstLine="482"/>
              <w:jc w:val="center"/>
              <w:rPr>
                <w:rFonts w:cs="宋体" w:asciiTheme="minorEastAsia" w:hAnsiTheme="minorEastAsia"/>
                <w:b/>
                <w:bCs/>
                <w:sz w:val="24"/>
                <w:szCs w:val="24"/>
              </w:rPr>
            </w:pPr>
          </w:p>
        </w:tc>
        <w:tc>
          <w:tcPr>
            <w:tcW w:w="1357" w:type="dxa"/>
          </w:tcPr>
          <w:p>
            <w:pPr>
              <w:ind w:firstLine="482"/>
              <w:jc w:val="center"/>
              <w:rPr>
                <w:rFonts w:cs="宋体" w:asciiTheme="minorEastAsia" w:hAnsiTheme="minorEastAsia"/>
                <w:b/>
                <w:bCs/>
                <w:sz w:val="24"/>
                <w:szCs w:val="24"/>
              </w:rPr>
            </w:pPr>
          </w:p>
        </w:tc>
        <w:tc>
          <w:tcPr>
            <w:tcW w:w="1326" w:type="dxa"/>
          </w:tcPr>
          <w:p>
            <w:pPr>
              <w:ind w:firstLine="482"/>
              <w:jc w:val="center"/>
              <w:rPr>
                <w:rFonts w:cs="宋体" w:asciiTheme="minorEastAsia" w:hAnsiTheme="minorEastAsia"/>
                <w:b/>
                <w:bCs/>
                <w:sz w:val="24"/>
                <w:szCs w:val="24"/>
              </w:rPr>
            </w:pPr>
          </w:p>
        </w:tc>
        <w:tc>
          <w:tcPr>
            <w:tcW w:w="1326" w:type="dxa"/>
          </w:tcPr>
          <w:p>
            <w:pPr>
              <w:ind w:firstLine="482"/>
              <w:jc w:val="center"/>
              <w:rPr>
                <w:rFonts w:cs="宋体" w:asciiTheme="minorEastAsia" w:hAnsiTheme="minorEastAsia"/>
                <w:b/>
                <w:bCs/>
                <w:sz w:val="24"/>
                <w:szCs w:val="24"/>
              </w:rPr>
            </w:pPr>
          </w:p>
        </w:tc>
        <w:tc>
          <w:tcPr>
            <w:tcW w:w="1326" w:type="dxa"/>
          </w:tcPr>
          <w:p>
            <w:pPr>
              <w:ind w:firstLine="482"/>
              <w:jc w:val="center"/>
              <w:rPr>
                <w:rFonts w:cs="宋体" w:asciiTheme="minorEastAsia" w:hAnsiTheme="minorEastAsia"/>
                <w:b/>
                <w:bCs/>
                <w:sz w:val="24"/>
                <w:szCs w:val="24"/>
              </w:rPr>
            </w:pPr>
          </w:p>
        </w:tc>
        <w:tc>
          <w:tcPr>
            <w:tcW w:w="1327" w:type="dxa"/>
          </w:tcPr>
          <w:p>
            <w:pPr>
              <w:ind w:firstLine="482"/>
              <w:jc w:val="center"/>
              <w:rPr>
                <w:rFonts w:cs="宋体" w:asciiTheme="minorEastAsia" w:hAnsiTheme="minorEastAsia"/>
                <w:b/>
                <w:bCs/>
                <w:sz w:val="24"/>
                <w:szCs w:val="24"/>
              </w:rPr>
            </w:pPr>
          </w:p>
        </w:tc>
        <w:tc>
          <w:tcPr>
            <w:tcW w:w="1327" w:type="dxa"/>
          </w:tcPr>
          <w:p>
            <w:pPr>
              <w:ind w:firstLine="482"/>
              <w:jc w:val="center"/>
              <w:rPr>
                <w:rFonts w:cs="宋体" w:asciiTheme="minorEastAsia" w:hAnsiTheme="minorEastAsia"/>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pPr>
              <w:ind w:firstLine="482"/>
              <w:jc w:val="center"/>
              <w:rPr>
                <w:rFonts w:cs="宋体" w:asciiTheme="minorEastAsia" w:hAnsiTheme="minorEastAsia"/>
                <w:b/>
                <w:bCs/>
                <w:sz w:val="24"/>
                <w:szCs w:val="24"/>
              </w:rPr>
            </w:pPr>
          </w:p>
        </w:tc>
        <w:tc>
          <w:tcPr>
            <w:tcW w:w="1357" w:type="dxa"/>
          </w:tcPr>
          <w:p>
            <w:pPr>
              <w:ind w:firstLine="482"/>
              <w:jc w:val="center"/>
              <w:rPr>
                <w:rFonts w:cs="宋体" w:asciiTheme="minorEastAsia" w:hAnsiTheme="minorEastAsia"/>
                <w:b/>
                <w:bCs/>
                <w:sz w:val="24"/>
                <w:szCs w:val="24"/>
              </w:rPr>
            </w:pPr>
          </w:p>
        </w:tc>
        <w:tc>
          <w:tcPr>
            <w:tcW w:w="1326" w:type="dxa"/>
          </w:tcPr>
          <w:p>
            <w:pPr>
              <w:ind w:firstLine="482"/>
              <w:jc w:val="center"/>
              <w:rPr>
                <w:rFonts w:cs="宋体" w:asciiTheme="minorEastAsia" w:hAnsiTheme="minorEastAsia"/>
                <w:b/>
                <w:bCs/>
                <w:sz w:val="24"/>
                <w:szCs w:val="24"/>
              </w:rPr>
            </w:pPr>
          </w:p>
        </w:tc>
        <w:tc>
          <w:tcPr>
            <w:tcW w:w="1326" w:type="dxa"/>
          </w:tcPr>
          <w:p>
            <w:pPr>
              <w:ind w:firstLine="482"/>
              <w:jc w:val="center"/>
              <w:rPr>
                <w:rFonts w:cs="宋体" w:asciiTheme="minorEastAsia" w:hAnsiTheme="minorEastAsia"/>
                <w:b/>
                <w:bCs/>
                <w:sz w:val="24"/>
                <w:szCs w:val="24"/>
              </w:rPr>
            </w:pPr>
          </w:p>
        </w:tc>
        <w:tc>
          <w:tcPr>
            <w:tcW w:w="1326" w:type="dxa"/>
          </w:tcPr>
          <w:p>
            <w:pPr>
              <w:ind w:firstLine="482"/>
              <w:jc w:val="center"/>
              <w:rPr>
                <w:rFonts w:cs="宋体" w:asciiTheme="minorEastAsia" w:hAnsiTheme="minorEastAsia"/>
                <w:b/>
                <w:bCs/>
                <w:sz w:val="24"/>
                <w:szCs w:val="24"/>
              </w:rPr>
            </w:pPr>
          </w:p>
        </w:tc>
        <w:tc>
          <w:tcPr>
            <w:tcW w:w="1327" w:type="dxa"/>
          </w:tcPr>
          <w:p>
            <w:pPr>
              <w:ind w:firstLine="482"/>
              <w:jc w:val="center"/>
              <w:rPr>
                <w:rFonts w:cs="宋体" w:asciiTheme="minorEastAsia" w:hAnsiTheme="minorEastAsia"/>
                <w:b/>
                <w:bCs/>
                <w:sz w:val="24"/>
                <w:szCs w:val="24"/>
              </w:rPr>
            </w:pPr>
          </w:p>
        </w:tc>
        <w:tc>
          <w:tcPr>
            <w:tcW w:w="1327" w:type="dxa"/>
          </w:tcPr>
          <w:p>
            <w:pPr>
              <w:ind w:firstLine="482"/>
              <w:jc w:val="center"/>
              <w:rPr>
                <w:rFonts w:cs="宋体" w:asciiTheme="minorEastAsia" w:hAnsiTheme="minorEastAsia"/>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pPr>
              <w:ind w:firstLine="482"/>
              <w:jc w:val="center"/>
              <w:rPr>
                <w:rFonts w:cs="宋体" w:asciiTheme="minorEastAsia" w:hAnsiTheme="minorEastAsia"/>
                <w:b/>
                <w:bCs/>
                <w:sz w:val="24"/>
                <w:szCs w:val="24"/>
              </w:rPr>
            </w:pPr>
          </w:p>
        </w:tc>
        <w:tc>
          <w:tcPr>
            <w:tcW w:w="1357" w:type="dxa"/>
          </w:tcPr>
          <w:p>
            <w:pPr>
              <w:ind w:firstLine="482"/>
              <w:jc w:val="center"/>
              <w:rPr>
                <w:rFonts w:cs="宋体" w:asciiTheme="minorEastAsia" w:hAnsiTheme="minorEastAsia"/>
                <w:b/>
                <w:bCs/>
                <w:sz w:val="24"/>
                <w:szCs w:val="24"/>
              </w:rPr>
            </w:pPr>
          </w:p>
        </w:tc>
        <w:tc>
          <w:tcPr>
            <w:tcW w:w="1326" w:type="dxa"/>
          </w:tcPr>
          <w:p>
            <w:pPr>
              <w:ind w:firstLine="482"/>
              <w:jc w:val="center"/>
              <w:rPr>
                <w:rFonts w:cs="宋体" w:asciiTheme="minorEastAsia" w:hAnsiTheme="minorEastAsia"/>
                <w:b/>
                <w:bCs/>
                <w:sz w:val="24"/>
                <w:szCs w:val="24"/>
              </w:rPr>
            </w:pPr>
          </w:p>
        </w:tc>
        <w:tc>
          <w:tcPr>
            <w:tcW w:w="1326" w:type="dxa"/>
          </w:tcPr>
          <w:p>
            <w:pPr>
              <w:ind w:firstLine="482"/>
              <w:jc w:val="center"/>
              <w:rPr>
                <w:rFonts w:cs="宋体" w:asciiTheme="minorEastAsia" w:hAnsiTheme="minorEastAsia"/>
                <w:b/>
                <w:bCs/>
                <w:sz w:val="24"/>
                <w:szCs w:val="24"/>
              </w:rPr>
            </w:pPr>
          </w:p>
        </w:tc>
        <w:tc>
          <w:tcPr>
            <w:tcW w:w="1326" w:type="dxa"/>
          </w:tcPr>
          <w:p>
            <w:pPr>
              <w:ind w:firstLine="482"/>
              <w:jc w:val="center"/>
              <w:rPr>
                <w:rFonts w:cs="宋体" w:asciiTheme="minorEastAsia" w:hAnsiTheme="minorEastAsia"/>
                <w:b/>
                <w:bCs/>
                <w:sz w:val="24"/>
                <w:szCs w:val="24"/>
              </w:rPr>
            </w:pPr>
          </w:p>
        </w:tc>
        <w:tc>
          <w:tcPr>
            <w:tcW w:w="1327" w:type="dxa"/>
          </w:tcPr>
          <w:p>
            <w:pPr>
              <w:ind w:firstLine="482"/>
              <w:jc w:val="center"/>
              <w:rPr>
                <w:rFonts w:cs="宋体" w:asciiTheme="minorEastAsia" w:hAnsiTheme="minorEastAsia"/>
                <w:b/>
                <w:bCs/>
                <w:sz w:val="24"/>
                <w:szCs w:val="24"/>
              </w:rPr>
            </w:pPr>
          </w:p>
        </w:tc>
        <w:tc>
          <w:tcPr>
            <w:tcW w:w="1327" w:type="dxa"/>
          </w:tcPr>
          <w:p>
            <w:pPr>
              <w:ind w:firstLine="482"/>
              <w:jc w:val="center"/>
              <w:rPr>
                <w:rFonts w:cs="宋体" w:asciiTheme="minorEastAsia" w:hAnsiTheme="minorEastAsia"/>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pPr>
              <w:ind w:firstLine="482"/>
              <w:jc w:val="center"/>
              <w:rPr>
                <w:rFonts w:cs="宋体" w:asciiTheme="minorEastAsia" w:hAnsiTheme="minorEastAsia"/>
                <w:b/>
                <w:bCs/>
                <w:sz w:val="24"/>
                <w:szCs w:val="24"/>
              </w:rPr>
            </w:pPr>
          </w:p>
        </w:tc>
        <w:tc>
          <w:tcPr>
            <w:tcW w:w="1357" w:type="dxa"/>
          </w:tcPr>
          <w:p>
            <w:pPr>
              <w:ind w:firstLine="482"/>
              <w:jc w:val="center"/>
              <w:rPr>
                <w:rFonts w:cs="宋体" w:asciiTheme="minorEastAsia" w:hAnsiTheme="minorEastAsia"/>
                <w:b/>
                <w:bCs/>
                <w:sz w:val="24"/>
                <w:szCs w:val="24"/>
              </w:rPr>
            </w:pPr>
          </w:p>
        </w:tc>
        <w:tc>
          <w:tcPr>
            <w:tcW w:w="1326" w:type="dxa"/>
          </w:tcPr>
          <w:p>
            <w:pPr>
              <w:ind w:firstLine="482"/>
              <w:jc w:val="center"/>
              <w:rPr>
                <w:rFonts w:cs="宋体" w:asciiTheme="minorEastAsia" w:hAnsiTheme="minorEastAsia"/>
                <w:b/>
                <w:bCs/>
                <w:sz w:val="24"/>
                <w:szCs w:val="24"/>
              </w:rPr>
            </w:pPr>
          </w:p>
        </w:tc>
        <w:tc>
          <w:tcPr>
            <w:tcW w:w="1326" w:type="dxa"/>
          </w:tcPr>
          <w:p>
            <w:pPr>
              <w:ind w:firstLine="482"/>
              <w:jc w:val="center"/>
              <w:rPr>
                <w:rFonts w:cs="宋体" w:asciiTheme="minorEastAsia" w:hAnsiTheme="minorEastAsia"/>
                <w:b/>
                <w:bCs/>
                <w:sz w:val="24"/>
                <w:szCs w:val="24"/>
              </w:rPr>
            </w:pPr>
          </w:p>
        </w:tc>
        <w:tc>
          <w:tcPr>
            <w:tcW w:w="1326" w:type="dxa"/>
          </w:tcPr>
          <w:p>
            <w:pPr>
              <w:ind w:firstLine="482"/>
              <w:jc w:val="center"/>
              <w:rPr>
                <w:rFonts w:cs="宋体" w:asciiTheme="minorEastAsia" w:hAnsiTheme="minorEastAsia"/>
                <w:b/>
                <w:bCs/>
                <w:sz w:val="24"/>
                <w:szCs w:val="24"/>
              </w:rPr>
            </w:pPr>
          </w:p>
        </w:tc>
        <w:tc>
          <w:tcPr>
            <w:tcW w:w="1327" w:type="dxa"/>
          </w:tcPr>
          <w:p>
            <w:pPr>
              <w:ind w:firstLine="482"/>
              <w:jc w:val="center"/>
              <w:rPr>
                <w:rFonts w:cs="宋体" w:asciiTheme="minorEastAsia" w:hAnsiTheme="minorEastAsia"/>
                <w:b/>
                <w:bCs/>
                <w:sz w:val="24"/>
                <w:szCs w:val="24"/>
              </w:rPr>
            </w:pPr>
          </w:p>
        </w:tc>
        <w:tc>
          <w:tcPr>
            <w:tcW w:w="1327" w:type="dxa"/>
          </w:tcPr>
          <w:p>
            <w:pPr>
              <w:ind w:firstLine="482"/>
              <w:jc w:val="center"/>
              <w:rPr>
                <w:rFonts w:cs="宋体" w:asciiTheme="minorEastAsia" w:hAnsiTheme="minorEastAsia"/>
                <w:b/>
                <w:bCs/>
                <w:sz w:val="24"/>
                <w:szCs w:val="24"/>
              </w:rPr>
            </w:pPr>
          </w:p>
        </w:tc>
      </w:tr>
    </w:tbl>
    <w:p>
      <w:pPr>
        <w:spacing w:line="360" w:lineRule="auto"/>
        <w:ind w:firstLine="475" w:firstLineChars="198"/>
        <w:jc w:val="left"/>
        <w:rPr>
          <w:rFonts w:cs="Times New Roman" w:asciiTheme="minorEastAsia" w:hAnsiTheme="minorEastAsia"/>
          <w:sz w:val="24"/>
          <w:szCs w:val="24"/>
        </w:rPr>
      </w:pPr>
      <w:r>
        <w:rPr>
          <w:rFonts w:hint="eastAsia" w:cs="Times New Roman" w:asciiTheme="minorEastAsia" w:hAnsiTheme="minorEastAsia"/>
          <w:sz w:val="24"/>
          <w:szCs w:val="24"/>
        </w:rPr>
        <w:t>备注：投标人应根据其提供的服务，对照招标文件第四章“技术标准和要求”中的要求，有差异的，则在此表中列明实际响应的内容提要并加以说明，以便查对。本表包括所有的技术响应及差异。无差异说明表示完全响应。</w:t>
      </w:r>
    </w:p>
    <w:p>
      <w:pPr>
        <w:widowControl/>
        <w:shd w:val="clear" w:color="auto" w:fill="FFFFFF"/>
        <w:snapToGrid w:val="0"/>
        <w:spacing w:line="384" w:lineRule="auto"/>
        <w:jc w:val="left"/>
        <w:rPr>
          <w:rFonts w:cs="Arial" w:asciiTheme="minorEastAsia" w:hAnsiTheme="minorEastAsia"/>
          <w:kern w:val="0"/>
          <w:sz w:val="24"/>
          <w:szCs w:val="24"/>
        </w:rPr>
      </w:pPr>
    </w:p>
    <w:p>
      <w:pPr>
        <w:widowControl/>
        <w:shd w:val="clear" w:color="auto" w:fill="FFFFFF"/>
        <w:snapToGrid w:val="0"/>
        <w:spacing w:line="384" w:lineRule="auto"/>
        <w:jc w:val="left"/>
        <w:rPr>
          <w:rFonts w:cs="Arial" w:asciiTheme="minorEastAsia" w:hAnsiTheme="minorEastAsia"/>
          <w:kern w:val="0"/>
          <w:sz w:val="24"/>
          <w:szCs w:val="24"/>
        </w:rPr>
      </w:pPr>
    </w:p>
    <w:p>
      <w:pPr>
        <w:widowControl/>
        <w:shd w:val="clear" w:color="auto" w:fill="FFFFFF"/>
        <w:snapToGrid w:val="0"/>
        <w:spacing w:line="384" w:lineRule="auto"/>
        <w:jc w:val="left"/>
        <w:rPr>
          <w:rFonts w:cs="Arial" w:asciiTheme="minorEastAsia" w:hAnsiTheme="minorEastAsia"/>
          <w:kern w:val="0"/>
          <w:sz w:val="24"/>
          <w:szCs w:val="24"/>
        </w:rPr>
      </w:pPr>
      <w:r>
        <w:rPr>
          <w:rFonts w:hint="eastAsia" w:cs="Arial" w:asciiTheme="minorEastAsia" w:hAnsiTheme="minorEastAsia"/>
          <w:kern w:val="0"/>
          <w:sz w:val="24"/>
          <w:szCs w:val="24"/>
        </w:rPr>
        <w:t>投标人：（盖章）</w:t>
      </w:r>
    </w:p>
    <w:p>
      <w:pPr>
        <w:widowControl/>
        <w:shd w:val="clear" w:color="auto" w:fill="FFFFFF"/>
        <w:snapToGrid w:val="0"/>
        <w:spacing w:line="384" w:lineRule="auto"/>
        <w:jc w:val="left"/>
        <w:rPr>
          <w:rFonts w:cs="Arial" w:asciiTheme="minorEastAsia" w:hAnsiTheme="minorEastAsia"/>
          <w:kern w:val="0"/>
          <w:sz w:val="24"/>
          <w:szCs w:val="24"/>
        </w:rPr>
      </w:pPr>
    </w:p>
    <w:p>
      <w:pPr>
        <w:widowControl/>
        <w:shd w:val="clear" w:color="auto" w:fill="FFFFFF"/>
        <w:snapToGrid w:val="0"/>
        <w:spacing w:line="384" w:lineRule="auto"/>
        <w:jc w:val="left"/>
        <w:rPr>
          <w:rFonts w:cs="Arial" w:asciiTheme="minorEastAsia" w:hAnsiTheme="minorEastAsia"/>
          <w:kern w:val="0"/>
          <w:sz w:val="24"/>
          <w:szCs w:val="24"/>
        </w:rPr>
      </w:pPr>
      <w:r>
        <w:rPr>
          <w:rFonts w:hint="eastAsia" w:cs="Arial" w:asciiTheme="minorEastAsia" w:hAnsiTheme="minorEastAsia"/>
          <w:kern w:val="0"/>
          <w:sz w:val="24"/>
          <w:szCs w:val="24"/>
        </w:rPr>
        <w:t>法定代表人：（盖章）</w:t>
      </w:r>
    </w:p>
    <w:p>
      <w:pPr>
        <w:widowControl/>
        <w:shd w:val="clear" w:color="auto" w:fill="FFFFFF"/>
        <w:wordWrap w:val="0"/>
        <w:snapToGrid w:val="0"/>
        <w:spacing w:line="384" w:lineRule="auto"/>
        <w:ind w:firstLine="480"/>
        <w:jc w:val="right"/>
        <w:rPr>
          <w:rFonts w:cs="Arial" w:asciiTheme="minorEastAsia" w:hAnsiTheme="minorEastAsia"/>
          <w:kern w:val="0"/>
          <w:sz w:val="24"/>
          <w:szCs w:val="24"/>
        </w:rPr>
      </w:pPr>
      <w:r>
        <w:rPr>
          <w:rFonts w:hint="eastAsia" w:cs="Arial" w:asciiTheme="minorEastAsia" w:hAnsiTheme="minorEastAsia"/>
          <w:kern w:val="0"/>
          <w:sz w:val="24"/>
          <w:szCs w:val="24"/>
        </w:rPr>
        <w:t>日期：年月日</w:t>
      </w:r>
    </w:p>
    <w:p>
      <w:pPr>
        <w:tabs>
          <w:tab w:val="center" w:pos="4832"/>
          <w:tab w:val="left" w:pos="7140"/>
        </w:tabs>
        <w:ind w:firstLine="482"/>
        <w:jc w:val="center"/>
        <w:outlineLvl w:val="1"/>
        <w:rPr>
          <w:rFonts w:cs="宋体" w:asciiTheme="minorEastAsia" w:hAnsiTheme="minorEastAsia"/>
          <w:b/>
          <w:sz w:val="24"/>
          <w:szCs w:val="24"/>
        </w:rPr>
      </w:pPr>
      <w:r>
        <w:rPr>
          <w:rFonts w:cs="Arial" w:asciiTheme="minorEastAsia" w:hAnsiTheme="minorEastAsia"/>
          <w:b/>
          <w:bCs/>
          <w:kern w:val="36"/>
          <w:sz w:val="24"/>
          <w:szCs w:val="24"/>
        </w:rPr>
        <w:br w:type="page"/>
      </w:r>
      <w:bookmarkStart w:id="86" w:name="_Toc24010"/>
      <w:bookmarkStart w:id="87" w:name="_Toc1092"/>
      <w:r>
        <w:rPr>
          <w:rFonts w:hint="eastAsia" w:cs="宋体" w:asciiTheme="minorEastAsia" w:hAnsiTheme="minorEastAsia"/>
          <w:b/>
          <w:sz w:val="24"/>
          <w:szCs w:val="24"/>
        </w:rPr>
        <w:t>五、商务条款偏离表</w:t>
      </w:r>
      <w:bookmarkEnd w:id="86"/>
      <w:bookmarkEnd w:id="87"/>
    </w:p>
    <w:tbl>
      <w:tblPr>
        <w:tblStyle w:val="3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06"/>
        <w:gridCol w:w="2070"/>
        <w:gridCol w:w="2052"/>
        <w:gridCol w:w="2126"/>
        <w:gridCol w:w="1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jc w:val="center"/>
        </w:trPr>
        <w:tc>
          <w:tcPr>
            <w:tcW w:w="806" w:type="dxa"/>
            <w:vAlign w:val="center"/>
          </w:tcPr>
          <w:p>
            <w:pPr>
              <w:jc w:val="center"/>
              <w:rPr>
                <w:rFonts w:cs="宋体" w:asciiTheme="minorEastAsia" w:hAnsiTheme="minorEastAsia"/>
                <w:bCs/>
                <w:sz w:val="24"/>
                <w:szCs w:val="24"/>
              </w:rPr>
            </w:pPr>
            <w:r>
              <w:rPr>
                <w:rFonts w:hint="eastAsia" w:cs="宋体" w:asciiTheme="minorEastAsia" w:hAnsiTheme="minorEastAsia"/>
                <w:bCs/>
                <w:sz w:val="24"/>
                <w:szCs w:val="24"/>
              </w:rPr>
              <w:t>序号</w:t>
            </w:r>
          </w:p>
        </w:tc>
        <w:tc>
          <w:tcPr>
            <w:tcW w:w="2070" w:type="dxa"/>
            <w:vAlign w:val="center"/>
          </w:tcPr>
          <w:p>
            <w:pPr>
              <w:jc w:val="center"/>
              <w:rPr>
                <w:rFonts w:cs="宋体" w:asciiTheme="minorEastAsia" w:hAnsiTheme="minorEastAsia"/>
                <w:bCs/>
                <w:sz w:val="24"/>
                <w:szCs w:val="24"/>
              </w:rPr>
            </w:pPr>
            <w:r>
              <w:rPr>
                <w:rFonts w:hint="eastAsia" w:cs="宋体" w:asciiTheme="minorEastAsia" w:hAnsiTheme="minorEastAsia"/>
                <w:bCs/>
                <w:sz w:val="24"/>
                <w:szCs w:val="24"/>
              </w:rPr>
              <w:t>招标文件条目号</w:t>
            </w:r>
          </w:p>
        </w:tc>
        <w:tc>
          <w:tcPr>
            <w:tcW w:w="2052" w:type="dxa"/>
            <w:vAlign w:val="center"/>
          </w:tcPr>
          <w:p>
            <w:pPr>
              <w:jc w:val="center"/>
              <w:rPr>
                <w:rFonts w:cs="宋体" w:asciiTheme="minorEastAsia" w:hAnsiTheme="minorEastAsia"/>
                <w:bCs/>
                <w:sz w:val="24"/>
                <w:szCs w:val="24"/>
              </w:rPr>
            </w:pPr>
            <w:r>
              <w:rPr>
                <w:rFonts w:hint="eastAsia" w:cs="宋体" w:asciiTheme="minorEastAsia" w:hAnsiTheme="minorEastAsia"/>
                <w:bCs/>
                <w:sz w:val="24"/>
                <w:szCs w:val="24"/>
              </w:rPr>
              <w:t>招标文件的商务条款</w:t>
            </w:r>
          </w:p>
        </w:tc>
        <w:tc>
          <w:tcPr>
            <w:tcW w:w="2126" w:type="dxa"/>
            <w:vAlign w:val="center"/>
          </w:tcPr>
          <w:p>
            <w:pPr>
              <w:jc w:val="center"/>
              <w:rPr>
                <w:rFonts w:cs="宋体" w:asciiTheme="minorEastAsia" w:hAnsiTheme="minorEastAsia"/>
                <w:bCs/>
                <w:sz w:val="24"/>
                <w:szCs w:val="24"/>
              </w:rPr>
            </w:pPr>
            <w:r>
              <w:rPr>
                <w:rFonts w:hint="eastAsia" w:cs="宋体" w:asciiTheme="minorEastAsia" w:hAnsiTheme="minorEastAsia"/>
                <w:bCs/>
                <w:sz w:val="24"/>
                <w:szCs w:val="24"/>
              </w:rPr>
              <w:t>投标文件的商务条款</w:t>
            </w:r>
          </w:p>
        </w:tc>
        <w:tc>
          <w:tcPr>
            <w:tcW w:w="1985" w:type="dxa"/>
            <w:vAlign w:val="center"/>
          </w:tcPr>
          <w:p>
            <w:pPr>
              <w:jc w:val="center"/>
              <w:rPr>
                <w:rFonts w:cs="宋体" w:asciiTheme="minorEastAsia" w:hAnsiTheme="minorEastAsia"/>
                <w:bCs/>
                <w:sz w:val="24"/>
                <w:szCs w:val="24"/>
              </w:rPr>
            </w:pPr>
            <w:r>
              <w:rPr>
                <w:rFonts w:hint="eastAsia" w:cs="宋体" w:asciiTheme="minorEastAsia" w:hAnsiTheme="minorEastAsia"/>
                <w:bCs/>
                <w:sz w:val="24"/>
                <w:szCs w:val="24"/>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pPr>
              <w:ind w:firstLine="482"/>
              <w:jc w:val="center"/>
              <w:rPr>
                <w:rFonts w:cs="宋体" w:asciiTheme="minorEastAsia" w:hAnsiTheme="minorEastAsia"/>
                <w:b/>
                <w:bCs/>
                <w:sz w:val="24"/>
                <w:szCs w:val="24"/>
              </w:rPr>
            </w:pPr>
          </w:p>
        </w:tc>
        <w:tc>
          <w:tcPr>
            <w:tcW w:w="2070" w:type="dxa"/>
          </w:tcPr>
          <w:p>
            <w:pPr>
              <w:ind w:firstLine="482"/>
              <w:jc w:val="center"/>
              <w:rPr>
                <w:rFonts w:cs="宋体" w:asciiTheme="minorEastAsia" w:hAnsiTheme="minorEastAsia"/>
                <w:b/>
                <w:bCs/>
                <w:sz w:val="24"/>
                <w:szCs w:val="24"/>
              </w:rPr>
            </w:pPr>
          </w:p>
        </w:tc>
        <w:tc>
          <w:tcPr>
            <w:tcW w:w="2052" w:type="dxa"/>
          </w:tcPr>
          <w:p>
            <w:pPr>
              <w:ind w:firstLine="482"/>
              <w:jc w:val="center"/>
              <w:rPr>
                <w:rFonts w:cs="宋体" w:asciiTheme="minorEastAsia" w:hAnsiTheme="minorEastAsia"/>
                <w:b/>
                <w:bCs/>
                <w:sz w:val="24"/>
                <w:szCs w:val="24"/>
              </w:rPr>
            </w:pPr>
          </w:p>
        </w:tc>
        <w:tc>
          <w:tcPr>
            <w:tcW w:w="2126" w:type="dxa"/>
          </w:tcPr>
          <w:p>
            <w:pPr>
              <w:ind w:firstLine="482"/>
              <w:jc w:val="center"/>
              <w:rPr>
                <w:rFonts w:cs="宋体" w:asciiTheme="minorEastAsia" w:hAnsiTheme="minorEastAsia"/>
                <w:b/>
                <w:bCs/>
                <w:sz w:val="24"/>
                <w:szCs w:val="24"/>
              </w:rPr>
            </w:pPr>
          </w:p>
        </w:tc>
        <w:tc>
          <w:tcPr>
            <w:tcW w:w="1985" w:type="dxa"/>
          </w:tcPr>
          <w:p>
            <w:pPr>
              <w:ind w:firstLine="482"/>
              <w:jc w:val="center"/>
              <w:rPr>
                <w:rFonts w:cs="宋体" w:asciiTheme="minorEastAsia" w:hAnsiTheme="minorEastAsia"/>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pPr>
              <w:ind w:firstLine="482"/>
              <w:jc w:val="center"/>
              <w:rPr>
                <w:rFonts w:cs="宋体" w:asciiTheme="minorEastAsia" w:hAnsiTheme="minorEastAsia"/>
                <w:b/>
                <w:bCs/>
                <w:sz w:val="24"/>
                <w:szCs w:val="24"/>
              </w:rPr>
            </w:pPr>
          </w:p>
        </w:tc>
        <w:tc>
          <w:tcPr>
            <w:tcW w:w="2070" w:type="dxa"/>
          </w:tcPr>
          <w:p>
            <w:pPr>
              <w:ind w:firstLine="482"/>
              <w:jc w:val="center"/>
              <w:rPr>
                <w:rFonts w:cs="宋体" w:asciiTheme="minorEastAsia" w:hAnsiTheme="minorEastAsia"/>
                <w:b/>
                <w:bCs/>
                <w:sz w:val="24"/>
                <w:szCs w:val="24"/>
              </w:rPr>
            </w:pPr>
          </w:p>
        </w:tc>
        <w:tc>
          <w:tcPr>
            <w:tcW w:w="2052" w:type="dxa"/>
          </w:tcPr>
          <w:p>
            <w:pPr>
              <w:ind w:firstLine="482"/>
              <w:jc w:val="center"/>
              <w:rPr>
                <w:rFonts w:cs="宋体" w:asciiTheme="minorEastAsia" w:hAnsiTheme="minorEastAsia"/>
                <w:b/>
                <w:bCs/>
                <w:sz w:val="24"/>
                <w:szCs w:val="24"/>
              </w:rPr>
            </w:pPr>
          </w:p>
        </w:tc>
        <w:tc>
          <w:tcPr>
            <w:tcW w:w="2126" w:type="dxa"/>
          </w:tcPr>
          <w:p>
            <w:pPr>
              <w:ind w:firstLine="482"/>
              <w:jc w:val="center"/>
              <w:rPr>
                <w:rFonts w:cs="宋体" w:asciiTheme="minorEastAsia" w:hAnsiTheme="minorEastAsia"/>
                <w:b/>
                <w:bCs/>
                <w:sz w:val="24"/>
                <w:szCs w:val="24"/>
              </w:rPr>
            </w:pPr>
          </w:p>
        </w:tc>
        <w:tc>
          <w:tcPr>
            <w:tcW w:w="1985" w:type="dxa"/>
          </w:tcPr>
          <w:p>
            <w:pPr>
              <w:ind w:firstLine="482"/>
              <w:jc w:val="center"/>
              <w:rPr>
                <w:rFonts w:cs="宋体" w:asciiTheme="minorEastAsia" w:hAnsiTheme="minorEastAsia"/>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pPr>
              <w:ind w:firstLine="482"/>
              <w:jc w:val="center"/>
              <w:rPr>
                <w:rFonts w:cs="宋体" w:asciiTheme="minorEastAsia" w:hAnsiTheme="minorEastAsia"/>
                <w:b/>
                <w:bCs/>
                <w:sz w:val="24"/>
                <w:szCs w:val="24"/>
              </w:rPr>
            </w:pPr>
          </w:p>
        </w:tc>
        <w:tc>
          <w:tcPr>
            <w:tcW w:w="2070" w:type="dxa"/>
          </w:tcPr>
          <w:p>
            <w:pPr>
              <w:ind w:firstLine="482"/>
              <w:jc w:val="center"/>
              <w:rPr>
                <w:rFonts w:cs="宋体" w:asciiTheme="minorEastAsia" w:hAnsiTheme="minorEastAsia"/>
                <w:b/>
                <w:bCs/>
                <w:sz w:val="24"/>
                <w:szCs w:val="24"/>
              </w:rPr>
            </w:pPr>
          </w:p>
        </w:tc>
        <w:tc>
          <w:tcPr>
            <w:tcW w:w="2052" w:type="dxa"/>
          </w:tcPr>
          <w:p>
            <w:pPr>
              <w:ind w:firstLine="482"/>
              <w:jc w:val="center"/>
              <w:rPr>
                <w:rFonts w:cs="宋体" w:asciiTheme="minorEastAsia" w:hAnsiTheme="minorEastAsia"/>
                <w:b/>
                <w:bCs/>
                <w:sz w:val="24"/>
                <w:szCs w:val="24"/>
              </w:rPr>
            </w:pPr>
          </w:p>
        </w:tc>
        <w:tc>
          <w:tcPr>
            <w:tcW w:w="2126" w:type="dxa"/>
          </w:tcPr>
          <w:p>
            <w:pPr>
              <w:ind w:firstLine="482"/>
              <w:jc w:val="center"/>
              <w:rPr>
                <w:rFonts w:cs="宋体" w:asciiTheme="minorEastAsia" w:hAnsiTheme="minorEastAsia"/>
                <w:b/>
                <w:bCs/>
                <w:sz w:val="24"/>
                <w:szCs w:val="24"/>
              </w:rPr>
            </w:pPr>
          </w:p>
        </w:tc>
        <w:tc>
          <w:tcPr>
            <w:tcW w:w="1985" w:type="dxa"/>
          </w:tcPr>
          <w:p>
            <w:pPr>
              <w:ind w:firstLine="482"/>
              <w:jc w:val="center"/>
              <w:rPr>
                <w:rFonts w:cs="宋体" w:asciiTheme="minorEastAsia" w:hAnsiTheme="minorEastAsia"/>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pPr>
              <w:ind w:firstLine="482"/>
              <w:jc w:val="center"/>
              <w:rPr>
                <w:rFonts w:cs="宋体" w:asciiTheme="minorEastAsia" w:hAnsiTheme="minorEastAsia"/>
                <w:b/>
                <w:bCs/>
                <w:sz w:val="24"/>
                <w:szCs w:val="24"/>
              </w:rPr>
            </w:pPr>
          </w:p>
        </w:tc>
        <w:tc>
          <w:tcPr>
            <w:tcW w:w="2070" w:type="dxa"/>
          </w:tcPr>
          <w:p>
            <w:pPr>
              <w:ind w:firstLine="482"/>
              <w:jc w:val="center"/>
              <w:rPr>
                <w:rFonts w:cs="宋体" w:asciiTheme="minorEastAsia" w:hAnsiTheme="minorEastAsia"/>
                <w:b/>
                <w:bCs/>
                <w:sz w:val="24"/>
                <w:szCs w:val="24"/>
              </w:rPr>
            </w:pPr>
          </w:p>
        </w:tc>
        <w:tc>
          <w:tcPr>
            <w:tcW w:w="2052" w:type="dxa"/>
          </w:tcPr>
          <w:p>
            <w:pPr>
              <w:ind w:firstLine="482"/>
              <w:jc w:val="center"/>
              <w:rPr>
                <w:rFonts w:cs="宋体" w:asciiTheme="minorEastAsia" w:hAnsiTheme="minorEastAsia"/>
                <w:b/>
                <w:bCs/>
                <w:sz w:val="24"/>
                <w:szCs w:val="24"/>
              </w:rPr>
            </w:pPr>
          </w:p>
        </w:tc>
        <w:tc>
          <w:tcPr>
            <w:tcW w:w="2126" w:type="dxa"/>
          </w:tcPr>
          <w:p>
            <w:pPr>
              <w:ind w:firstLine="482"/>
              <w:jc w:val="center"/>
              <w:rPr>
                <w:rFonts w:cs="宋体" w:asciiTheme="minorEastAsia" w:hAnsiTheme="minorEastAsia"/>
                <w:b/>
                <w:bCs/>
                <w:sz w:val="24"/>
                <w:szCs w:val="24"/>
              </w:rPr>
            </w:pPr>
          </w:p>
        </w:tc>
        <w:tc>
          <w:tcPr>
            <w:tcW w:w="1985" w:type="dxa"/>
          </w:tcPr>
          <w:p>
            <w:pPr>
              <w:ind w:firstLine="482"/>
              <w:jc w:val="center"/>
              <w:rPr>
                <w:rFonts w:cs="宋体" w:asciiTheme="minorEastAsia" w:hAnsiTheme="minorEastAsia"/>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pPr>
              <w:ind w:firstLine="482"/>
              <w:jc w:val="center"/>
              <w:rPr>
                <w:rFonts w:cs="宋体" w:asciiTheme="minorEastAsia" w:hAnsiTheme="minorEastAsia"/>
                <w:b/>
                <w:bCs/>
                <w:sz w:val="24"/>
                <w:szCs w:val="24"/>
              </w:rPr>
            </w:pPr>
          </w:p>
        </w:tc>
        <w:tc>
          <w:tcPr>
            <w:tcW w:w="2070" w:type="dxa"/>
          </w:tcPr>
          <w:p>
            <w:pPr>
              <w:ind w:firstLine="482"/>
              <w:jc w:val="center"/>
              <w:rPr>
                <w:rFonts w:cs="宋体" w:asciiTheme="minorEastAsia" w:hAnsiTheme="minorEastAsia"/>
                <w:b/>
                <w:bCs/>
                <w:sz w:val="24"/>
                <w:szCs w:val="24"/>
              </w:rPr>
            </w:pPr>
          </w:p>
        </w:tc>
        <w:tc>
          <w:tcPr>
            <w:tcW w:w="2052" w:type="dxa"/>
          </w:tcPr>
          <w:p>
            <w:pPr>
              <w:ind w:firstLine="482"/>
              <w:jc w:val="center"/>
              <w:rPr>
                <w:rFonts w:cs="宋体" w:asciiTheme="minorEastAsia" w:hAnsiTheme="minorEastAsia"/>
                <w:b/>
                <w:bCs/>
                <w:sz w:val="24"/>
                <w:szCs w:val="24"/>
              </w:rPr>
            </w:pPr>
          </w:p>
        </w:tc>
        <w:tc>
          <w:tcPr>
            <w:tcW w:w="2126" w:type="dxa"/>
          </w:tcPr>
          <w:p>
            <w:pPr>
              <w:ind w:firstLine="482"/>
              <w:jc w:val="center"/>
              <w:rPr>
                <w:rFonts w:cs="宋体" w:asciiTheme="minorEastAsia" w:hAnsiTheme="minorEastAsia"/>
                <w:b/>
                <w:bCs/>
                <w:sz w:val="24"/>
                <w:szCs w:val="24"/>
              </w:rPr>
            </w:pPr>
          </w:p>
        </w:tc>
        <w:tc>
          <w:tcPr>
            <w:tcW w:w="1985" w:type="dxa"/>
          </w:tcPr>
          <w:p>
            <w:pPr>
              <w:ind w:firstLine="482"/>
              <w:jc w:val="center"/>
              <w:rPr>
                <w:rFonts w:cs="宋体" w:asciiTheme="minorEastAsia" w:hAnsiTheme="minorEastAsia"/>
                <w:b/>
                <w:bCs/>
                <w:sz w:val="24"/>
                <w:szCs w:val="24"/>
              </w:rPr>
            </w:pPr>
          </w:p>
        </w:tc>
      </w:tr>
    </w:tbl>
    <w:p>
      <w:pPr>
        <w:spacing w:line="360" w:lineRule="auto"/>
        <w:ind w:firstLine="480" w:firstLineChars="200"/>
        <w:jc w:val="left"/>
        <w:rPr>
          <w:rFonts w:cs="Times New Roman" w:asciiTheme="minorEastAsia" w:hAnsiTheme="minorEastAsia"/>
          <w:sz w:val="24"/>
          <w:szCs w:val="24"/>
        </w:rPr>
      </w:pPr>
      <w:r>
        <w:rPr>
          <w:rFonts w:hint="eastAsia" w:cs="Times New Roman" w:asciiTheme="minorEastAsia" w:hAnsiTheme="minorEastAsia"/>
          <w:sz w:val="24"/>
          <w:szCs w:val="24"/>
        </w:rPr>
        <w:t>备注：投标人商务条款有差异的，则在此表中列明实际响应的内容提要并加以说明，以便查对。无差异说明表示完全响应。</w:t>
      </w:r>
    </w:p>
    <w:p>
      <w:pPr>
        <w:spacing w:line="360" w:lineRule="auto"/>
        <w:jc w:val="left"/>
        <w:rPr>
          <w:rFonts w:cs="Times New Roman" w:asciiTheme="minorEastAsia" w:hAnsiTheme="minorEastAsia"/>
          <w:sz w:val="24"/>
          <w:szCs w:val="24"/>
        </w:rPr>
      </w:pPr>
    </w:p>
    <w:p>
      <w:pPr>
        <w:spacing w:line="360" w:lineRule="auto"/>
        <w:jc w:val="left"/>
        <w:rPr>
          <w:rFonts w:cs="Times New Roman" w:asciiTheme="minorEastAsia" w:hAnsiTheme="minorEastAsia"/>
          <w:sz w:val="24"/>
          <w:szCs w:val="24"/>
        </w:rPr>
      </w:pPr>
    </w:p>
    <w:p>
      <w:pPr>
        <w:widowControl/>
        <w:shd w:val="clear" w:color="auto" w:fill="FFFFFF"/>
        <w:snapToGrid w:val="0"/>
        <w:spacing w:line="384" w:lineRule="auto"/>
        <w:jc w:val="left"/>
        <w:rPr>
          <w:rFonts w:cs="Arial" w:asciiTheme="minorEastAsia" w:hAnsiTheme="minorEastAsia"/>
          <w:kern w:val="0"/>
          <w:sz w:val="24"/>
          <w:szCs w:val="24"/>
        </w:rPr>
      </w:pPr>
      <w:r>
        <w:rPr>
          <w:rFonts w:hint="eastAsia" w:cs="Arial" w:asciiTheme="minorEastAsia" w:hAnsiTheme="minorEastAsia"/>
          <w:kern w:val="0"/>
          <w:sz w:val="24"/>
          <w:szCs w:val="24"/>
        </w:rPr>
        <w:t>投标人：（盖章）</w:t>
      </w:r>
    </w:p>
    <w:p>
      <w:pPr>
        <w:widowControl/>
        <w:shd w:val="clear" w:color="auto" w:fill="FFFFFF"/>
        <w:snapToGrid w:val="0"/>
        <w:spacing w:line="384" w:lineRule="auto"/>
        <w:jc w:val="left"/>
        <w:rPr>
          <w:rFonts w:cs="Arial" w:asciiTheme="minorEastAsia" w:hAnsiTheme="minorEastAsia"/>
          <w:kern w:val="0"/>
          <w:sz w:val="24"/>
          <w:szCs w:val="24"/>
        </w:rPr>
      </w:pPr>
    </w:p>
    <w:p>
      <w:pPr>
        <w:widowControl/>
        <w:shd w:val="clear" w:color="auto" w:fill="FFFFFF"/>
        <w:snapToGrid w:val="0"/>
        <w:spacing w:line="384" w:lineRule="auto"/>
        <w:jc w:val="left"/>
        <w:rPr>
          <w:rFonts w:cs="Arial" w:asciiTheme="minorEastAsia" w:hAnsiTheme="minorEastAsia"/>
          <w:kern w:val="0"/>
          <w:sz w:val="24"/>
          <w:szCs w:val="24"/>
        </w:rPr>
      </w:pPr>
      <w:r>
        <w:rPr>
          <w:rFonts w:hint="eastAsia" w:cs="Arial" w:asciiTheme="minorEastAsia" w:hAnsiTheme="minorEastAsia"/>
          <w:kern w:val="0"/>
          <w:sz w:val="24"/>
          <w:szCs w:val="24"/>
        </w:rPr>
        <w:t>法定代表人：（盖章）</w:t>
      </w:r>
    </w:p>
    <w:p>
      <w:pPr>
        <w:widowControl/>
        <w:shd w:val="clear" w:color="auto" w:fill="FFFFFF"/>
        <w:wordWrap w:val="0"/>
        <w:snapToGrid w:val="0"/>
        <w:spacing w:line="384" w:lineRule="auto"/>
        <w:ind w:firstLine="480"/>
        <w:jc w:val="right"/>
        <w:rPr>
          <w:rFonts w:cs="Arial" w:asciiTheme="minorEastAsia" w:hAnsiTheme="minorEastAsia"/>
          <w:kern w:val="0"/>
          <w:sz w:val="24"/>
          <w:szCs w:val="24"/>
        </w:rPr>
      </w:pPr>
      <w:r>
        <w:rPr>
          <w:rFonts w:hint="eastAsia" w:cs="Arial" w:asciiTheme="minorEastAsia" w:hAnsiTheme="minorEastAsia"/>
          <w:kern w:val="0"/>
          <w:sz w:val="24"/>
          <w:szCs w:val="24"/>
        </w:rPr>
        <w:t>日期：年月日</w:t>
      </w:r>
    </w:p>
    <w:p>
      <w:pPr>
        <w:tabs>
          <w:tab w:val="center" w:pos="4832"/>
          <w:tab w:val="left" w:pos="7140"/>
        </w:tabs>
        <w:ind w:firstLine="482"/>
        <w:jc w:val="center"/>
        <w:outlineLvl w:val="1"/>
        <w:rPr>
          <w:rFonts w:cs="宋体" w:asciiTheme="minorEastAsia" w:hAnsiTheme="minorEastAsia"/>
          <w:b/>
          <w:sz w:val="24"/>
          <w:szCs w:val="24"/>
        </w:rPr>
      </w:pPr>
      <w:r>
        <w:rPr>
          <w:rFonts w:cs="Arial" w:asciiTheme="minorEastAsia" w:hAnsiTheme="minorEastAsia"/>
          <w:b/>
          <w:bCs/>
          <w:kern w:val="36"/>
          <w:sz w:val="24"/>
          <w:szCs w:val="24"/>
        </w:rPr>
        <w:br w:type="page"/>
      </w:r>
      <w:bookmarkStart w:id="88" w:name="_Toc9077"/>
      <w:bookmarkStart w:id="89" w:name="_Toc6713"/>
      <w:r>
        <w:rPr>
          <w:rFonts w:hint="eastAsia" w:cs="宋体" w:asciiTheme="minorEastAsia" w:hAnsiTheme="minorEastAsia"/>
          <w:b/>
          <w:sz w:val="24"/>
          <w:szCs w:val="24"/>
        </w:rPr>
        <w:t>六、法定代表人身份证明书</w:t>
      </w:r>
      <w:bookmarkEnd w:id="88"/>
      <w:bookmarkEnd w:id="89"/>
    </w:p>
    <w:p>
      <w:pPr>
        <w:widowControl/>
        <w:shd w:val="clear" w:color="auto" w:fill="FFFFFF"/>
        <w:snapToGrid w:val="0"/>
        <w:spacing w:line="384" w:lineRule="auto"/>
        <w:jc w:val="left"/>
        <w:rPr>
          <w:rFonts w:cs="Arial" w:asciiTheme="minorEastAsia" w:hAnsiTheme="minorEastAsia"/>
          <w:kern w:val="0"/>
          <w:sz w:val="24"/>
          <w:szCs w:val="24"/>
        </w:rPr>
      </w:pPr>
    </w:p>
    <w:p>
      <w:pPr>
        <w:widowControl/>
        <w:shd w:val="clear" w:color="auto" w:fill="FFFFFF"/>
        <w:snapToGrid w:val="0"/>
        <w:spacing w:line="384" w:lineRule="auto"/>
        <w:jc w:val="left"/>
        <w:rPr>
          <w:rFonts w:cs="Arial" w:asciiTheme="minorEastAsia" w:hAnsiTheme="minorEastAsia"/>
          <w:kern w:val="0"/>
          <w:sz w:val="24"/>
          <w:szCs w:val="24"/>
        </w:rPr>
      </w:pPr>
      <w:r>
        <w:rPr>
          <w:rFonts w:hint="eastAsia" w:cs="Arial" w:asciiTheme="minorEastAsia" w:hAnsiTheme="minorEastAsia"/>
          <w:kern w:val="0"/>
          <w:sz w:val="24"/>
          <w:szCs w:val="24"/>
        </w:rPr>
        <w:t>投标人：</w:t>
      </w:r>
    </w:p>
    <w:p>
      <w:pPr>
        <w:widowControl/>
        <w:shd w:val="clear" w:color="auto" w:fill="FFFFFF"/>
        <w:snapToGrid w:val="0"/>
        <w:spacing w:line="384" w:lineRule="auto"/>
        <w:jc w:val="left"/>
        <w:rPr>
          <w:rFonts w:cs="Arial" w:asciiTheme="minorEastAsia" w:hAnsiTheme="minorEastAsia"/>
          <w:kern w:val="0"/>
          <w:sz w:val="24"/>
          <w:szCs w:val="24"/>
        </w:rPr>
      </w:pPr>
      <w:r>
        <w:rPr>
          <w:rFonts w:hint="eastAsia" w:cs="Arial" w:asciiTheme="minorEastAsia" w:hAnsiTheme="minorEastAsia"/>
          <w:kern w:val="0"/>
          <w:sz w:val="24"/>
          <w:szCs w:val="24"/>
        </w:rPr>
        <w:t>单位性质：</w:t>
      </w:r>
    </w:p>
    <w:p>
      <w:pPr>
        <w:widowControl/>
        <w:shd w:val="clear" w:color="auto" w:fill="FFFFFF"/>
        <w:snapToGrid w:val="0"/>
        <w:spacing w:line="384" w:lineRule="auto"/>
        <w:jc w:val="left"/>
        <w:rPr>
          <w:rFonts w:cs="Arial" w:asciiTheme="minorEastAsia" w:hAnsiTheme="minorEastAsia"/>
          <w:kern w:val="0"/>
          <w:sz w:val="24"/>
          <w:szCs w:val="24"/>
        </w:rPr>
      </w:pPr>
      <w:r>
        <w:rPr>
          <w:rFonts w:hint="eastAsia" w:cs="Arial" w:asciiTheme="minorEastAsia" w:hAnsiTheme="minorEastAsia"/>
          <w:kern w:val="0"/>
          <w:sz w:val="24"/>
          <w:szCs w:val="24"/>
        </w:rPr>
        <w:t>地址：</w:t>
      </w:r>
    </w:p>
    <w:p>
      <w:pPr>
        <w:widowControl/>
        <w:shd w:val="clear" w:color="auto" w:fill="FFFFFF"/>
        <w:snapToGrid w:val="0"/>
        <w:spacing w:line="384" w:lineRule="auto"/>
        <w:jc w:val="left"/>
        <w:rPr>
          <w:rFonts w:cs="Arial" w:asciiTheme="minorEastAsia" w:hAnsiTheme="minorEastAsia"/>
          <w:kern w:val="0"/>
          <w:sz w:val="24"/>
          <w:szCs w:val="24"/>
        </w:rPr>
      </w:pPr>
      <w:r>
        <w:rPr>
          <w:rFonts w:hint="eastAsia" w:cs="Arial" w:asciiTheme="minorEastAsia" w:hAnsiTheme="minorEastAsia"/>
          <w:kern w:val="0"/>
          <w:sz w:val="24"/>
          <w:szCs w:val="24"/>
        </w:rPr>
        <w:t>成立时间：年月日</w:t>
      </w:r>
    </w:p>
    <w:p>
      <w:pPr>
        <w:widowControl/>
        <w:shd w:val="clear" w:color="auto" w:fill="FFFFFF"/>
        <w:snapToGrid w:val="0"/>
        <w:spacing w:line="384" w:lineRule="auto"/>
        <w:jc w:val="left"/>
        <w:rPr>
          <w:rFonts w:cs="Arial" w:asciiTheme="minorEastAsia" w:hAnsiTheme="minorEastAsia"/>
          <w:kern w:val="0"/>
          <w:sz w:val="24"/>
          <w:szCs w:val="24"/>
        </w:rPr>
      </w:pPr>
      <w:r>
        <w:rPr>
          <w:rFonts w:hint="eastAsia" w:cs="Arial" w:asciiTheme="minorEastAsia" w:hAnsiTheme="minorEastAsia"/>
          <w:kern w:val="0"/>
          <w:sz w:val="24"/>
          <w:szCs w:val="24"/>
        </w:rPr>
        <w:t>经营期限：</w:t>
      </w:r>
    </w:p>
    <w:p>
      <w:pPr>
        <w:widowControl/>
        <w:shd w:val="clear" w:color="auto" w:fill="FFFFFF"/>
        <w:snapToGrid w:val="0"/>
        <w:spacing w:line="384" w:lineRule="auto"/>
        <w:jc w:val="left"/>
        <w:rPr>
          <w:rFonts w:cs="Arial" w:asciiTheme="minorEastAsia" w:hAnsiTheme="minorEastAsia"/>
          <w:kern w:val="0"/>
          <w:sz w:val="24"/>
          <w:szCs w:val="24"/>
        </w:rPr>
      </w:pPr>
    </w:p>
    <w:p>
      <w:pPr>
        <w:widowControl/>
        <w:shd w:val="clear" w:color="auto" w:fill="FFFFFF"/>
        <w:snapToGrid w:val="0"/>
        <w:spacing w:line="384" w:lineRule="auto"/>
        <w:ind w:firstLine="480" w:firstLineChars="200"/>
        <w:jc w:val="left"/>
        <w:rPr>
          <w:rFonts w:cs="Arial" w:asciiTheme="minorEastAsia" w:hAnsiTheme="minorEastAsia"/>
          <w:kern w:val="0"/>
          <w:sz w:val="24"/>
          <w:szCs w:val="24"/>
        </w:rPr>
      </w:pPr>
      <w:r>
        <w:rPr>
          <w:rFonts w:hint="eastAsia" w:cs="Arial" w:asciiTheme="minorEastAsia" w:hAnsiTheme="minorEastAsia"/>
          <w:kern w:val="0"/>
          <w:sz w:val="24"/>
          <w:szCs w:val="24"/>
        </w:rPr>
        <w:t>姓名：性别：年龄：职务：系（投标人名称）的法定代表人。</w:t>
      </w:r>
    </w:p>
    <w:p>
      <w:pPr>
        <w:widowControl/>
        <w:shd w:val="clear" w:color="auto" w:fill="FFFFFF"/>
        <w:snapToGrid w:val="0"/>
        <w:spacing w:line="384" w:lineRule="auto"/>
        <w:ind w:firstLine="480" w:firstLineChars="200"/>
        <w:jc w:val="left"/>
        <w:rPr>
          <w:rFonts w:cs="Arial" w:asciiTheme="minorEastAsia" w:hAnsiTheme="minorEastAsia"/>
          <w:kern w:val="0"/>
          <w:sz w:val="24"/>
          <w:szCs w:val="24"/>
        </w:rPr>
      </w:pPr>
      <w:r>
        <w:rPr>
          <w:rFonts w:hint="eastAsia" w:cs="Arial" w:asciiTheme="minorEastAsia" w:hAnsiTheme="minorEastAsia"/>
          <w:kern w:val="0"/>
          <w:sz w:val="24"/>
          <w:szCs w:val="24"/>
        </w:rPr>
        <w:t>特此证明。</w:t>
      </w:r>
    </w:p>
    <w:p>
      <w:pPr>
        <w:widowControl/>
        <w:shd w:val="clear" w:color="auto" w:fill="FFFFFF"/>
        <w:snapToGrid w:val="0"/>
        <w:spacing w:line="384" w:lineRule="auto"/>
        <w:jc w:val="left"/>
        <w:rPr>
          <w:rFonts w:cs="Arial" w:asciiTheme="minorEastAsia" w:hAnsiTheme="minorEastAsia"/>
          <w:kern w:val="0"/>
          <w:sz w:val="24"/>
          <w:szCs w:val="24"/>
        </w:rPr>
      </w:pPr>
    </w:p>
    <w:p>
      <w:pPr>
        <w:widowControl/>
        <w:shd w:val="clear" w:color="auto" w:fill="FFFFFF"/>
        <w:snapToGrid w:val="0"/>
        <w:spacing w:line="384" w:lineRule="auto"/>
        <w:ind w:firstLine="480" w:firstLineChars="200"/>
        <w:jc w:val="left"/>
        <w:rPr>
          <w:rFonts w:cs="Arial" w:asciiTheme="minorEastAsia" w:hAnsiTheme="minorEastAsia"/>
          <w:kern w:val="0"/>
          <w:sz w:val="24"/>
          <w:szCs w:val="24"/>
        </w:rPr>
      </w:pPr>
      <w:r>
        <w:rPr>
          <w:rFonts w:hint="eastAsia" w:cs="Arial" w:asciiTheme="minorEastAsia" w:hAnsiTheme="minorEastAsia"/>
          <w:kern w:val="0"/>
          <w:sz w:val="24"/>
          <w:szCs w:val="24"/>
        </w:rPr>
        <w:t>附：法定代表人身份证明</w:t>
      </w:r>
    </w:p>
    <w:p>
      <w:pPr>
        <w:widowControl/>
        <w:shd w:val="clear" w:color="auto" w:fill="FFFFFF"/>
        <w:snapToGrid w:val="0"/>
        <w:spacing w:line="384" w:lineRule="auto"/>
        <w:jc w:val="left"/>
        <w:rPr>
          <w:rFonts w:cs="Arial" w:asciiTheme="minorEastAsia" w:hAnsiTheme="minorEastAsia"/>
          <w:kern w:val="0"/>
          <w:sz w:val="24"/>
          <w:szCs w:val="24"/>
        </w:rPr>
      </w:pPr>
    </w:p>
    <w:tbl>
      <w:tblPr>
        <w:tblStyle w:val="3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pPr>
              <w:jc w:val="center"/>
              <w:rPr>
                <w:rFonts w:cs="Times New Roman" w:asciiTheme="minorEastAsia" w:hAnsiTheme="minorEastAsia"/>
                <w:kern w:val="0"/>
                <w:sz w:val="24"/>
                <w:szCs w:val="24"/>
              </w:rPr>
            </w:pPr>
            <w:r>
              <w:rPr>
                <w:rFonts w:hint="eastAsia" w:cs="Arial" w:asciiTheme="minorEastAsia" w:hAnsiTheme="minorEastAsia"/>
                <w:kern w:val="0"/>
                <w:sz w:val="24"/>
                <w:szCs w:val="24"/>
              </w:rPr>
              <w:t>法定代表人</w:t>
            </w:r>
            <w:r>
              <w:rPr>
                <w:rFonts w:hint="eastAsia" w:cs="Times New Roman" w:asciiTheme="minorEastAsia" w:hAnsiTheme="minorEastAsia"/>
                <w:kern w:val="0"/>
                <w:sz w:val="24"/>
                <w:szCs w:val="24"/>
              </w:rPr>
              <w:t>身份证复印件（正面）</w:t>
            </w:r>
          </w:p>
        </w:tc>
      </w:tr>
    </w:tbl>
    <w:tbl>
      <w:tblPr>
        <w:tblStyle w:val="34"/>
        <w:tblpPr w:leftFromText="180" w:rightFromText="180" w:vertAnchor="text" w:horzAnchor="page" w:tblpX="5711" w:tblpY="-243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pPr>
              <w:jc w:val="center"/>
              <w:rPr>
                <w:rFonts w:cs="Times New Roman" w:asciiTheme="minorEastAsia" w:hAnsiTheme="minorEastAsia"/>
                <w:kern w:val="0"/>
                <w:sz w:val="24"/>
                <w:szCs w:val="24"/>
              </w:rPr>
            </w:pPr>
            <w:r>
              <w:rPr>
                <w:rFonts w:hint="eastAsia" w:cs="Arial" w:asciiTheme="minorEastAsia" w:hAnsiTheme="minorEastAsia"/>
                <w:kern w:val="0"/>
                <w:sz w:val="24"/>
                <w:szCs w:val="24"/>
              </w:rPr>
              <w:t>法定代表人</w:t>
            </w:r>
            <w:r>
              <w:rPr>
                <w:rFonts w:hint="eastAsia" w:cs="Times New Roman" w:asciiTheme="minorEastAsia" w:hAnsiTheme="minorEastAsia"/>
                <w:kern w:val="0"/>
                <w:sz w:val="24"/>
                <w:szCs w:val="24"/>
              </w:rPr>
              <w:t>身份证复印件（反面）</w:t>
            </w:r>
          </w:p>
        </w:tc>
      </w:tr>
    </w:tbl>
    <w:p>
      <w:pPr>
        <w:widowControl/>
        <w:shd w:val="clear" w:color="auto" w:fill="FFFFFF"/>
        <w:snapToGrid w:val="0"/>
        <w:spacing w:line="384" w:lineRule="auto"/>
        <w:jc w:val="left"/>
        <w:rPr>
          <w:rFonts w:cs="Arial" w:asciiTheme="minorEastAsia" w:hAnsiTheme="minorEastAsia"/>
          <w:kern w:val="0"/>
          <w:sz w:val="24"/>
          <w:szCs w:val="24"/>
        </w:rPr>
      </w:pPr>
    </w:p>
    <w:p>
      <w:pPr>
        <w:widowControl/>
        <w:shd w:val="clear" w:color="auto" w:fill="FFFFFF"/>
        <w:snapToGrid w:val="0"/>
        <w:spacing w:line="384" w:lineRule="auto"/>
        <w:jc w:val="left"/>
        <w:rPr>
          <w:rFonts w:cs="Arial" w:asciiTheme="minorEastAsia" w:hAnsiTheme="minorEastAsia"/>
          <w:kern w:val="0"/>
          <w:sz w:val="24"/>
          <w:szCs w:val="24"/>
        </w:rPr>
      </w:pPr>
    </w:p>
    <w:p>
      <w:pPr>
        <w:widowControl/>
        <w:shd w:val="clear" w:color="auto" w:fill="FFFFFF"/>
        <w:snapToGrid w:val="0"/>
        <w:spacing w:line="384" w:lineRule="auto"/>
        <w:jc w:val="left"/>
        <w:rPr>
          <w:rFonts w:cs="Arial" w:asciiTheme="minorEastAsia" w:hAnsiTheme="minorEastAsia"/>
          <w:kern w:val="0"/>
          <w:sz w:val="24"/>
          <w:szCs w:val="24"/>
        </w:rPr>
      </w:pPr>
    </w:p>
    <w:p>
      <w:pPr>
        <w:widowControl/>
        <w:shd w:val="clear" w:color="auto" w:fill="FFFFFF"/>
        <w:snapToGrid w:val="0"/>
        <w:spacing w:line="384" w:lineRule="auto"/>
        <w:jc w:val="left"/>
        <w:rPr>
          <w:rFonts w:cs="Arial" w:asciiTheme="minorEastAsia" w:hAnsiTheme="minorEastAsia"/>
          <w:kern w:val="0"/>
          <w:sz w:val="24"/>
          <w:szCs w:val="24"/>
        </w:rPr>
      </w:pPr>
      <w:r>
        <w:rPr>
          <w:rFonts w:hint="eastAsia" w:cs="Arial" w:asciiTheme="minorEastAsia" w:hAnsiTheme="minorEastAsia"/>
          <w:kern w:val="0"/>
          <w:sz w:val="24"/>
          <w:szCs w:val="24"/>
        </w:rPr>
        <w:t>投标人：（盖章）</w:t>
      </w:r>
    </w:p>
    <w:p>
      <w:pPr>
        <w:widowControl/>
        <w:shd w:val="clear" w:color="auto" w:fill="FFFFFF"/>
        <w:wordWrap w:val="0"/>
        <w:snapToGrid w:val="0"/>
        <w:jc w:val="right"/>
        <w:rPr>
          <w:rFonts w:cs="Arial" w:asciiTheme="minorEastAsia" w:hAnsiTheme="minorEastAsia"/>
          <w:kern w:val="0"/>
          <w:sz w:val="24"/>
          <w:szCs w:val="24"/>
        </w:rPr>
      </w:pPr>
      <w:r>
        <w:rPr>
          <w:rFonts w:hint="eastAsia" w:cs="Arial" w:asciiTheme="minorEastAsia" w:hAnsiTheme="minorEastAsia"/>
          <w:kern w:val="0"/>
          <w:sz w:val="24"/>
          <w:szCs w:val="24"/>
        </w:rPr>
        <w:t>日期：年月日</w:t>
      </w:r>
    </w:p>
    <w:p>
      <w:pPr>
        <w:widowControl/>
        <w:shd w:val="clear" w:color="auto" w:fill="FFFFFF"/>
        <w:snapToGrid w:val="0"/>
        <w:jc w:val="right"/>
        <w:rPr>
          <w:rFonts w:cs="Arial" w:asciiTheme="minorEastAsia" w:hAnsiTheme="minorEastAsia"/>
          <w:kern w:val="0"/>
          <w:sz w:val="24"/>
          <w:szCs w:val="24"/>
        </w:rPr>
      </w:pPr>
    </w:p>
    <w:p>
      <w:pPr>
        <w:widowControl/>
        <w:shd w:val="clear" w:color="auto" w:fill="FFFFFF"/>
        <w:snapToGrid w:val="0"/>
        <w:jc w:val="right"/>
        <w:rPr>
          <w:rFonts w:cs="Arial" w:asciiTheme="minorEastAsia" w:hAnsiTheme="minorEastAsia"/>
          <w:kern w:val="0"/>
          <w:sz w:val="24"/>
          <w:szCs w:val="24"/>
        </w:rPr>
      </w:pPr>
    </w:p>
    <w:p>
      <w:pPr>
        <w:widowControl/>
        <w:shd w:val="clear" w:color="auto" w:fill="FFFFFF"/>
        <w:snapToGrid w:val="0"/>
        <w:jc w:val="right"/>
        <w:rPr>
          <w:rFonts w:cs="Arial" w:asciiTheme="minorEastAsia" w:hAnsiTheme="minorEastAsia"/>
          <w:kern w:val="0"/>
          <w:sz w:val="24"/>
          <w:szCs w:val="24"/>
        </w:rPr>
      </w:pPr>
    </w:p>
    <w:p>
      <w:pPr>
        <w:tabs>
          <w:tab w:val="center" w:pos="4832"/>
          <w:tab w:val="left" w:pos="7140"/>
        </w:tabs>
        <w:ind w:firstLine="482"/>
        <w:jc w:val="center"/>
        <w:outlineLvl w:val="1"/>
        <w:rPr>
          <w:rFonts w:cs="宋体" w:asciiTheme="minorEastAsia" w:hAnsiTheme="minorEastAsia"/>
          <w:b/>
          <w:sz w:val="24"/>
          <w:szCs w:val="24"/>
        </w:rPr>
      </w:pPr>
      <w:r>
        <w:rPr>
          <w:rFonts w:cs="Arial" w:asciiTheme="minorEastAsia" w:hAnsiTheme="minorEastAsia"/>
          <w:b/>
          <w:bCs/>
          <w:kern w:val="0"/>
          <w:sz w:val="24"/>
          <w:szCs w:val="24"/>
        </w:rPr>
        <w:br w:type="page"/>
      </w:r>
      <w:bookmarkStart w:id="90" w:name="_Toc29933"/>
      <w:bookmarkStart w:id="91" w:name="_Toc13371"/>
      <w:r>
        <w:rPr>
          <w:rFonts w:hint="eastAsia" w:cs="宋体" w:asciiTheme="minorEastAsia" w:hAnsiTheme="minorEastAsia"/>
          <w:b/>
          <w:sz w:val="24"/>
          <w:szCs w:val="24"/>
        </w:rPr>
        <w:t>七、法定代表人授权委托书</w:t>
      </w:r>
      <w:bookmarkEnd w:id="90"/>
      <w:bookmarkEnd w:id="91"/>
    </w:p>
    <w:p>
      <w:pPr>
        <w:widowControl/>
        <w:shd w:val="clear" w:color="auto" w:fill="FFFFFF"/>
        <w:snapToGrid w:val="0"/>
        <w:spacing w:line="384" w:lineRule="auto"/>
        <w:jc w:val="left"/>
        <w:rPr>
          <w:rFonts w:cs="Arial" w:asciiTheme="minorEastAsia" w:hAnsiTheme="minorEastAsia"/>
          <w:kern w:val="0"/>
          <w:sz w:val="24"/>
          <w:szCs w:val="24"/>
        </w:rPr>
      </w:pPr>
    </w:p>
    <w:p>
      <w:pPr>
        <w:widowControl/>
        <w:shd w:val="clear" w:color="auto" w:fill="FFFFFF"/>
        <w:snapToGrid w:val="0"/>
        <w:spacing w:line="384" w:lineRule="auto"/>
        <w:ind w:firstLine="480" w:firstLineChars="200"/>
        <w:jc w:val="left"/>
        <w:rPr>
          <w:rFonts w:cs="Arial" w:asciiTheme="minorEastAsia" w:hAnsiTheme="minorEastAsia"/>
          <w:kern w:val="0"/>
          <w:sz w:val="24"/>
          <w:szCs w:val="24"/>
        </w:rPr>
      </w:pPr>
      <w:r>
        <w:rPr>
          <w:rFonts w:hint="eastAsia" w:cs="Arial" w:asciiTheme="minorEastAsia" w:hAnsiTheme="minorEastAsia"/>
          <w:kern w:val="0"/>
          <w:sz w:val="24"/>
          <w:szCs w:val="24"/>
        </w:rPr>
        <w:t>本人（姓名）系（投标人名称）的法定代表人，现拟派我单位（姓名）为我方委托代理人。委托代理人根据授权，就（招标标段名称）的投标，以本公司名义处理一切与之有关的事务，其法律后果由我方承担。</w:t>
      </w:r>
    </w:p>
    <w:p>
      <w:pPr>
        <w:widowControl/>
        <w:shd w:val="clear" w:color="auto" w:fill="FFFFFF"/>
        <w:snapToGrid w:val="0"/>
        <w:spacing w:line="384" w:lineRule="auto"/>
        <w:ind w:firstLine="480" w:firstLineChars="200"/>
        <w:jc w:val="left"/>
        <w:rPr>
          <w:rFonts w:cs="Arial" w:asciiTheme="minorEastAsia" w:hAnsiTheme="minorEastAsia"/>
          <w:kern w:val="0"/>
          <w:sz w:val="24"/>
          <w:szCs w:val="24"/>
          <w:u w:val="single"/>
        </w:rPr>
      </w:pPr>
      <w:r>
        <w:rPr>
          <w:rFonts w:hint="eastAsia" w:cs="Arial" w:asciiTheme="minorEastAsia" w:hAnsiTheme="minorEastAsia"/>
          <w:kern w:val="0"/>
          <w:sz w:val="24"/>
          <w:szCs w:val="24"/>
        </w:rPr>
        <w:t>代理人：性别：年龄：</w:t>
      </w:r>
    </w:p>
    <w:p>
      <w:pPr>
        <w:widowControl/>
        <w:shd w:val="clear" w:color="auto" w:fill="FFFFFF"/>
        <w:snapToGrid w:val="0"/>
        <w:spacing w:line="384" w:lineRule="auto"/>
        <w:ind w:firstLine="480" w:firstLineChars="200"/>
        <w:jc w:val="left"/>
        <w:rPr>
          <w:rFonts w:cs="Arial" w:asciiTheme="minorEastAsia" w:hAnsiTheme="minorEastAsia"/>
          <w:kern w:val="0"/>
          <w:sz w:val="24"/>
          <w:szCs w:val="24"/>
        </w:rPr>
      </w:pPr>
      <w:r>
        <w:rPr>
          <w:rFonts w:hint="eastAsia" w:cs="Arial" w:asciiTheme="minorEastAsia" w:hAnsiTheme="minorEastAsia"/>
          <w:kern w:val="0"/>
          <w:sz w:val="24"/>
          <w:szCs w:val="24"/>
        </w:rPr>
        <w:t>单位：部门：职务：</w:t>
      </w:r>
    </w:p>
    <w:p>
      <w:pPr>
        <w:widowControl/>
        <w:shd w:val="clear" w:color="auto" w:fill="FFFFFF"/>
        <w:snapToGrid w:val="0"/>
        <w:spacing w:line="384" w:lineRule="auto"/>
        <w:ind w:firstLine="480" w:firstLineChars="200"/>
        <w:jc w:val="left"/>
        <w:rPr>
          <w:rFonts w:cs="Arial" w:asciiTheme="minorEastAsia" w:hAnsiTheme="minorEastAsia"/>
          <w:kern w:val="0"/>
          <w:sz w:val="24"/>
          <w:szCs w:val="24"/>
        </w:rPr>
      </w:pPr>
      <w:r>
        <w:rPr>
          <w:rFonts w:hint="eastAsia" w:cs="Arial" w:asciiTheme="minorEastAsia" w:hAnsiTheme="minorEastAsia"/>
          <w:kern w:val="0"/>
          <w:sz w:val="24"/>
          <w:szCs w:val="24"/>
        </w:rPr>
        <w:t>代理人无转委权，特此申明。</w:t>
      </w:r>
    </w:p>
    <w:p>
      <w:pPr>
        <w:widowControl/>
        <w:shd w:val="clear" w:color="auto" w:fill="FFFFFF"/>
        <w:snapToGrid w:val="0"/>
        <w:spacing w:line="384" w:lineRule="auto"/>
        <w:ind w:firstLine="480" w:firstLineChars="200"/>
        <w:jc w:val="left"/>
        <w:rPr>
          <w:rFonts w:cs="Arial" w:asciiTheme="minorEastAsia" w:hAnsiTheme="minorEastAsia"/>
          <w:kern w:val="0"/>
          <w:sz w:val="24"/>
          <w:szCs w:val="24"/>
        </w:rPr>
      </w:pPr>
    </w:p>
    <w:p>
      <w:pPr>
        <w:widowControl/>
        <w:shd w:val="clear" w:color="auto" w:fill="FFFFFF"/>
        <w:snapToGrid w:val="0"/>
        <w:spacing w:line="384" w:lineRule="auto"/>
        <w:rPr>
          <w:rFonts w:cs="Arial" w:asciiTheme="minorEastAsia" w:hAnsiTheme="minorEastAsia"/>
          <w:kern w:val="0"/>
          <w:sz w:val="24"/>
          <w:szCs w:val="24"/>
        </w:rPr>
      </w:pPr>
      <w:r>
        <w:rPr>
          <w:rFonts w:hint="eastAsia" w:cs="Arial" w:asciiTheme="minorEastAsia" w:hAnsiTheme="minorEastAsia"/>
          <w:kern w:val="0"/>
          <w:sz w:val="24"/>
          <w:szCs w:val="24"/>
        </w:rPr>
        <w:t>附：授权委托人身份证明。</w:t>
      </w:r>
    </w:p>
    <w:tbl>
      <w:tblPr>
        <w:tblStyle w:val="34"/>
        <w:tblW w:w="0" w:type="auto"/>
        <w:tblInd w:w="5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pPr>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代理人身份证复印件（正面）</w:t>
            </w:r>
          </w:p>
        </w:tc>
      </w:tr>
    </w:tbl>
    <w:tbl>
      <w:tblPr>
        <w:tblStyle w:val="34"/>
        <w:tblpPr w:leftFromText="180" w:rightFromText="180" w:vertAnchor="text" w:horzAnchor="margin" w:tblpXSpec="right" w:tblpY="-244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pPr>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代理人身份证复印件（反面）</w:t>
            </w:r>
          </w:p>
        </w:tc>
      </w:tr>
    </w:tbl>
    <w:p>
      <w:pPr>
        <w:widowControl/>
        <w:shd w:val="clear" w:color="auto" w:fill="FFFFFF"/>
        <w:snapToGrid w:val="0"/>
        <w:spacing w:line="384" w:lineRule="auto"/>
        <w:jc w:val="left"/>
        <w:rPr>
          <w:rFonts w:cs="Arial" w:asciiTheme="minorEastAsia" w:hAnsiTheme="minorEastAsia"/>
          <w:kern w:val="0"/>
          <w:sz w:val="24"/>
          <w:szCs w:val="24"/>
        </w:rPr>
      </w:pPr>
    </w:p>
    <w:p>
      <w:pPr>
        <w:widowControl/>
        <w:shd w:val="clear" w:color="auto" w:fill="FFFFFF"/>
        <w:snapToGrid w:val="0"/>
        <w:spacing w:line="384" w:lineRule="auto"/>
        <w:jc w:val="left"/>
        <w:rPr>
          <w:rFonts w:cs="Arial" w:asciiTheme="minorEastAsia" w:hAnsiTheme="minorEastAsia"/>
          <w:kern w:val="0"/>
          <w:sz w:val="24"/>
          <w:szCs w:val="24"/>
        </w:rPr>
      </w:pPr>
    </w:p>
    <w:p>
      <w:pPr>
        <w:widowControl/>
        <w:shd w:val="clear" w:color="auto" w:fill="FFFFFF"/>
        <w:snapToGrid w:val="0"/>
        <w:spacing w:line="384" w:lineRule="auto"/>
        <w:jc w:val="left"/>
        <w:rPr>
          <w:rFonts w:cs="Arial" w:asciiTheme="minorEastAsia" w:hAnsiTheme="minorEastAsia"/>
          <w:kern w:val="0"/>
          <w:sz w:val="24"/>
          <w:szCs w:val="24"/>
        </w:rPr>
      </w:pPr>
    </w:p>
    <w:p>
      <w:pPr>
        <w:widowControl/>
        <w:shd w:val="clear" w:color="auto" w:fill="FFFFFF"/>
        <w:snapToGrid w:val="0"/>
        <w:spacing w:line="384" w:lineRule="auto"/>
        <w:jc w:val="left"/>
        <w:rPr>
          <w:rFonts w:cs="Arial" w:asciiTheme="minorEastAsia" w:hAnsiTheme="minorEastAsia"/>
          <w:kern w:val="0"/>
          <w:sz w:val="24"/>
          <w:szCs w:val="24"/>
        </w:rPr>
      </w:pPr>
      <w:r>
        <w:rPr>
          <w:rFonts w:hint="eastAsia" w:cs="Arial" w:asciiTheme="minorEastAsia" w:hAnsiTheme="minorEastAsia"/>
          <w:kern w:val="0"/>
          <w:sz w:val="24"/>
          <w:szCs w:val="24"/>
        </w:rPr>
        <w:t>投标人：（盖章）</w:t>
      </w:r>
    </w:p>
    <w:p>
      <w:pPr>
        <w:widowControl/>
        <w:shd w:val="clear" w:color="auto" w:fill="FFFFFF"/>
        <w:snapToGrid w:val="0"/>
        <w:spacing w:line="384" w:lineRule="auto"/>
        <w:jc w:val="left"/>
        <w:rPr>
          <w:rFonts w:cs="Arial" w:asciiTheme="minorEastAsia" w:hAnsiTheme="minorEastAsia"/>
          <w:kern w:val="0"/>
          <w:sz w:val="24"/>
          <w:szCs w:val="24"/>
        </w:rPr>
      </w:pPr>
    </w:p>
    <w:p>
      <w:pPr>
        <w:widowControl/>
        <w:shd w:val="clear" w:color="auto" w:fill="FFFFFF"/>
        <w:snapToGrid w:val="0"/>
        <w:spacing w:line="384" w:lineRule="auto"/>
        <w:jc w:val="left"/>
        <w:rPr>
          <w:rFonts w:cs="Arial" w:asciiTheme="minorEastAsia" w:hAnsiTheme="minorEastAsia"/>
          <w:kern w:val="0"/>
          <w:sz w:val="24"/>
          <w:szCs w:val="24"/>
        </w:rPr>
      </w:pPr>
      <w:r>
        <w:rPr>
          <w:rFonts w:hint="eastAsia" w:cs="Arial" w:asciiTheme="minorEastAsia" w:hAnsiTheme="minorEastAsia"/>
          <w:kern w:val="0"/>
          <w:sz w:val="24"/>
          <w:szCs w:val="24"/>
        </w:rPr>
        <w:t>法定代表人：（盖章）</w:t>
      </w:r>
    </w:p>
    <w:p>
      <w:pPr>
        <w:widowControl/>
        <w:shd w:val="clear" w:color="auto" w:fill="FFFFFF"/>
        <w:wordWrap w:val="0"/>
        <w:snapToGrid w:val="0"/>
        <w:spacing w:line="384" w:lineRule="auto"/>
        <w:ind w:firstLine="480"/>
        <w:jc w:val="right"/>
        <w:rPr>
          <w:rFonts w:cs="Arial" w:asciiTheme="minorEastAsia" w:hAnsiTheme="minorEastAsia"/>
          <w:kern w:val="0"/>
          <w:sz w:val="24"/>
          <w:szCs w:val="24"/>
        </w:rPr>
      </w:pPr>
      <w:r>
        <w:rPr>
          <w:rFonts w:hint="eastAsia" w:cs="Arial" w:asciiTheme="minorEastAsia" w:hAnsiTheme="minorEastAsia"/>
          <w:kern w:val="0"/>
          <w:sz w:val="24"/>
          <w:szCs w:val="24"/>
        </w:rPr>
        <w:t>日期：年月日</w:t>
      </w:r>
    </w:p>
    <w:p>
      <w:pPr>
        <w:widowControl/>
        <w:shd w:val="clear" w:color="auto" w:fill="FFFFFF"/>
        <w:snapToGrid w:val="0"/>
        <w:spacing w:line="384" w:lineRule="auto"/>
        <w:jc w:val="left"/>
        <w:rPr>
          <w:rFonts w:cs="Arial" w:asciiTheme="minorEastAsia" w:hAnsiTheme="minorEastAsia"/>
          <w:kern w:val="0"/>
          <w:sz w:val="24"/>
          <w:szCs w:val="24"/>
        </w:rPr>
      </w:pPr>
    </w:p>
    <w:p>
      <w:pPr>
        <w:widowControl/>
        <w:shd w:val="clear" w:color="auto" w:fill="FFFFFF"/>
        <w:snapToGrid w:val="0"/>
        <w:spacing w:line="384" w:lineRule="auto"/>
        <w:jc w:val="left"/>
        <w:rPr>
          <w:rFonts w:cs="Arial" w:asciiTheme="minorEastAsia" w:hAnsiTheme="minorEastAsia"/>
          <w:kern w:val="0"/>
          <w:sz w:val="24"/>
          <w:szCs w:val="24"/>
        </w:rPr>
      </w:pPr>
    </w:p>
    <w:p>
      <w:pPr>
        <w:numPr>
          <w:ilvl w:val="0"/>
          <w:numId w:val="3"/>
        </w:numPr>
        <w:autoSpaceDE w:val="0"/>
        <w:autoSpaceDN w:val="0"/>
        <w:adjustRightInd w:val="0"/>
        <w:spacing w:line="360" w:lineRule="auto"/>
        <w:jc w:val="center"/>
        <w:outlineLvl w:val="1"/>
        <w:rPr>
          <w:rFonts w:cs="宋体" w:asciiTheme="minorEastAsia" w:hAnsiTheme="minorEastAsia"/>
          <w:b/>
          <w:sz w:val="24"/>
          <w:szCs w:val="24"/>
        </w:rPr>
      </w:pPr>
      <w:r>
        <w:rPr>
          <w:rFonts w:cs="Arial" w:asciiTheme="minorEastAsia" w:hAnsiTheme="minorEastAsia"/>
          <w:kern w:val="0"/>
          <w:sz w:val="24"/>
          <w:szCs w:val="24"/>
        </w:rPr>
        <w:br w:type="page"/>
      </w:r>
      <w:bookmarkStart w:id="92" w:name="_Toc10311"/>
      <w:bookmarkStart w:id="93" w:name="_Toc6408"/>
      <w:bookmarkStart w:id="94" w:name="_Toc37592795"/>
      <w:r>
        <w:rPr>
          <w:rFonts w:hint="eastAsia" w:cs="宋体" w:asciiTheme="minorEastAsia" w:hAnsiTheme="minorEastAsia"/>
          <w:b/>
          <w:sz w:val="24"/>
          <w:szCs w:val="24"/>
        </w:rPr>
        <w:t>投标人基本情况</w:t>
      </w:r>
      <w:bookmarkEnd w:id="92"/>
      <w:bookmarkEnd w:id="93"/>
    </w:p>
    <w:p>
      <w:pPr>
        <w:pStyle w:val="10"/>
        <w:ind w:firstLine="482"/>
      </w:pPr>
      <w:r>
        <w:rPr>
          <w:rFonts w:hint="eastAsia"/>
        </w:rPr>
        <w:t>1、投标人基本情况表</w:t>
      </w:r>
    </w:p>
    <w:bookmarkEnd w:id="94"/>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65"/>
        <w:gridCol w:w="1038"/>
        <w:gridCol w:w="552"/>
        <w:gridCol w:w="587"/>
        <w:gridCol w:w="988"/>
        <w:gridCol w:w="262"/>
        <w:gridCol w:w="1733"/>
        <w:gridCol w:w="2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Align w:val="center"/>
          </w:tcPr>
          <w:p>
            <w:pPr>
              <w:autoSpaceDE w:val="0"/>
              <w:autoSpaceDN w:val="0"/>
              <w:adjustRightInd w:val="0"/>
              <w:snapToGrid w:val="0"/>
              <w:spacing w:line="360" w:lineRule="auto"/>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投标人名称</w:t>
            </w:r>
          </w:p>
        </w:tc>
        <w:tc>
          <w:tcPr>
            <w:tcW w:w="7300" w:type="dxa"/>
            <w:gridSpan w:val="7"/>
            <w:vAlign w:val="center"/>
          </w:tcPr>
          <w:p>
            <w:pPr>
              <w:autoSpaceDE w:val="0"/>
              <w:autoSpaceDN w:val="0"/>
              <w:adjustRightInd w:val="0"/>
              <w:snapToGrid w:val="0"/>
              <w:spacing w:line="360" w:lineRule="auto"/>
              <w:jc w:val="center"/>
              <w:rPr>
                <w:rFonts w:cs="Times New Roman"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Align w:val="center"/>
          </w:tcPr>
          <w:p>
            <w:pPr>
              <w:autoSpaceDE w:val="0"/>
              <w:autoSpaceDN w:val="0"/>
              <w:adjustRightInd w:val="0"/>
              <w:snapToGrid w:val="0"/>
              <w:spacing w:line="360" w:lineRule="auto"/>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注册地址</w:t>
            </w:r>
          </w:p>
        </w:tc>
        <w:tc>
          <w:tcPr>
            <w:tcW w:w="3165" w:type="dxa"/>
            <w:gridSpan w:val="4"/>
            <w:vAlign w:val="center"/>
          </w:tcPr>
          <w:p>
            <w:pPr>
              <w:autoSpaceDE w:val="0"/>
              <w:autoSpaceDN w:val="0"/>
              <w:adjustRightInd w:val="0"/>
              <w:snapToGrid w:val="0"/>
              <w:spacing w:line="360" w:lineRule="auto"/>
              <w:jc w:val="center"/>
              <w:rPr>
                <w:rFonts w:cs="Times New Roman" w:asciiTheme="minorEastAsia" w:hAnsiTheme="minorEastAsia"/>
                <w:kern w:val="0"/>
                <w:sz w:val="24"/>
                <w:szCs w:val="24"/>
              </w:rPr>
            </w:pPr>
          </w:p>
        </w:tc>
        <w:tc>
          <w:tcPr>
            <w:tcW w:w="1995" w:type="dxa"/>
            <w:gridSpan w:val="2"/>
            <w:vAlign w:val="center"/>
          </w:tcPr>
          <w:p>
            <w:pPr>
              <w:autoSpaceDE w:val="0"/>
              <w:autoSpaceDN w:val="0"/>
              <w:adjustRightInd w:val="0"/>
              <w:snapToGrid w:val="0"/>
              <w:spacing w:line="360" w:lineRule="auto"/>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邮政编码</w:t>
            </w:r>
          </w:p>
        </w:tc>
        <w:tc>
          <w:tcPr>
            <w:tcW w:w="2140" w:type="dxa"/>
            <w:vAlign w:val="center"/>
          </w:tcPr>
          <w:p>
            <w:pPr>
              <w:autoSpaceDE w:val="0"/>
              <w:autoSpaceDN w:val="0"/>
              <w:adjustRightInd w:val="0"/>
              <w:snapToGrid w:val="0"/>
              <w:spacing w:line="360" w:lineRule="auto"/>
              <w:jc w:val="center"/>
              <w:rPr>
                <w:rFonts w:cs="Times New Roman"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Align w:val="center"/>
          </w:tcPr>
          <w:p>
            <w:pPr>
              <w:autoSpaceDE w:val="0"/>
              <w:autoSpaceDN w:val="0"/>
              <w:adjustRightInd w:val="0"/>
              <w:snapToGrid w:val="0"/>
              <w:spacing w:line="360" w:lineRule="auto"/>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成立时间</w:t>
            </w:r>
          </w:p>
        </w:tc>
        <w:tc>
          <w:tcPr>
            <w:tcW w:w="3165" w:type="dxa"/>
            <w:gridSpan w:val="4"/>
            <w:vAlign w:val="center"/>
          </w:tcPr>
          <w:p>
            <w:pPr>
              <w:autoSpaceDE w:val="0"/>
              <w:autoSpaceDN w:val="0"/>
              <w:adjustRightInd w:val="0"/>
              <w:snapToGrid w:val="0"/>
              <w:spacing w:line="360" w:lineRule="auto"/>
              <w:jc w:val="center"/>
              <w:rPr>
                <w:rFonts w:cs="Times New Roman" w:asciiTheme="minorEastAsia" w:hAnsiTheme="minorEastAsia"/>
                <w:kern w:val="0"/>
                <w:sz w:val="24"/>
                <w:szCs w:val="24"/>
              </w:rPr>
            </w:pPr>
          </w:p>
        </w:tc>
        <w:tc>
          <w:tcPr>
            <w:tcW w:w="1995" w:type="dxa"/>
            <w:gridSpan w:val="2"/>
            <w:vAlign w:val="center"/>
          </w:tcPr>
          <w:p>
            <w:pPr>
              <w:autoSpaceDE w:val="0"/>
              <w:autoSpaceDN w:val="0"/>
              <w:adjustRightInd w:val="0"/>
              <w:snapToGrid w:val="0"/>
              <w:spacing w:line="360" w:lineRule="auto"/>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企业性质</w:t>
            </w:r>
          </w:p>
        </w:tc>
        <w:tc>
          <w:tcPr>
            <w:tcW w:w="2140" w:type="dxa"/>
            <w:vAlign w:val="center"/>
          </w:tcPr>
          <w:p>
            <w:pPr>
              <w:autoSpaceDE w:val="0"/>
              <w:autoSpaceDN w:val="0"/>
              <w:adjustRightInd w:val="0"/>
              <w:snapToGrid w:val="0"/>
              <w:spacing w:line="360" w:lineRule="auto"/>
              <w:jc w:val="center"/>
              <w:rPr>
                <w:rFonts w:cs="Times New Roman"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Align w:val="center"/>
          </w:tcPr>
          <w:p>
            <w:pPr>
              <w:autoSpaceDE w:val="0"/>
              <w:autoSpaceDN w:val="0"/>
              <w:adjustRightInd w:val="0"/>
              <w:snapToGrid w:val="0"/>
              <w:spacing w:line="360" w:lineRule="auto"/>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营业执照号</w:t>
            </w:r>
          </w:p>
        </w:tc>
        <w:tc>
          <w:tcPr>
            <w:tcW w:w="3165" w:type="dxa"/>
            <w:gridSpan w:val="4"/>
            <w:vAlign w:val="center"/>
          </w:tcPr>
          <w:p>
            <w:pPr>
              <w:autoSpaceDE w:val="0"/>
              <w:autoSpaceDN w:val="0"/>
              <w:adjustRightInd w:val="0"/>
              <w:snapToGrid w:val="0"/>
              <w:spacing w:line="360" w:lineRule="auto"/>
              <w:jc w:val="center"/>
              <w:rPr>
                <w:rFonts w:cs="Times New Roman" w:asciiTheme="minorEastAsia" w:hAnsiTheme="minorEastAsia"/>
                <w:kern w:val="0"/>
                <w:sz w:val="24"/>
                <w:szCs w:val="24"/>
              </w:rPr>
            </w:pPr>
          </w:p>
        </w:tc>
        <w:tc>
          <w:tcPr>
            <w:tcW w:w="1995" w:type="dxa"/>
            <w:gridSpan w:val="2"/>
            <w:vAlign w:val="center"/>
          </w:tcPr>
          <w:p>
            <w:pPr>
              <w:autoSpaceDE w:val="0"/>
              <w:autoSpaceDN w:val="0"/>
              <w:adjustRightInd w:val="0"/>
              <w:snapToGrid w:val="0"/>
              <w:spacing w:line="360" w:lineRule="auto"/>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注册资金</w:t>
            </w:r>
          </w:p>
        </w:tc>
        <w:tc>
          <w:tcPr>
            <w:tcW w:w="2140" w:type="dxa"/>
            <w:vAlign w:val="center"/>
          </w:tcPr>
          <w:p>
            <w:pPr>
              <w:autoSpaceDE w:val="0"/>
              <w:autoSpaceDN w:val="0"/>
              <w:adjustRightInd w:val="0"/>
              <w:snapToGrid w:val="0"/>
              <w:spacing w:line="360" w:lineRule="auto"/>
              <w:jc w:val="center"/>
              <w:rPr>
                <w:rFonts w:cs="Times New Roman"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Align w:val="center"/>
          </w:tcPr>
          <w:p>
            <w:pPr>
              <w:autoSpaceDE w:val="0"/>
              <w:autoSpaceDN w:val="0"/>
              <w:adjustRightInd w:val="0"/>
              <w:snapToGrid w:val="0"/>
              <w:spacing w:line="360" w:lineRule="auto"/>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法定代表人</w:t>
            </w:r>
          </w:p>
        </w:tc>
        <w:tc>
          <w:tcPr>
            <w:tcW w:w="3165" w:type="dxa"/>
            <w:gridSpan w:val="4"/>
            <w:vAlign w:val="center"/>
          </w:tcPr>
          <w:p>
            <w:pPr>
              <w:autoSpaceDE w:val="0"/>
              <w:autoSpaceDN w:val="0"/>
              <w:adjustRightInd w:val="0"/>
              <w:snapToGrid w:val="0"/>
              <w:spacing w:line="360" w:lineRule="auto"/>
              <w:jc w:val="center"/>
              <w:rPr>
                <w:rFonts w:cs="Times New Roman" w:asciiTheme="minorEastAsia" w:hAnsiTheme="minorEastAsia"/>
                <w:kern w:val="0"/>
                <w:sz w:val="24"/>
                <w:szCs w:val="24"/>
              </w:rPr>
            </w:pPr>
          </w:p>
        </w:tc>
        <w:tc>
          <w:tcPr>
            <w:tcW w:w="1995" w:type="dxa"/>
            <w:gridSpan w:val="2"/>
            <w:vAlign w:val="center"/>
          </w:tcPr>
          <w:p>
            <w:pPr>
              <w:autoSpaceDE w:val="0"/>
              <w:autoSpaceDN w:val="0"/>
              <w:adjustRightInd w:val="0"/>
              <w:snapToGrid w:val="0"/>
              <w:spacing w:line="360" w:lineRule="auto"/>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电话</w:t>
            </w:r>
          </w:p>
        </w:tc>
        <w:tc>
          <w:tcPr>
            <w:tcW w:w="2140" w:type="dxa"/>
            <w:vAlign w:val="center"/>
          </w:tcPr>
          <w:p>
            <w:pPr>
              <w:autoSpaceDE w:val="0"/>
              <w:autoSpaceDN w:val="0"/>
              <w:adjustRightInd w:val="0"/>
              <w:snapToGrid w:val="0"/>
              <w:spacing w:line="360" w:lineRule="auto"/>
              <w:jc w:val="center"/>
              <w:rPr>
                <w:rFonts w:cs="Times New Roman"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Align w:val="center"/>
          </w:tcPr>
          <w:p>
            <w:pPr>
              <w:autoSpaceDE w:val="0"/>
              <w:autoSpaceDN w:val="0"/>
              <w:adjustRightInd w:val="0"/>
              <w:snapToGrid w:val="0"/>
              <w:spacing w:line="360" w:lineRule="auto"/>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联系人</w:t>
            </w:r>
          </w:p>
        </w:tc>
        <w:tc>
          <w:tcPr>
            <w:tcW w:w="3165" w:type="dxa"/>
            <w:gridSpan w:val="4"/>
            <w:vAlign w:val="center"/>
          </w:tcPr>
          <w:p>
            <w:pPr>
              <w:autoSpaceDE w:val="0"/>
              <w:autoSpaceDN w:val="0"/>
              <w:adjustRightInd w:val="0"/>
              <w:snapToGrid w:val="0"/>
              <w:spacing w:line="360" w:lineRule="auto"/>
              <w:jc w:val="center"/>
              <w:rPr>
                <w:rFonts w:cs="Times New Roman" w:asciiTheme="minorEastAsia" w:hAnsiTheme="minorEastAsia"/>
                <w:kern w:val="0"/>
                <w:sz w:val="24"/>
                <w:szCs w:val="24"/>
              </w:rPr>
            </w:pPr>
          </w:p>
        </w:tc>
        <w:tc>
          <w:tcPr>
            <w:tcW w:w="1995" w:type="dxa"/>
            <w:gridSpan w:val="2"/>
            <w:vAlign w:val="center"/>
          </w:tcPr>
          <w:p>
            <w:pPr>
              <w:autoSpaceDE w:val="0"/>
              <w:autoSpaceDN w:val="0"/>
              <w:adjustRightInd w:val="0"/>
              <w:snapToGrid w:val="0"/>
              <w:spacing w:line="360" w:lineRule="auto"/>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电话</w:t>
            </w:r>
          </w:p>
        </w:tc>
        <w:tc>
          <w:tcPr>
            <w:tcW w:w="2140" w:type="dxa"/>
            <w:vAlign w:val="center"/>
          </w:tcPr>
          <w:p>
            <w:pPr>
              <w:autoSpaceDE w:val="0"/>
              <w:autoSpaceDN w:val="0"/>
              <w:adjustRightInd w:val="0"/>
              <w:snapToGrid w:val="0"/>
              <w:spacing w:line="360" w:lineRule="auto"/>
              <w:jc w:val="center"/>
              <w:rPr>
                <w:rFonts w:cs="Times New Roman"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Align w:val="center"/>
          </w:tcPr>
          <w:p>
            <w:pPr>
              <w:autoSpaceDE w:val="0"/>
              <w:autoSpaceDN w:val="0"/>
              <w:adjustRightInd w:val="0"/>
              <w:snapToGrid w:val="0"/>
              <w:spacing w:line="360" w:lineRule="auto"/>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传真</w:t>
            </w:r>
          </w:p>
        </w:tc>
        <w:tc>
          <w:tcPr>
            <w:tcW w:w="3165" w:type="dxa"/>
            <w:gridSpan w:val="4"/>
            <w:vAlign w:val="center"/>
          </w:tcPr>
          <w:p>
            <w:pPr>
              <w:autoSpaceDE w:val="0"/>
              <w:autoSpaceDN w:val="0"/>
              <w:adjustRightInd w:val="0"/>
              <w:snapToGrid w:val="0"/>
              <w:spacing w:line="360" w:lineRule="auto"/>
              <w:jc w:val="center"/>
              <w:rPr>
                <w:rFonts w:cs="Times New Roman" w:asciiTheme="minorEastAsia" w:hAnsiTheme="minorEastAsia"/>
                <w:kern w:val="0"/>
                <w:sz w:val="24"/>
                <w:szCs w:val="24"/>
              </w:rPr>
            </w:pPr>
          </w:p>
        </w:tc>
        <w:tc>
          <w:tcPr>
            <w:tcW w:w="1995" w:type="dxa"/>
            <w:gridSpan w:val="2"/>
            <w:vAlign w:val="center"/>
          </w:tcPr>
          <w:p>
            <w:pPr>
              <w:autoSpaceDE w:val="0"/>
              <w:autoSpaceDN w:val="0"/>
              <w:adjustRightInd w:val="0"/>
              <w:snapToGrid w:val="0"/>
              <w:spacing w:line="360" w:lineRule="auto"/>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网址</w:t>
            </w:r>
          </w:p>
        </w:tc>
        <w:tc>
          <w:tcPr>
            <w:tcW w:w="2140" w:type="dxa"/>
            <w:vAlign w:val="center"/>
          </w:tcPr>
          <w:p>
            <w:pPr>
              <w:autoSpaceDE w:val="0"/>
              <w:autoSpaceDN w:val="0"/>
              <w:adjustRightInd w:val="0"/>
              <w:snapToGrid w:val="0"/>
              <w:spacing w:line="360" w:lineRule="auto"/>
              <w:jc w:val="center"/>
              <w:rPr>
                <w:rFonts w:cs="Times New Roman"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Align w:val="center"/>
          </w:tcPr>
          <w:p>
            <w:pPr>
              <w:autoSpaceDE w:val="0"/>
              <w:autoSpaceDN w:val="0"/>
              <w:adjustRightInd w:val="0"/>
              <w:snapToGrid w:val="0"/>
              <w:spacing w:line="360" w:lineRule="auto"/>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开户银行</w:t>
            </w:r>
          </w:p>
        </w:tc>
        <w:tc>
          <w:tcPr>
            <w:tcW w:w="3165" w:type="dxa"/>
            <w:gridSpan w:val="4"/>
            <w:vAlign w:val="center"/>
          </w:tcPr>
          <w:p>
            <w:pPr>
              <w:autoSpaceDE w:val="0"/>
              <w:autoSpaceDN w:val="0"/>
              <w:adjustRightInd w:val="0"/>
              <w:snapToGrid w:val="0"/>
              <w:spacing w:line="360" w:lineRule="auto"/>
              <w:jc w:val="center"/>
              <w:rPr>
                <w:rFonts w:cs="Times New Roman" w:asciiTheme="minorEastAsia" w:hAnsiTheme="minorEastAsia"/>
                <w:kern w:val="0"/>
                <w:sz w:val="24"/>
                <w:szCs w:val="24"/>
              </w:rPr>
            </w:pPr>
          </w:p>
        </w:tc>
        <w:tc>
          <w:tcPr>
            <w:tcW w:w="1995" w:type="dxa"/>
            <w:gridSpan w:val="2"/>
            <w:vAlign w:val="center"/>
          </w:tcPr>
          <w:p>
            <w:pPr>
              <w:autoSpaceDE w:val="0"/>
              <w:autoSpaceDN w:val="0"/>
              <w:adjustRightInd w:val="0"/>
              <w:snapToGrid w:val="0"/>
              <w:spacing w:line="360" w:lineRule="auto"/>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银行帐号</w:t>
            </w:r>
          </w:p>
        </w:tc>
        <w:tc>
          <w:tcPr>
            <w:tcW w:w="2140" w:type="dxa"/>
            <w:vAlign w:val="center"/>
          </w:tcPr>
          <w:p>
            <w:pPr>
              <w:autoSpaceDE w:val="0"/>
              <w:autoSpaceDN w:val="0"/>
              <w:adjustRightInd w:val="0"/>
              <w:snapToGrid w:val="0"/>
              <w:spacing w:line="360" w:lineRule="auto"/>
              <w:jc w:val="center"/>
              <w:rPr>
                <w:rFonts w:cs="Times New Roman"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Merge w:val="restart"/>
            <w:vAlign w:val="center"/>
          </w:tcPr>
          <w:p>
            <w:pPr>
              <w:autoSpaceDE w:val="0"/>
              <w:autoSpaceDN w:val="0"/>
              <w:adjustRightInd w:val="0"/>
              <w:snapToGrid w:val="0"/>
              <w:spacing w:line="360" w:lineRule="auto"/>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职工概况</w:t>
            </w:r>
          </w:p>
        </w:tc>
        <w:tc>
          <w:tcPr>
            <w:tcW w:w="1038" w:type="dxa"/>
            <w:vMerge w:val="restart"/>
            <w:vAlign w:val="center"/>
          </w:tcPr>
          <w:p>
            <w:pPr>
              <w:autoSpaceDE w:val="0"/>
              <w:autoSpaceDN w:val="0"/>
              <w:adjustRightInd w:val="0"/>
              <w:snapToGrid w:val="0"/>
              <w:spacing w:line="360" w:lineRule="auto"/>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职工总数</w:t>
            </w:r>
          </w:p>
        </w:tc>
        <w:tc>
          <w:tcPr>
            <w:tcW w:w="1139" w:type="dxa"/>
            <w:gridSpan w:val="2"/>
            <w:vMerge w:val="restart"/>
            <w:vAlign w:val="center"/>
          </w:tcPr>
          <w:p>
            <w:pPr>
              <w:autoSpaceDE w:val="0"/>
              <w:autoSpaceDN w:val="0"/>
              <w:adjustRightInd w:val="0"/>
              <w:snapToGrid w:val="0"/>
              <w:spacing w:line="360" w:lineRule="auto"/>
              <w:jc w:val="center"/>
              <w:rPr>
                <w:rFonts w:cs="Times New Roman" w:asciiTheme="minorEastAsia" w:hAnsiTheme="minorEastAsia"/>
                <w:kern w:val="0"/>
                <w:sz w:val="24"/>
                <w:szCs w:val="24"/>
              </w:rPr>
            </w:pPr>
          </w:p>
        </w:tc>
        <w:tc>
          <w:tcPr>
            <w:tcW w:w="988" w:type="dxa"/>
            <w:vMerge w:val="restart"/>
            <w:vAlign w:val="center"/>
          </w:tcPr>
          <w:p>
            <w:pPr>
              <w:autoSpaceDE w:val="0"/>
              <w:autoSpaceDN w:val="0"/>
              <w:adjustRightInd w:val="0"/>
              <w:snapToGrid w:val="0"/>
              <w:spacing w:line="360" w:lineRule="auto"/>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其</w:t>
            </w:r>
          </w:p>
          <w:p>
            <w:pPr>
              <w:autoSpaceDE w:val="0"/>
              <w:autoSpaceDN w:val="0"/>
              <w:adjustRightInd w:val="0"/>
              <w:snapToGrid w:val="0"/>
              <w:spacing w:line="360" w:lineRule="auto"/>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中</w:t>
            </w:r>
          </w:p>
        </w:tc>
        <w:tc>
          <w:tcPr>
            <w:tcW w:w="1995" w:type="dxa"/>
            <w:gridSpan w:val="2"/>
            <w:vAlign w:val="center"/>
          </w:tcPr>
          <w:p>
            <w:pPr>
              <w:autoSpaceDE w:val="0"/>
              <w:autoSpaceDN w:val="0"/>
              <w:adjustRightInd w:val="0"/>
              <w:snapToGrid w:val="0"/>
              <w:spacing w:line="360" w:lineRule="auto"/>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高级职称人员</w:t>
            </w:r>
          </w:p>
        </w:tc>
        <w:tc>
          <w:tcPr>
            <w:tcW w:w="2140" w:type="dxa"/>
            <w:vAlign w:val="center"/>
          </w:tcPr>
          <w:p>
            <w:pPr>
              <w:autoSpaceDE w:val="0"/>
              <w:autoSpaceDN w:val="0"/>
              <w:adjustRightInd w:val="0"/>
              <w:snapToGrid w:val="0"/>
              <w:spacing w:line="360" w:lineRule="auto"/>
              <w:jc w:val="center"/>
              <w:rPr>
                <w:rFonts w:cs="Times New Roman"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Merge w:val="continue"/>
            <w:vAlign w:val="center"/>
          </w:tcPr>
          <w:p>
            <w:pPr>
              <w:widowControl/>
              <w:adjustRightInd w:val="0"/>
              <w:snapToGrid w:val="0"/>
              <w:spacing w:line="360" w:lineRule="auto"/>
              <w:jc w:val="center"/>
              <w:rPr>
                <w:rFonts w:cs="Times New Roman" w:asciiTheme="minorEastAsia" w:hAnsiTheme="minorEastAsia"/>
                <w:kern w:val="0"/>
                <w:sz w:val="24"/>
                <w:szCs w:val="24"/>
              </w:rPr>
            </w:pPr>
          </w:p>
        </w:tc>
        <w:tc>
          <w:tcPr>
            <w:tcW w:w="1038" w:type="dxa"/>
            <w:vMerge w:val="continue"/>
            <w:vAlign w:val="center"/>
          </w:tcPr>
          <w:p>
            <w:pPr>
              <w:autoSpaceDE w:val="0"/>
              <w:autoSpaceDN w:val="0"/>
              <w:adjustRightInd w:val="0"/>
              <w:snapToGrid w:val="0"/>
              <w:spacing w:line="360" w:lineRule="auto"/>
              <w:jc w:val="center"/>
              <w:rPr>
                <w:rFonts w:cs="Times New Roman" w:asciiTheme="minorEastAsia" w:hAnsiTheme="minorEastAsia"/>
                <w:kern w:val="0"/>
                <w:sz w:val="24"/>
                <w:szCs w:val="24"/>
              </w:rPr>
            </w:pPr>
          </w:p>
        </w:tc>
        <w:tc>
          <w:tcPr>
            <w:tcW w:w="1139" w:type="dxa"/>
            <w:gridSpan w:val="2"/>
            <w:vMerge w:val="continue"/>
            <w:vAlign w:val="center"/>
          </w:tcPr>
          <w:p>
            <w:pPr>
              <w:autoSpaceDE w:val="0"/>
              <w:autoSpaceDN w:val="0"/>
              <w:adjustRightInd w:val="0"/>
              <w:snapToGrid w:val="0"/>
              <w:spacing w:line="360" w:lineRule="auto"/>
              <w:jc w:val="center"/>
              <w:rPr>
                <w:rFonts w:cs="Times New Roman" w:asciiTheme="minorEastAsia" w:hAnsiTheme="minorEastAsia"/>
                <w:kern w:val="0"/>
                <w:sz w:val="24"/>
                <w:szCs w:val="24"/>
              </w:rPr>
            </w:pPr>
          </w:p>
        </w:tc>
        <w:tc>
          <w:tcPr>
            <w:tcW w:w="988" w:type="dxa"/>
            <w:vMerge w:val="continue"/>
            <w:vAlign w:val="center"/>
          </w:tcPr>
          <w:p>
            <w:pPr>
              <w:autoSpaceDE w:val="0"/>
              <w:autoSpaceDN w:val="0"/>
              <w:adjustRightInd w:val="0"/>
              <w:snapToGrid w:val="0"/>
              <w:spacing w:line="360" w:lineRule="auto"/>
              <w:jc w:val="center"/>
              <w:rPr>
                <w:rFonts w:cs="Times New Roman" w:asciiTheme="minorEastAsia" w:hAnsiTheme="minorEastAsia"/>
                <w:kern w:val="0"/>
                <w:sz w:val="24"/>
                <w:szCs w:val="24"/>
              </w:rPr>
            </w:pPr>
          </w:p>
        </w:tc>
        <w:tc>
          <w:tcPr>
            <w:tcW w:w="1995" w:type="dxa"/>
            <w:gridSpan w:val="2"/>
            <w:vAlign w:val="center"/>
          </w:tcPr>
          <w:p>
            <w:pPr>
              <w:autoSpaceDE w:val="0"/>
              <w:autoSpaceDN w:val="0"/>
              <w:adjustRightInd w:val="0"/>
              <w:snapToGrid w:val="0"/>
              <w:spacing w:line="360" w:lineRule="auto"/>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中级职称人员</w:t>
            </w:r>
          </w:p>
        </w:tc>
        <w:tc>
          <w:tcPr>
            <w:tcW w:w="2140" w:type="dxa"/>
            <w:vAlign w:val="center"/>
          </w:tcPr>
          <w:p>
            <w:pPr>
              <w:autoSpaceDE w:val="0"/>
              <w:autoSpaceDN w:val="0"/>
              <w:adjustRightInd w:val="0"/>
              <w:snapToGrid w:val="0"/>
              <w:spacing w:line="360" w:lineRule="auto"/>
              <w:jc w:val="center"/>
              <w:rPr>
                <w:rFonts w:cs="Times New Roman"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Merge w:val="continue"/>
            <w:vAlign w:val="center"/>
          </w:tcPr>
          <w:p>
            <w:pPr>
              <w:widowControl/>
              <w:adjustRightInd w:val="0"/>
              <w:snapToGrid w:val="0"/>
              <w:spacing w:line="360" w:lineRule="auto"/>
              <w:jc w:val="center"/>
              <w:rPr>
                <w:rFonts w:cs="Times New Roman" w:asciiTheme="minorEastAsia" w:hAnsiTheme="minorEastAsia"/>
                <w:kern w:val="0"/>
                <w:sz w:val="24"/>
                <w:szCs w:val="24"/>
              </w:rPr>
            </w:pPr>
          </w:p>
        </w:tc>
        <w:tc>
          <w:tcPr>
            <w:tcW w:w="1038" w:type="dxa"/>
            <w:vMerge w:val="continue"/>
            <w:vAlign w:val="center"/>
          </w:tcPr>
          <w:p>
            <w:pPr>
              <w:autoSpaceDE w:val="0"/>
              <w:autoSpaceDN w:val="0"/>
              <w:adjustRightInd w:val="0"/>
              <w:snapToGrid w:val="0"/>
              <w:spacing w:line="360" w:lineRule="auto"/>
              <w:jc w:val="center"/>
              <w:rPr>
                <w:rFonts w:cs="Times New Roman" w:asciiTheme="minorEastAsia" w:hAnsiTheme="minorEastAsia"/>
                <w:kern w:val="0"/>
                <w:sz w:val="24"/>
                <w:szCs w:val="24"/>
              </w:rPr>
            </w:pPr>
          </w:p>
        </w:tc>
        <w:tc>
          <w:tcPr>
            <w:tcW w:w="1139" w:type="dxa"/>
            <w:gridSpan w:val="2"/>
            <w:vMerge w:val="continue"/>
            <w:vAlign w:val="center"/>
          </w:tcPr>
          <w:p>
            <w:pPr>
              <w:autoSpaceDE w:val="0"/>
              <w:autoSpaceDN w:val="0"/>
              <w:adjustRightInd w:val="0"/>
              <w:snapToGrid w:val="0"/>
              <w:spacing w:line="360" w:lineRule="auto"/>
              <w:jc w:val="center"/>
              <w:rPr>
                <w:rFonts w:cs="Times New Roman" w:asciiTheme="minorEastAsia" w:hAnsiTheme="minorEastAsia"/>
                <w:kern w:val="0"/>
                <w:sz w:val="24"/>
                <w:szCs w:val="24"/>
              </w:rPr>
            </w:pPr>
          </w:p>
        </w:tc>
        <w:tc>
          <w:tcPr>
            <w:tcW w:w="988" w:type="dxa"/>
            <w:vMerge w:val="continue"/>
            <w:vAlign w:val="center"/>
          </w:tcPr>
          <w:p>
            <w:pPr>
              <w:autoSpaceDE w:val="0"/>
              <w:autoSpaceDN w:val="0"/>
              <w:adjustRightInd w:val="0"/>
              <w:snapToGrid w:val="0"/>
              <w:spacing w:line="360" w:lineRule="auto"/>
              <w:jc w:val="center"/>
              <w:rPr>
                <w:rFonts w:cs="Times New Roman" w:asciiTheme="minorEastAsia" w:hAnsiTheme="minorEastAsia"/>
                <w:kern w:val="0"/>
                <w:sz w:val="24"/>
                <w:szCs w:val="24"/>
              </w:rPr>
            </w:pPr>
          </w:p>
        </w:tc>
        <w:tc>
          <w:tcPr>
            <w:tcW w:w="1995" w:type="dxa"/>
            <w:gridSpan w:val="2"/>
            <w:vAlign w:val="center"/>
          </w:tcPr>
          <w:p>
            <w:pPr>
              <w:autoSpaceDE w:val="0"/>
              <w:autoSpaceDN w:val="0"/>
              <w:adjustRightInd w:val="0"/>
              <w:snapToGrid w:val="0"/>
              <w:spacing w:line="360" w:lineRule="auto"/>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初级职称人员</w:t>
            </w:r>
          </w:p>
        </w:tc>
        <w:tc>
          <w:tcPr>
            <w:tcW w:w="2140" w:type="dxa"/>
            <w:vAlign w:val="center"/>
          </w:tcPr>
          <w:p>
            <w:pPr>
              <w:autoSpaceDE w:val="0"/>
              <w:autoSpaceDN w:val="0"/>
              <w:adjustRightInd w:val="0"/>
              <w:snapToGrid w:val="0"/>
              <w:spacing w:line="360" w:lineRule="auto"/>
              <w:jc w:val="center"/>
              <w:rPr>
                <w:rFonts w:cs="Times New Roman"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Merge w:val="continue"/>
            <w:vAlign w:val="center"/>
          </w:tcPr>
          <w:p>
            <w:pPr>
              <w:widowControl/>
              <w:adjustRightInd w:val="0"/>
              <w:snapToGrid w:val="0"/>
              <w:spacing w:line="360" w:lineRule="auto"/>
              <w:jc w:val="center"/>
              <w:rPr>
                <w:rFonts w:cs="Times New Roman" w:asciiTheme="minorEastAsia" w:hAnsiTheme="minorEastAsia"/>
                <w:kern w:val="0"/>
                <w:sz w:val="24"/>
                <w:szCs w:val="24"/>
              </w:rPr>
            </w:pPr>
          </w:p>
        </w:tc>
        <w:tc>
          <w:tcPr>
            <w:tcW w:w="7300" w:type="dxa"/>
            <w:gridSpan w:val="7"/>
            <w:vAlign w:val="center"/>
          </w:tcPr>
          <w:p>
            <w:pPr>
              <w:autoSpaceDE w:val="0"/>
              <w:autoSpaceDN w:val="0"/>
              <w:adjustRightInd w:val="0"/>
              <w:snapToGrid w:val="0"/>
              <w:spacing w:line="360" w:lineRule="auto"/>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单位负责人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Merge w:val="continue"/>
            <w:vAlign w:val="center"/>
          </w:tcPr>
          <w:p>
            <w:pPr>
              <w:widowControl/>
              <w:adjustRightInd w:val="0"/>
              <w:snapToGrid w:val="0"/>
              <w:spacing w:line="360" w:lineRule="auto"/>
              <w:jc w:val="center"/>
              <w:rPr>
                <w:rFonts w:cs="Times New Roman" w:asciiTheme="minorEastAsia" w:hAnsiTheme="minorEastAsia"/>
                <w:kern w:val="0"/>
                <w:sz w:val="24"/>
                <w:szCs w:val="24"/>
              </w:rPr>
            </w:pPr>
          </w:p>
        </w:tc>
        <w:tc>
          <w:tcPr>
            <w:tcW w:w="1590" w:type="dxa"/>
            <w:gridSpan w:val="2"/>
            <w:vAlign w:val="center"/>
          </w:tcPr>
          <w:p>
            <w:pPr>
              <w:autoSpaceDE w:val="0"/>
              <w:autoSpaceDN w:val="0"/>
              <w:adjustRightInd w:val="0"/>
              <w:snapToGrid w:val="0"/>
              <w:spacing w:line="360" w:lineRule="auto"/>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姓名</w:t>
            </w:r>
          </w:p>
        </w:tc>
        <w:tc>
          <w:tcPr>
            <w:tcW w:w="1837" w:type="dxa"/>
            <w:gridSpan w:val="3"/>
            <w:vAlign w:val="center"/>
          </w:tcPr>
          <w:p>
            <w:pPr>
              <w:autoSpaceDE w:val="0"/>
              <w:autoSpaceDN w:val="0"/>
              <w:adjustRightInd w:val="0"/>
              <w:snapToGrid w:val="0"/>
              <w:spacing w:line="360" w:lineRule="auto"/>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职务及职称</w:t>
            </w:r>
          </w:p>
        </w:tc>
        <w:tc>
          <w:tcPr>
            <w:tcW w:w="1733" w:type="dxa"/>
            <w:vAlign w:val="center"/>
          </w:tcPr>
          <w:p>
            <w:pPr>
              <w:autoSpaceDE w:val="0"/>
              <w:autoSpaceDN w:val="0"/>
              <w:adjustRightInd w:val="0"/>
              <w:snapToGrid w:val="0"/>
              <w:spacing w:line="360" w:lineRule="auto"/>
              <w:ind w:firstLine="480" w:firstLineChars="20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年龄</w:t>
            </w:r>
          </w:p>
        </w:tc>
        <w:tc>
          <w:tcPr>
            <w:tcW w:w="2140" w:type="dxa"/>
            <w:vAlign w:val="center"/>
          </w:tcPr>
          <w:p>
            <w:pPr>
              <w:autoSpaceDE w:val="0"/>
              <w:autoSpaceDN w:val="0"/>
              <w:adjustRightInd w:val="0"/>
              <w:snapToGrid w:val="0"/>
              <w:spacing w:line="360" w:lineRule="auto"/>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Merge w:val="continue"/>
            <w:vAlign w:val="center"/>
          </w:tcPr>
          <w:p>
            <w:pPr>
              <w:widowControl/>
              <w:adjustRightInd w:val="0"/>
              <w:snapToGrid w:val="0"/>
              <w:spacing w:line="360" w:lineRule="auto"/>
              <w:jc w:val="center"/>
              <w:rPr>
                <w:rFonts w:cs="Times New Roman" w:asciiTheme="minorEastAsia" w:hAnsiTheme="minorEastAsia"/>
                <w:kern w:val="0"/>
                <w:sz w:val="24"/>
                <w:szCs w:val="24"/>
              </w:rPr>
            </w:pPr>
          </w:p>
        </w:tc>
        <w:tc>
          <w:tcPr>
            <w:tcW w:w="1590" w:type="dxa"/>
            <w:gridSpan w:val="2"/>
            <w:vAlign w:val="center"/>
          </w:tcPr>
          <w:p>
            <w:pPr>
              <w:autoSpaceDE w:val="0"/>
              <w:autoSpaceDN w:val="0"/>
              <w:adjustRightInd w:val="0"/>
              <w:snapToGrid w:val="0"/>
              <w:spacing w:line="360" w:lineRule="auto"/>
              <w:jc w:val="center"/>
              <w:rPr>
                <w:rFonts w:cs="Times New Roman" w:asciiTheme="minorEastAsia" w:hAnsiTheme="minorEastAsia"/>
                <w:kern w:val="0"/>
                <w:sz w:val="24"/>
                <w:szCs w:val="24"/>
              </w:rPr>
            </w:pPr>
          </w:p>
        </w:tc>
        <w:tc>
          <w:tcPr>
            <w:tcW w:w="1837" w:type="dxa"/>
            <w:gridSpan w:val="3"/>
            <w:vAlign w:val="center"/>
          </w:tcPr>
          <w:p>
            <w:pPr>
              <w:autoSpaceDE w:val="0"/>
              <w:autoSpaceDN w:val="0"/>
              <w:adjustRightInd w:val="0"/>
              <w:snapToGrid w:val="0"/>
              <w:spacing w:line="360" w:lineRule="auto"/>
              <w:jc w:val="center"/>
              <w:rPr>
                <w:rFonts w:cs="Times New Roman" w:asciiTheme="minorEastAsia" w:hAnsiTheme="minorEastAsia"/>
                <w:kern w:val="0"/>
                <w:sz w:val="24"/>
                <w:szCs w:val="24"/>
              </w:rPr>
            </w:pPr>
          </w:p>
        </w:tc>
        <w:tc>
          <w:tcPr>
            <w:tcW w:w="1733" w:type="dxa"/>
            <w:vAlign w:val="center"/>
          </w:tcPr>
          <w:p>
            <w:pPr>
              <w:autoSpaceDE w:val="0"/>
              <w:autoSpaceDN w:val="0"/>
              <w:adjustRightInd w:val="0"/>
              <w:snapToGrid w:val="0"/>
              <w:spacing w:line="360" w:lineRule="auto"/>
              <w:jc w:val="center"/>
              <w:rPr>
                <w:rFonts w:cs="Times New Roman" w:asciiTheme="minorEastAsia" w:hAnsiTheme="minorEastAsia"/>
                <w:kern w:val="0"/>
                <w:sz w:val="24"/>
                <w:szCs w:val="24"/>
              </w:rPr>
            </w:pPr>
          </w:p>
        </w:tc>
        <w:tc>
          <w:tcPr>
            <w:tcW w:w="2140" w:type="dxa"/>
            <w:vAlign w:val="center"/>
          </w:tcPr>
          <w:p>
            <w:pPr>
              <w:autoSpaceDE w:val="0"/>
              <w:autoSpaceDN w:val="0"/>
              <w:adjustRightInd w:val="0"/>
              <w:snapToGrid w:val="0"/>
              <w:spacing w:line="360" w:lineRule="auto"/>
              <w:jc w:val="center"/>
              <w:rPr>
                <w:rFonts w:cs="Times New Roman"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Align w:val="center"/>
          </w:tcPr>
          <w:p>
            <w:pPr>
              <w:widowControl/>
              <w:adjustRightInd w:val="0"/>
              <w:snapToGrid w:val="0"/>
              <w:spacing w:line="360" w:lineRule="auto"/>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经营范围</w:t>
            </w:r>
          </w:p>
        </w:tc>
        <w:tc>
          <w:tcPr>
            <w:tcW w:w="7300" w:type="dxa"/>
            <w:gridSpan w:val="7"/>
            <w:vAlign w:val="center"/>
          </w:tcPr>
          <w:p>
            <w:pPr>
              <w:autoSpaceDE w:val="0"/>
              <w:autoSpaceDN w:val="0"/>
              <w:adjustRightInd w:val="0"/>
              <w:snapToGrid w:val="0"/>
              <w:spacing w:line="360" w:lineRule="auto"/>
              <w:jc w:val="center"/>
              <w:rPr>
                <w:rFonts w:cs="Times New Roman" w:asciiTheme="minorEastAsia" w:hAnsiTheme="minorEastAsia"/>
                <w:kern w:val="0"/>
                <w:sz w:val="24"/>
                <w:szCs w:val="24"/>
              </w:rPr>
            </w:pPr>
          </w:p>
        </w:tc>
      </w:tr>
    </w:tbl>
    <w:p>
      <w:pPr>
        <w:pStyle w:val="190"/>
        <w:rPr>
          <w:rFonts w:asciiTheme="minorEastAsia" w:hAnsiTheme="minorEastAsia" w:eastAsiaTheme="minorEastAsia"/>
          <w:sz w:val="24"/>
          <w:szCs w:val="24"/>
        </w:rPr>
      </w:pPr>
      <w:r>
        <w:rPr>
          <w:rFonts w:hint="eastAsia" w:asciiTheme="minorEastAsia" w:hAnsiTheme="minorEastAsia" w:eastAsiaTheme="minorEastAsia"/>
          <w:sz w:val="24"/>
          <w:szCs w:val="24"/>
        </w:rPr>
        <w:t>附件 2-1法人或者其他组织的营业执照等证明文件，自然人的身份证明；</w:t>
      </w:r>
    </w:p>
    <w:p>
      <w:pPr>
        <w:pStyle w:val="14"/>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2-2 财务状况报告、依法缴纳税收和社会保障资金的相关证明</w:t>
      </w:r>
    </w:p>
    <w:p>
      <w:pPr>
        <w:pStyle w:val="14"/>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2-3具备履行合同所必需的设备和专业技术能力的证明材料(由投标人根据项目需求提供说明材料)</w:t>
      </w:r>
    </w:p>
    <w:p>
      <w:pPr>
        <w:pStyle w:val="14"/>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备注：1）.投标人提供的财务状况报告，包括资产负债表等复印件。 (如投标人为新成立公司的，应提供公司成立之日后的财务报表) </w:t>
      </w:r>
    </w:p>
    <w:p>
      <w:pPr>
        <w:pStyle w:val="14"/>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2）.提供依法缴纳税收和社会保障资金证明材料的复印件。</w:t>
      </w:r>
    </w:p>
    <w:p>
      <w:pPr>
        <w:spacing w:line="360" w:lineRule="auto"/>
        <w:rPr>
          <w:rFonts w:cs="宋体" w:asciiTheme="minorEastAsia" w:hAnsiTheme="minorEastAsia"/>
          <w:kern w:val="0"/>
          <w:sz w:val="24"/>
          <w:szCs w:val="24"/>
        </w:rPr>
      </w:pPr>
    </w:p>
    <w:p>
      <w:pPr>
        <w:widowControl/>
        <w:jc w:val="left"/>
        <w:rPr>
          <w:rFonts w:cs="宋体" w:asciiTheme="minorEastAsia" w:hAnsiTheme="minorEastAsia"/>
          <w:kern w:val="0"/>
          <w:sz w:val="24"/>
          <w:szCs w:val="24"/>
        </w:rPr>
      </w:pPr>
      <w:r>
        <w:rPr>
          <w:rFonts w:cs="宋体" w:asciiTheme="minorEastAsia" w:hAnsiTheme="minorEastAsia"/>
          <w:kern w:val="0"/>
          <w:sz w:val="24"/>
          <w:szCs w:val="24"/>
        </w:rPr>
        <w:br w:type="page"/>
      </w:r>
    </w:p>
    <w:p>
      <w:pPr>
        <w:autoSpaceDE w:val="0"/>
        <w:autoSpaceDN w:val="0"/>
        <w:adjustRightInd w:val="0"/>
        <w:spacing w:line="360" w:lineRule="auto"/>
        <w:ind w:firstLine="482"/>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2、中小微企业证明文件</w:t>
      </w:r>
    </w:p>
    <w:p>
      <w:pPr>
        <w:autoSpaceDE w:val="0"/>
        <w:autoSpaceDN w:val="0"/>
        <w:adjustRightInd w:val="0"/>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2</w:t>
      </w:r>
      <w:r>
        <w:rPr>
          <w:rFonts w:cs="宋体" w:asciiTheme="minorEastAsia" w:hAnsiTheme="minorEastAsia"/>
          <w:kern w:val="0"/>
          <w:sz w:val="24"/>
          <w:szCs w:val="24"/>
        </w:rPr>
        <w:t xml:space="preserve">-1 </w:t>
      </w:r>
      <w:r>
        <w:rPr>
          <w:rFonts w:hint="eastAsia" w:cs="宋体" w:asciiTheme="minorEastAsia" w:hAnsiTheme="minorEastAsia"/>
          <w:kern w:val="0"/>
          <w:sz w:val="24"/>
          <w:szCs w:val="24"/>
        </w:rPr>
        <w:t>中小企业声明函</w:t>
      </w:r>
      <w:r>
        <w:rPr>
          <w:rFonts w:cs="宋体" w:asciiTheme="minorEastAsia" w:hAnsiTheme="minorEastAsia"/>
          <w:kern w:val="0"/>
          <w:sz w:val="24"/>
          <w:szCs w:val="24"/>
        </w:rPr>
        <w:t>（</w:t>
      </w:r>
      <w:r>
        <w:rPr>
          <w:rFonts w:hint="eastAsia" w:cs="宋体" w:asciiTheme="minorEastAsia" w:hAnsiTheme="minorEastAsia"/>
          <w:kern w:val="0"/>
          <w:sz w:val="24"/>
          <w:szCs w:val="24"/>
        </w:rPr>
        <w:t>工程、</w:t>
      </w:r>
      <w:r>
        <w:rPr>
          <w:rFonts w:cs="宋体" w:asciiTheme="minorEastAsia" w:hAnsiTheme="minorEastAsia"/>
          <w:kern w:val="0"/>
          <w:sz w:val="24"/>
          <w:szCs w:val="24"/>
        </w:rPr>
        <w:t>服务）</w:t>
      </w:r>
    </w:p>
    <w:p>
      <w:pPr>
        <w:spacing w:line="360" w:lineRule="auto"/>
        <w:rPr>
          <w:rFonts w:cs="宋体" w:asciiTheme="minorEastAsia" w:hAnsiTheme="minorEastAsia"/>
          <w:kern w:val="0"/>
          <w:sz w:val="24"/>
          <w:szCs w:val="24"/>
        </w:rPr>
      </w:pPr>
      <w:r>
        <w:rPr>
          <w:rFonts w:hint="eastAsia" w:cs="宋体" w:asciiTheme="minorEastAsia" w:hAnsiTheme="minorEastAsia"/>
          <w:kern w:val="0"/>
          <w:sz w:val="24"/>
          <w:szCs w:val="24"/>
        </w:rPr>
        <w:t xml:space="preserve">    </w:t>
      </w:r>
      <w:r>
        <w:rPr>
          <w:rFonts w:cs="宋体" w:asciiTheme="minorEastAsia" w:hAnsiTheme="minorEastAsia"/>
          <w:kern w:val="0"/>
          <w:sz w:val="24"/>
          <w:szCs w:val="24"/>
        </w:rPr>
        <w:t>本公司</w:t>
      </w:r>
      <w:r>
        <w:rPr>
          <w:rFonts w:hint="eastAsia" w:cs="宋体" w:asciiTheme="minorEastAsia" w:hAnsiTheme="minorEastAsia"/>
          <w:kern w:val="0"/>
          <w:sz w:val="24"/>
          <w:szCs w:val="24"/>
          <w:u w:val="single"/>
        </w:rPr>
        <w:t xml:space="preserve">        </w:t>
      </w:r>
      <w:r>
        <w:rPr>
          <w:rFonts w:cs="宋体" w:asciiTheme="minorEastAsia" w:hAnsiTheme="minorEastAsia"/>
          <w:kern w:val="0"/>
          <w:sz w:val="24"/>
          <w:szCs w:val="24"/>
        </w:rPr>
        <w:t>郑重声明，根据《政府采购促进中小企业发展管理办法》（财库</w:t>
      </w:r>
      <w:r>
        <w:rPr>
          <w:rFonts w:hint="eastAsia" w:cs="宋体" w:asciiTheme="minorEastAsia" w:hAnsiTheme="minorEastAsia"/>
          <w:kern w:val="0"/>
          <w:sz w:val="24"/>
          <w:szCs w:val="24"/>
        </w:rPr>
        <w:t>﹝</w:t>
      </w:r>
      <w:r>
        <w:rPr>
          <w:rFonts w:cs="宋体" w:asciiTheme="minorEastAsia" w:hAnsiTheme="minorEastAsia"/>
          <w:kern w:val="0"/>
          <w:sz w:val="24"/>
          <w:szCs w:val="24"/>
        </w:rPr>
        <w:t>2020</w:t>
      </w:r>
      <w:r>
        <w:rPr>
          <w:rFonts w:hint="eastAsia" w:cs="宋体" w:asciiTheme="minorEastAsia" w:hAnsiTheme="minorEastAsia"/>
          <w:kern w:val="0"/>
          <w:sz w:val="24"/>
          <w:szCs w:val="24"/>
        </w:rPr>
        <w:t>﹞</w:t>
      </w:r>
      <w:r>
        <w:rPr>
          <w:rFonts w:cs="宋体" w:asciiTheme="minorEastAsia" w:hAnsiTheme="minorEastAsia"/>
          <w:kern w:val="0"/>
          <w:sz w:val="24"/>
          <w:szCs w:val="24"/>
        </w:rPr>
        <w:t>46 号）的规定，本公司</w:t>
      </w:r>
      <w:r>
        <w:rPr>
          <w:rFonts w:hint="eastAsia" w:cs="宋体" w:asciiTheme="minorEastAsia" w:hAnsiTheme="minorEastAsia"/>
          <w:kern w:val="0"/>
          <w:sz w:val="24"/>
          <w:szCs w:val="24"/>
          <w:u w:val="single"/>
        </w:rPr>
        <w:t xml:space="preserve">          </w:t>
      </w:r>
      <w:r>
        <w:rPr>
          <w:rFonts w:cs="宋体" w:asciiTheme="minorEastAsia" w:hAnsiTheme="minorEastAsia"/>
          <w:kern w:val="0"/>
          <w:sz w:val="24"/>
          <w:szCs w:val="24"/>
        </w:rPr>
        <w:t>参加</w:t>
      </w:r>
      <w:r>
        <w:rPr>
          <w:rFonts w:cs="宋体" w:asciiTheme="minorEastAsia" w:hAnsiTheme="minorEastAsia"/>
          <w:kern w:val="0"/>
          <w:sz w:val="24"/>
          <w:szCs w:val="24"/>
          <w:u w:val="single"/>
        </w:rPr>
        <w:t>（单位名称）</w:t>
      </w:r>
      <w:r>
        <w:rPr>
          <w:rFonts w:cs="宋体" w:asciiTheme="minorEastAsia" w:hAnsiTheme="minorEastAsia"/>
          <w:kern w:val="0"/>
          <w:sz w:val="24"/>
          <w:szCs w:val="24"/>
        </w:rPr>
        <w:t>的</w:t>
      </w:r>
      <w:r>
        <w:rPr>
          <w:rFonts w:cs="宋体" w:asciiTheme="minorEastAsia" w:hAnsiTheme="minorEastAsia"/>
          <w:kern w:val="0"/>
          <w:sz w:val="24"/>
          <w:szCs w:val="24"/>
          <w:u w:val="single"/>
        </w:rPr>
        <w:t>（项目名称）</w:t>
      </w:r>
      <w:r>
        <w:rPr>
          <w:rFonts w:cs="宋体" w:asciiTheme="minorEastAsia" w:hAnsiTheme="minorEastAsia"/>
          <w:kern w:val="0"/>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rPr>
          <w:rFonts w:cs="宋体" w:asciiTheme="minorEastAsia" w:hAnsiTheme="minorEastAsia"/>
          <w:kern w:val="0"/>
          <w:sz w:val="24"/>
          <w:szCs w:val="24"/>
        </w:rPr>
      </w:pPr>
      <w:r>
        <w:rPr>
          <w:rFonts w:hint="eastAsia" w:cs="宋体" w:asciiTheme="minorEastAsia" w:hAnsiTheme="minorEastAsia"/>
          <w:kern w:val="0"/>
          <w:sz w:val="24"/>
          <w:szCs w:val="24"/>
        </w:rPr>
        <w:t>1、</w:t>
      </w:r>
      <w:r>
        <w:rPr>
          <w:rFonts w:cs="宋体" w:asciiTheme="minorEastAsia" w:hAnsiTheme="minorEastAsia"/>
          <w:kern w:val="0"/>
          <w:sz w:val="24"/>
          <w:szCs w:val="24"/>
          <w:u w:val="single"/>
        </w:rPr>
        <w:t>（标的名称）</w:t>
      </w:r>
      <w:r>
        <w:rPr>
          <w:rFonts w:cs="宋体" w:asciiTheme="minorEastAsia" w:hAnsiTheme="minorEastAsia"/>
          <w:kern w:val="0"/>
          <w:sz w:val="24"/>
          <w:szCs w:val="24"/>
        </w:rPr>
        <w:t>，属于</w:t>
      </w:r>
      <w:r>
        <w:rPr>
          <w:rFonts w:cs="宋体" w:asciiTheme="minorEastAsia" w:hAnsiTheme="minorEastAsia"/>
          <w:kern w:val="0"/>
          <w:sz w:val="24"/>
          <w:szCs w:val="24"/>
          <w:u w:val="single"/>
        </w:rPr>
        <w:t>（</w:t>
      </w:r>
      <w:r>
        <w:rPr>
          <w:rFonts w:hint="eastAsia" w:cs="宋体" w:asciiTheme="minorEastAsia" w:hAnsiTheme="minorEastAsia"/>
          <w:kern w:val="0"/>
          <w:sz w:val="24"/>
          <w:szCs w:val="24"/>
          <w:u w:val="single"/>
        </w:rPr>
        <w:t>其他未列明行业</w:t>
      </w:r>
      <w:r>
        <w:rPr>
          <w:rFonts w:cs="宋体" w:asciiTheme="minorEastAsia" w:hAnsiTheme="minorEastAsia"/>
          <w:kern w:val="0"/>
          <w:sz w:val="24"/>
          <w:szCs w:val="24"/>
          <w:u w:val="single"/>
        </w:rPr>
        <w:t>）</w:t>
      </w:r>
      <w:r>
        <w:rPr>
          <w:rFonts w:cs="宋体" w:asciiTheme="minorEastAsia" w:hAnsiTheme="minorEastAsia"/>
          <w:kern w:val="0"/>
          <w:sz w:val="24"/>
          <w:szCs w:val="24"/>
        </w:rPr>
        <w:t>；承建（承接）企业为</w:t>
      </w:r>
      <w:r>
        <w:rPr>
          <w:rFonts w:cs="宋体" w:asciiTheme="minorEastAsia" w:hAnsiTheme="minorEastAsia"/>
          <w:kern w:val="0"/>
          <w:sz w:val="24"/>
          <w:szCs w:val="24"/>
          <w:u w:val="single"/>
        </w:rPr>
        <w:t>（企业名称）</w:t>
      </w:r>
      <w:r>
        <w:rPr>
          <w:rFonts w:cs="宋体" w:asciiTheme="minorEastAsia" w:hAnsiTheme="minorEastAsia"/>
          <w:kern w:val="0"/>
          <w:sz w:val="24"/>
          <w:szCs w:val="24"/>
        </w:rPr>
        <w:t>，从业人员</w:t>
      </w:r>
      <w:r>
        <w:rPr>
          <w:rFonts w:hint="eastAsia" w:cs="宋体" w:asciiTheme="minorEastAsia" w:hAnsiTheme="minorEastAsia"/>
          <w:kern w:val="0"/>
          <w:sz w:val="24"/>
          <w:szCs w:val="24"/>
          <w:u w:val="single"/>
        </w:rPr>
        <w:t xml:space="preserve">   </w:t>
      </w:r>
      <w:r>
        <w:rPr>
          <w:rFonts w:cs="宋体" w:asciiTheme="minorEastAsia" w:hAnsiTheme="minorEastAsia"/>
          <w:kern w:val="0"/>
          <w:sz w:val="24"/>
          <w:szCs w:val="24"/>
        </w:rPr>
        <w:t>人，营业收入为</w:t>
      </w:r>
      <w:r>
        <w:rPr>
          <w:rFonts w:hint="eastAsia" w:cs="宋体" w:asciiTheme="minorEastAsia" w:hAnsiTheme="minorEastAsia"/>
          <w:kern w:val="0"/>
          <w:sz w:val="24"/>
          <w:szCs w:val="24"/>
          <w:u w:val="single"/>
        </w:rPr>
        <w:t xml:space="preserve">   </w:t>
      </w:r>
      <w:r>
        <w:rPr>
          <w:rFonts w:cs="宋体" w:asciiTheme="minorEastAsia" w:hAnsiTheme="minorEastAsia"/>
          <w:kern w:val="0"/>
          <w:sz w:val="24"/>
          <w:szCs w:val="24"/>
        </w:rPr>
        <w:t>万元，资产总额为</w:t>
      </w:r>
      <w:r>
        <w:rPr>
          <w:rFonts w:hint="eastAsia" w:cs="宋体" w:asciiTheme="minorEastAsia" w:hAnsiTheme="minorEastAsia"/>
          <w:kern w:val="0"/>
          <w:sz w:val="24"/>
          <w:szCs w:val="24"/>
          <w:u w:val="single"/>
        </w:rPr>
        <w:t xml:space="preserve">   </w:t>
      </w:r>
      <w:r>
        <w:rPr>
          <w:rFonts w:cs="宋体" w:asciiTheme="minorEastAsia" w:hAnsiTheme="minorEastAsia"/>
          <w:kern w:val="0"/>
          <w:sz w:val="24"/>
          <w:szCs w:val="24"/>
        </w:rPr>
        <w:t>万元，属于</w:t>
      </w:r>
      <w:r>
        <w:rPr>
          <w:rFonts w:cs="宋体" w:asciiTheme="minorEastAsia" w:hAnsiTheme="minorEastAsia"/>
          <w:kern w:val="0"/>
          <w:sz w:val="24"/>
          <w:szCs w:val="24"/>
          <w:u w:val="single"/>
        </w:rPr>
        <w:t>（中型企业、小型企业、微型企业）</w:t>
      </w:r>
      <w:r>
        <w:rPr>
          <w:rFonts w:cs="宋体" w:asciiTheme="minorEastAsia" w:hAnsiTheme="minorEastAsia"/>
          <w:kern w:val="0"/>
          <w:sz w:val="24"/>
          <w:szCs w:val="24"/>
        </w:rPr>
        <w:t>；</w:t>
      </w:r>
    </w:p>
    <w:p>
      <w:pPr>
        <w:spacing w:line="360" w:lineRule="auto"/>
        <w:rPr>
          <w:rFonts w:cs="宋体" w:asciiTheme="minorEastAsia" w:hAnsiTheme="minorEastAsia"/>
          <w:kern w:val="0"/>
          <w:sz w:val="24"/>
          <w:szCs w:val="24"/>
        </w:rPr>
      </w:pPr>
      <w:r>
        <w:rPr>
          <w:rFonts w:hint="eastAsia" w:cs="宋体" w:asciiTheme="minorEastAsia" w:hAnsiTheme="minorEastAsia"/>
          <w:kern w:val="0"/>
          <w:sz w:val="24"/>
          <w:szCs w:val="24"/>
        </w:rPr>
        <w:t>2、</w:t>
      </w:r>
      <w:r>
        <w:rPr>
          <w:rFonts w:cs="宋体" w:asciiTheme="minorEastAsia" w:hAnsiTheme="minorEastAsia"/>
          <w:kern w:val="0"/>
          <w:sz w:val="24"/>
          <w:szCs w:val="24"/>
          <w:u w:val="single"/>
        </w:rPr>
        <w:t>（标的名称）</w:t>
      </w:r>
      <w:r>
        <w:rPr>
          <w:rFonts w:cs="宋体" w:asciiTheme="minorEastAsia" w:hAnsiTheme="minorEastAsia"/>
          <w:kern w:val="0"/>
          <w:sz w:val="24"/>
          <w:szCs w:val="24"/>
        </w:rPr>
        <w:t>，属于</w:t>
      </w:r>
      <w:r>
        <w:rPr>
          <w:rFonts w:cs="宋体" w:asciiTheme="minorEastAsia" w:hAnsiTheme="minorEastAsia"/>
          <w:kern w:val="0"/>
          <w:sz w:val="24"/>
          <w:szCs w:val="24"/>
          <w:u w:val="single"/>
        </w:rPr>
        <w:t>（采购文件中明确的所属行业）</w:t>
      </w:r>
      <w:r>
        <w:rPr>
          <w:rFonts w:cs="宋体" w:asciiTheme="minorEastAsia" w:hAnsiTheme="minorEastAsia"/>
          <w:kern w:val="0"/>
          <w:sz w:val="24"/>
          <w:szCs w:val="24"/>
        </w:rPr>
        <w:t>；承建（承接）企业为</w:t>
      </w:r>
      <w:r>
        <w:rPr>
          <w:rFonts w:cs="宋体" w:asciiTheme="minorEastAsia" w:hAnsiTheme="minorEastAsia"/>
          <w:kern w:val="0"/>
          <w:sz w:val="24"/>
          <w:szCs w:val="24"/>
          <w:u w:val="single"/>
        </w:rPr>
        <w:t>（企业名称）</w:t>
      </w:r>
      <w:r>
        <w:rPr>
          <w:rFonts w:cs="宋体" w:asciiTheme="minorEastAsia" w:hAnsiTheme="minorEastAsia"/>
          <w:kern w:val="0"/>
          <w:sz w:val="24"/>
          <w:szCs w:val="24"/>
        </w:rPr>
        <w:t>，从业人员</w:t>
      </w:r>
      <w:r>
        <w:rPr>
          <w:rFonts w:hint="eastAsia" w:cs="宋体" w:asciiTheme="minorEastAsia" w:hAnsiTheme="minorEastAsia"/>
          <w:kern w:val="0"/>
          <w:sz w:val="24"/>
          <w:szCs w:val="24"/>
          <w:u w:val="single"/>
        </w:rPr>
        <w:t xml:space="preserve">   </w:t>
      </w:r>
      <w:r>
        <w:rPr>
          <w:rFonts w:cs="宋体" w:asciiTheme="minorEastAsia" w:hAnsiTheme="minorEastAsia"/>
          <w:kern w:val="0"/>
          <w:sz w:val="24"/>
          <w:szCs w:val="24"/>
        </w:rPr>
        <w:t>人，营业收入为</w:t>
      </w:r>
      <w:r>
        <w:rPr>
          <w:rFonts w:hint="eastAsia" w:cs="宋体" w:asciiTheme="minorEastAsia" w:hAnsiTheme="minorEastAsia"/>
          <w:kern w:val="0"/>
          <w:sz w:val="24"/>
          <w:szCs w:val="24"/>
          <w:u w:val="single"/>
        </w:rPr>
        <w:t xml:space="preserve">   </w:t>
      </w:r>
      <w:r>
        <w:rPr>
          <w:rFonts w:cs="宋体" w:asciiTheme="minorEastAsia" w:hAnsiTheme="minorEastAsia"/>
          <w:kern w:val="0"/>
          <w:sz w:val="24"/>
          <w:szCs w:val="24"/>
        </w:rPr>
        <w:t>万元，资产总额为</w:t>
      </w:r>
      <w:r>
        <w:rPr>
          <w:rFonts w:hint="eastAsia" w:cs="宋体" w:asciiTheme="minorEastAsia" w:hAnsiTheme="minorEastAsia"/>
          <w:kern w:val="0"/>
          <w:sz w:val="24"/>
          <w:szCs w:val="24"/>
          <w:u w:val="single"/>
        </w:rPr>
        <w:t xml:space="preserve">   </w:t>
      </w:r>
      <w:r>
        <w:rPr>
          <w:rFonts w:cs="宋体" w:asciiTheme="minorEastAsia" w:hAnsiTheme="minorEastAsia"/>
          <w:kern w:val="0"/>
          <w:sz w:val="24"/>
          <w:szCs w:val="24"/>
        </w:rPr>
        <w:t>万元，属于</w:t>
      </w:r>
      <w:r>
        <w:rPr>
          <w:rFonts w:cs="宋体" w:asciiTheme="minorEastAsia" w:hAnsiTheme="minorEastAsia"/>
          <w:kern w:val="0"/>
          <w:sz w:val="24"/>
          <w:szCs w:val="24"/>
          <w:u w:val="single"/>
        </w:rPr>
        <w:t>（中型企业、小型企业、微型企业）</w:t>
      </w:r>
      <w:r>
        <w:rPr>
          <w:rFonts w:cs="宋体" w:asciiTheme="minorEastAsia" w:hAnsiTheme="minorEastAsia"/>
          <w:kern w:val="0"/>
          <w:sz w:val="24"/>
          <w:szCs w:val="24"/>
        </w:rPr>
        <w:t>；</w:t>
      </w:r>
    </w:p>
    <w:p>
      <w:pPr>
        <w:spacing w:line="360" w:lineRule="auto"/>
        <w:rPr>
          <w:rFonts w:cs="宋体" w:asciiTheme="minorEastAsia" w:hAnsiTheme="minorEastAsia"/>
          <w:kern w:val="0"/>
          <w:sz w:val="24"/>
          <w:szCs w:val="24"/>
        </w:rPr>
      </w:pPr>
      <w:r>
        <w:rPr>
          <w:rFonts w:cs="宋体" w:asciiTheme="minorEastAsia" w:hAnsiTheme="minorEastAsia"/>
          <w:kern w:val="0"/>
          <w:sz w:val="24"/>
          <w:szCs w:val="24"/>
        </w:rPr>
        <w:t>……</w:t>
      </w:r>
    </w:p>
    <w:p>
      <w:pPr>
        <w:spacing w:line="360" w:lineRule="auto"/>
        <w:rPr>
          <w:rFonts w:cs="宋体" w:asciiTheme="minorEastAsia" w:hAnsiTheme="minorEastAsia"/>
          <w:color w:val="FF0000"/>
          <w:kern w:val="0"/>
          <w:sz w:val="24"/>
          <w:szCs w:val="24"/>
        </w:rPr>
      </w:pPr>
      <w:r>
        <w:rPr>
          <w:rFonts w:hint="eastAsia" w:cs="宋体" w:asciiTheme="minorEastAsia" w:hAnsiTheme="minorEastAsia"/>
          <w:kern w:val="0"/>
          <w:sz w:val="24"/>
          <w:szCs w:val="24"/>
        </w:rPr>
        <w:t xml:space="preserve">  </w:t>
      </w:r>
      <w:r>
        <w:rPr>
          <w:rFonts w:hint="eastAsia" w:cs="宋体" w:asciiTheme="minorEastAsia" w:hAnsiTheme="minorEastAsia"/>
          <w:color w:val="FF0000"/>
          <w:kern w:val="0"/>
          <w:sz w:val="24"/>
          <w:szCs w:val="24"/>
        </w:rPr>
        <w:t xml:space="preserve"> </w:t>
      </w:r>
    </w:p>
    <w:p>
      <w:pPr>
        <w:pStyle w:val="191"/>
        <w:ind w:firstLine="480"/>
        <w:rPr>
          <w:rFonts w:cs="宋体" w:asciiTheme="minorEastAsia" w:hAnsiTheme="minorEastAsia"/>
          <w:color w:val="FF0000"/>
          <w:kern w:val="0"/>
          <w:sz w:val="24"/>
          <w:szCs w:val="24"/>
        </w:rPr>
      </w:pPr>
    </w:p>
    <w:p>
      <w:pPr>
        <w:pStyle w:val="191"/>
        <w:ind w:firstLine="480"/>
        <w:rPr>
          <w:rFonts w:cs="宋体" w:asciiTheme="minorEastAsia" w:hAnsiTheme="minorEastAsia"/>
          <w:color w:val="FF0000"/>
          <w:kern w:val="0"/>
          <w:sz w:val="24"/>
          <w:szCs w:val="24"/>
        </w:rPr>
      </w:pPr>
    </w:p>
    <w:p>
      <w:pPr>
        <w:spacing w:line="360" w:lineRule="auto"/>
        <w:rPr>
          <w:rFonts w:cs="宋体" w:asciiTheme="minorEastAsia" w:hAnsiTheme="minorEastAsia"/>
          <w:kern w:val="0"/>
          <w:sz w:val="24"/>
          <w:szCs w:val="24"/>
        </w:rPr>
      </w:pPr>
      <w:r>
        <w:rPr>
          <w:rFonts w:hint="eastAsia" w:cs="宋体" w:asciiTheme="minorEastAsia" w:hAnsiTheme="minorEastAsia"/>
          <w:kern w:val="0"/>
          <w:sz w:val="24"/>
          <w:szCs w:val="24"/>
        </w:rPr>
        <w:t xml:space="preserve">    </w:t>
      </w:r>
      <w:r>
        <w:rPr>
          <w:rFonts w:cs="宋体" w:asciiTheme="minorEastAsia" w:hAnsiTheme="minorEastAsia"/>
          <w:kern w:val="0"/>
          <w:sz w:val="24"/>
          <w:szCs w:val="24"/>
        </w:rPr>
        <w:t>本企业对上述声明内容的真实性负责。如有虚假，将依法承担相应责任。</w:t>
      </w:r>
    </w:p>
    <w:p>
      <w:pPr>
        <w:spacing w:line="360" w:lineRule="auto"/>
        <w:rPr>
          <w:rFonts w:cs="宋体" w:asciiTheme="minorEastAsia" w:hAnsiTheme="minorEastAsia"/>
          <w:kern w:val="0"/>
          <w:sz w:val="24"/>
          <w:szCs w:val="24"/>
        </w:rPr>
      </w:pPr>
    </w:p>
    <w:p>
      <w:pPr>
        <w:spacing w:line="360" w:lineRule="auto"/>
        <w:rPr>
          <w:rFonts w:cs="宋体" w:asciiTheme="minorEastAsia" w:hAnsiTheme="minorEastAsia"/>
          <w:kern w:val="0"/>
          <w:sz w:val="24"/>
          <w:szCs w:val="24"/>
        </w:rPr>
      </w:pPr>
      <w:r>
        <w:rPr>
          <w:rFonts w:hint="eastAsia" w:cs="宋体" w:asciiTheme="minorEastAsia" w:hAnsiTheme="minorEastAsia"/>
          <w:kern w:val="0"/>
          <w:sz w:val="24"/>
          <w:szCs w:val="24"/>
        </w:rPr>
        <w:t>供应商</w:t>
      </w:r>
      <w:r>
        <w:rPr>
          <w:rFonts w:cs="宋体" w:asciiTheme="minorEastAsia" w:hAnsiTheme="minorEastAsia"/>
          <w:kern w:val="0"/>
          <w:sz w:val="24"/>
          <w:szCs w:val="24"/>
        </w:rPr>
        <w:t>名称（盖章）：</w:t>
      </w:r>
    </w:p>
    <w:p>
      <w:pPr>
        <w:spacing w:line="360" w:lineRule="auto"/>
        <w:rPr>
          <w:rFonts w:cs="宋体" w:asciiTheme="minorEastAsia" w:hAnsiTheme="minorEastAsia"/>
          <w:kern w:val="0"/>
          <w:sz w:val="24"/>
          <w:szCs w:val="24"/>
        </w:rPr>
      </w:pPr>
    </w:p>
    <w:p>
      <w:pPr>
        <w:spacing w:line="360" w:lineRule="auto"/>
        <w:rPr>
          <w:rFonts w:cs="宋体" w:asciiTheme="minorEastAsia" w:hAnsiTheme="minorEastAsia"/>
          <w:kern w:val="0"/>
          <w:sz w:val="24"/>
          <w:szCs w:val="24"/>
        </w:rPr>
      </w:pPr>
      <w:r>
        <w:rPr>
          <w:rFonts w:cs="宋体" w:asciiTheme="minorEastAsia" w:hAnsiTheme="minorEastAsia"/>
          <w:kern w:val="0"/>
          <w:sz w:val="24"/>
          <w:szCs w:val="24"/>
        </w:rPr>
        <w:t>日期：</w:t>
      </w:r>
    </w:p>
    <w:p>
      <w:pPr>
        <w:autoSpaceDE w:val="0"/>
        <w:autoSpaceDN w:val="0"/>
        <w:adjustRightInd w:val="0"/>
        <w:spacing w:line="360" w:lineRule="auto"/>
        <w:jc w:val="left"/>
        <w:rPr>
          <w:rFonts w:cs="宋体" w:asciiTheme="minorEastAsia" w:hAnsiTheme="minorEastAsia"/>
          <w:kern w:val="0"/>
          <w:sz w:val="24"/>
          <w:szCs w:val="24"/>
        </w:rPr>
      </w:pPr>
    </w:p>
    <w:p>
      <w:pPr>
        <w:autoSpaceDE w:val="0"/>
        <w:autoSpaceDN w:val="0"/>
        <w:adjustRightInd w:val="0"/>
        <w:spacing w:line="360" w:lineRule="auto"/>
        <w:jc w:val="left"/>
        <w:rPr>
          <w:rFonts w:cs="宋体" w:asciiTheme="minorEastAsia" w:hAnsiTheme="minorEastAsia"/>
          <w:kern w:val="0"/>
          <w:sz w:val="24"/>
          <w:szCs w:val="24"/>
        </w:rPr>
      </w:pPr>
    </w:p>
    <w:p>
      <w:pPr>
        <w:autoSpaceDE w:val="0"/>
        <w:autoSpaceDN w:val="0"/>
        <w:adjustRightInd w:val="0"/>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说明：</w:t>
      </w:r>
    </w:p>
    <w:p>
      <w:pPr>
        <w:autoSpaceDE w:val="0"/>
        <w:autoSpaceDN w:val="0"/>
        <w:adjustRightInd w:val="0"/>
        <w:spacing w:line="360" w:lineRule="auto"/>
        <w:jc w:val="left"/>
        <w:rPr>
          <w:rFonts w:cs="宋体" w:asciiTheme="minorEastAsia" w:hAnsiTheme="minorEastAsia"/>
          <w:kern w:val="0"/>
          <w:sz w:val="24"/>
          <w:szCs w:val="24"/>
        </w:rPr>
      </w:pPr>
      <w:r>
        <w:rPr>
          <w:rFonts w:cs="宋体" w:asciiTheme="minorEastAsia" w:hAnsiTheme="minorEastAsia"/>
          <w:kern w:val="0"/>
          <w:sz w:val="24"/>
          <w:szCs w:val="24"/>
        </w:rPr>
        <w:t>1</w:t>
      </w:r>
      <w:r>
        <w:rPr>
          <w:rFonts w:hint="eastAsia" w:cs="宋体" w:asciiTheme="minorEastAsia" w:hAnsiTheme="minorEastAsia"/>
          <w:kern w:val="0"/>
          <w:sz w:val="24"/>
          <w:szCs w:val="24"/>
        </w:rPr>
        <w:t>、填写前请认真阅读《工业和信息化部、国家统计局、国家发展和改革委员会、财政部关于印发中小企业划型标准规定的通知》（工信部联企业</w:t>
      </w:r>
      <w:r>
        <w:rPr>
          <w:rFonts w:cs="宋体" w:asciiTheme="minorEastAsia" w:hAnsiTheme="minorEastAsia"/>
          <w:kern w:val="0"/>
          <w:sz w:val="24"/>
          <w:szCs w:val="24"/>
        </w:rPr>
        <w:t xml:space="preserve">[2011]300 </w:t>
      </w:r>
      <w:r>
        <w:rPr>
          <w:rFonts w:hint="eastAsia" w:cs="宋体" w:asciiTheme="minorEastAsia" w:hAnsiTheme="minorEastAsia"/>
          <w:kern w:val="0"/>
          <w:sz w:val="24"/>
          <w:szCs w:val="24"/>
        </w:rPr>
        <w:t>号）和《财政部工业和信息化部关于印发</w:t>
      </w:r>
      <w:r>
        <w:rPr>
          <w:rFonts w:cs="宋体" w:asciiTheme="minorEastAsia" w:hAnsiTheme="minorEastAsia"/>
          <w:kern w:val="0"/>
          <w:sz w:val="24"/>
          <w:szCs w:val="24"/>
        </w:rPr>
        <w:t>《政府采购促进中小企业发展管理办法》(</w:t>
      </w:r>
      <w:r>
        <w:rPr>
          <w:rFonts w:hint="eastAsia" w:cs="宋体" w:asciiTheme="minorEastAsia" w:hAnsiTheme="minorEastAsia"/>
          <w:kern w:val="0"/>
          <w:sz w:val="24"/>
          <w:szCs w:val="24"/>
        </w:rPr>
        <w:t>财库</w:t>
      </w:r>
      <w:r>
        <w:rPr>
          <w:rFonts w:cs="宋体" w:asciiTheme="minorEastAsia" w:hAnsiTheme="minorEastAsia"/>
          <w:kern w:val="0"/>
          <w:sz w:val="24"/>
          <w:szCs w:val="24"/>
        </w:rPr>
        <w:t>[20</w:t>
      </w:r>
      <w:r>
        <w:rPr>
          <w:rFonts w:hint="eastAsia" w:cs="宋体" w:asciiTheme="minorEastAsia" w:hAnsiTheme="minorEastAsia"/>
          <w:kern w:val="0"/>
          <w:sz w:val="24"/>
          <w:szCs w:val="24"/>
        </w:rPr>
        <w:t>20</w:t>
      </w:r>
      <w:r>
        <w:rPr>
          <w:rFonts w:cs="宋体" w:asciiTheme="minorEastAsia" w:hAnsiTheme="minorEastAsia"/>
          <w:kern w:val="0"/>
          <w:sz w:val="24"/>
          <w:szCs w:val="24"/>
        </w:rPr>
        <w:t>]</w:t>
      </w:r>
      <w:r>
        <w:rPr>
          <w:rFonts w:hint="eastAsia" w:cs="宋体" w:asciiTheme="minorEastAsia" w:hAnsiTheme="minorEastAsia"/>
          <w:kern w:val="0"/>
          <w:sz w:val="24"/>
          <w:szCs w:val="24"/>
        </w:rPr>
        <w:t>46号</w:t>
      </w:r>
      <w:r>
        <w:rPr>
          <w:rFonts w:cs="宋体" w:asciiTheme="minorEastAsia" w:hAnsiTheme="minorEastAsia"/>
          <w:kern w:val="0"/>
          <w:sz w:val="24"/>
          <w:szCs w:val="24"/>
        </w:rPr>
        <w:t>)</w:t>
      </w:r>
      <w:r>
        <w:rPr>
          <w:rFonts w:hint="eastAsia" w:cs="宋体" w:asciiTheme="minorEastAsia" w:hAnsiTheme="minorEastAsia"/>
          <w:kern w:val="0"/>
          <w:sz w:val="24"/>
          <w:szCs w:val="24"/>
        </w:rPr>
        <w:t>相关规定。</w:t>
      </w:r>
    </w:p>
    <w:p>
      <w:pPr>
        <w:autoSpaceDE w:val="0"/>
        <w:autoSpaceDN w:val="0"/>
        <w:adjustRightInd w:val="0"/>
        <w:spacing w:line="360" w:lineRule="auto"/>
        <w:jc w:val="left"/>
        <w:rPr>
          <w:rFonts w:cs="宋体" w:asciiTheme="minorEastAsia" w:hAnsiTheme="minorEastAsia"/>
          <w:kern w:val="0"/>
          <w:sz w:val="24"/>
          <w:szCs w:val="24"/>
        </w:rPr>
      </w:pPr>
      <w:r>
        <w:rPr>
          <w:rFonts w:cs="宋体" w:asciiTheme="minorEastAsia" w:hAnsiTheme="minorEastAsia"/>
          <w:kern w:val="0"/>
          <w:sz w:val="24"/>
          <w:szCs w:val="24"/>
        </w:rPr>
        <w:t>2</w:t>
      </w:r>
      <w:r>
        <w:rPr>
          <w:rFonts w:hint="eastAsia" w:cs="宋体" w:asciiTheme="minorEastAsia" w:hAnsiTheme="minorEastAsia"/>
          <w:kern w:val="0"/>
          <w:sz w:val="24"/>
          <w:szCs w:val="24"/>
        </w:rPr>
        <w:t>、从业人员、营业收入、资产总额填报上一年度数据，无上一年度数据的新成立企业可不填报。</w:t>
      </w:r>
    </w:p>
    <w:p>
      <w:pPr>
        <w:autoSpaceDE w:val="0"/>
        <w:autoSpaceDN w:val="0"/>
        <w:adjustRightInd w:val="0"/>
        <w:spacing w:line="360" w:lineRule="auto"/>
        <w:jc w:val="left"/>
        <w:rPr>
          <w:rFonts w:cs="宋体" w:asciiTheme="minorEastAsia" w:hAnsiTheme="minorEastAsia"/>
          <w:kern w:val="0"/>
          <w:sz w:val="24"/>
          <w:szCs w:val="24"/>
        </w:rPr>
      </w:pPr>
    </w:p>
    <w:p>
      <w:pPr>
        <w:autoSpaceDE w:val="0"/>
        <w:autoSpaceDN w:val="0"/>
        <w:adjustRightInd w:val="0"/>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2</w:t>
      </w:r>
      <w:r>
        <w:rPr>
          <w:rFonts w:cs="宋体" w:asciiTheme="minorEastAsia" w:hAnsiTheme="minorEastAsia"/>
          <w:kern w:val="0"/>
          <w:sz w:val="24"/>
          <w:szCs w:val="24"/>
        </w:rPr>
        <w:t xml:space="preserve">-2 </w:t>
      </w:r>
      <w:r>
        <w:rPr>
          <w:rFonts w:hint="eastAsia" w:cs="宋体" w:asciiTheme="minorEastAsia" w:hAnsiTheme="minorEastAsia"/>
          <w:kern w:val="0"/>
          <w:sz w:val="24"/>
          <w:szCs w:val="24"/>
        </w:rPr>
        <w:t>残疾人福利性单位声明函</w:t>
      </w:r>
    </w:p>
    <w:p>
      <w:pPr>
        <w:autoSpaceDE w:val="0"/>
        <w:autoSpaceDN w:val="0"/>
        <w:adjustRightInd w:val="0"/>
        <w:spacing w:line="360" w:lineRule="auto"/>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本单位郑重声明，根据《财政部民政部中国残疾人联合会关于促进残疾人就业政府采购政策的通知》（财库〔</w:t>
      </w:r>
      <w:r>
        <w:rPr>
          <w:rFonts w:cs="宋体" w:asciiTheme="minorEastAsia" w:hAnsiTheme="minorEastAsia"/>
          <w:kern w:val="0"/>
          <w:sz w:val="24"/>
          <w:szCs w:val="24"/>
        </w:rPr>
        <w:t>2017</w:t>
      </w:r>
      <w:r>
        <w:rPr>
          <w:rFonts w:hint="eastAsia" w:cs="宋体" w:asciiTheme="minorEastAsia" w:hAnsiTheme="minorEastAsia"/>
          <w:kern w:val="0"/>
          <w:sz w:val="24"/>
          <w:szCs w:val="24"/>
        </w:rPr>
        <w:t>〕</w:t>
      </w:r>
      <w:r>
        <w:rPr>
          <w:rFonts w:cs="宋体" w:asciiTheme="minorEastAsia" w:hAnsiTheme="minorEastAsia"/>
          <w:kern w:val="0"/>
          <w:sz w:val="24"/>
          <w:szCs w:val="24"/>
        </w:rPr>
        <w:t>141</w:t>
      </w:r>
      <w:r>
        <w:rPr>
          <w:rFonts w:hint="eastAsia" w:cs="宋体" w:asciiTheme="minorEastAsia" w:hAnsiTheme="minorEastAsia"/>
          <w:kern w:val="0"/>
          <w:sz w:val="24"/>
          <w:szCs w:val="24"/>
        </w:rPr>
        <w:t>号）的规定，本单位为符合条件的残疾人福利性单位，且本单位参加</w:t>
      </w:r>
      <w:r>
        <w:rPr>
          <w:rFonts w:cs="宋体" w:asciiTheme="minorEastAsia" w:hAnsiTheme="minorEastAsia"/>
          <w:kern w:val="0"/>
          <w:sz w:val="24"/>
          <w:szCs w:val="24"/>
          <w:u w:val="single"/>
        </w:rPr>
        <w:t>______</w:t>
      </w:r>
      <w:r>
        <w:rPr>
          <w:rFonts w:hint="eastAsia" w:cs="宋体" w:asciiTheme="minorEastAsia" w:hAnsiTheme="minorEastAsia"/>
          <w:kern w:val="0"/>
          <w:sz w:val="24"/>
          <w:szCs w:val="24"/>
        </w:rPr>
        <w:t>单位的</w:t>
      </w:r>
      <w:r>
        <w:rPr>
          <w:rFonts w:cs="宋体" w:asciiTheme="minorEastAsia" w:hAnsiTheme="minorEastAsia"/>
          <w:kern w:val="0"/>
          <w:sz w:val="24"/>
          <w:szCs w:val="24"/>
          <w:u w:val="single"/>
        </w:rPr>
        <w:t>______</w:t>
      </w:r>
      <w:r>
        <w:rPr>
          <w:rFonts w:hint="eastAsia" w:cs="宋体" w:asciiTheme="minorEastAsia" w:hAnsiTheme="minorEastAsia"/>
          <w:kern w:val="0"/>
          <w:sz w:val="24"/>
          <w:szCs w:val="24"/>
        </w:rPr>
        <w:t>项目采购活动提供本单位制造的货物（由本单位承担工程</w:t>
      </w:r>
      <w:r>
        <w:rPr>
          <w:rFonts w:cs="宋体" w:asciiTheme="minorEastAsia" w:hAnsiTheme="minorEastAsia"/>
          <w:kern w:val="0"/>
          <w:sz w:val="24"/>
          <w:szCs w:val="24"/>
        </w:rPr>
        <w:t>/</w:t>
      </w:r>
      <w:r>
        <w:rPr>
          <w:rFonts w:hint="eastAsia" w:cs="宋体" w:asciiTheme="minorEastAsia" w:hAnsiTheme="minorEastAsia"/>
          <w:kern w:val="0"/>
          <w:sz w:val="24"/>
          <w:szCs w:val="24"/>
        </w:rPr>
        <w:t>提供服务），或者提供其他残疾人福利性单位制造的货物（不包括使用非残疾人福利性单位注册商标的货物）。</w:t>
      </w:r>
    </w:p>
    <w:p>
      <w:pPr>
        <w:autoSpaceDE w:val="0"/>
        <w:autoSpaceDN w:val="0"/>
        <w:adjustRightInd w:val="0"/>
        <w:spacing w:line="360" w:lineRule="auto"/>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本单位对上述声明的真实性负责。如有虚假，将依法承担相应责任。</w:t>
      </w:r>
    </w:p>
    <w:p>
      <w:pPr>
        <w:autoSpaceDE w:val="0"/>
        <w:autoSpaceDN w:val="0"/>
        <w:adjustRightInd w:val="0"/>
        <w:spacing w:line="360" w:lineRule="auto"/>
        <w:jc w:val="left"/>
        <w:rPr>
          <w:rFonts w:cs="宋体" w:asciiTheme="minorEastAsia" w:hAnsiTheme="minorEastAsia"/>
          <w:kern w:val="0"/>
          <w:sz w:val="24"/>
          <w:szCs w:val="24"/>
        </w:rPr>
      </w:pPr>
    </w:p>
    <w:p>
      <w:pPr>
        <w:autoSpaceDE w:val="0"/>
        <w:autoSpaceDN w:val="0"/>
        <w:adjustRightInd w:val="0"/>
        <w:spacing w:line="360" w:lineRule="auto"/>
        <w:jc w:val="left"/>
        <w:rPr>
          <w:rFonts w:cs="宋体" w:asciiTheme="minorEastAsia" w:hAnsiTheme="minorEastAsia"/>
          <w:kern w:val="0"/>
          <w:sz w:val="24"/>
          <w:szCs w:val="24"/>
        </w:rPr>
      </w:pPr>
    </w:p>
    <w:p>
      <w:pPr>
        <w:autoSpaceDE w:val="0"/>
        <w:autoSpaceDN w:val="0"/>
        <w:adjustRightInd w:val="0"/>
        <w:spacing w:line="360" w:lineRule="auto"/>
        <w:jc w:val="left"/>
        <w:rPr>
          <w:rFonts w:cs="宋体" w:asciiTheme="minorEastAsia" w:hAnsiTheme="minorEastAsia"/>
          <w:kern w:val="0"/>
          <w:sz w:val="24"/>
          <w:szCs w:val="24"/>
        </w:rPr>
      </w:pPr>
    </w:p>
    <w:p>
      <w:pPr>
        <w:autoSpaceDE w:val="0"/>
        <w:autoSpaceDN w:val="0"/>
        <w:adjustRightInd w:val="0"/>
        <w:spacing w:line="360" w:lineRule="auto"/>
        <w:jc w:val="left"/>
        <w:rPr>
          <w:rFonts w:cs="宋体" w:asciiTheme="minorEastAsia" w:hAnsiTheme="minorEastAsia"/>
          <w:kern w:val="0"/>
          <w:sz w:val="24"/>
          <w:szCs w:val="24"/>
        </w:rPr>
      </w:pPr>
    </w:p>
    <w:p>
      <w:pPr>
        <w:autoSpaceDE w:val="0"/>
        <w:autoSpaceDN w:val="0"/>
        <w:adjustRightInd w:val="0"/>
        <w:spacing w:line="360" w:lineRule="auto"/>
        <w:jc w:val="left"/>
        <w:rPr>
          <w:rFonts w:cs="宋体" w:asciiTheme="minorEastAsia" w:hAnsiTheme="minorEastAsia"/>
          <w:kern w:val="0"/>
          <w:sz w:val="24"/>
          <w:szCs w:val="24"/>
        </w:rPr>
      </w:pPr>
    </w:p>
    <w:p>
      <w:pPr>
        <w:autoSpaceDE w:val="0"/>
        <w:autoSpaceDN w:val="0"/>
        <w:adjustRightInd w:val="0"/>
        <w:spacing w:line="360" w:lineRule="auto"/>
        <w:jc w:val="left"/>
        <w:rPr>
          <w:rFonts w:cs="宋体" w:asciiTheme="minorEastAsia" w:hAnsiTheme="minorEastAsia"/>
          <w:kern w:val="0"/>
          <w:sz w:val="24"/>
          <w:szCs w:val="24"/>
        </w:rPr>
      </w:pPr>
    </w:p>
    <w:p>
      <w:pPr>
        <w:autoSpaceDE w:val="0"/>
        <w:autoSpaceDN w:val="0"/>
        <w:adjustRightInd w:val="0"/>
        <w:spacing w:line="360" w:lineRule="auto"/>
        <w:jc w:val="left"/>
        <w:rPr>
          <w:rFonts w:cs="宋体" w:asciiTheme="minorEastAsia" w:hAnsiTheme="minorEastAsia"/>
          <w:kern w:val="0"/>
          <w:sz w:val="24"/>
          <w:szCs w:val="24"/>
          <w:u w:val="single"/>
        </w:rPr>
      </w:pPr>
      <w:r>
        <w:rPr>
          <w:rFonts w:hint="eastAsia" w:cs="宋体" w:asciiTheme="minorEastAsia" w:hAnsiTheme="minorEastAsia"/>
          <w:kern w:val="0"/>
          <w:sz w:val="24"/>
          <w:szCs w:val="24"/>
        </w:rPr>
        <w:t>供应商名称：</w:t>
      </w:r>
      <w:r>
        <w:rPr>
          <w:rFonts w:cs="宋体" w:asciiTheme="minorEastAsia" w:hAnsiTheme="minorEastAsia"/>
          <w:kern w:val="0"/>
          <w:sz w:val="24"/>
          <w:szCs w:val="24"/>
          <w:u w:val="single"/>
        </w:rPr>
        <w:t xml:space="preserve"> </w:t>
      </w:r>
      <w:r>
        <w:rPr>
          <w:rFonts w:hint="eastAsia" w:cs="宋体" w:asciiTheme="minorEastAsia" w:hAnsiTheme="minorEastAsia"/>
          <w:kern w:val="0"/>
          <w:sz w:val="24"/>
          <w:szCs w:val="24"/>
          <w:u w:val="single"/>
        </w:rPr>
        <w:t>（盖单位章）</w:t>
      </w:r>
    </w:p>
    <w:p>
      <w:pPr>
        <w:autoSpaceDE w:val="0"/>
        <w:autoSpaceDN w:val="0"/>
        <w:adjustRightInd w:val="0"/>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日期：</w:t>
      </w:r>
      <w:r>
        <w:rPr>
          <w:rFonts w:cs="宋体" w:asciiTheme="minorEastAsia" w:hAnsiTheme="minorEastAsia"/>
          <w:kern w:val="0"/>
          <w:sz w:val="24"/>
          <w:szCs w:val="24"/>
          <w:u w:val="single"/>
        </w:rPr>
        <w:t xml:space="preserve">    </w:t>
      </w:r>
      <w:r>
        <w:rPr>
          <w:rFonts w:hint="eastAsia" w:cs="宋体" w:asciiTheme="minorEastAsia" w:hAnsiTheme="minorEastAsia"/>
          <w:kern w:val="0"/>
          <w:sz w:val="24"/>
          <w:szCs w:val="24"/>
        </w:rPr>
        <w:t>年</w:t>
      </w:r>
      <w:r>
        <w:rPr>
          <w:rFonts w:cs="宋体" w:asciiTheme="minorEastAsia" w:hAnsiTheme="minorEastAsia"/>
          <w:kern w:val="0"/>
          <w:sz w:val="24"/>
          <w:szCs w:val="24"/>
          <w:u w:val="single"/>
        </w:rPr>
        <w:t xml:space="preserve">    </w:t>
      </w:r>
      <w:r>
        <w:rPr>
          <w:rFonts w:hint="eastAsia" w:cs="宋体" w:asciiTheme="minorEastAsia" w:hAnsiTheme="minorEastAsia"/>
          <w:kern w:val="0"/>
          <w:sz w:val="24"/>
          <w:szCs w:val="24"/>
        </w:rPr>
        <w:t>月</w:t>
      </w:r>
      <w:r>
        <w:rPr>
          <w:rFonts w:cs="宋体" w:asciiTheme="minorEastAsia" w:hAnsiTheme="minorEastAsia"/>
          <w:kern w:val="0"/>
          <w:sz w:val="24"/>
          <w:szCs w:val="24"/>
          <w:u w:val="single"/>
        </w:rPr>
        <w:t xml:space="preserve">    </w:t>
      </w:r>
      <w:r>
        <w:rPr>
          <w:rFonts w:hint="eastAsia" w:cs="宋体" w:asciiTheme="minorEastAsia" w:hAnsiTheme="minorEastAsia"/>
          <w:kern w:val="0"/>
          <w:sz w:val="24"/>
          <w:szCs w:val="24"/>
        </w:rPr>
        <w:t>日</w:t>
      </w:r>
    </w:p>
    <w:p>
      <w:pPr>
        <w:autoSpaceDE w:val="0"/>
        <w:autoSpaceDN w:val="0"/>
        <w:adjustRightInd w:val="0"/>
        <w:spacing w:line="360" w:lineRule="auto"/>
        <w:jc w:val="left"/>
        <w:rPr>
          <w:rFonts w:cs="宋体" w:asciiTheme="minorEastAsia" w:hAnsiTheme="minorEastAsia"/>
          <w:kern w:val="0"/>
          <w:sz w:val="24"/>
          <w:szCs w:val="24"/>
        </w:rPr>
      </w:pPr>
    </w:p>
    <w:p>
      <w:pPr>
        <w:autoSpaceDE w:val="0"/>
        <w:autoSpaceDN w:val="0"/>
        <w:adjustRightInd w:val="0"/>
        <w:spacing w:line="360" w:lineRule="auto"/>
        <w:jc w:val="left"/>
        <w:rPr>
          <w:rFonts w:cs="宋体" w:asciiTheme="minorEastAsia" w:hAnsiTheme="minorEastAsia"/>
          <w:kern w:val="0"/>
          <w:sz w:val="24"/>
          <w:szCs w:val="24"/>
        </w:rPr>
      </w:pPr>
    </w:p>
    <w:p>
      <w:pPr>
        <w:autoSpaceDE w:val="0"/>
        <w:autoSpaceDN w:val="0"/>
        <w:adjustRightInd w:val="0"/>
        <w:spacing w:line="360" w:lineRule="auto"/>
        <w:jc w:val="left"/>
        <w:rPr>
          <w:rFonts w:cs="宋体" w:asciiTheme="minorEastAsia" w:hAnsiTheme="minorEastAsia"/>
          <w:kern w:val="0"/>
          <w:sz w:val="24"/>
          <w:szCs w:val="24"/>
        </w:rPr>
      </w:pPr>
    </w:p>
    <w:p>
      <w:pPr>
        <w:widowControl/>
        <w:jc w:val="left"/>
        <w:rPr>
          <w:rFonts w:cs="宋体" w:asciiTheme="minorEastAsia" w:hAnsiTheme="minorEastAsia"/>
          <w:kern w:val="0"/>
          <w:sz w:val="24"/>
          <w:szCs w:val="24"/>
        </w:rPr>
      </w:pPr>
      <w:r>
        <w:rPr>
          <w:rFonts w:cs="宋体" w:asciiTheme="minorEastAsia" w:hAnsiTheme="minorEastAsia"/>
          <w:kern w:val="0"/>
          <w:sz w:val="24"/>
          <w:szCs w:val="24"/>
        </w:rPr>
        <w:br w:type="page"/>
      </w:r>
    </w:p>
    <w:p>
      <w:pPr>
        <w:spacing w:line="360" w:lineRule="auto"/>
        <w:ind w:firstLine="480" w:firstLineChars="200"/>
        <w:jc w:val="center"/>
        <w:rPr>
          <w:rFonts w:asciiTheme="minorEastAsia" w:hAnsiTheme="minorEastAsia"/>
          <w:kern w:val="0"/>
          <w:sz w:val="24"/>
          <w:szCs w:val="24"/>
        </w:rPr>
      </w:pPr>
      <w:r>
        <w:rPr>
          <w:rFonts w:hint="eastAsia" w:cs="宋体" w:asciiTheme="minorEastAsia" w:hAnsiTheme="minorEastAsia"/>
          <w:kern w:val="0"/>
          <w:sz w:val="24"/>
          <w:szCs w:val="24"/>
        </w:rPr>
        <w:t>2</w:t>
      </w:r>
      <w:r>
        <w:rPr>
          <w:rFonts w:cs="宋体" w:asciiTheme="minorEastAsia" w:hAnsiTheme="minorEastAsia"/>
          <w:kern w:val="0"/>
          <w:sz w:val="24"/>
          <w:szCs w:val="24"/>
        </w:rPr>
        <w:t>-</w:t>
      </w:r>
      <w:r>
        <w:rPr>
          <w:rFonts w:hint="eastAsia" w:cs="宋体" w:asciiTheme="minorEastAsia" w:hAnsiTheme="minorEastAsia"/>
          <w:kern w:val="0"/>
          <w:sz w:val="24"/>
          <w:szCs w:val="24"/>
        </w:rPr>
        <w:t>3</w:t>
      </w:r>
      <w:r>
        <w:rPr>
          <w:rFonts w:cs="宋体" w:asciiTheme="minorEastAsia" w:hAnsiTheme="minorEastAsia"/>
          <w:kern w:val="0"/>
          <w:sz w:val="24"/>
          <w:szCs w:val="24"/>
        </w:rPr>
        <w:t xml:space="preserve"> </w:t>
      </w:r>
      <w:r>
        <w:rPr>
          <w:rFonts w:hint="eastAsia" w:asciiTheme="minorEastAsia" w:hAnsiTheme="minorEastAsia"/>
          <w:kern w:val="0"/>
          <w:sz w:val="24"/>
          <w:szCs w:val="24"/>
        </w:rPr>
        <w:t>监狱企业声明函</w:t>
      </w:r>
    </w:p>
    <w:p>
      <w:pPr>
        <w:spacing w:line="360" w:lineRule="auto"/>
        <w:jc w:val="center"/>
        <w:rPr>
          <w:rFonts w:asciiTheme="minorEastAsia" w:hAnsiTheme="minorEastAsia"/>
          <w:kern w:val="0"/>
          <w:sz w:val="24"/>
          <w:szCs w:val="24"/>
        </w:rPr>
      </w:pPr>
      <w:r>
        <w:rPr>
          <w:rFonts w:hint="eastAsia" w:asciiTheme="minorEastAsia" w:hAnsiTheme="minorEastAsia"/>
          <w:kern w:val="0"/>
          <w:sz w:val="24"/>
          <w:szCs w:val="24"/>
        </w:rPr>
        <w:t>（监狱企业适用）</w:t>
      </w:r>
    </w:p>
    <w:p>
      <w:pPr>
        <w:spacing w:line="360" w:lineRule="auto"/>
        <w:ind w:firstLine="540" w:firstLineChars="225"/>
        <w:rPr>
          <w:rFonts w:asciiTheme="minorEastAsia" w:hAnsiTheme="minorEastAsia"/>
          <w:kern w:val="0"/>
          <w:sz w:val="24"/>
          <w:szCs w:val="24"/>
        </w:rPr>
      </w:pPr>
      <w:r>
        <w:rPr>
          <w:rFonts w:hint="eastAsia" w:asciiTheme="minorEastAsia" w:hAnsiTheme="minorEastAsia"/>
          <w:kern w:val="0"/>
          <w:sz w:val="24"/>
          <w:szCs w:val="24"/>
        </w:rPr>
        <w:t>本公司郑重声明，根据《关于政府采购支持监狱企业发展有关问题的通知》（财库[2014]68号）的规定，本公司为监狱企业。</w:t>
      </w:r>
    </w:p>
    <w:p>
      <w:pPr>
        <w:spacing w:line="360" w:lineRule="auto"/>
        <w:ind w:firstLine="540" w:firstLineChars="225"/>
        <w:rPr>
          <w:rFonts w:asciiTheme="minorEastAsia" w:hAnsiTheme="minorEastAsia"/>
          <w:kern w:val="0"/>
          <w:sz w:val="24"/>
          <w:szCs w:val="24"/>
        </w:rPr>
      </w:pPr>
      <w:r>
        <w:rPr>
          <w:rFonts w:hint="eastAsia" w:asciiTheme="minorEastAsia" w:hAnsiTheme="minorEastAsia"/>
          <w:kern w:val="0"/>
          <w:sz w:val="24"/>
          <w:szCs w:val="24"/>
        </w:rPr>
        <w:t>本公司参加______单位的______项目采购活动，采购活动提供本企业（填写制造的货物，由本企业承担工程、提供服务）。</w:t>
      </w:r>
    </w:p>
    <w:p>
      <w:pPr>
        <w:spacing w:line="360" w:lineRule="auto"/>
        <w:ind w:firstLine="540" w:firstLineChars="225"/>
        <w:rPr>
          <w:rFonts w:asciiTheme="minorEastAsia" w:hAnsiTheme="minorEastAsia"/>
          <w:kern w:val="0"/>
          <w:sz w:val="24"/>
          <w:szCs w:val="24"/>
        </w:rPr>
      </w:pPr>
      <w:r>
        <w:rPr>
          <w:rFonts w:hint="eastAsia" w:asciiTheme="minorEastAsia" w:hAnsiTheme="minorEastAsia"/>
          <w:kern w:val="0"/>
          <w:sz w:val="24"/>
          <w:szCs w:val="24"/>
        </w:rPr>
        <w:t>本条所称货物不包括使用大型企业注册商标的货物和服务。</w:t>
      </w:r>
    </w:p>
    <w:p>
      <w:pPr>
        <w:spacing w:line="360" w:lineRule="auto"/>
        <w:ind w:firstLine="540" w:firstLineChars="225"/>
        <w:rPr>
          <w:rFonts w:asciiTheme="minorEastAsia" w:hAnsiTheme="minorEastAsia"/>
          <w:kern w:val="0"/>
          <w:sz w:val="24"/>
          <w:szCs w:val="24"/>
        </w:rPr>
      </w:pPr>
      <w:r>
        <w:rPr>
          <w:rFonts w:hint="eastAsia" w:asciiTheme="minorEastAsia" w:hAnsiTheme="minorEastAsia"/>
          <w:kern w:val="0"/>
          <w:sz w:val="24"/>
          <w:szCs w:val="24"/>
        </w:rPr>
        <w:t>本公司对上述声明的真实性负责。如有虚假，将依法承担相应责任。</w:t>
      </w:r>
    </w:p>
    <w:p>
      <w:pPr>
        <w:spacing w:line="360" w:lineRule="auto"/>
        <w:rPr>
          <w:rFonts w:cs="宋体" w:asciiTheme="minorEastAsia" w:hAnsiTheme="minorEastAsia"/>
          <w:kern w:val="0"/>
          <w:sz w:val="24"/>
          <w:szCs w:val="24"/>
        </w:rPr>
      </w:pPr>
    </w:p>
    <w:p>
      <w:pPr>
        <w:spacing w:line="360" w:lineRule="auto"/>
        <w:rPr>
          <w:rFonts w:cs="宋体" w:asciiTheme="minorEastAsia" w:hAnsiTheme="minorEastAsia"/>
          <w:kern w:val="0"/>
          <w:sz w:val="24"/>
          <w:szCs w:val="24"/>
        </w:rPr>
      </w:pPr>
    </w:p>
    <w:p>
      <w:pPr>
        <w:autoSpaceDE w:val="0"/>
        <w:autoSpaceDN w:val="0"/>
        <w:adjustRightInd w:val="0"/>
        <w:spacing w:line="360" w:lineRule="auto"/>
        <w:jc w:val="left"/>
        <w:rPr>
          <w:rFonts w:cs="宋体" w:asciiTheme="minorEastAsia" w:hAnsiTheme="minorEastAsia"/>
          <w:kern w:val="0"/>
          <w:sz w:val="24"/>
          <w:szCs w:val="24"/>
          <w:u w:val="single"/>
        </w:rPr>
      </w:pPr>
      <w:r>
        <w:rPr>
          <w:rFonts w:hint="eastAsia" w:cs="宋体" w:asciiTheme="minorEastAsia" w:hAnsiTheme="minorEastAsia"/>
          <w:kern w:val="0"/>
          <w:sz w:val="24"/>
          <w:szCs w:val="24"/>
        </w:rPr>
        <w:t>供应商名称：</w:t>
      </w:r>
      <w:r>
        <w:rPr>
          <w:rFonts w:cs="宋体" w:asciiTheme="minorEastAsia" w:hAnsiTheme="minorEastAsia"/>
          <w:kern w:val="0"/>
          <w:sz w:val="24"/>
          <w:szCs w:val="24"/>
          <w:u w:val="single"/>
        </w:rPr>
        <w:t xml:space="preserve"> </w:t>
      </w:r>
      <w:r>
        <w:rPr>
          <w:rFonts w:hint="eastAsia" w:cs="宋体" w:asciiTheme="minorEastAsia" w:hAnsiTheme="minorEastAsia"/>
          <w:kern w:val="0"/>
          <w:sz w:val="24"/>
          <w:szCs w:val="24"/>
          <w:u w:val="single"/>
        </w:rPr>
        <w:t>（盖单位章）</w:t>
      </w:r>
    </w:p>
    <w:p>
      <w:pPr>
        <w:autoSpaceDE w:val="0"/>
        <w:autoSpaceDN w:val="0"/>
        <w:adjustRightInd w:val="0"/>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日期：</w:t>
      </w:r>
      <w:r>
        <w:rPr>
          <w:rFonts w:cs="宋体" w:asciiTheme="minorEastAsia" w:hAnsiTheme="minorEastAsia"/>
          <w:kern w:val="0"/>
          <w:sz w:val="24"/>
          <w:szCs w:val="24"/>
          <w:u w:val="single"/>
        </w:rPr>
        <w:t xml:space="preserve">    </w:t>
      </w:r>
      <w:r>
        <w:rPr>
          <w:rFonts w:hint="eastAsia" w:cs="宋体" w:asciiTheme="minorEastAsia" w:hAnsiTheme="minorEastAsia"/>
          <w:kern w:val="0"/>
          <w:sz w:val="24"/>
          <w:szCs w:val="24"/>
        </w:rPr>
        <w:t>年</w:t>
      </w:r>
      <w:r>
        <w:rPr>
          <w:rFonts w:cs="宋体" w:asciiTheme="minorEastAsia" w:hAnsiTheme="minorEastAsia"/>
          <w:kern w:val="0"/>
          <w:sz w:val="24"/>
          <w:szCs w:val="24"/>
          <w:u w:val="single"/>
        </w:rPr>
        <w:t xml:space="preserve">    </w:t>
      </w:r>
      <w:r>
        <w:rPr>
          <w:rFonts w:hint="eastAsia" w:cs="宋体" w:asciiTheme="minorEastAsia" w:hAnsiTheme="minorEastAsia"/>
          <w:kern w:val="0"/>
          <w:sz w:val="24"/>
          <w:szCs w:val="24"/>
        </w:rPr>
        <w:t>月</w:t>
      </w:r>
      <w:r>
        <w:rPr>
          <w:rFonts w:cs="宋体" w:asciiTheme="minorEastAsia" w:hAnsiTheme="minorEastAsia"/>
          <w:kern w:val="0"/>
          <w:sz w:val="24"/>
          <w:szCs w:val="24"/>
          <w:u w:val="single"/>
        </w:rPr>
        <w:t xml:space="preserve">    </w:t>
      </w:r>
      <w:r>
        <w:rPr>
          <w:rFonts w:hint="eastAsia" w:cs="宋体" w:asciiTheme="minorEastAsia" w:hAnsiTheme="minorEastAsia"/>
          <w:kern w:val="0"/>
          <w:sz w:val="24"/>
          <w:szCs w:val="24"/>
        </w:rPr>
        <w:t>日</w:t>
      </w:r>
    </w:p>
    <w:p>
      <w:pPr>
        <w:autoSpaceDE w:val="0"/>
        <w:autoSpaceDN w:val="0"/>
        <w:adjustRightInd w:val="0"/>
        <w:spacing w:line="360" w:lineRule="auto"/>
        <w:jc w:val="center"/>
        <w:rPr>
          <w:rFonts w:cs="宋体" w:asciiTheme="minorEastAsia" w:hAnsiTheme="minorEastAsia"/>
          <w:kern w:val="0"/>
          <w:sz w:val="24"/>
          <w:szCs w:val="24"/>
        </w:rPr>
      </w:pPr>
    </w:p>
    <w:p>
      <w:pPr>
        <w:autoSpaceDE w:val="0"/>
        <w:autoSpaceDN w:val="0"/>
        <w:adjustRightInd w:val="0"/>
        <w:spacing w:line="360" w:lineRule="auto"/>
        <w:jc w:val="left"/>
        <w:rPr>
          <w:rFonts w:cs="宋体" w:asciiTheme="minorEastAsia" w:hAnsiTheme="minorEastAsia"/>
          <w:kern w:val="0"/>
          <w:sz w:val="24"/>
          <w:szCs w:val="24"/>
        </w:rPr>
      </w:pPr>
    </w:p>
    <w:p>
      <w:pPr>
        <w:autoSpaceDE w:val="0"/>
        <w:autoSpaceDN w:val="0"/>
        <w:adjustRightInd w:val="0"/>
        <w:spacing w:line="360" w:lineRule="auto"/>
        <w:jc w:val="left"/>
        <w:rPr>
          <w:rFonts w:cs="宋体" w:asciiTheme="minorEastAsia" w:hAnsiTheme="minorEastAsia"/>
          <w:kern w:val="0"/>
          <w:sz w:val="24"/>
          <w:szCs w:val="24"/>
        </w:rPr>
      </w:pPr>
    </w:p>
    <w:p>
      <w:pPr>
        <w:autoSpaceDE w:val="0"/>
        <w:autoSpaceDN w:val="0"/>
        <w:adjustRightInd w:val="0"/>
        <w:spacing w:line="360" w:lineRule="auto"/>
        <w:jc w:val="left"/>
        <w:rPr>
          <w:rFonts w:cs="宋体" w:asciiTheme="minorEastAsia" w:hAnsiTheme="minorEastAsia"/>
          <w:kern w:val="0"/>
          <w:sz w:val="24"/>
          <w:szCs w:val="24"/>
        </w:rPr>
      </w:pPr>
    </w:p>
    <w:p>
      <w:pPr>
        <w:autoSpaceDE w:val="0"/>
        <w:autoSpaceDN w:val="0"/>
        <w:adjustRightInd w:val="0"/>
        <w:spacing w:line="360" w:lineRule="auto"/>
        <w:jc w:val="left"/>
        <w:rPr>
          <w:rFonts w:cs="宋体" w:asciiTheme="minorEastAsia" w:hAnsiTheme="minorEastAsia"/>
          <w:kern w:val="0"/>
          <w:sz w:val="24"/>
          <w:szCs w:val="24"/>
        </w:rPr>
      </w:pPr>
    </w:p>
    <w:p>
      <w:pPr>
        <w:autoSpaceDE w:val="0"/>
        <w:autoSpaceDN w:val="0"/>
        <w:adjustRightInd w:val="0"/>
        <w:spacing w:line="360" w:lineRule="auto"/>
        <w:jc w:val="left"/>
        <w:rPr>
          <w:rFonts w:cs="宋体" w:asciiTheme="minorEastAsia" w:hAnsiTheme="minorEastAsia"/>
          <w:kern w:val="0"/>
          <w:sz w:val="24"/>
          <w:szCs w:val="24"/>
        </w:rPr>
      </w:pPr>
    </w:p>
    <w:p>
      <w:pPr>
        <w:autoSpaceDE w:val="0"/>
        <w:autoSpaceDN w:val="0"/>
        <w:adjustRightInd w:val="0"/>
        <w:spacing w:line="360" w:lineRule="auto"/>
        <w:jc w:val="left"/>
        <w:rPr>
          <w:rFonts w:cs="宋体" w:asciiTheme="minorEastAsia" w:hAnsiTheme="minorEastAsia"/>
          <w:kern w:val="0"/>
          <w:sz w:val="24"/>
          <w:szCs w:val="24"/>
        </w:rPr>
      </w:pPr>
    </w:p>
    <w:p>
      <w:pPr>
        <w:autoSpaceDE w:val="0"/>
        <w:autoSpaceDN w:val="0"/>
        <w:adjustRightInd w:val="0"/>
        <w:spacing w:line="360" w:lineRule="auto"/>
        <w:jc w:val="left"/>
        <w:rPr>
          <w:rFonts w:cs="宋体" w:asciiTheme="minorEastAsia" w:hAnsiTheme="minorEastAsia"/>
          <w:kern w:val="0"/>
          <w:sz w:val="24"/>
          <w:szCs w:val="24"/>
        </w:rPr>
      </w:pPr>
    </w:p>
    <w:p>
      <w:pPr>
        <w:autoSpaceDE w:val="0"/>
        <w:autoSpaceDN w:val="0"/>
        <w:adjustRightInd w:val="0"/>
        <w:spacing w:line="360" w:lineRule="auto"/>
        <w:jc w:val="left"/>
        <w:rPr>
          <w:rFonts w:cs="宋体" w:asciiTheme="minorEastAsia" w:hAnsiTheme="minorEastAsia"/>
          <w:kern w:val="0"/>
          <w:sz w:val="24"/>
          <w:szCs w:val="24"/>
        </w:rPr>
      </w:pPr>
    </w:p>
    <w:p>
      <w:pPr>
        <w:autoSpaceDE w:val="0"/>
        <w:autoSpaceDN w:val="0"/>
        <w:adjustRightInd w:val="0"/>
        <w:spacing w:line="360" w:lineRule="auto"/>
        <w:jc w:val="left"/>
        <w:rPr>
          <w:rFonts w:cs="宋体" w:asciiTheme="minorEastAsia" w:hAnsiTheme="minorEastAsia"/>
          <w:kern w:val="0"/>
          <w:sz w:val="24"/>
          <w:szCs w:val="24"/>
        </w:rPr>
      </w:pPr>
    </w:p>
    <w:p>
      <w:pPr>
        <w:autoSpaceDE w:val="0"/>
        <w:autoSpaceDN w:val="0"/>
        <w:adjustRightInd w:val="0"/>
        <w:spacing w:line="360" w:lineRule="auto"/>
        <w:jc w:val="left"/>
        <w:rPr>
          <w:rFonts w:cs="宋体" w:asciiTheme="minorEastAsia" w:hAnsiTheme="minorEastAsia"/>
          <w:kern w:val="0"/>
          <w:sz w:val="24"/>
          <w:szCs w:val="24"/>
        </w:rPr>
      </w:pPr>
    </w:p>
    <w:p>
      <w:pPr>
        <w:autoSpaceDE w:val="0"/>
        <w:autoSpaceDN w:val="0"/>
        <w:adjustRightInd w:val="0"/>
        <w:spacing w:line="360" w:lineRule="auto"/>
        <w:jc w:val="left"/>
        <w:rPr>
          <w:rFonts w:cs="宋体" w:asciiTheme="minorEastAsia" w:hAnsiTheme="minorEastAsia"/>
          <w:kern w:val="0"/>
          <w:sz w:val="24"/>
          <w:szCs w:val="24"/>
        </w:rPr>
      </w:pPr>
    </w:p>
    <w:p>
      <w:pPr>
        <w:autoSpaceDE w:val="0"/>
        <w:autoSpaceDN w:val="0"/>
        <w:adjustRightInd w:val="0"/>
        <w:spacing w:line="360" w:lineRule="auto"/>
        <w:jc w:val="left"/>
        <w:rPr>
          <w:rFonts w:cs="宋体" w:asciiTheme="minorEastAsia" w:hAnsiTheme="minorEastAsia"/>
          <w:kern w:val="0"/>
          <w:sz w:val="24"/>
          <w:szCs w:val="24"/>
        </w:rPr>
      </w:pPr>
    </w:p>
    <w:p>
      <w:pPr>
        <w:autoSpaceDE w:val="0"/>
        <w:autoSpaceDN w:val="0"/>
        <w:adjustRightInd w:val="0"/>
        <w:spacing w:line="360" w:lineRule="auto"/>
        <w:jc w:val="left"/>
        <w:rPr>
          <w:rFonts w:cs="宋体" w:asciiTheme="minorEastAsia" w:hAnsiTheme="minorEastAsia"/>
          <w:kern w:val="0"/>
          <w:sz w:val="24"/>
          <w:szCs w:val="24"/>
        </w:rPr>
      </w:pPr>
    </w:p>
    <w:p>
      <w:pPr>
        <w:autoSpaceDE w:val="0"/>
        <w:autoSpaceDN w:val="0"/>
        <w:adjustRightInd w:val="0"/>
        <w:spacing w:line="360" w:lineRule="auto"/>
        <w:jc w:val="left"/>
        <w:rPr>
          <w:rFonts w:cs="宋体" w:asciiTheme="minorEastAsia" w:hAnsiTheme="minorEastAsia"/>
          <w:kern w:val="0"/>
          <w:sz w:val="24"/>
          <w:szCs w:val="24"/>
        </w:rPr>
      </w:pPr>
    </w:p>
    <w:p>
      <w:pPr>
        <w:autoSpaceDE w:val="0"/>
        <w:autoSpaceDN w:val="0"/>
        <w:adjustRightInd w:val="0"/>
        <w:spacing w:line="360" w:lineRule="auto"/>
        <w:jc w:val="left"/>
        <w:rPr>
          <w:rFonts w:cs="宋体" w:asciiTheme="minorEastAsia" w:hAnsiTheme="minorEastAsia"/>
          <w:kern w:val="0"/>
          <w:sz w:val="24"/>
          <w:szCs w:val="24"/>
        </w:rPr>
      </w:pPr>
    </w:p>
    <w:p>
      <w:pPr>
        <w:autoSpaceDE w:val="0"/>
        <w:autoSpaceDN w:val="0"/>
        <w:adjustRightInd w:val="0"/>
        <w:spacing w:line="360" w:lineRule="auto"/>
        <w:jc w:val="left"/>
        <w:rPr>
          <w:rFonts w:cs="宋体" w:asciiTheme="minorEastAsia" w:hAnsiTheme="minorEastAsia"/>
          <w:kern w:val="0"/>
          <w:sz w:val="24"/>
          <w:szCs w:val="24"/>
        </w:rPr>
      </w:pPr>
    </w:p>
    <w:p>
      <w:pPr>
        <w:autoSpaceDE w:val="0"/>
        <w:autoSpaceDN w:val="0"/>
        <w:adjustRightInd w:val="0"/>
        <w:spacing w:line="360" w:lineRule="auto"/>
        <w:jc w:val="left"/>
        <w:rPr>
          <w:rFonts w:cs="宋体" w:asciiTheme="minorEastAsia" w:hAnsiTheme="minorEastAsia"/>
          <w:kern w:val="0"/>
          <w:sz w:val="24"/>
          <w:szCs w:val="24"/>
        </w:rPr>
      </w:pPr>
    </w:p>
    <w:p>
      <w:pPr>
        <w:rPr>
          <w:rFonts w:cs="宋体" w:asciiTheme="minorEastAsia" w:hAnsiTheme="minorEastAsia"/>
          <w:kern w:val="0"/>
          <w:sz w:val="24"/>
          <w:szCs w:val="24"/>
        </w:rPr>
      </w:pPr>
      <w:r>
        <w:rPr>
          <w:rFonts w:cs="宋体" w:asciiTheme="minorEastAsia" w:hAnsiTheme="minorEastAsia"/>
          <w:kern w:val="0"/>
          <w:sz w:val="24"/>
          <w:szCs w:val="24"/>
        </w:rPr>
        <w:br w:type="page"/>
      </w:r>
    </w:p>
    <w:p>
      <w:pPr>
        <w:autoSpaceDE w:val="0"/>
        <w:autoSpaceDN w:val="0"/>
        <w:adjustRightInd w:val="0"/>
        <w:spacing w:line="360" w:lineRule="auto"/>
        <w:ind w:firstLine="482"/>
        <w:jc w:val="center"/>
        <w:rPr>
          <w:rFonts w:cs="宋体" w:asciiTheme="minorEastAsia" w:hAnsiTheme="minorEastAsia"/>
          <w:b/>
          <w:kern w:val="0"/>
          <w:sz w:val="24"/>
          <w:szCs w:val="24"/>
        </w:rPr>
      </w:pPr>
      <w:r>
        <w:rPr>
          <w:rFonts w:hint="eastAsia" w:cs="宋体" w:asciiTheme="minorEastAsia" w:hAnsiTheme="minorEastAsia"/>
          <w:b/>
          <w:kern w:val="0"/>
          <w:sz w:val="24"/>
          <w:szCs w:val="24"/>
        </w:rPr>
        <w:t>3、投标保证金提交证明</w:t>
      </w:r>
    </w:p>
    <w:p>
      <w:pPr>
        <w:autoSpaceDE w:val="0"/>
        <w:autoSpaceDN w:val="0"/>
        <w:adjustRightInd w:val="0"/>
        <w:spacing w:line="360" w:lineRule="auto"/>
        <w:jc w:val="center"/>
        <w:rPr>
          <w:rFonts w:cs="宋体" w:asciiTheme="minorEastAsia" w:hAnsiTheme="minorEastAsia"/>
          <w:kern w:val="0"/>
          <w:sz w:val="24"/>
          <w:szCs w:val="24"/>
        </w:rPr>
      </w:pPr>
    </w:p>
    <w:p>
      <w:pPr>
        <w:autoSpaceDE w:val="0"/>
        <w:autoSpaceDN w:val="0"/>
        <w:adjustRightInd w:val="0"/>
        <w:spacing w:line="360" w:lineRule="auto"/>
        <w:jc w:val="center"/>
        <w:rPr>
          <w:rFonts w:cs="宋体" w:asciiTheme="minorEastAsia" w:hAnsiTheme="minorEastAsia"/>
          <w:kern w:val="0"/>
          <w:sz w:val="24"/>
          <w:szCs w:val="24"/>
        </w:rPr>
      </w:pPr>
    </w:p>
    <w:p>
      <w:pPr>
        <w:autoSpaceDE w:val="0"/>
        <w:autoSpaceDN w:val="0"/>
        <w:adjustRightInd w:val="0"/>
        <w:spacing w:line="360" w:lineRule="auto"/>
        <w:jc w:val="center"/>
        <w:rPr>
          <w:rFonts w:cs="宋体" w:asciiTheme="minorEastAsia" w:hAnsiTheme="minorEastAsia"/>
          <w:kern w:val="0"/>
          <w:sz w:val="24"/>
          <w:szCs w:val="24"/>
        </w:rPr>
      </w:pPr>
    </w:p>
    <w:p>
      <w:pPr>
        <w:autoSpaceDE w:val="0"/>
        <w:autoSpaceDN w:val="0"/>
        <w:adjustRightInd w:val="0"/>
        <w:spacing w:line="360" w:lineRule="auto"/>
        <w:jc w:val="center"/>
        <w:rPr>
          <w:rFonts w:cs="宋体" w:asciiTheme="minorEastAsia" w:hAnsiTheme="minorEastAsia"/>
          <w:kern w:val="0"/>
          <w:sz w:val="24"/>
          <w:szCs w:val="24"/>
        </w:rPr>
      </w:pP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4" w:hRule="atLeast"/>
        </w:trPr>
        <w:tc>
          <w:tcPr>
            <w:tcW w:w="9288" w:type="dxa"/>
            <w:vAlign w:val="center"/>
          </w:tcPr>
          <w:p>
            <w:pPr>
              <w:autoSpaceDE w:val="0"/>
              <w:autoSpaceDN w:val="0"/>
              <w:adjustRightInd w:val="0"/>
              <w:spacing w:line="360" w:lineRule="auto"/>
              <w:jc w:val="center"/>
              <w:rPr>
                <w:rFonts w:cs="宋体" w:asciiTheme="minorEastAsia" w:hAnsiTheme="minorEastAsia"/>
                <w:kern w:val="0"/>
                <w:sz w:val="24"/>
                <w:szCs w:val="24"/>
              </w:rPr>
            </w:pPr>
            <w:bookmarkStart w:id="95" w:name="OLE_LINK1"/>
            <w:bookmarkStart w:id="96" w:name="OLE_LINK2"/>
            <w:r>
              <w:rPr>
                <w:rFonts w:hint="eastAsia" w:cs="宋体" w:asciiTheme="minorEastAsia" w:hAnsiTheme="minorEastAsia"/>
                <w:kern w:val="0"/>
                <w:sz w:val="24"/>
                <w:szCs w:val="24"/>
              </w:rPr>
              <w:t>投标保证金电汇、网银缴纳凭证复印件</w:t>
            </w:r>
            <w:bookmarkEnd w:id="95"/>
            <w:bookmarkEnd w:id="96"/>
          </w:p>
        </w:tc>
      </w:tr>
    </w:tbl>
    <w:p>
      <w:pPr>
        <w:autoSpaceDE w:val="0"/>
        <w:autoSpaceDN w:val="0"/>
        <w:adjustRightInd w:val="0"/>
        <w:spacing w:line="360" w:lineRule="auto"/>
        <w:jc w:val="center"/>
        <w:rPr>
          <w:rFonts w:cs="宋体" w:asciiTheme="minorEastAsia" w:hAnsiTheme="minorEastAsia"/>
          <w:kern w:val="0"/>
          <w:sz w:val="24"/>
          <w:szCs w:val="24"/>
        </w:rPr>
      </w:pPr>
    </w:p>
    <w:p>
      <w:pPr>
        <w:autoSpaceDE w:val="0"/>
        <w:autoSpaceDN w:val="0"/>
        <w:adjustRightInd w:val="0"/>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（投标人须将投标保证金电汇、网银缴纳凭证复印件附在此处）</w:t>
      </w:r>
    </w:p>
    <w:p>
      <w:pPr>
        <w:ind w:firstLine="482"/>
        <w:rPr>
          <w:rFonts w:cs="宋体" w:asciiTheme="minorEastAsia" w:hAnsiTheme="minorEastAsia"/>
          <w:b/>
          <w:bCs/>
          <w:kern w:val="0"/>
          <w:sz w:val="24"/>
          <w:szCs w:val="24"/>
        </w:rPr>
      </w:pPr>
      <w:r>
        <w:rPr>
          <w:rFonts w:cs="宋体" w:asciiTheme="minorEastAsia" w:hAnsiTheme="minorEastAsia"/>
          <w:b/>
          <w:bCs/>
          <w:kern w:val="0"/>
          <w:sz w:val="24"/>
          <w:szCs w:val="24"/>
        </w:rPr>
        <w:br w:type="page"/>
      </w:r>
    </w:p>
    <w:p>
      <w:pPr>
        <w:autoSpaceDE w:val="0"/>
        <w:autoSpaceDN w:val="0"/>
        <w:adjustRightInd w:val="0"/>
        <w:spacing w:line="360" w:lineRule="auto"/>
        <w:ind w:firstLine="482"/>
        <w:jc w:val="center"/>
        <w:rPr>
          <w:rFonts w:cs="宋体" w:asciiTheme="minorEastAsia" w:hAnsiTheme="minorEastAsia"/>
          <w:b/>
          <w:bCs/>
          <w:kern w:val="0"/>
          <w:sz w:val="24"/>
          <w:szCs w:val="24"/>
        </w:rPr>
      </w:pPr>
      <w:r>
        <w:rPr>
          <w:rFonts w:cs="宋体" w:asciiTheme="minorEastAsia" w:hAnsiTheme="minorEastAsia"/>
          <w:b/>
          <w:bCs/>
          <w:kern w:val="0"/>
          <w:sz w:val="24"/>
          <w:szCs w:val="24"/>
        </w:rPr>
        <w:t>4</w:t>
      </w:r>
      <w:r>
        <w:rPr>
          <w:rFonts w:hint="eastAsia" w:cs="宋体" w:asciiTheme="minorEastAsia" w:hAnsiTheme="minorEastAsia"/>
          <w:b/>
          <w:bCs/>
          <w:kern w:val="0"/>
          <w:sz w:val="24"/>
          <w:szCs w:val="24"/>
        </w:rPr>
        <w:t>、信用查询文件</w:t>
      </w:r>
    </w:p>
    <w:p>
      <w:pPr>
        <w:pStyle w:val="14"/>
        <w:spacing w:line="360" w:lineRule="auto"/>
        <w:ind w:firstLine="480" w:firstLineChars="20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4.1参加政府采购活动前三年内在经营活动中</w:t>
      </w:r>
    </w:p>
    <w:p>
      <w:pPr>
        <w:pStyle w:val="14"/>
        <w:spacing w:line="360" w:lineRule="auto"/>
        <w:ind w:firstLine="480" w:firstLineChars="200"/>
        <w:jc w:val="center"/>
        <w:rPr>
          <w:rFonts w:asciiTheme="minorEastAsia" w:hAnsiTheme="minorEastAsia" w:eastAsiaTheme="minorEastAsia"/>
          <w:sz w:val="24"/>
          <w:szCs w:val="24"/>
        </w:rPr>
      </w:pPr>
      <w:r>
        <w:rPr>
          <w:rFonts w:hint="eastAsia" w:cs="宋体" w:asciiTheme="minorEastAsia" w:hAnsiTheme="minorEastAsia" w:eastAsiaTheme="minorEastAsia"/>
          <w:kern w:val="0"/>
          <w:sz w:val="24"/>
          <w:szCs w:val="24"/>
        </w:rPr>
        <w:t>没有重大违法记录</w:t>
      </w:r>
    </w:p>
    <w:p>
      <w:pPr>
        <w:pStyle w:val="14"/>
        <w:spacing w:line="360" w:lineRule="auto"/>
        <w:ind w:firstLine="480" w:firstLineChars="200"/>
        <w:rPr>
          <w:rFonts w:asciiTheme="minorEastAsia" w:hAnsiTheme="minorEastAsia" w:eastAsiaTheme="minorEastAsia"/>
          <w:sz w:val="24"/>
          <w:szCs w:val="24"/>
        </w:rPr>
      </w:pPr>
    </w:p>
    <w:p>
      <w:pPr>
        <w:pStyle w:val="14"/>
        <w:spacing w:line="360" w:lineRule="auto"/>
        <w:ind w:firstLine="400" w:firstLineChars="200"/>
        <w:rPr>
          <w:rFonts w:asciiTheme="minorEastAsia" w:hAnsiTheme="minorEastAsia" w:eastAsiaTheme="minorEastAsia"/>
          <w:sz w:val="20"/>
        </w:rPr>
      </w:pPr>
    </w:p>
    <w:p>
      <w:pPr>
        <w:pStyle w:val="14"/>
        <w:spacing w:line="360" w:lineRule="auto"/>
        <w:ind w:firstLine="480" w:firstLineChars="200"/>
        <w:rPr>
          <w:rFonts w:asciiTheme="minorEastAsia" w:hAnsiTheme="minorEastAsia" w:eastAsiaTheme="minorEastAsia"/>
        </w:rPr>
      </w:pPr>
      <w:r>
        <w:rPr>
          <w:rFonts w:hint="eastAsia" w:cs="宋体" w:asciiTheme="minorEastAsia" w:hAnsiTheme="minorEastAsia" w:eastAsiaTheme="minorEastAsia"/>
          <w:kern w:val="0"/>
          <w:sz w:val="24"/>
          <w:szCs w:val="24"/>
        </w:rPr>
        <w:t>注：附网页查询后的截图证明。</w:t>
      </w:r>
    </w:p>
    <w:p>
      <w:pPr>
        <w:autoSpaceDE w:val="0"/>
        <w:autoSpaceDN w:val="0"/>
        <w:adjustRightInd w:val="0"/>
        <w:spacing w:line="360" w:lineRule="auto"/>
        <w:ind w:firstLine="482" w:firstLineChars="200"/>
        <w:jc w:val="left"/>
        <w:rPr>
          <w:rFonts w:cs="宋体" w:asciiTheme="minorEastAsia" w:hAnsiTheme="minorEastAsia"/>
          <w:kern w:val="0"/>
          <w:sz w:val="24"/>
          <w:szCs w:val="24"/>
        </w:rPr>
      </w:pPr>
      <w:r>
        <w:rPr>
          <w:rFonts w:hint="eastAsia" w:cs="宋体" w:asciiTheme="minorEastAsia" w:hAnsiTheme="minorEastAsia"/>
          <w:b/>
          <w:kern w:val="0"/>
          <w:sz w:val="24"/>
          <w:szCs w:val="24"/>
        </w:rPr>
        <w:t>查询渠道为：</w:t>
      </w:r>
      <w:r>
        <w:rPr>
          <w:rFonts w:hint="eastAsia" w:cs="宋体" w:asciiTheme="minorEastAsia" w:hAnsiTheme="minorEastAsia"/>
          <w:kern w:val="0"/>
          <w:sz w:val="24"/>
          <w:szCs w:val="24"/>
        </w:rPr>
        <w:t>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）。查询时间为自公告发布之日起至投标文件递交截止时间止（该时间段内任一时间）。</w:t>
      </w:r>
    </w:p>
    <w:p>
      <w:pPr>
        <w:autoSpaceDE w:val="0"/>
        <w:autoSpaceDN w:val="0"/>
        <w:adjustRightInd w:val="0"/>
        <w:spacing w:line="360" w:lineRule="auto"/>
        <w:ind w:firstLine="480" w:firstLineChars="200"/>
        <w:jc w:val="left"/>
        <w:rPr>
          <w:rFonts w:cs="宋体" w:asciiTheme="minorEastAsia" w:hAnsiTheme="minorEastAsia"/>
          <w:kern w:val="0"/>
          <w:sz w:val="24"/>
          <w:szCs w:val="24"/>
        </w:rPr>
      </w:pPr>
    </w:p>
    <w:p>
      <w:pPr>
        <w:pStyle w:val="14"/>
        <w:ind w:firstLine="420" w:firstLineChars="200"/>
        <w:rPr>
          <w:rFonts w:asciiTheme="minorEastAsia" w:hAnsiTheme="minorEastAsia" w:eastAsiaTheme="minorEastAsia"/>
        </w:rPr>
      </w:pPr>
    </w:p>
    <w:p>
      <w:pPr>
        <w:pStyle w:val="14"/>
        <w:rPr>
          <w:rFonts w:asciiTheme="minorEastAsia" w:hAnsiTheme="minorEastAsia" w:eastAsiaTheme="minorEastAsia"/>
        </w:rPr>
      </w:pPr>
    </w:p>
    <w:p>
      <w:pPr>
        <w:pStyle w:val="14"/>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4.2无不良信用记录</w:t>
      </w:r>
    </w:p>
    <w:p>
      <w:pPr>
        <w:autoSpaceDE w:val="0"/>
        <w:autoSpaceDN w:val="0"/>
        <w:adjustRightInd w:val="0"/>
        <w:spacing w:line="360" w:lineRule="auto"/>
        <w:jc w:val="center"/>
        <w:rPr>
          <w:rFonts w:cs="宋体" w:asciiTheme="minorEastAsia" w:hAnsiTheme="minorEastAsia"/>
          <w:kern w:val="0"/>
          <w:sz w:val="24"/>
          <w:szCs w:val="24"/>
        </w:rPr>
      </w:pPr>
    </w:p>
    <w:p>
      <w:pPr>
        <w:autoSpaceDE w:val="0"/>
        <w:autoSpaceDN w:val="0"/>
        <w:adjustRightInd w:val="0"/>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 xml:space="preserve">    注：附网页查询后的截图证明</w:t>
      </w:r>
    </w:p>
    <w:p>
      <w:pPr>
        <w:autoSpaceDE w:val="0"/>
        <w:autoSpaceDN w:val="0"/>
        <w:adjustRightInd w:val="0"/>
        <w:spacing w:line="360" w:lineRule="auto"/>
        <w:ind w:firstLine="482" w:firstLineChars="200"/>
        <w:jc w:val="left"/>
        <w:rPr>
          <w:rFonts w:cs="宋体" w:asciiTheme="minorEastAsia" w:hAnsiTheme="minorEastAsia"/>
          <w:kern w:val="0"/>
          <w:sz w:val="24"/>
          <w:szCs w:val="24"/>
        </w:rPr>
      </w:pPr>
      <w:r>
        <w:rPr>
          <w:rFonts w:hint="eastAsia" w:cs="宋体" w:asciiTheme="minorEastAsia" w:hAnsiTheme="minorEastAsia"/>
          <w:b/>
          <w:kern w:val="0"/>
          <w:sz w:val="24"/>
          <w:szCs w:val="24"/>
        </w:rPr>
        <w:t>查询渠道为：</w:t>
      </w:r>
      <w:r>
        <w:rPr>
          <w:rFonts w:hint="eastAsia" w:cs="宋体" w:asciiTheme="minorEastAsia" w:hAnsiTheme="minorEastAsia"/>
          <w:kern w:val="0"/>
          <w:sz w:val="24"/>
          <w:szCs w:val="24"/>
        </w:rPr>
        <w:t>“信用中国”网站（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）查询时间为自公告发布之日起至投标文件递交截止时间止（该时间段内任一时间）。</w:t>
      </w:r>
    </w:p>
    <w:p>
      <w:pPr>
        <w:pStyle w:val="14"/>
        <w:spacing w:line="360" w:lineRule="auto"/>
        <w:jc w:val="center"/>
        <w:rPr>
          <w:rFonts w:cs="宋体" w:asciiTheme="minorEastAsia" w:hAnsiTheme="minorEastAsia" w:eastAsiaTheme="minorEastAsia"/>
          <w:kern w:val="0"/>
          <w:sz w:val="24"/>
          <w:szCs w:val="24"/>
        </w:rPr>
      </w:pPr>
    </w:p>
    <w:p>
      <w:pPr>
        <w:pStyle w:val="14"/>
        <w:spacing w:line="360" w:lineRule="auto"/>
        <w:jc w:val="center"/>
        <w:rPr>
          <w:rFonts w:cs="宋体" w:asciiTheme="minorEastAsia" w:hAnsiTheme="minorEastAsia" w:eastAsiaTheme="minorEastAsia"/>
          <w:kern w:val="0"/>
          <w:sz w:val="24"/>
          <w:szCs w:val="24"/>
        </w:rPr>
      </w:pPr>
    </w:p>
    <w:p>
      <w:pPr>
        <w:pStyle w:val="14"/>
        <w:spacing w:line="360" w:lineRule="auto"/>
        <w:jc w:val="center"/>
        <w:rPr>
          <w:rFonts w:cs="宋体" w:asciiTheme="minorEastAsia" w:hAnsiTheme="minorEastAsia" w:eastAsiaTheme="minorEastAsia"/>
          <w:color w:val="auto"/>
          <w:kern w:val="0"/>
          <w:sz w:val="24"/>
          <w:szCs w:val="24"/>
        </w:rPr>
      </w:pPr>
    </w:p>
    <w:p>
      <w:pPr>
        <w:pStyle w:val="14"/>
        <w:spacing w:line="360" w:lineRule="auto"/>
        <w:jc w:val="center"/>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rPr>
        <w:t>4.3无行贿犯罪</w:t>
      </w:r>
    </w:p>
    <w:p>
      <w:pPr>
        <w:rPr>
          <w:rFonts w:cs="宋体" w:asciiTheme="minorEastAsia" w:hAnsiTheme="minorEastAsia"/>
          <w:color w:val="auto"/>
          <w:kern w:val="0"/>
          <w:sz w:val="24"/>
          <w:szCs w:val="24"/>
        </w:rPr>
      </w:pPr>
    </w:p>
    <w:p>
      <w:pPr>
        <w:pStyle w:val="10"/>
        <w:ind w:firstLine="482"/>
        <w:rPr>
          <w:color w:val="auto"/>
        </w:rPr>
      </w:pPr>
    </w:p>
    <w:p>
      <w:pPr>
        <w:autoSpaceDE w:val="0"/>
        <w:autoSpaceDN w:val="0"/>
        <w:adjustRightInd w:val="0"/>
        <w:spacing w:line="360" w:lineRule="auto"/>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注：附网页查询后的截图证明</w:t>
      </w:r>
    </w:p>
    <w:p>
      <w:pPr>
        <w:pStyle w:val="10"/>
        <w:ind w:firstLine="482"/>
      </w:pPr>
      <w:r>
        <w:rPr>
          <w:rFonts w:hint="eastAsia"/>
        </w:rPr>
        <w:t>查询渠道为：</w:t>
      </w:r>
      <w:r>
        <w:rPr>
          <w:rFonts w:hint="eastAsia"/>
          <w:bCs/>
        </w:rPr>
        <w:t>“中国裁判文书网”</w:t>
      </w:r>
      <w:r>
        <w:rPr>
          <w:rFonts w:hint="eastAsia"/>
        </w:rPr>
        <w:t>（http://wenshu.court.gov.cn）查询时间为自公告发布之日起至投标文件递交截止时间止（该时间段内任一时间）。</w:t>
      </w:r>
    </w:p>
    <w:p>
      <w:pPr>
        <w:rPr>
          <w:rFonts w:cs="Arial" w:asciiTheme="minorEastAsia" w:hAnsiTheme="minorEastAsia"/>
          <w:kern w:val="0"/>
          <w:sz w:val="24"/>
          <w:szCs w:val="24"/>
        </w:rPr>
      </w:pPr>
    </w:p>
    <w:p>
      <w:pPr>
        <w:ind w:firstLine="482"/>
        <w:rPr>
          <w:rFonts w:cs="宋体" w:asciiTheme="minorEastAsia" w:hAnsiTheme="minorEastAsia"/>
          <w:b/>
          <w:sz w:val="24"/>
          <w:szCs w:val="24"/>
        </w:rPr>
      </w:pPr>
      <w:bookmarkStart w:id="97" w:name="_Toc504493189"/>
      <w:r>
        <w:rPr>
          <w:rFonts w:hint="eastAsia" w:cs="宋体" w:asciiTheme="minorEastAsia" w:hAnsiTheme="minorEastAsia"/>
          <w:b/>
          <w:sz w:val="24"/>
          <w:szCs w:val="24"/>
        </w:rPr>
        <w:br w:type="page"/>
      </w:r>
    </w:p>
    <w:p>
      <w:pPr>
        <w:tabs>
          <w:tab w:val="center" w:pos="4832"/>
          <w:tab w:val="left" w:pos="7140"/>
        </w:tabs>
        <w:ind w:firstLine="482"/>
        <w:jc w:val="center"/>
        <w:outlineLvl w:val="1"/>
        <w:rPr>
          <w:rFonts w:cs="宋体" w:asciiTheme="minorEastAsia" w:hAnsiTheme="minorEastAsia"/>
          <w:b/>
          <w:sz w:val="24"/>
          <w:szCs w:val="24"/>
        </w:rPr>
      </w:pPr>
      <w:bookmarkStart w:id="98" w:name="_Toc16085"/>
      <w:r>
        <w:rPr>
          <w:rFonts w:hint="eastAsia" w:cs="宋体" w:asciiTheme="minorEastAsia" w:hAnsiTheme="minorEastAsia"/>
          <w:b/>
          <w:sz w:val="24"/>
          <w:szCs w:val="24"/>
        </w:rPr>
        <w:t>九、</w:t>
      </w:r>
      <w:bookmarkEnd w:id="97"/>
      <w:r>
        <w:rPr>
          <w:rFonts w:hint="eastAsia" w:cs="宋体" w:asciiTheme="minorEastAsia" w:hAnsiTheme="minorEastAsia"/>
          <w:b/>
          <w:sz w:val="24"/>
          <w:szCs w:val="24"/>
        </w:rPr>
        <w:t>投标人近年类似项目情况表</w:t>
      </w:r>
      <w:bookmarkEnd w:id="98"/>
    </w:p>
    <w:tbl>
      <w:tblPr>
        <w:tblStyle w:val="34"/>
        <w:tblW w:w="918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3032"/>
        <w:gridCol w:w="614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7" w:hRule="atLeast"/>
          <w:jc w:val="center"/>
        </w:trPr>
        <w:tc>
          <w:tcPr>
            <w:tcW w:w="3032" w:type="dxa"/>
            <w:vAlign w:val="center"/>
          </w:tcPr>
          <w:p>
            <w:pPr>
              <w:jc w:val="center"/>
              <w:rPr>
                <w:rFonts w:cs="Times New Roman" w:asciiTheme="minorEastAsia" w:hAnsiTheme="minorEastAsia"/>
                <w:sz w:val="24"/>
                <w:szCs w:val="24"/>
              </w:rPr>
            </w:pPr>
            <w:r>
              <w:rPr>
                <w:rFonts w:hint="eastAsia" w:cs="Times New Roman" w:asciiTheme="minorEastAsia" w:hAnsiTheme="minorEastAsia"/>
                <w:sz w:val="24"/>
                <w:szCs w:val="24"/>
              </w:rPr>
              <w:t>项目名称</w:t>
            </w:r>
          </w:p>
        </w:tc>
        <w:tc>
          <w:tcPr>
            <w:tcW w:w="6148" w:type="dxa"/>
            <w:vAlign w:val="center"/>
          </w:tcPr>
          <w:p>
            <w:pPr>
              <w:jc w:val="center"/>
              <w:rPr>
                <w:rFonts w:cs="Times New Roman" w:asciiTheme="minorEastAsia" w:hAnsiTheme="minorEastAsia"/>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7" w:hRule="atLeast"/>
          <w:jc w:val="center"/>
        </w:trPr>
        <w:tc>
          <w:tcPr>
            <w:tcW w:w="3032" w:type="dxa"/>
            <w:vAlign w:val="center"/>
          </w:tcPr>
          <w:p>
            <w:pPr>
              <w:jc w:val="center"/>
              <w:rPr>
                <w:rFonts w:cs="Times New Roman" w:asciiTheme="minorEastAsia" w:hAnsiTheme="minorEastAsia"/>
                <w:sz w:val="24"/>
                <w:szCs w:val="24"/>
              </w:rPr>
            </w:pPr>
            <w:r>
              <w:rPr>
                <w:rFonts w:hint="eastAsia" w:cs="Times New Roman" w:asciiTheme="minorEastAsia" w:hAnsiTheme="minorEastAsia"/>
                <w:sz w:val="24"/>
                <w:szCs w:val="24"/>
              </w:rPr>
              <w:t>采购人名称</w:t>
            </w:r>
          </w:p>
        </w:tc>
        <w:tc>
          <w:tcPr>
            <w:tcW w:w="6148" w:type="dxa"/>
            <w:vAlign w:val="center"/>
          </w:tcPr>
          <w:p>
            <w:pPr>
              <w:jc w:val="center"/>
              <w:rPr>
                <w:rFonts w:cs="Times New Roman" w:asciiTheme="minorEastAsia" w:hAnsiTheme="minorEastAsia"/>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7" w:hRule="atLeast"/>
          <w:jc w:val="center"/>
        </w:trPr>
        <w:tc>
          <w:tcPr>
            <w:tcW w:w="3032" w:type="dxa"/>
            <w:vAlign w:val="center"/>
          </w:tcPr>
          <w:p>
            <w:pPr>
              <w:jc w:val="center"/>
              <w:rPr>
                <w:rFonts w:cs="Times New Roman" w:asciiTheme="minorEastAsia" w:hAnsiTheme="minorEastAsia"/>
                <w:sz w:val="24"/>
                <w:szCs w:val="24"/>
              </w:rPr>
            </w:pPr>
            <w:r>
              <w:rPr>
                <w:rFonts w:hint="eastAsia" w:cs="Times New Roman" w:asciiTheme="minorEastAsia" w:hAnsiTheme="minorEastAsia"/>
                <w:sz w:val="24"/>
                <w:szCs w:val="24"/>
              </w:rPr>
              <w:t>采购人地址</w:t>
            </w:r>
          </w:p>
        </w:tc>
        <w:tc>
          <w:tcPr>
            <w:tcW w:w="6148" w:type="dxa"/>
            <w:vAlign w:val="center"/>
          </w:tcPr>
          <w:p>
            <w:pPr>
              <w:jc w:val="center"/>
              <w:rPr>
                <w:rFonts w:cs="Times New Roman" w:asciiTheme="minorEastAsia" w:hAnsiTheme="minorEastAsia"/>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7" w:hRule="atLeast"/>
          <w:jc w:val="center"/>
        </w:trPr>
        <w:tc>
          <w:tcPr>
            <w:tcW w:w="3032" w:type="dxa"/>
            <w:vAlign w:val="center"/>
          </w:tcPr>
          <w:p>
            <w:pPr>
              <w:jc w:val="center"/>
              <w:rPr>
                <w:rFonts w:cs="Times New Roman" w:asciiTheme="minorEastAsia" w:hAnsiTheme="minorEastAsia"/>
                <w:sz w:val="24"/>
                <w:szCs w:val="24"/>
              </w:rPr>
            </w:pPr>
            <w:r>
              <w:rPr>
                <w:rFonts w:hint="eastAsia" w:cs="Times New Roman" w:asciiTheme="minorEastAsia" w:hAnsiTheme="minorEastAsia"/>
                <w:sz w:val="24"/>
                <w:szCs w:val="24"/>
              </w:rPr>
              <w:t>采购人联系人及电话</w:t>
            </w:r>
          </w:p>
        </w:tc>
        <w:tc>
          <w:tcPr>
            <w:tcW w:w="6148" w:type="dxa"/>
            <w:vAlign w:val="center"/>
          </w:tcPr>
          <w:p>
            <w:pPr>
              <w:jc w:val="center"/>
              <w:rPr>
                <w:rFonts w:cs="Times New Roman" w:asciiTheme="minorEastAsia" w:hAnsiTheme="minorEastAsia"/>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7" w:hRule="atLeast"/>
          <w:jc w:val="center"/>
        </w:trPr>
        <w:tc>
          <w:tcPr>
            <w:tcW w:w="3032" w:type="dxa"/>
            <w:vAlign w:val="center"/>
          </w:tcPr>
          <w:p>
            <w:pPr>
              <w:jc w:val="center"/>
              <w:rPr>
                <w:rFonts w:cs="Times New Roman" w:asciiTheme="minorEastAsia" w:hAnsiTheme="minorEastAsia"/>
                <w:sz w:val="24"/>
                <w:szCs w:val="24"/>
              </w:rPr>
            </w:pPr>
            <w:r>
              <w:rPr>
                <w:rFonts w:hint="eastAsia" w:cs="Times New Roman" w:asciiTheme="minorEastAsia" w:hAnsiTheme="minorEastAsia"/>
                <w:sz w:val="24"/>
                <w:szCs w:val="24"/>
              </w:rPr>
              <w:t>绿化养护面积</w:t>
            </w:r>
          </w:p>
        </w:tc>
        <w:tc>
          <w:tcPr>
            <w:tcW w:w="6148" w:type="dxa"/>
            <w:vAlign w:val="center"/>
          </w:tcPr>
          <w:p>
            <w:pPr>
              <w:jc w:val="center"/>
              <w:rPr>
                <w:rFonts w:cs="Times New Roman" w:asciiTheme="minorEastAsia" w:hAnsiTheme="minorEastAsia"/>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7" w:hRule="atLeast"/>
          <w:jc w:val="center"/>
        </w:trPr>
        <w:tc>
          <w:tcPr>
            <w:tcW w:w="3032" w:type="dxa"/>
            <w:vAlign w:val="center"/>
          </w:tcPr>
          <w:p>
            <w:pPr>
              <w:jc w:val="center"/>
              <w:rPr>
                <w:rFonts w:cs="Times New Roman" w:asciiTheme="minorEastAsia" w:hAnsiTheme="minorEastAsia"/>
                <w:sz w:val="24"/>
                <w:szCs w:val="24"/>
              </w:rPr>
            </w:pPr>
            <w:r>
              <w:rPr>
                <w:rFonts w:hint="eastAsia" w:cs="Times New Roman" w:asciiTheme="minorEastAsia" w:hAnsiTheme="minorEastAsia"/>
                <w:sz w:val="24"/>
                <w:szCs w:val="24"/>
              </w:rPr>
              <w:t>养护周期</w:t>
            </w:r>
          </w:p>
        </w:tc>
        <w:tc>
          <w:tcPr>
            <w:tcW w:w="6148" w:type="dxa"/>
            <w:vAlign w:val="center"/>
          </w:tcPr>
          <w:p>
            <w:pPr>
              <w:jc w:val="center"/>
              <w:rPr>
                <w:rFonts w:cs="Times New Roman" w:asciiTheme="minorEastAsia" w:hAnsiTheme="minorEastAsia"/>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7" w:hRule="atLeast"/>
          <w:jc w:val="center"/>
        </w:trPr>
        <w:tc>
          <w:tcPr>
            <w:tcW w:w="3032" w:type="dxa"/>
            <w:vAlign w:val="center"/>
          </w:tcPr>
          <w:p>
            <w:pPr>
              <w:jc w:val="center"/>
              <w:rPr>
                <w:rFonts w:cs="Times New Roman" w:asciiTheme="minorEastAsia" w:hAnsiTheme="minorEastAsia"/>
                <w:sz w:val="24"/>
                <w:szCs w:val="24"/>
              </w:rPr>
            </w:pPr>
            <w:r>
              <w:rPr>
                <w:rFonts w:hint="eastAsia" w:cs="Times New Roman" w:asciiTheme="minorEastAsia" w:hAnsiTheme="minorEastAsia"/>
                <w:sz w:val="24"/>
                <w:szCs w:val="24"/>
              </w:rPr>
              <w:t>签约日期</w:t>
            </w:r>
          </w:p>
        </w:tc>
        <w:tc>
          <w:tcPr>
            <w:tcW w:w="6148" w:type="dxa"/>
            <w:vAlign w:val="center"/>
          </w:tcPr>
          <w:p>
            <w:pPr>
              <w:jc w:val="center"/>
              <w:rPr>
                <w:rFonts w:cs="Times New Roman" w:asciiTheme="minorEastAsia" w:hAnsiTheme="minorEastAsia"/>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7" w:hRule="atLeast"/>
          <w:jc w:val="center"/>
        </w:trPr>
        <w:tc>
          <w:tcPr>
            <w:tcW w:w="3032" w:type="dxa"/>
            <w:vAlign w:val="center"/>
          </w:tcPr>
          <w:p>
            <w:pPr>
              <w:jc w:val="center"/>
              <w:rPr>
                <w:rFonts w:cs="Times New Roman" w:asciiTheme="minorEastAsia" w:hAnsiTheme="minorEastAsia"/>
                <w:sz w:val="24"/>
                <w:szCs w:val="24"/>
              </w:rPr>
            </w:pPr>
            <w:r>
              <w:rPr>
                <w:rFonts w:hint="eastAsia" w:cs="Times New Roman" w:asciiTheme="minorEastAsia" w:hAnsiTheme="minorEastAsia"/>
                <w:sz w:val="24"/>
                <w:szCs w:val="24"/>
              </w:rPr>
              <w:t>合同价格</w:t>
            </w:r>
          </w:p>
        </w:tc>
        <w:tc>
          <w:tcPr>
            <w:tcW w:w="6148" w:type="dxa"/>
            <w:vAlign w:val="center"/>
          </w:tcPr>
          <w:p>
            <w:pPr>
              <w:jc w:val="center"/>
              <w:rPr>
                <w:rFonts w:cs="Times New Roman" w:asciiTheme="minorEastAsia" w:hAnsiTheme="minorEastAsia"/>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7" w:hRule="atLeast"/>
          <w:jc w:val="center"/>
        </w:trPr>
        <w:tc>
          <w:tcPr>
            <w:tcW w:w="3032" w:type="dxa"/>
            <w:vAlign w:val="center"/>
          </w:tcPr>
          <w:p>
            <w:pPr>
              <w:jc w:val="center"/>
              <w:rPr>
                <w:rFonts w:cs="Times New Roman" w:asciiTheme="minorEastAsia" w:hAnsiTheme="minorEastAsia"/>
                <w:sz w:val="24"/>
                <w:szCs w:val="24"/>
              </w:rPr>
            </w:pPr>
            <w:r>
              <w:rPr>
                <w:rFonts w:hint="eastAsia" w:cs="Times New Roman" w:asciiTheme="minorEastAsia" w:hAnsiTheme="minorEastAsia"/>
                <w:sz w:val="24"/>
                <w:szCs w:val="24"/>
              </w:rPr>
              <w:t>备注</w:t>
            </w:r>
          </w:p>
        </w:tc>
        <w:tc>
          <w:tcPr>
            <w:tcW w:w="6148" w:type="dxa"/>
            <w:vAlign w:val="center"/>
          </w:tcPr>
          <w:p>
            <w:pPr>
              <w:jc w:val="center"/>
              <w:rPr>
                <w:rFonts w:cs="Times New Roman" w:asciiTheme="minorEastAsia" w:hAnsiTheme="minorEastAsia"/>
                <w:sz w:val="24"/>
                <w:szCs w:val="24"/>
              </w:rPr>
            </w:pPr>
          </w:p>
        </w:tc>
      </w:tr>
    </w:tbl>
    <w:p>
      <w:pPr>
        <w:spacing w:line="360" w:lineRule="auto"/>
        <w:jc w:val="left"/>
        <w:rPr>
          <w:rFonts w:cs="Times New Roman" w:asciiTheme="minorEastAsia" w:hAnsiTheme="minorEastAsia"/>
          <w:sz w:val="24"/>
          <w:szCs w:val="24"/>
        </w:rPr>
      </w:pPr>
      <w:r>
        <w:rPr>
          <w:rFonts w:hint="eastAsia" w:cs="Times New Roman" w:asciiTheme="minorEastAsia" w:hAnsiTheme="minorEastAsia"/>
          <w:sz w:val="24"/>
          <w:szCs w:val="24"/>
        </w:rPr>
        <w:t>备注：</w:t>
      </w:r>
    </w:p>
    <w:p>
      <w:pPr>
        <w:ind w:firstLine="480" w:firstLineChars="200"/>
        <w:jc w:val="left"/>
        <w:rPr>
          <w:rFonts w:cs="宋体" w:asciiTheme="minorEastAsia" w:hAnsiTheme="minorEastAsia"/>
          <w:sz w:val="24"/>
          <w:szCs w:val="24"/>
        </w:rPr>
      </w:pPr>
      <w:r>
        <w:rPr>
          <w:rFonts w:hint="eastAsia" w:cs="宋体" w:asciiTheme="minorEastAsia" w:hAnsiTheme="minorEastAsia"/>
          <w:sz w:val="24"/>
          <w:szCs w:val="24"/>
        </w:rPr>
        <w:t>1、本表后须附类似业绩的证明资料（中标通知书或合同复印件）</w:t>
      </w:r>
    </w:p>
    <w:p>
      <w:pPr>
        <w:ind w:firstLine="480" w:firstLineChars="200"/>
        <w:jc w:val="left"/>
        <w:rPr>
          <w:rFonts w:cs="宋体" w:asciiTheme="minorEastAsia" w:hAnsiTheme="minorEastAsia"/>
          <w:sz w:val="24"/>
          <w:szCs w:val="24"/>
        </w:rPr>
      </w:pPr>
      <w:r>
        <w:rPr>
          <w:rFonts w:hint="eastAsia" w:cs="宋体" w:asciiTheme="minorEastAsia" w:hAnsiTheme="minorEastAsia"/>
          <w:sz w:val="24"/>
          <w:szCs w:val="24"/>
        </w:rPr>
        <w:t>2、具体年份要求： 2020年1月1日至今</w:t>
      </w:r>
    </w:p>
    <w:p>
      <w:pPr>
        <w:ind w:firstLine="480" w:firstLineChars="200"/>
        <w:jc w:val="left"/>
        <w:rPr>
          <w:rFonts w:cs="宋体" w:asciiTheme="minorEastAsia" w:hAnsiTheme="minorEastAsia"/>
          <w:sz w:val="24"/>
          <w:szCs w:val="24"/>
        </w:rPr>
      </w:pPr>
      <w:r>
        <w:rPr>
          <w:rFonts w:hint="eastAsia" w:cs="宋体" w:asciiTheme="minorEastAsia" w:hAnsiTheme="minorEastAsia"/>
          <w:sz w:val="24"/>
          <w:szCs w:val="24"/>
        </w:rPr>
        <w:t>3、每张表格只填写一个项目的信息，并注明序号。</w:t>
      </w:r>
    </w:p>
    <w:p>
      <w:pPr>
        <w:ind w:firstLine="480" w:firstLineChars="200"/>
        <w:jc w:val="left"/>
        <w:rPr>
          <w:rFonts w:cs="宋体" w:asciiTheme="minorEastAsia" w:hAnsiTheme="minorEastAsia"/>
          <w:sz w:val="24"/>
          <w:szCs w:val="24"/>
        </w:rPr>
      </w:pPr>
      <w:r>
        <w:rPr>
          <w:rFonts w:hint="eastAsia" w:cs="宋体" w:asciiTheme="minorEastAsia" w:hAnsiTheme="minorEastAsia"/>
          <w:sz w:val="24"/>
          <w:szCs w:val="24"/>
        </w:rPr>
        <w:br w:type="page"/>
      </w:r>
    </w:p>
    <w:p>
      <w:pPr>
        <w:widowControl/>
        <w:ind w:firstLine="482"/>
        <w:jc w:val="center"/>
        <w:outlineLvl w:val="1"/>
        <w:rPr>
          <w:rFonts w:cs="宋体" w:asciiTheme="minorEastAsia" w:hAnsiTheme="minorEastAsia"/>
          <w:color w:val="000000" w:themeColor="text1"/>
          <w:kern w:val="0"/>
          <w:sz w:val="24"/>
          <w:szCs w:val="24"/>
          <w14:textFill>
            <w14:solidFill>
              <w14:schemeClr w14:val="tx1"/>
            </w14:solidFill>
          </w14:textFill>
        </w:rPr>
      </w:pPr>
      <w:bookmarkStart w:id="99" w:name="_Toc19094"/>
      <w:bookmarkStart w:id="100" w:name="_Toc5810"/>
      <w:bookmarkStart w:id="101" w:name="_Toc24562"/>
      <w:bookmarkStart w:id="102" w:name="_Toc19134"/>
      <w:r>
        <w:rPr>
          <w:rFonts w:hint="eastAsia" w:cs="宋体" w:asciiTheme="minorEastAsia" w:hAnsiTheme="minorEastAsia"/>
          <w:b/>
          <w:bCs/>
          <w:color w:val="000000" w:themeColor="text1"/>
          <w:sz w:val="24"/>
          <w:szCs w:val="24"/>
          <w14:textFill>
            <w14:solidFill>
              <w14:schemeClr w14:val="tx1"/>
            </w14:solidFill>
          </w14:textFill>
        </w:rPr>
        <w:t>十、拟投入本项目主要</w:t>
      </w:r>
      <w:bookmarkEnd w:id="99"/>
      <w:bookmarkEnd w:id="100"/>
      <w:bookmarkEnd w:id="101"/>
      <w:r>
        <w:rPr>
          <w:rFonts w:hint="eastAsia" w:cs="宋体" w:asciiTheme="minorEastAsia" w:hAnsiTheme="minorEastAsia"/>
          <w:b/>
          <w:bCs/>
          <w:color w:val="000000" w:themeColor="text1"/>
          <w:sz w:val="24"/>
          <w:szCs w:val="24"/>
          <w14:textFill>
            <w14:solidFill>
              <w14:schemeClr w14:val="tx1"/>
            </w14:solidFill>
          </w14:textFill>
        </w:rPr>
        <w:t>机械设备</w:t>
      </w:r>
      <w:bookmarkEnd w:id="102"/>
    </w:p>
    <w:p>
      <w:pPr>
        <w:spacing w:line="440" w:lineRule="exact"/>
        <w:ind w:firstLine="482" w:firstLineChars="200"/>
        <w:rPr>
          <w:rFonts w:asciiTheme="minorEastAsia" w:hAnsiTheme="minorEastAsia"/>
          <w:b/>
          <w:bCs/>
          <w:sz w:val="24"/>
        </w:rPr>
      </w:pPr>
    </w:p>
    <w:tbl>
      <w:tblPr>
        <w:tblStyle w:val="3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159"/>
        <w:gridCol w:w="2160"/>
        <w:gridCol w:w="2159"/>
        <w:gridCol w:w="21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tcPr>
          <w:p>
            <w:pPr>
              <w:spacing w:line="440" w:lineRule="exact"/>
              <w:rPr>
                <w:rFonts w:asciiTheme="minorEastAsia" w:hAnsiTheme="minorEastAsia"/>
                <w:sz w:val="24"/>
              </w:rPr>
            </w:pPr>
            <w:r>
              <w:rPr>
                <w:rFonts w:hint="eastAsia" w:asciiTheme="minorEastAsia" w:hAnsiTheme="minorEastAsia"/>
                <w:sz w:val="24"/>
              </w:rPr>
              <w:t>序号</w:t>
            </w:r>
          </w:p>
        </w:tc>
        <w:tc>
          <w:tcPr>
            <w:tcW w:w="2159" w:type="dxa"/>
          </w:tcPr>
          <w:p>
            <w:pPr>
              <w:spacing w:line="440" w:lineRule="exact"/>
              <w:jc w:val="center"/>
              <w:rPr>
                <w:rFonts w:asciiTheme="minorEastAsia" w:hAnsiTheme="minorEastAsia"/>
                <w:sz w:val="24"/>
              </w:rPr>
            </w:pPr>
            <w:r>
              <w:rPr>
                <w:rFonts w:hint="eastAsia" w:asciiTheme="minorEastAsia" w:hAnsiTheme="minorEastAsia"/>
                <w:sz w:val="24"/>
              </w:rPr>
              <w:t>机械/设备名称</w:t>
            </w:r>
          </w:p>
        </w:tc>
        <w:tc>
          <w:tcPr>
            <w:tcW w:w="2160" w:type="dxa"/>
          </w:tcPr>
          <w:p>
            <w:pPr>
              <w:spacing w:line="440" w:lineRule="exact"/>
              <w:jc w:val="center"/>
              <w:rPr>
                <w:rFonts w:asciiTheme="minorEastAsia" w:hAnsiTheme="minorEastAsia"/>
                <w:sz w:val="24"/>
              </w:rPr>
            </w:pPr>
            <w:r>
              <w:rPr>
                <w:rFonts w:hint="eastAsia" w:asciiTheme="minorEastAsia" w:hAnsiTheme="minorEastAsia"/>
                <w:sz w:val="24"/>
              </w:rPr>
              <w:t>型号</w:t>
            </w:r>
          </w:p>
        </w:tc>
        <w:tc>
          <w:tcPr>
            <w:tcW w:w="2159" w:type="dxa"/>
          </w:tcPr>
          <w:p>
            <w:pPr>
              <w:spacing w:line="440" w:lineRule="exact"/>
              <w:jc w:val="center"/>
              <w:rPr>
                <w:rFonts w:asciiTheme="minorEastAsia" w:hAnsiTheme="minorEastAsia"/>
                <w:sz w:val="24"/>
              </w:rPr>
            </w:pPr>
            <w:r>
              <w:rPr>
                <w:rFonts w:hint="eastAsia" w:asciiTheme="minorEastAsia" w:hAnsiTheme="minorEastAsia"/>
                <w:sz w:val="24"/>
              </w:rPr>
              <w:t>数量</w:t>
            </w:r>
          </w:p>
        </w:tc>
        <w:tc>
          <w:tcPr>
            <w:tcW w:w="2160" w:type="dxa"/>
          </w:tcPr>
          <w:p>
            <w:pPr>
              <w:spacing w:line="440" w:lineRule="exact"/>
              <w:jc w:val="center"/>
              <w:rPr>
                <w:rFonts w:asciiTheme="minorEastAsia" w:hAnsiTheme="minorEastAsia"/>
                <w:sz w:val="24"/>
              </w:rPr>
            </w:pPr>
            <w:r>
              <w:rPr>
                <w:rFonts w:hint="eastAsia" w:asciiTheme="minorEastAsia" w:hAnsiTheme="minorEastAsia"/>
                <w:sz w:val="24"/>
              </w:rPr>
              <w:t>用途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tcPr>
          <w:p>
            <w:pPr>
              <w:spacing w:line="440" w:lineRule="exact"/>
              <w:rPr>
                <w:rFonts w:asciiTheme="minorEastAsia" w:hAnsiTheme="minorEastAsia"/>
                <w:sz w:val="24"/>
              </w:rPr>
            </w:pPr>
          </w:p>
        </w:tc>
        <w:tc>
          <w:tcPr>
            <w:tcW w:w="2159" w:type="dxa"/>
          </w:tcPr>
          <w:p>
            <w:pPr>
              <w:spacing w:line="440" w:lineRule="exact"/>
              <w:rPr>
                <w:rFonts w:asciiTheme="minorEastAsia" w:hAnsiTheme="minorEastAsia"/>
                <w:sz w:val="24"/>
              </w:rPr>
            </w:pPr>
          </w:p>
        </w:tc>
        <w:tc>
          <w:tcPr>
            <w:tcW w:w="2160" w:type="dxa"/>
          </w:tcPr>
          <w:p>
            <w:pPr>
              <w:spacing w:line="440" w:lineRule="exact"/>
              <w:rPr>
                <w:rFonts w:asciiTheme="minorEastAsia" w:hAnsiTheme="minorEastAsia"/>
                <w:sz w:val="24"/>
              </w:rPr>
            </w:pPr>
          </w:p>
        </w:tc>
        <w:tc>
          <w:tcPr>
            <w:tcW w:w="2159" w:type="dxa"/>
          </w:tcPr>
          <w:p>
            <w:pPr>
              <w:spacing w:line="440" w:lineRule="exact"/>
              <w:rPr>
                <w:rFonts w:asciiTheme="minorEastAsia" w:hAnsiTheme="minorEastAsia"/>
                <w:sz w:val="24"/>
              </w:rPr>
            </w:pPr>
          </w:p>
        </w:tc>
        <w:tc>
          <w:tcPr>
            <w:tcW w:w="2160" w:type="dxa"/>
          </w:tcPr>
          <w:p>
            <w:pPr>
              <w:spacing w:line="440" w:lineRule="exact"/>
              <w:rPr>
                <w:rFonts w:asciiTheme="minorEastAsia" w:hAnsi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tcPr>
          <w:p>
            <w:pPr>
              <w:spacing w:line="440" w:lineRule="exact"/>
              <w:rPr>
                <w:rFonts w:asciiTheme="minorEastAsia" w:hAnsiTheme="minorEastAsia"/>
                <w:sz w:val="24"/>
              </w:rPr>
            </w:pPr>
          </w:p>
        </w:tc>
        <w:tc>
          <w:tcPr>
            <w:tcW w:w="2159" w:type="dxa"/>
          </w:tcPr>
          <w:p>
            <w:pPr>
              <w:spacing w:line="440" w:lineRule="exact"/>
              <w:rPr>
                <w:rFonts w:asciiTheme="minorEastAsia" w:hAnsiTheme="minorEastAsia"/>
                <w:sz w:val="24"/>
              </w:rPr>
            </w:pPr>
          </w:p>
        </w:tc>
        <w:tc>
          <w:tcPr>
            <w:tcW w:w="2160" w:type="dxa"/>
          </w:tcPr>
          <w:p>
            <w:pPr>
              <w:spacing w:line="440" w:lineRule="exact"/>
              <w:rPr>
                <w:rFonts w:asciiTheme="minorEastAsia" w:hAnsiTheme="minorEastAsia"/>
                <w:sz w:val="24"/>
              </w:rPr>
            </w:pPr>
          </w:p>
        </w:tc>
        <w:tc>
          <w:tcPr>
            <w:tcW w:w="2159" w:type="dxa"/>
          </w:tcPr>
          <w:p>
            <w:pPr>
              <w:spacing w:line="440" w:lineRule="exact"/>
              <w:rPr>
                <w:rFonts w:asciiTheme="minorEastAsia" w:hAnsiTheme="minorEastAsia"/>
                <w:sz w:val="24"/>
              </w:rPr>
            </w:pPr>
          </w:p>
        </w:tc>
        <w:tc>
          <w:tcPr>
            <w:tcW w:w="2160" w:type="dxa"/>
          </w:tcPr>
          <w:p>
            <w:pPr>
              <w:spacing w:line="440" w:lineRule="exact"/>
              <w:rPr>
                <w:rFonts w:asciiTheme="minorEastAsia" w:hAnsi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tcPr>
          <w:p>
            <w:pPr>
              <w:spacing w:line="440" w:lineRule="exact"/>
              <w:rPr>
                <w:rFonts w:asciiTheme="minorEastAsia" w:hAnsiTheme="minorEastAsia"/>
                <w:sz w:val="24"/>
              </w:rPr>
            </w:pPr>
          </w:p>
        </w:tc>
        <w:tc>
          <w:tcPr>
            <w:tcW w:w="2159" w:type="dxa"/>
          </w:tcPr>
          <w:p>
            <w:pPr>
              <w:spacing w:line="440" w:lineRule="exact"/>
              <w:rPr>
                <w:rFonts w:asciiTheme="minorEastAsia" w:hAnsiTheme="minorEastAsia"/>
                <w:sz w:val="24"/>
              </w:rPr>
            </w:pPr>
          </w:p>
        </w:tc>
        <w:tc>
          <w:tcPr>
            <w:tcW w:w="2160" w:type="dxa"/>
          </w:tcPr>
          <w:p>
            <w:pPr>
              <w:spacing w:line="440" w:lineRule="exact"/>
              <w:rPr>
                <w:rFonts w:asciiTheme="minorEastAsia" w:hAnsiTheme="minorEastAsia"/>
                <w:sz w:val="24"/>
              </w:rPr>
            </w:pPr>
          </w:p>
        </w:tc>
        <w:tc>
          <w:tcPr>
            <w:tcW w:w="2159" w:type="dxa"/>
          </w:tcPr>
          <w:p>
            <w:pPr>
              <w:spacing w:line="440" w:lineRule="exact"/>
              <w:rPr>
                <w:rFonts w:asciiTheme="minorEastAsia" w:hAnsiTheme="minorEastAsia"/>
                <w:sz w:val="24"/>
              </w:rPr>
            </w:pPr>
          </w:p>
        </w:tc>
        <w:tc>
          <w:tcPr>
            <w:tcW w:w="2160" w:type="dxa"/>
          </w:tcPr>
          <w:p>
            <w:pPr>
              <w:spacing w:line="440" w:lineRule="exact"/>
              <w:rPr>
                <w:rFonts w:asciiTheme="minorEastAsia" w:hAnsi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tcPr>
          <w:p>
            <w:pPr>
              <w:spacing w:line="440" w:lineRule="exact"/>
              <w:rPr>
                <w:rFonts w:asciiTheme="minorEastAsia" w:hAnsiTheme="minorEastAsia"/>
                <w:sz w:val="24"/>
              </w:rPr>
            </w:pPr>
          </w:p>
        </w:tc>
        <w:tc>
          <w:tcPr>
            <w:tcW w:w="2159" w:type="dxa"/>
          </w:tcPr>
          <w:p>
            <w:pPr>
              <w:spacing w:line="440" w:lineRule="exact"/>
              <w:rPr>
                <w:rFonts w:asciiTheme="minorEastAsia" w:hAnsiTheme="minorEastAsia"/>
                <w:sz w:val="24"/>
              </w:rPr>
            </w:pPr>
          </w:p>
        </w:tc>
        <w:tc>
          <w:tcPr>
            <w:tcW w:w="2160" w:type="dxa"/>
          </w:tcPr>
          <w:p>
            <w:pPr>
              <w:spacing w:line="440" w:lineRule="exact"/>
              <w:rPr>
                <w:rFonts w:asciiTheme="minorEastAsia" w:hAnsiTheme="minorEastAsia"/>
                <w:sz w:val="24"/>
              </w:rPr>
            </w:pPr>
          </w:p>
        </w:tc>
        <w:tc>
          <w:tcPr>
            <w:tcW w:w="2159" w:type="dxa"/>
          </w:tcPr>
          <w:p>
            <w:pPr>
              <w:spacing w:line="440" w:lineRule="exact"/>
              <w:rPr>
                <w:rFonts w:asciiTheme="minorEastAsia" w:hAnsiTheme="minorEastAsia"/>
                <w:sz w:val="24"/>
              </w:rPr>
            </w:pPr>
          </w:p>
        </w:tc>
        <w:tc>
          <w:tcPr>
            <w:tcW w:w="2160" w:type="dxa"/>
          </w:tcPr>
          <w:p>
            <w:pPr>
              <w:spacing w:line="440" w:lineRule="exact"/>
              <w:rPr>
                <w:rFonts w:asciiTheme="minorEastAsia" w:hAnsi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tcPr>
          <w:p>
            <w:pPr>
              <w:spacing w:line="440" w:lineRule="exact"/>
              <w:rPr>
                <w:rFonts w:asciiTheme="minorEastAsia" w:hAnsiTheme="minorEastAsia"/>
                <w:sz w:val="24"/>
              </w:rPr>
            </w:pPr>
          </w:p>
        </w:tc>
        <w:tc>
          <w:tcPr>
            <w:tcW w:w="2159" w:type="dxa"/>
          </w:tcPr>
          <w:p>
            <w:pPr>
              <w:spacing w:line="440" w:lineRule="exact"/>
              <w:rPr>
                <w:rFonts w:asciiTheme="minorEastAsia" w:hAnsiTheme="minorEastAsia"/>
                <w:sz w:val="24"/>
              </w:rPr>
            </w:pPr>
          </w:p>
        </w:tc>
        <w:tc>
          <w:tcPr>
            <w:tcW w:w="2160" w:type="dxa"/>
          </w:tcPr>
          <w:p>
            <w:pPr>
              <w:spacing w:line="440" w:lineRule="exact"/>
              <w:rPr>
                <w:rFonts w:asciiTheme="minorEastAsia" w:hAnsiTheme="minorEastAsia"/>
                <w:sz w:val="24"/>
              </w:rPr>
            </w:pPr>
          </w:p>
        </w:tc>
        <w:tc>
          <w:tcPr>
            <w:tcW w:w="2159" w:type="dxa"/>
          </w:tcPr>
          <w:p>
            <w:pPr>
              <w:spacing w:line="440" w:lineRule="exact"/>
              <w:rPr>
                <w:rFonts w:asciiTheme="minorEastAsia" w:hAnsiTheme="minorEastAsia"/>
                <w:sz w:val="24"/>
              </w:rPr>
            </w:pPr>
          </w:p>
        </w:tc>
        <w:tc>
          <w:tcPr>
            <w:tcW w:w="2160" w:type="dxa"/>
          </w:tcPr>
          <w:p>
            <w:pPr>
              <w:spacing w:line="440" w:lineRule="exact"/>
              <w:rPr>
                <w:rFonts w:asciiTheme="minorEastAsia" w:hAnsiTheme="minorEastAsia"/>
                <w:sz w:val="24"/>
              </w:rPr>
            </w:pPr>
          </w:p>
        </w:tc>
      </w:tr>
    </w:tbl>
    <w:p>
      <w:pPr>
        <w:ind w:firstLine="482"/>
        <w:rPr>
          <w:rFonts w:cs="宋体" w:asciiTheme="minorEastAsia" w:hAnsiTheme="minorEastAsia"/>
          <w:b/>
          <w:sz w:val="24"/>
          <w:szCs w:val="24"/>
        </w:rPr>
      </w:pPr>
      <w:r>
        <w:rPr>
          <w:rFonts w:hint="eastAsia" w:cs="宋体" w:asciiTheme="minorEastAsia" w:hAnsiTheme="minorEastAsia"/>
          <w:b/>
          <w:sz w:val="24"/>
          <w:szCs w:val="24"/>
        </w:rPr>
        <w:t>备注：作业车辆证明需提供自有发票或租赁合同、行驶证及车辆实物照（附牌照号）复印件。</w:t>
      </w:r>
      <w:r>
        <w:rPr>
          <w:rFonts w:hint="eastAsia" w:cs="宋体" w:asciiTheme="minorEastAsia" w:hAnsiTheme="minorEastAsia"/>
          <w:b/>
          <w:sz w:val="24"/>
          <w:szCs w:val="24"/>
        </w:rPr>
        <w:br w:type="page"/>
      </w:r>
    </w:p>
    <w:p>
      <w:pPr>
        <w:tabs>
          <w:tab w:val="center" w:pos="4832"/>
          <w:tab w:val="left" w:pos="7140"/>
        </w:tabs>
        <w:ind w:firstLine="482"/>
        <w:jc w:val="center"/>
        <w:outlineLvl w:val="1"/>
        <w:rPr>
          <w:rFonts w:cs="Arial" w:asciiTheme="minorEastAsia" w:hAnsiTheme="minorEastAsia"/>
          <w:kern w:val="0"/>
          <w:sz w:val="24"/>
          <w:szCs w:val="24"/>
        </w:rPr>
      </w:pPr>
      <w:bookmarkStart w:id="103" w:name="_Toc326"/>
      <w:r>
        <w:rPr>
          <w:rFonts w:hint="eastAsia" w:cs="宋体" w:asciiTheme="minorEastAsia" w:hAnsiTheme="minorEastAsia"/>
          <w:b/>
          <w:sz w:val="24"/>
          <w:szCs w:val="24"/>
        </w:rPr>
        <w:t>十一、项目负责人简历表</w:t>
      </w:r>
      <w:bookmarkEnd w:id="103"/>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0"/>
        <w:gridCol w:w="1568"/>
        <w:gridCol w:w="1230"/>
        <w:gridCol w:w="353"/>
        <w:gridCol w:w="1582"/>
        <w:gridCol w:w="1583"/>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880" w:type="dxa"/>
            <w:vAlign w:val="center"/>
          </w:tcPr>
          <w:p>
            <w:pPr>
              <w:rPr>
                <w:rFonts w:cs="宋体" w:asciiTheme="minorEastAsia" w:hAnsiTheme="minorEastAsia"/>
                <w:color w:val="000000"/>
                <w:sz w:val="24"/>
                <w:szCs w:val="24"/>
              </w:rPr>
            </w:pPr>
            <w:r>
              <w:rPr>
                <w:rFonts w:hint="eastAsia" w:cs="宋体" w:asciiTheme="minorEastAsia" w:hAnsiTheme="minorEastAsia"/>
                <w:color w:val="000000"/>
                <w:sz w:val="24"/>
                <w:szCs w:val="24"/>
              </w:rPr>
              <w:t>姓名</w:t>
            </w:r>
          </w:p>
        </w:tc>
        <w:tc>
          <w:tcPr>
            <w:tcW w:w="2798" w:type="dxa"/>
            <w:gridSpan w:val="2"/>
            <w:vAlign w:val="center"/>
          </w:tcPr>
          <w:p>
            <w:pPr>
              <w:rPr>
                <w:rFonts w:cs="宋体" w:asciiTheme="minorEastAsia" w:hAnsiTheme="minorEastAsia"/>
                <w:color w:val="000000"/>
                <w:sz w:val="24"/>
                <w:szCs w:val="24"/>
              </w:rPr>
            </w:pPr>
          </w:p>
        </w:tc>
        <w:tc>
          <w:tcPr>
            <w:tcW w:w="1935" w:type="dxa"/>
            <w:gridSpan w:val="2"/>
            <w:vAlign w:val="center"/>
          </w:tcPr>
          <w:p>
            <w:pPr>
              <w:rPr>
                <w:rFonts w:cs="宋体" w:asciiTheme="minorEastAsia" w:hAnsiTheme="minorEastAsia"/>
                <w:color w:val="000000"/>
                <w:sz w:val="24"/>
                <w:szCs w:val="24"/>
              </w:rPr>
            </w:pPr>
            <w:r>
              <w:rPr>
                <w:rFonts w:hint="eastAsia" w:cs="宋体" w:asciiTheme="minorEastAsia" w:hAnsiTheme="minorEastAsia"/>
                <w:color w:val="000000"/>
                <w:sz w:val="24"/>
                <w:szCs w:val="24"/>
              </w:rPr>
              <w:t>性别</w:t>
            </w:r>
          </w:p>
        </w:tc>
        <w:tc>
          <w:tcPr>
            <w:tcW w:w="2639" w:type="dxa"/>
            <w:gridSpan w:val="2"/>
          </w:tcPr>
          <w:p>
            <w:pPr>
              <w:rPr>
                <w:rFonts w:cs="宋体" w:asciiTheme="minorEastAsia" w:hAnsi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880" w:type="dxa"/>
            <w:vAlign w:val="center"/>
          </w:tcPr>
          <w:p>
            <w:pPr>
              <w:rPr>
                <w:rFonts w:cs="宋体" w:asciiTheme="minorEastAsia" w:hAnsiTheme="minorEastAsia"/>
                <w:color w:val="000000"/>
                <w:sz w:val="24"/>
                <w:szCs w:val="24"/>
              </w:rPr>
            </w:pPr>
            <w:r>
              <w:rPr>
                <w:rFonts w:hint="eastAsia" w:cs="宋体" w:asciiTheme="minorEastAsia" w:hAnsiTheme="minorEastAsia"/>
                <w:color w:val="000000"/>
                <w:sz w:val="24"/>
                <w:szCs w:val="24"/>
              </w:rPr>
              <w:t>职称</w:t>
            </w:r>
          </w:p>
        </w:tc>
        <w:tc>
          <w:tcPr>
            <w:tcW w:w="2798" w:type="dxa"/>
            <w:gridSpan w:val="2"/>
            <w:vAlign w:val="center"/>
          </w:tcPr>
          <w:p>
            <w:pPr>
              <w:rPr>
                <w:rFonts w:cs="宋体" w:asciiTheme="minorEastAsia" w:hAnsiTheme="minorEastAsia"/>
                <w:color w:val="000000"/>
                <w:sz w:val="24"/>
                <w:szCs w:val="24"/>
              </w:rPr>
            </w:pPr>
          </w:p>
        </w:tc>
        <w:tc>
          <w:tcPr>
            <w:tcW w:w="1935" w:type="dxa"/>
            <w:gridSpan w:val="2"/>
            <w:vAlign w:val="center"/>
          </w:tcPr>
          <w:p>
            <w:pPr>
              <w:rPr>
                <w:rFonts w:cs="宋体" w:asciiTheme="minorEastAsia" w:hAnsiTheme="minorEastAsia"/>
                <w:color w:val="000000"/>
                <w:sz w:val="24"/>
                <w:szCs w:val="24"/>
              </w:rPr>
            </w:pPr>
            <w:r>
              <w:rPr>
                <w:rFonts w:hint="eastAsia" w:cs="宋体" w:asciiTheme="minorEastAsia" w:hAnsiTheme="minorEastAsia"/>
                <w:color w:val="000000"/>
                <w:sz w:val="24"/>
                <w:szCs w:val="24"/>
              </w:rPr>
              <w:t>学历</w:t>
            </w:r>
          </w:p>
        </w:tc>
        <w:tc>
          <w:tcPr>
            <w:tcW w:w="2639" w:type="dxa"/>
            <w:gridSpan w:val="2"/>
          </w:tcPr>
          <w:p>
            <w:pPr>
              <w:rPr>
                <w:rFonts w:cs="宋体" w:asciiTheme="minorEastAsia" w:hAnsi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880" w:type="dxa"/>
            <w:vAlign w:val="center"/>
          </w:tcPr>
          <w:p>
            <w:pPr>
              <w:rPr>
                <w:rFonts w:cs="宋体" w:asciiTheme="minorEastAsia" w:hAnsiTheme="minorEastAsia"/>
                <w:sz w:val="24"/>
                <w:szCs w:val="24"/>
              </w:rPr>
            </w:pPr>
            <w:r>
              <w:rPr>
                <w:rFonts w:hint="eastAsia" w:cs="宋体" w:asciiTheme="minorEastAsia" w:hAnsiTheme="minorEastAsia"/>
                <w:sz w:val="24"/>
                <w:szCs w:val="24"/>
              </w:rPr>
              <w:t>参加工作时间</w:t>
            </w:r>
          </w:p>
        </w:tc>
        <w:tc>
          <w:tcPr>
            <w:tcW w:w="2798" w:type="dxa"/>
            <w:gridSpan w:val="2"/>
            <w:vAlign w:val="center"/>
          </w:tcPr>
          <w:p>
            <w:pPr>
              <w:rPr>
                <w:rFonts w:cs="宋体" w:asciiTheme="minorEastAsia" w:hAnsiTheme="minorEastAsia"/>
                <w:sz w:val="24"/>
                <w:szCs w:val="24"/>
              </w:rPr>
            </w:pPr>
          </w:p>
        </w:tc>
        <w:tc>
          <w:tcPr>
            <w:tcW w:w="1935" w:type="dxa"/>
            <w:gridSpan w:val="2"/>
            <w:vAlign w:val="center"/>
          </w:tcPr>
          <w:p>
            <w:pPr>
              <w:rPr>
                <w:rFonts w:cs="宋体" w:asciiTheme="minorEastAsia" w:hAnsiTheme="minorEastAsia"/>
                <w:sz w:val="24"/>
                <w:szCs w:val="24"/>
              </w:rPr>
            </w:pPr>
            <w:r>
              <w:rPr>
                <w:rFonts w:hint="eastAsia" w:cs="宋体" w:asciiTheme="minorEastAsia" w:hAnsiTheme="minorEastAsia"/>
                <w:sz w:val="24"/>
                <w:szCs w:val="24"/>
              </w:rPr>
              <w:t>从事项目管理工作年限</w:t>
            </w:r>
          </w:p>
        </w:tc>
        <w:tc>
          <w:tcPr>
            <w:tcW w:w="2639" w:type="dxa"/>
            <w:gridSpan w:val="2"/>
          </w:tcPr>
          <w:p>
            <w:pPr>
              <w:rPr>
                <w:rFonts w:cs="宋体"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880" w:type="dxa"/>
            <w:vAlign w:val="center"/>
          </w:tcPr>
          <w:p>
            <w:pPr>
              <w:rPr>
                <w:rFonts w:cs="宋体" w:asciiTheme="minorEastAsia" w:hAnsiTheme="minorEastAsia"/>
                <w:color w:val="000000"/>
                <w:sz w:val="24"/>
                <w:szCs w:val="24"/>
              </w:rPr>
            </w:pPr>
            <w:r>
              <w:rPr>
                <w:rFonts w:hint="eastAsia" w:cs="宋体" w:asciiTheme="minorEastAsia" w:hAnsiTheme="minorEastAsia"/>
                <w:color w:val="000000"/>
                <w:sz w:val="24"/>
                <w:szCs w:val="24"/>
              </w:rPr>
              <w:t>专业</w:t>
            </w:r>
          </w:p>
        </w:tc>
        <w:tc>
          <w:tcPr>
            <w:tcW w:w="2798" w:type="dxa"/>
            <w:gridSpan w:val="2"/>
            <w:vAlign w:val="center"/>
          </w:tcPr>
          <w:p>
            <w:pPr>
              <w:rPr>
                <w:rFonts w:cs="宋体" w:asciiTheme="minorEastAsia" w:hAnsiTheme="minorEastAsia"/>
                <w:color w:val="000000"/>
                <w:sz w:val="24"/>
                <w:szCs w:val="24"/>
              </w:rPr>
            </w:pPr>
          </w:p>
        </w:tc>
        <w:tc>
          <w:tcPr>
            <w:tcW w:w="1935" w:type="dxa"/>
            <w:gridSpan w:val="2"/>
            <w:vAlign w:val="center"/>
          </w:tcPr>
          <w:p>
            <w:pPr>
              <w:rPr>
                <w:rFonts w:cs="宋体" w:asciiTheme="minorEastAsia" w:hAnsiTheme="minorEastAsia"/>
                <w:color w:val="000000"/>
                <w:sz w:val="24"/>
                <w:szCs w:val="24"/>
              </w:rPr>
            </w:pPr>
            <w:r>
              <w:rPr>
                <w:rFonts w:hint="eastAsia" w:cs="宋体" w:asciiTheme="minorEastAsia" w:hAnsiTheme="minorEastAsia"/>
                <w:color w:val="000000"/>
                <w:sz w:val="24"/>
                <w:szCs w:val="24"/>
              </w:rPr>
              <w:t>毕业学校</w:t>
            </w:r>
          </w:p>
        </w:tc>
        <w:tc>
          <w:tcPr>
            <w:tcW w:w="2639" w:type="dxa"/>
            <w:gridSpan w:val="2"/>
          </w:tcPr>
          <w:p>
            <w:pPr>
              <w:rPr>
                <w:rFonts w:cs="宋体" w:asciiTheme="minorEastAsia" w:hAnsi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880" w:type="dxa"/>
            <w:vAlign w:val="center"/>
          </w:tcPr>
          <w:p>
            <w:pPr>
              <w:rPr>
                <w:rFonts w:cs="宋体" w:asciiTheme="minorEastAsia" w:hAnsiTheme="minorEastAsia"/>
                <w:color w:val="000000"/>
                <w:sz w:val="24"/>
                <w:szCs w:val="24"/>
              </w:rPr>
            </w:pPr>
            <w:r>
              <w:rPr>
                <w:rFonts w:hint="eastAsia" w:cs="宋体" w:asciiTheme="minorEastAsia" w:hAnsiTheme="minorEastAsia"/>
                <w:color w:val="000000"/>
                <w:sz w:val="24"/>
                <w:szCs w:val="24"/>
              </w:rPr>
              <w:t>身份证号码</w:t>
            </w:r>
          </w:p>
        </w:tc>
        <w:tc>
          <w:tcPr>
            <w:tcW w:w="2798" w:type="dxa"/>
            <w:gridSpan w:val="2"/>
            <w:vAlign w:val="center"/>
          </w:tcPr>
          <w:p>
            <w:pPr>
              <w:rPr>
                <w:rFonts w:cs="宋体" w:asciiTheme="minorEastAsia" w:hAnsiTheme="minorEastAsia"/>
                <w:color w:val="000000"/>
                <w:sz w:val="24"/>
                <w:szCs w:val="24"/>
              </w:rPr>
            </w:pPr>
          </w:p>
        </w:tc>
        <w:tc>
          <w:tcPr>
            <w:tcW w:w="1935" w:type="dxa"/>
            <w:gridSpan w:val="2"/>
            <w:vAlign w:val="center"/>
          </w:tcPr>
          <w:p>
            <w:pPr>
              <w:rPr>
                <w:rFonts w:cs="宋体" w:asciiTheme="minorEastAsia" w:hAnsiTheme="minorEastAsia"/>
                <w:color w:val="000000"/>
                <w:sz w:val="24"/>
                <w:szCs w:val="24"/>
              </w:rPr>
            </w:pPr>
            <w:r>
              <w:rPr>
                <w:rFonts w:hint="eastAsia" w:cs="宋体" w:asciiTheme="minorEastAsia" w:hAnsiTheme="minorEastAsia"/>
                <w:color w:val="000000"/>
                <w:sz w:val="24"/>
                <w:szCs w:val="24"/>
              </w:rPr>
              <w:t>在公司担任职务</w:t>
            </w:r>
          </w:p>
        </w:tc>
        <w:tc>
          <w:tcPr>
            <w:tcW w:w="2639" w:type="dxa"/>
            <w:gridSpan w:val="2"/>
          </w:tcPr>
          <w:p>
            <w:pPr>
              <w:rPr>
                <w:rFonts w:cs="宋体" w:asciiTheme="minorEastAsia" w:hAnsi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880" w:type="dxa"/>
            <w:vAlign w:val="center"/>
          </w:tcPr>
          <w:p>
            <w:pPr>
              <w:rPr>
                <w:rFonts w:cs="宋体" w:asciiTheme="minorEastAsia" w:hAnsiTheme="minorEastAsia"/>
                <w:color w:val="000000"/>
                <w:sz w:val="24"/>
                <w:szCs w:val="24"/>
              </w:rPr>
            </w:pPr>
            <w:r>
              <w:rPr>
                <w:rFonts w:hint="eastAsia" w:cs="宋体" w:asciiTheme="minorEastAsia" w:hAnsiTheme="minorEastAsia"/>
                <w:color w:val="000000"/>
                <w:sz w:val="24"/>
                <w:szCs w:val="24"/>
              </w:rPr>
              <w:t>执业资格</w:t>
            </w:r>
          </w:p>
        </w:tc>
        <w:tc>
          <w:tcPr>
            <w:tcW w:w="2798" w:type="dxa"/>
            <w:gridSpan w:val="2"/>
            <w:vAlign w:val="center"/>
          </w:tcPr>
          <w:p>
            <w:pPr>
              <w:rPr>
                <w:rFonts w:cs="宋体" w:asciiTheme="minorEastAsia" w:hAnsiTheme="minorEastAsia"/>
                <w:color w:val="000000"/>
                <w:sz w:val="24"/>
                <w:szCs w:val="24"/>
              </w:rPr>
            </w:pPr>
          </w:p>
        </w:tc>
        <w:tc>
          <w:tcPr>
            <w:tcW w:w="1935" w:type="dxa"/>
            <w:gridSpan w:val="2"/>
            <w:vAlign w:val="center"/>
          </w:tcPr>
          <w:p>
            <w:pPr>
              <w:rPr>
                <w:rFonts w:cs="宋体" w:asciiTheme="minorEastAsia" w:hAnsiTheme="minorEastAsia"/>
                <w:color w:val="000000"/>
                <w:sz w:val="24"/>
                <w:szCs w:val="24"/>
              </w:rPr>
            </w:pPr>
            <w:r>
              <w:rPr>
                <w:rFonts w:hint="eastAsia" w:cs="宋体" w:asciiTheme="minorEastAsia" w:hAnsiTheme="minorEastAsia"/>
                <w:color w:val="000000"/>
                <w:sz w:val="24"/>
                <w:szCs w:val="24"/>
              </w:rPr>
              <w:t>证书编号</w:t>
            </w:r>
          </w:p>
        </w:tc>
        <w:tc>
          <w:tcPr>
            <w:tcW w:w="2639" w:type="dxa"/>
            <w:gridSpan w:val="2"/>
          </w:tcPr>
          <w:p>
            <w:pPr>
              <w:rPr>
                <w:rFonts w:cs="宋体" w:asciiTheme="minorEastAsia" w:hAnsi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880" w:type="dxa"/>
            <w:vAlign w:val="center"/>
          </w:tcPr>
          <w:p>
            <w:pPr>
              <w:rPr>
                <w:rFonts w:cs="宋体" w:asciiTheme="minorEastAsia" w:hAnsiTheme="minorEastAsia"/>
                <w:color w:val="000000"/>
                <w:sz w:val="24"/>
                <w:szCs w:val="24"/>
              </w:rPr>
            </w:pPr>
            <w:r>
              <w:rPr>
                <w:rFonts w:hint="eastAsia" w:cs="宋体" w:asciiTheme="minorEastAsia" w:hAnsiTheme="minorEastAsia"/>
                <w:color w:val="000000"/>
                <w:sz w:val="24"/>
                <w:szCs w:val="24"/>
              </w:rPr>
              <w:t>固定电话</w:t>
            </w:r>
          </w:p>
        </w:tc>
        <w:tc>
          <w:tcPr>
            <w:tcW w:w="2798" w:type="dxa"/>
            <w:gridSpan w:val="2"/>
            <w:vAlign w:val="center"/>
          </w:tcPr>
          <w:p>
            <w:pPr>
              <w:rPr>
                <w:rFonts w:cs="宋体" w:asciiTheme="minorEastAsia" w:hAnsiTheme="minorEastAsia"/>
                <w:color w:val="000000"/>
                <w:sz w:val="24"/>
                <w:szCs w:val="24"/>
              </w:rPr>
            </w:pPr>
          </w:p>
        </w:tc>
        <w:tc>
          <w:tcPr>
            <w:tcW w:w="1935" w:type="dxa"/>
            <w:gridSpan w:val="2"/>
            <w:vAlign w:val="center"/>
          </w:tcPr>
          <w:p>
            <w:pPr>
              <w:rPr>
                <w:rFonts w:cs="宋体" w:asciiTheme="minorEastAsia" w:hAnsiTheme="minorEastAsia"/>
                <w:color w:val="000000"/>
                <w:sz w:val="24"/>
                <w:szCs w:val="24"/>
              </w:rPr>
            </w:pPr>
            <w:r>
              <w:rPr>
                <w:rFonts w:hint="eastAsia" w:cs="宋体" w:asciiTheme="minorEastAsia" w:hAnsiTheme="minorEastAsia"/>
                <w:color w:val="000000"/>
                <w:sz w:val="24"/>
                <w:szCs w:val="24"/>
              </w:rPr>
              <w:t>手机号码</w:t>
            </w:r>
          </w:p>
        </w:tc>
        <w:tc>
          <w:tcPr>
            <w:tcW w:w="2639" w:type="dxa"/>
            <w:gridSpan w:val="2"/>
          </w:tcPr>
          <w:p>
            <w:pPr>
              <w:rPr>
                <w:rFonts w:cs="宋体" w:asciiTheme="minorEastAsia" w:hAnsi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880" w:type="dxa"/>
            <w:vMerge w:val="restart"/>
            <w:vAlign w:val="center"/>
          </w:tcPr>
          <w:p>
            <w:pPr>
              <w:jc w:val="center"/>
              <w:rPr>
                <w:rFonts w:cs="宋体" w:asciiTheme="minorEastAsia" w:hAnsiTheme="minorEastAsia"/>
                <w:color w:val="000000"/>
                <w:sz w:val="24"/>
                <w:szCs w:val="24"/>
              </w:rPr>
            </w:pPr>
            <w:r>
              <w:rPr>
                <w:rFonts w:hint="eastAsia" w:asciiTheme="minorEastAsia" w:hAnsiTheme="minorEastAsia"/>
                <w:sz w:val="24"/>
                <w:szCs w:val="24"/>
              </w:rPr>
              <w:t>近三年</w:t>
            </w:r>
            <w:r>
              <w:rPr>
                <w:rFonts w:hint="eastAsia" w:cs="宋体" w:asciiTheme="minorEastAsia" w:hAnsiTheme="minorEastAsia"/>
                <w:color w:val="000000"/>
                <w:sz w:val="24"/>
                <w:szCs w:val="24"/>
              </w:rPr>
              <w:t>类似业绩</w:t>
            </w:r>
          </w:p>
        </w:tc>
        <w:tc>
          <w:tcPr>
            <w:tcW w:w="1568" w:type="dxa"/>
            <w:vAlign w:val="center"/>
          </w:tcPr>
          <w:p>
            <w:pPr>
              <w:jc w:val="center"/>
              <w:rPr>
                <w:rFonts w:cs="宋体" w:asciiTheme="minorEastAsia" w:hAnsiTheme="minorEastAsia"/>
                <w:color w:val="000000"/>
                <w:sz w:val="24"/>
                <w:szCs w:val="24"/>
              </w:rPr>
            </w:pPr>
            <w:r>
              <w:rPr>
                <w:rFonts w:hint="eastAsia" w:cs="宋体" w:asciiTheme="minorEastAsia" w:hAnsiTheme="minorEastAsia"/>
                <w:color w:val="000000"/>
                <w:sz w:val="24"/>
                <w:szCs w:val="24"/>
              </w:rPr>
              <w:t>业主单位</w:t>
            </w:r>
          </w:p>
        </w:tc>
        <w:tc>
          <w:tcPr>
            <w:tcW w:w="1583" w:type="dxa"/>
            <w:gridSpan w:val="2"/>
            <w:vAlign w:val="center"/>
          </w:tcPr>
          <w:p>
            <w:pPr>
              <w:jc w:val="center"/>
              <w:rPr>
                <w:rFonts w:cs="宋体" w:asciiTheme="minorEastAsia" w:hAnsiTheme="minorEastAsia"/>
                <w:color w:val="000000"/>
                <w:sz w:val="24"/>
                <w:szCs w:val="24"/>
              </w:rPr>
            </w:pPr>
            <w:r>
              <w:rPr>
                <w:rFonts w:hint="eastAsia" w:cs="宋体" w:asciiTheme="minorEastAsia" w:hAnsiTheme="minorEastAsia"/>
                <w:color w:val="000000"/>
                <w:sz w:val="24"/>
                <w:szCs w:val="24"/>
              </w:rPr>
              <w:t>项目名称</w:t>
            </w:r>
          </w:p>
        </w:tc>
        <w:tc>
          <w:tcPr>
            <w:tcW w:w="1582" w:type="dxa"/>
            <w:vAlign w:val="center"/>
          </w:tcPr>
          <w:p>
            <w:pPr>
              <w:jc w:val="center"/>
              <w:rPr>
                <w:rFonts w:cs="宋体" w:asciiTheme="minorEastAsia" w:hAnsiTheme="minorEastAsia"/>
                <w:color w:val="000000"/>
                <w:sz w:val="24"/>
                <w:szCs w:val="24"/>
              </w:rPr>
            </w:pPr>
            <w:r>
              <w:rPr>
                <w:rFonts w:hint="eastAsia" w:cs="宋体" w:asciiTheme="minorEastAsia" w:hAnsiTheme="minorEastAsia"/>
                <w:color w:val="000000"/>
                <w:sz w:val="24"/>
                <w:szCs w:val="24"/>
              </w:rPr>
              <w:t>项目规模</w:t>
            </w:r>
          </w:p>
        </w:tc>
        <w:tc>
          <w:tcPr>
            <w:tcW w:w="1583" w:type="dxa"/>
            <w:vAlign w:val="center"/>
          </w:tcPr>
          <w:p>
            <w:pPr>
              <w:jc w:val="center"/>
              <w:rPr>
                <w:rFonts w:cs="宋体" w:asciiTheme="minorEastAsia" w:hAnsiTheme="minorEastAsia"/>
                <w:color w:val="000000"/>
                <w:sz w:val="24"/>
                <w:szCs w:val="24"/>
              </w:rPr>
            </w:pPr>
            <w:r>
              <w:rPr>
                <w:rFonts w:hint="eastAsia" w:cs="宋体" w:asciiTheme="minorEastAsia" w:hAnsiTheme="minorEastAsia"/>
                <w:color w:val="000000"/>
                <w:sz w:val="24"/>
                <w:szCs w:val="24"/>
              </w:rPr>
              <w:t>履约时间</w:t>
            </w:r>
          </w:p>
        </w:tc>
        <w:tc>
          <w:tcPr>
            <w:tcW w:w="1056" w:type="dxa"/>
            <w:vAlign w:val="center"/>
          </w:tcPr>
          <w:p>
            <w:pPr>
              <w:jc w:val="center"/>
              <w:rPr>
                <w:rFonts w:cs="宋体" w:asciiTheme="minorEastAsia" w:hAnsiTheme="minorEastAsia"/>
                <w:color w:val="000000"/>
                <w:sz w:val="24"/>
                <w:szCs w:val="24"/>
              </w:rPr>
            </w:pPr>
            <w:r>
              <w:rPr>
                <w:rFonts w:hint="eastAsia" w:cs="宋体" w:asciiTheme="minorEastAsia" w:hAnsiTheme="minorEastAsia"/>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880" w:type="dxa"/>
            <w:vMerge w:val="continue"/>
            <w:vAlign w:val="center"/>
          </w:tcPr>
          <w:p>
            <w:pPr>
              <w:rPr>
                <w:rFonts w:cs="宋体" w:asciiTheme="minorEastAsia" w:hAnsiTheme="minorEastAsia"/>
                <w:color w:val="000000"/>
                <w:sz w:val="24"/>
                <w:szCs w:val="24"/>
              </w:rPr>
            </w:pPr>
          </w:p>
        </w:tc>
        <w:tc>
          <w:tcPr>
            <w:tcW w:w="1568" w:type="dxa"/>
            <w:vAlign w:val="center"/>
          </w:tcPr>
          <w:p>
            <w:pPr>
              <w:rPr>
                <w:rFonts w:cs="宋体" w:asciiTheme="minorEastAsia" w:hAnsiTheme="minorEastAsia"/>
                <w:color w:val="000000"/>
                <w:sz w:val="24"/>
                <w:szCs w:val="24"/>
              </w:rPr>
            </w:pPr>
          </w:p>
        </w:tc>
        <w:tc>
          <w:tcPr>
            <w:tcW w:w="1583" w:type="dxa"/>
            <w:gridSpan w:val="2"/>
            <w:vAlign w:val="center"/>
          </w:tcPr>
          <w:p>
            <w:pPr>
              <w:rPr>
                <w:rFonts w:cs="宋体" w:asciiTheme="minorEastAsia" w:hAnsiTheme="minorEastAsia"/>
                <w:color w:val="000000"/>
                <w:sz w:val="24"/>
                <w:szCs w:val="24"/>
              </w:rPr>
            </w:pPr>
          </w:p>
        </w:tc>
        <w:tc>
          <w:tcPr>
            <w:tcW w:w="1582" w:type="dxa"/>
            <w:vAlign w:val="center"/>
          </w:tcPr>
          <w:p>
            <w:pPr>
              <w:rPr>
                <w:rFonts w:cs="宋体" w:asciiTheme="minorEastAsia" w:hAnsiTheme="minorEastAsia"/>
                <w:color w:val="000000"/>
                <w:sz w:val="24"/>
                <w:szCs w:val="24"/>
              </w:rPr>
            </w:pPr>
          </w:p>
        </w:tc>
        <w:tc>
          <w:tcPr>
            <w:tcW w:w="1583" w:type="dxa"/>
            <w:vAlign w:val="center"/>
          </w:tcPr>
          <w:p>
            <w:pPr>
              <w:rPr>
                <w:rFonts w:cs="宋体" w:asciiTheme="minorEastAsia" w:hAnsiTheme="minorEastAsia"/>
                <w:color w:val="000000"/>
                <w:sz w:val="24"/>
                <w:szCs w:val="24"/>
              </w:rPr>
            </w:pPr>
          </w:p>
        </w:tc>
        <w:tc>
          <w:tcPr>
            <w:tcW w:w="1056" w:type="dxa"/>
            <w:vAlign w:val="center"/>
          </w:tcPr>
          <w:p>
            <w:pPr>
              <w:rPr>
                <w:rFonts w:cs="宋体" w:asciiTheme="minorEastAsia" w:hAnsi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880" w:type="dxa"/>
            <w:vMerge w:val="continue"/>
            <w:vAlign w:val="center"/>
          </w:tcPr>
          <w:p>
            <w:pPr>
              <w:rPr>
                <w:rFonts w:cs="宋体" w:asciiTheme="minorEastAsia" w:hAnsiTheme="minorEastAsia"/>
                <w:color w:val="000000"/>
                <w:sz w:val="24"/>
                <w:szCs w:val="24"/>
              </w:rPr>
            </w:pPr>
          </w:p>
        </w:tc>
        <w:tc>
          <w:tcPr>
            <w:tcW w:w="1568" w:type="dxa"/>
            <w:vAlign w:val="center"/>
          </w:tcPr>
          <w:p>
            <w:pPr>
              <w:rPr>
                <w:rFonts w:cs="宋体" w:asciiTheme="minorEastAsia" w:hAnsiTheme="minorEastAsia"/>
                <w:color w:val="000000"/>
                <w:sz w:val="24"/>
                <w:szCs w:val="24"/>
              </w:rPr>
            </w:pPr>
          </w:p>
        </w:tc>
        <w:tc>
          <w:tcPr>
            <w:tcW w:w="1583" w:type="dxa"/>
            <w:gridSpan w:val="2"/>
            <w:vAlign w:val="center"/>
          </w:tcPr>
          <w:p>
            <w:pPr>
              <w:rPr>
                <w:rFonts w:cs="宋体" w:asciiTheme="minorEastAsia" w:hAnsiTheme="minorEastAsia"/>
                <w:color w:val="000000"/>
                <w:sz w:val="24"/>
                <w:szCs w:val="24"/>
              </w:rPr>
            </w:pPr>
          </w:p>
        </w:tc>
        <w:tc>
          <w:tcPr>
            <w:tcW w:w="1582" w:type="dxa"/>
            <w:vAlign w:val="center"/>
          </w:tcPr>
          <w:p>
            <w:pPr>
              <w:rPr>
                <w:rFonts w:cs="宋体" w:asciiTheme="minorEastAsia" w:hAnsiTheme="minorEastAsia"/>
                <w:color w:val="000000"/>
                <w:sz w:val="24"/>
                <w:szCs w:val="24"/>
              </w:rPr>
            </w:pPr>
          </w:p>
        </w:tc>
        <w:tc>
          <w:tcPr>
            <w:tcW w:w="1583" w:type="dxa"/>
            <w:vAlign w:val="center"/>
          </w:tcPr>
          <w:p>
            <w:pPr>
              <w:rPr>
                <w:rFonts w:cs="宋体" w:asciiTheme="minorEastAsia" w:hAnsiTheme="minorEastAsia"/>
                <w:color w:val="000000"/>
                <w:sz w:val="24"/>
                <w:szCs w:val="24"/>
              </w:rPr>
            </w:pPr>
          </w:p>
        </w:tc>
        <w:tc>
          <w:tcPr>
            <w:tcW w:w="1056" w:type="dxa"/>
            <w:vAlign w:val="center"/>
          </w:tcPr>
          <w:p>
            <w:pPr>
              <w:rPr>
                <w:rFonts w:cs="宋体" w:asciiTheme="minorEastAsia" w:hAnsi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880" w:type="dxa"/>
            <w:vMerge w:val="continue"/>
            <w:vAlign w:val="center"/>
          </w:tcPr>
          <w:p>
            <w:pPr>
              <w:rPr>
                <w:rFonts w:cs="宋体" w:asciiTheme="minorEastAsia" w:hAnsiTheme="minorEastAsia"/>
                <w:color w:val="000000"/>
                <w:sz w:val="24"/>
                <w:szCs w:val="24"/>
              </w:rPr>
            </w:pPr>
          </w:p>
        </w:tc>
        <w:tc>
          <w:tcPr>
            <w:tcW w:w="1568" w:type="dxa"/>
            <w:vAlign w:val="center"/>
          </w:tcPr>
          <w:p>
            <w:pPr>
              <w:rPr>
                <w:rFonts w:cs="宋体" w:asciiTheme="minorEastAsia" w:hAnsiTheme="minorEastAsia"/>
                <w:color w:val="000000"/>
                <w:sz w:val="24"/>
                <w:szCs w:val="24"/>
              </w:rPr>
            </w:pPr>
          </w:p>
        </w:tc>
        <w:tc>
          <w:tcPr>
            <w:tcW w:w="1583" w:type="dxa"/>
            <w:gridSpan w:val="2"/>
            <w:vAlign w:val="center"/>
          </w:tcPr>
          <w:p>
            <w:pPr>
              <w:rPr>
                <w:rFonts w:cs="宋体" w:asciiTheme="minorEastAsia" w:hAnsiTheme="minorEastAsia"/>
                <w:color w:val="000000"/>
                <w:sz w:val="24"/>
                <w:szCs w:val="24"/>
              </w:rPr>
            </w:pPr>
          </w:p>
        </w:tc>
        <w:tc>
          <w:tcPr>
            <w:tcW w:w="1582" w:type="dxa"/>
            <w:vAlign w:val="center"/>
          </w:tcPr>
          <w:p>
            <w:pPr>
              <w:rPr>
                <w:rFonts w:cs="宋体" w:asciiTheme="minorEastAsia" w:hAnsiTheme="minorEastAsia"/>
                <w:color w:val="000000"/>
                <w:sz w:val="24"/>
                <w:szCs w:val="24"/>
              </w:rPr>
            </w:pPr>
          </w:p>
        </w:tc>
        <w:tc>
          <w:tcPr>
            <w:tcW w:w="1583" w:type="dxa"/>
            <w:vAlign w:val="center"/>
          </w:tcPr>
          <w:p>
            <w:pPr>
              <w:rPr>
                <w:rFonts w:cs="宋体" w:asciiTheme="minorEastAsia" w:hAnsiTheme="minorEastAsia"/>
                <w:color w:val="000000"/>
                <w:sz w:val="24"/>
                <w:szCs w:val="24"/>
              </w:rPr>
            </w:pPr>
          </w:p>
        </w:tc>
        <w:tc>
          <w:tcPr>
            <w:tcW w:w="1056" w:type="dxa"/>
            <w:vAlign w:val="center"/>
          </w:tcPr>
          <w:p>
            <w:pPr>
              <w:rPr>
                <w:rFonts w:cs="宋体" w:asciiTheme="minorEastAsia" w:hAnsi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880" w:type="dxa"/>
            <w:vMerge w:val="continue"/>
            <w:vAlign w:val="center"/>
          </w:tcPr>
          <w:p>
            <w:pPr>
              <w:rPr>
                <w:rFonts w:cs="宋体" w:asciiTheme="minorEastAsia" w:hAnsiTheme="minorEastAsia"/>
                <w:color w:val="000000"/>
                <w:sz w:val="24"/>
                <w:szCs w:val="24"/>
              </w:rPr>
            </w:pPr>
          </w:p>
        </w:tc>
        <w:tc>
          <w:tcPr>
            <w:tcW w:w="1568" w:type="dxa"/>
            <w:vAlign w:val="center"/>
          </w:tcPr>
          <w:p>
            <w:pPr>
              <w:rPr>
                <w:rFonts w:cs="宋体" w:asciiTheme="minorEastAsia" w:hAnsiTheme="minorEastAsia"/>
                <w:color w:val="000000"/>
                <w:sz w:val="24"/>
                <w:szCs w:val="24"/>
              </w:rPr>
            </w:pPr>
          </w:p>
        </w:tc>
        <w:tc>
          <w:tcPr>
            <w:tcW w:w="1583" w:type="dxa"/>
            <w:gridSpan w:val="2"/>
            <w:vAlign w:val="center"/>
          </w:tcPr>
          <w:p>
            <w:pPr>
              <w:rPr>
                <w:rFonts w:cs="宋体" w:asciiTheme="minorEastAsia" w:hAnsiTheme="minorEastAsia"/>
                <w:color w:val="000000"/>
                <w:sz w:val="24"/>
                <w:szCs w:val="24"/>
              </w:rPr>
            </w:pPr>
          </w:p>
        </w:tc>
        <w:tc>
          <w:tcPr>
            <w:tcW w:w="1582" w:type="dxa"/>
            <w:vAlign w:val="center"/>
          </w:tcPr>
          <w:p>
            <w:pPr>
              <w:rPr>
                <w:rFonts w:cs="宋体" w:asciiTheme="minorEastAsia" w:hAnsiTheme="minorEastAsia"/>
                <w:color w:val="000000"/>
                <w:sz w:val="24"/>
                <w:szCs w:val="24"/>
              </w:rPr>
            </w:pPr>
          </w:p>
        </w:tc>
        <w:tc>
          <w:tcPr>
            <w:tcW w:w="1583" w:type="dxa"/>
            <w:vAlign w:val="center"/>
          </w:tcPr>
          <w:p>
            <w:pPr>
              <w:rPr>
                <w:rFonts w:cs="宋体" w:asciiTheme="minorEastAsia" w:hAnsiTheme="minorEastAsia"/>
                <w:color w:val="000000"/>
                <w:sz w:val="24"/>
                <w:szCs w:val="24"/>
              </w:rPr>
            </w:pPr>
          </w:p>
        </w:tc>
        <w:tc>
          <w:tcPr>
            <w:tcW w:w="1056" w:type="dxa"/>
            <w:vAlign w:val="center"/>
          </w:tcPr>
          <w:p>
            <w:pPr>
              <w:rPr>
                <w:rFonts w:cs="宋体" w:asciiTheme="minorEastAsia" w:hAnsi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880" w:type="dxa"/>
            <w:vMerge w:val="continue"/>
            <w:vAlign w:val="center"/>
          </w:tcPr>
          <w:p>
            <w:pPr>
              <w:rPr>
                <w:rFonts w:cs="宋体" w:asciiTheme="minorEastAsia" w:hAnsiTheme="minorEastAsia"/>
                <w:color w:val="000000"/>
                <w:sz w:val="24"/>
                <w:szCs w:val="24"/>
              </w:rPr>
            </w:pPr>
          </w:p>
        </w:tc>
        <w:tc>
          <w:tcPr>
            <w:tcW w:w="1568" w:type="dxa"/>
            <w:vAlign w:val="center"/>
          </w:tcPr>
          <w:p>
            <w:pPr>
              <w:rPr>
                <w:rFonts w:cs="宋体" w:asciiTheme="minorEastAsia" w:hAnsiTheme="minorEastAsia"/>
                <w:color w:val="000000"/>
                <w:sz w:val="24"/>
                <w:szCs w:val="24"/>
              </w:rPr>
            </w:pPr>
          </w:p>
        </w:tc>
        <w:tc>
          <w:tcPr>
            <w:tcW w:w="1583" w:type="dxa"/>
            <w:gridSpan w:val="2"/>
            <w:vAlign w:val="center"/>
          </w:tcPr>
          <w:p>
            <w:pPr>
              <w:rPr>
                <w:rFonts w:cs="宋体" w:asciiTheme="minorEastAsia" w:hAnsiTheme="minorEastAsia"/>
                <w:color w:val="000000"/>
                <w:sz w:val="24"/>
                <w:szCs w:val="24"/>
              </w:rPr>
            </w:pPr>
          </w:p>
        </w:tc>
        <w:tc>
          <w:tcPr>
            <w:tcW w:w="1582" w:type="dxa"/>
            <w:vAlign w:val="center"/>
          </w:tcPr>
          <w:p>
            <w:pPr>
              <w:rPr>
                <w:rFonts w:cs="宋体" w:asciiTheme="minorEastAsia" w:hAnsiTheme="minorEastAsia"/>
                <w:color w:val="000000"/>
                <w:sz w:val="24"/>
                <w:szCs w:val="24"/>
              </w:rPr>
            </w:pPr>
          </w:p>
        </w:tc>
        <w:tc>
          <w:tcPr>
            <w:tcW w:w="1583" w:type="dxa"/>
            <w:vAlign w:val="center"/>
          </w:tcPr>
          <w:p>
            <w:pPr>
              <w:rPr>
                <w:rFonts w:cs="宋体" w:asciiTheme="minorEastAsia" w:hAnsiTheme="minorEastAsia"/>
                <w:color w:val="000000"/>
                <w:sz w:val="24"/>
                <w:szCs w:val="24"/>
              </w:rPr>
            </w:pPr>
          </w:p>
        </w:tc>
        <w:tc>
          <w:tcPr>
            <w:tcW w:w="1056" w:type="dxa"/>
            <w:vAlign w:val="center"/>
          </w:tcPr>
          <w:p>
            <w:pPr>
              <w:rPr>
                <w:rFonts w:cs="宋体" w:asciiTheme="minorEastAsia" w:hAnsi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880" w:type="dxa"/>
            <w:vMerge w:val="continue"/>
            <w:vAlign w:val="center"/>
          </w:tcPr>
          <w:p>
            <w:pPr>
              <w:rPr>
                <w:rFonts w:cs="宋体" w:asciiTheme="minorEastAsia" w:hAnsiTheme="minorEastAsia"/>
                <w:color w:val="000000"/>
                <w:sz w:val="24"/>
                <w:szCs w:val="24"/>
              </w:rPr>
            </w:pPr>
          </w:p>
        </w:tc>
        <w:tc>
          <w:tcPr>
            <w:tcW w:w="1568" w:type="dxa"/>
            <w:vAlign w:val="center"/>
          </w:tcPr>
          <w:p>
            <w:pPr>
              <w:rPr>
                <w:rFonts w:cs="宋体" w:asciiTheme="minorEastAsia" w:hAnsiTheme="minorEastAsia"/>
                <w:color w:val="000000"/>
                <w:sz w:val="24"/>
                <w:szCs w:val="24"/>
              </w:rPr>
            </w:pPr>
          </w:p>
        </w:tc>
        <w:tc>
          <w:tcPr>
            <w:tcW w:w="1583" w:type="dxa"/>
            <w:gridSpan w:val="2"/>
            <w:vAlign w:val="center"/>
          </w:tcPr>
          <w:p>
            <w:pPr>
              <w:rPr>
                <w:rFonts w:cs="宋体" w:asciiTheme="minorEastAsia" w:hAnsiTheme="minorEastAsia"/>
                <w:color w:val="000000"/>
                <w:sz w:val="24"/>
                <w:szCs w:val="24"/>
              </w:rPr>
            </w:pPr>
          </w:p>
        </w:tc>
        <w:tc>
          <w:tcPr>
            <w:tcW w:w="1582" w:type="dxa"/>
            <w:vAlign w:val="center"/>
          </w:tcPr>
          <w:p>
            <w:pPr>
              <w:rPr>
                <w:rFonts w:cs="宋体" w:asciiTheme="minorEastAsia" w:hAnsiTheme="minorEastAsia"/>
                <w:color w:val="000000"/>
                <w:sz w:val="24"/>
                <w:szCs w:val="24"/>
              </w:rPr>
            </w:pPr>
          </w:p>
        </w:tc>
        <w:tc>
          <w:tcPr>
            <w:tcW w:w="1583" w:type="dxa"/>
            <w:vAlign w:val="center"/>
          </w:tcPr>
          <w:p>
            <w:pPr>
              <w:rPr>
                <w:rFonts w:cs="宋体" w:asciiTheme="minorEastAsia" w:hAnsiTheme="minorEastAsia"/>
                <w:color w:val="000000"/>
                <w:sz w:val="24"/>
                <w:szCs w:val="24"/>
              </w:rPr>
            </w:pPr>
          </w:p>
        </w:tc>
        <w:tc>
          <w:tcPr>
            <w:tcW w:w="1056" w:type="dxa"/>
            <w:vAlign w:val="center"/>
          </w:tcPr>
          <w:p>
            <w:pPr>
              <w:rPr>
                <w:rFonts w:cs="宋体" w:asciiTheme="minorEastAsia" w:hAnsiTheme="minorEastAsia"/>
                <w:color w:val="000000"/>
                <w:sz w:val="24"/>
                <w:szCs w:val="24"/>
              </w:rPr>
            </w:pPr>
          </w:p>
        </w:tc>
      </w:tr>
    </w:tbl>
    <w:p>
      <w:pPr>
        <w:ind w:firstLine="480" w:firstLineChars="200"/>
        <w:jc w:val="left"/>
        <w:rPr>
          <w:rFonts w:cs="宋体" w:asciiTheme="minorEastAsia" w:hAnsiTheme="minorEastAsia"/>
          <w:sz w:val="24"/>
          <w:szCs w:val="24"/>
        </w:rPr>
      </w:pPr>
      <w:r>
        <w:rPr>
          <w:rFonts w:hint="eastAsia" w:cs="宋体" w:asciiTheme="minorEastAsia" w:hAnsiTheme="minorEastAsia"/>
          <w:sz w:val="24"/>
          <w:szCs w:val="24"/>
        </w:rPr>
        <w:t>1、</w:t>
      </w:r>
      <w:r>
        <w:rPr>
          <w:rFonts w:hint="eastAsia" w:asciiTheme="minorEastAsia" w:hAnsiTheme="minorEastAsia"/>
          <w:bCs/>
          <w:sz w:val="24"/>
          <w:szCs w:val="24"/>
        </w:rPr>
        <w:t>项目负责人应附</w:t>
      </w:r>
      <w:r>
        <w:rPr>
          <w:rFonts w:hint="eastAsia" w:asciiTheme="minorEastAsia" w:hAnsiTheme="minorEastAsia" w:cstheme="minorEastAsia"/>
          <w:sz w:val="24"/>
          <w:szCs w:val="24"/>
        </w:rPr>
        <w:t>聘用合同、身份证复印件扫描件等</w:t>
      </w:r>
    </w:p>
    <w:p>
      <w:pPr>
        <w:widowControl/>
        <w:shd w:val="clear" w:color="auto" w:fill="FFFFFF"/>
        <w:snapToGrid w:val="0"/>
        <w:ind w:firstLine="480" w:firstLineChars="200"/>
        <w:jc w:val="left"/>
        <w:rPr>
          <w:rFonts w:cs="Arial" w:asciiTheme="minorEastAsia" w:hAnsiTheme="minorEastAsia"/>
          <w:kern w:val="0"/>
          <w:sz w:val="24"/>
          <w:szCs w:val="24"/>
        </w:rPr>
      </w:pPr>
      <w:r>
        <w:rPr>
          <w:rFonts w:hint="eastAsia" w:asciiTheme="minorEastAsia" w:hAnsiTheme="minorEastAsia"/>
          <w:color w:val="000000"/>
          <w:sz w:val="24"/>
          <w:szCs w:val="24"/>
        </w:rPr>
        <w:t>2、项目负责人近3年类似业绩应</w:t>
      </w:r>
      <w:r>
        <w:rPr>
          <w:rFonts w:hint="eastAsia" w:cs="宋体" w:asciiTheme="minorEastAsia" w:hAnsiTheme="minorEastAsia"/>
          <w:sz w:val="24"/>
          <w:szCs w:val="24"/>
        </w:rPr>
        <w:t>附</w:t>
      </w:r>
      <w:r>
        <w:rPr>
          <w:rFonts w:hint="eastAsia" w:asciiTheme="minorEastAsia" w:hAnsiTheme="minorEastAsia"/>
          <w:color w:val="000000"/>
          <w:sz w:val="24"/>
          <w:szCs w:val="24"/>
        </w:rPr>
        <w:t>中标通知书或合同复印件。</w:t>
      </w:r>
    </w:p>
    <w:p>
      <w:pPr>
        <w:widowControl/>
        <w:shd w:val="clear" w:color="auto" w:fill="FFFFFF"/>
        <w:snapToGrid w:val="0"/>
        <w:jc w:val="right"/>
        <w:rPr>
          <w:rFonts w:cs="Arial" w:asciiTheme="minorEastAsia" w:hAnsiTheme="minorEastAsia"/>
          <w:kern w:val="0"/>
          <w:sz w:val="24"/>
          <w:szCs w:val="24"/>
        </w:rPr>
      </w:pPr>
    </w:p>
    <w:p>
      <w:pPr>
        <w:widowControl/>
        <w:shd w:val="clear" w:color="auto" w:fill="FFFFFF"/>
        <w:snapToGrid w:val="0"/>
        <w:jc w:val="right"/>
        <w:rPr>
          <w:rFonts w:cs="Arial" w:asciiTheme="minorEastAsia" w:hAnsiTheme="minorEastAsia"/>
          <w:kern w:val="0"/>
          <w:sz w:val="24"/>
          <w:szCs w:val="24"/>
        </w:rPr>
      </w:pPr>
    </w:p>
    <w:p>
      <w:pPr>
        <w:widowControl/>
        <w:shd w:val="clear" w:color="auto" w:fill="FFFFFF"/>
        <w:snapToGrid w:val="0"/>
        <w:jc w:val="right"/>
        <w:rPr>
          <w:rFonts w:cs="Arial" w:asciiTheme="minorEastAsia" w:hAnsiTheme="minorEastAsia"/>
          <w:kern w:val="0"/>
          <w:sz w:val="24"/>
          <w:szCs w:val="24"/>
        </w:rPr>
      </w:pPr>
    </w:p>
    <w:p>
      <w:pPr>
        <w:tabs>
          <w:tab w:val="center" w:pos="4832"/>
          <w:tab w:val="left" w:pos="7140"/>
        </w:tabs>
        <w:ind w:firstLine="482"/>
        <w:jc w:val="center"/>
        <w:outlineLvl w:val="1"/>
        <w:rPr>
          <w:rFonts w:cs="Arial" w:asciiTheme="minorEastAsia" w:hAnsiTheme="minorEastAsia"/>
          <w:kern w:val="0"/>
          <w:sz w:val="24"/>
          <w:szCs w:val="24"/>
        </w:rPr>
      </w:pPr>
      <w:r>
        <w:rPr>
          <w:rFonts w:cs="Arial" w:asciiTheme="minorEastAsia" w:hAnsiTheme="minorEastAsia"/>
          <w:b/>
          <w:bCs/>
          <w:kern w:val="0"/>
          <w:sz w:val="24"/>
          <w:szCs w:val="24"/>
        </w:rPr>
        <w:br w:type="page"/>
      </w:r>
      <w:bookmarkStart w:id="104" w:name="_Toc6227"/>
      <w:r>
        <w:rPr>
          <w:rFonts w:hint="eastAsia" w:cs="Arial" w:asciiTheme="minorEastAsia" w:hAnsiTheme="minorEastAsia"/>
          <w:b/>
          <w:bCs/>
          <w:kern w:val="0"/>
          <w:sz w:val="24"/>
          <w:szCs w:val="24"/>
        </w:rPr>
        <w:t>十二</w:t>
      </w:r>
      <w:r>
        <w:rPr>
          <w:rFonts w:hint="eastAsia" w:cs="宋体" w:asciiTheme="minorEastAsia" w:hAnsiTheme="minorEastAsia"/>
          <w:b/>
          <w:sz w:val="24"/>
          <w:szCs w:val="24"/>
        </w:rPr>
        <w:t>、拟投入人员配置表</w:t>
      </w:r>
      <w:bookmarkEnd w:id="104"/>
    </w:p>
    <w:tbl>
      <w:tblPr>
        <w:tblStyle w:val="34"/>
        <w:tblW w:w="92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1167"/>
        <w:gridCol w:w="1140"/>
        <w:gridCol w:w="1168"/>
        <w:gridCol w:w="1168"/>
        <w:gridCol w:w="1142"/>
        <w:gridCol w:w="1168"/>
        <w:gridCol w:w="1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165" w:type="dxa"/>
            <w:vAlign w:val="center"/>
          </w:tcPr>
          <w:p>
            <w:pPr>
              <w:jc w:val="center"/>
              <w:rPr>
                <w:rFonts w:cs="宋体" w:asciiTheme="minorEastAsia" w:hAnsiTheme="minorEastAsia"/>
                <w:sz w:val="24"/>
                <w:szCs w:val="24"/>
              </w:rPr>
            </w:pPr>
            <w:r>
              <w:rPr>
                <w:rFonts w:hint="eastAsia" w:cs="宋体" w:asciiTheme="minorEastAsia" w:hAnsiTheme="minorEastAsia"/>
                <w:sz w:val="24"/>
                <w:szCs w:val="24"/>
              </w:rPr>
              <w:t>姓名</w:t>
            </w:r>
          </w:p>
        </w:tc>
        <w:tc>
          <w:tcPr>
            <w:tcW w:w="1167" w:type="dxa"/>
            <w:vAlign w:val="center"/>
          </w:tcPr>
          <w:p>
            <w:pPr>
              <w:jc w:val="center"/>
              <w:rPr>
                <w:rFonts w:cs="宋体" w:asciiTheme="minorEastAsia" w:hAnsiTheme="minorEastAsia"/>
                <w:sz w:val="24"/>
                <w:szCs w:val="24"/>
              </w:rPr>
            </w:pPr>
            <w:r>
              <w:rPr>
                <w:rFonts w:hint="eastAsia" w:cs="宋体" w:asciiTheme="minorEastAsia" w:hAnsiTheme="minorEastAsia"/>
                <w:sz w:val="24"/>
                <w:szCs w:val="24"/>
              </w:rPr>
              <w:t>身份证号码</w:t>
            </w:r>
          </w:p>
        </w:tc>
        <w:tc>
          <w:tcPr>
            <w:tcW w:w="1140" w:type="dxa"/>
            <w:vAlign w:val="center"/>
          </w:tcPr>
          <w:p>
            <w:pPr>
              <w:jc w:val="center"/>
              <w:rPr>
                <w:rFonts w:cs="宋体" w:asciiTheme="minorEastAsia" w:hAnsiTheme="minorEastAsia"/>
                <w:sz w:val="24"/>
                <w:szCs w:val="24"/>
              </w:rPr>
            </w:pPr>
            <w:r>
              <w:rPr>
                <w:rFonts w:hint="eastAsia" w:cs="宋体" w:asciiTheme="minorEastAsia" w:hAnsiTheme="minorEastAsia"/>
                <w:sz w:val="24"/>
                <w:szCs w:val="24"/>
              </w:rPr>
              <w:t>性别</w:t>
            </w:r>
          </w:p>
        </w:tc>
        <w:tc>
          <w:tcPr>
            <w:tcW w:w="1168" w:type="dxa"/>
            <w:vAlign w:val="center"/>
          </w:tcPr>
          <w:p>
            <w:pPr>
              <w:jc w:val="center"/>
              <w:rPr>
                <w:rFonts w:cs="宋体" w:asciiTheme="minorEastAsia" w:hAnsiTheme="minorEastAsia"/>
                <w:sz w:val="24"/>
                <w:szCs w:val="24"/>
              </w:rPr>
            </w:pPr>
            <w:r>
              <w:rPr>
                <w:rFonts w:hint="eastAsia" w:cs="宋体" w:asciiTheme="minorEastAsia" w:hAnsiTheme="minorEastAsia"/>
                <w:sz w:val="24"/>
                <w:szCs w:val="24"/>
              </w:rPr>
              <w:t>职称</w:t>
            </w:r>
          </w:p>
        </w:tc>
        <w:tc>
          <w:tcPr>
            <w:tcW w:w="1168" w:type="dxa"/>
            <w:vAlign w:val="center"/>
          </w:tcPr>
          <w:p>
            <w:pPr>
              <w:jc w:val="center"/>
              <w:rPr>
                <w:rFonts w:cs="宋体" w:asciiTheme="minorEastAsia" w:hAnsiTheme="minorEastAsia"/>
                <w:sz w:val="24"/>
                <w:szCs w:val="24"/>
              </w:rPr>
            </w:pPr>
            <w:r>
              <w:rPr>
                <w:rFonts w:hint="eastAsia" w:cs="宋体" w:asciiTheme="minorEastAsia" w:hAnsiTheme="minorEastAsia"/>
                <w:sz w:val="24"/>
                <w:szCs w:val="24"/>
              </w:rPr>
              <w:t>学历</w:t>
            </w:r>
          </w:p>
        </w:tc>
        <w:tc>
          <w:tcPr>
            <w:tcW w:w="1142" w:type="dxa"/>
            <w:vAlign w:val="center"/>
          </w:tcPr>
          <w:p>
            <w:pPr>
              <w:jc w:val="center"/>
              <w:rPr>
                <w:rFonts w:cs="宋体" w:asciiTheme="minorEastAsia" w:hAnsiTheme="minorEastAsia"/>
                <w:sz w:val="24"/>
                <w:szCs w:val="24"/>
              </w:rPr>
            </w:pPr>
            <w:r>
              <w:rPr>
                <w:rFonts w:hint="eastAsia" w:cs="宋体" w:asciiTheme="minorEastAsia" w:hAnsiTheme="minorEastAsia"/>
                <w:sz w:val="24"/>
                <w:szCs w:val="24"/>
              </w:rPr>
              <w:t>专业</w:t>
            </w:r>
          </w:p>
        </w:tc>
        <w:tc>
          <w:tcPr>
            <w:tcW w:w="1168" w:type="dxa"/>
            <w:vAlign w:val="center"/>
          </w:tcPr>
          <w:p>
            <w:pPr>
              <w:jc w:val="center"/>
              <w:rPr>
                <w:rFonts w:cs="宋体" w:asciiTheme="minorEastAsia" w:hAnsiTheme="minorEastAsia"/>
                <w:sz w:val="24"/>
                <w:szCs w:val="24"/>
              </w:rPr>
            </w:pPr>
            <w:r>
              <w:rPr>
                <w:rFonts w:hint="eastAsia" w:cs="宋体" w:asciiTheme="minorEastAsia" w:hAnsiTheme="minorEastAsia"/>
                <w:sz w:val="24"/>
                <w:szCs w:val="24"/>
              </w:rPr>
              <w:t>从事该岗位年限</w:t>
            </w:r>
          </w:p>
        </w:tc>
        <w:tc>
          <w:tcPr>
            <w:tcW w:w="1136" w:type="dxa"/>
            <w:vAlign w:val="center"/>
          </w:tcPr>
          <w:p>
            <w:pPr>
              <w:jc w:val="center"/>
              <w:rPr>
                <w:rFonts w:cs="宋体" w:asciiTheme="minorEastAsia" w:hAnsiTheme="minorEastAsia"/>
                <w:sz w:val="24"/>
                <w:szCs w:val="24"/>
              </w:rPr>
            </w:pPr>
            <w:r>
              <w:rPr>
                <w:rFonts w:hint="eastAsia" w:cs="宋体" w:asciiTheme="minorEastAsia" w:hAnsiTheme="min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165" w:type="dxa"/>
          </w:tcPr>
          <w:p>
            <w:pPr>
              <w:rPr>
                <w:rFonts w:cs="宋体" w:asciiTheme="minorEastAsia" w:hAnsiTheme="minorEastAsia"/>
                <w:sz w:val="24"/>
                <w:szCs w:val="24"/>
              </w:rPr>
            </w:pPr>
          </w:p>
        </w:tc>
        <w:tc>
          <w:tcPr>
            <w:tcW w:w="1167" w:type="dxa"/>
          </w:tcPr>
          <w:p>
            <w:pPr>
              <w:rPr>
                <w:rFonts w:cs="宋体" w:asciiTheme="minorEastAsia" w:hAnsiTheme="minorEastAsia"/>
                <w:sz w:val="24"/>
                <w:szCs w:val="24"/>
              </w:rPr>
            </w:pPr>
          </w:p>
        </w:tc>
        <w:tc>
          <w:tcPr>
            <w:tcW w:w="1140" w:type="dxa"/>
          </w:tcPr>
          <w:p>
            <w:pPr>
              <w:rPr>
                <w:rFonts w:cs="宋体" w:asciiTheme="minorEastAsia" w:hAnsiTheme="minorEastAsia"/>
                <w:sz w:val="24"/>
                <w:szCs w:val="24"/>
              </w:rPr>
            </w:pPr>
          </w:p>
        </w:tc>
        <w:tc>
          <w:tcPr>
            <w:tcW w:w="1168" w:type="dxa"/>
          </w:tcPr>
          <w:p>
            <w:pPr>
              <w:rPr>
                <w:rFonts w:cs="宋体" w:asciiTheme="minorEastAsia" w:hAnsiTheme="minorEastAsia"/>
                <w:sz w:val="24"/>
                <w:szCs w:val="24"/>
              </w:rPr>
            </w:pPr>
          </w:p>
        </w:tc>
        <w:tc>
          <w:tcPr>
            <w:tcW w:w="1168" w:type="dxa"/>
          </w:tcPr>
          <w:p>
            <w:pPr>
              <w:rPr>
                <w:rFonts w:cs="宋体" w:asciiTheme="minorEastAsia" w:hAnsiTheme="minorEastAsia"/>
                <w:sz w:val="24"/>
                <w:szCs w:val="24"/>
              </w:rPr>
            </w:pPr>
          </w:p>
        </w:tc>
        <w:tc>
          <w:tcPr>
            <w:tcW w:w="1142" w:type="dxa"/>
          </w:tcPr>
          <w:p>
            <w:pPr>
              <w:rPr>
                <w:rFonts w:cs="宋体" w:asciiTheme="minorEastAsia" w:hAnsiTheme="minorEastAsia"/>
                <w:sz w:val="24"/>
                <w:szCs w:val="24"/>
              </w:rPr>
            </w:pPr>
          </w:p>
        </w:tc>
        <w:tc>
          <w:tcPr>
            <w:tcW w:w="1168" w:type="dxa"/>
          </w:tcPr>
          <w:p>
            <w:pPr>
              <w:rPr>
                <w:rFonts w:cs="宋体" w:asciiTheme="minorEastAsia" w:hAnsiTheme="minorEastAsia"/>
                <w:sz w:val="24"/>
                <w:szCs w:val="24"/>
              </w:rPr>
            </w:pPr>
          </w:p>
        </w:tc>
        <w:tc>
          <w:tcPr>
            <w:tcW w:w="1136" w:type="dxa"/>
          </w:tcPr>
          <w:p>
            <w:pPr>
              <w:rPr>
                <w:rFonts w:cs="宋体"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165" w:type="dxa"/>
          </w:tcPr>
          <w:p>
            <w:pPr>
              <w:rPr>
                <w:rFonts w:cs="宋体" w:asciiTheme="minorEastAsia" w:hAnsiTheme="minorEastAsia"/>
                <w:sz w:val="24"/>
                <w:szCs w:val="24"/>
              </w:rPr>
            </w:pPr>
          </w:p>
        </w:tc>
        <w:tc>
          <w:tcPr>
            <w:tcW w:w="1167" w:type="dxa"/>
          </w:tcPr>
          <w:p>
            <w:pPr>
              <w:rPr>
                <w:rFonts w:cs="宋体" w:asciiTheme="minorEastAsia" w:hAnsiTheme="minorEastAsia"/>
                <w:sz w:val="24"/>
                <w:szCs w:val="24"/>
              </w:rPr>
            </w:pPr>
          </w:p>
        </w:tc>
        <w:tc>
          <w:tcPr>
            <w:tcW w:w="1140" w:type="dxa"/>
          </w:tcPr>
          <w:p>
            <w:pPr>
              <w:rPr>
                <w:rFonts w:cs="宋体" w:asciiTheme="minorEastAsia" w:hAnsiTheme="minorEastAsia"/>
                <w:sz w:val="24"/>
                <w:szCs w:val="24"/>
              </w:rPr>
            </w:pPr>
          </w:p>
        </w:tc>
        <w:tc>
          <w:tcPr>
            <w:tcW w:w="1168" w:type="dxa"/>
          </w:tcPr>
          <w:p>
            <w:pPr>
              <w:rPr>
                <w:rFonts w:cs="宋体" w:asciiTheme="minorEastAsia" w:hAnsiTheme="minorEastAsia"/>
                <w:sz w:val="24"/>
                <w:szCs w:val="24"/>
              </w:rPr>
            </w:pPr>
          </w:p>
        </w:tc>
        <w:tc>
          <w:tcPr>
            <w:tcW w:w="1168" w:type="dxa"/>
          </w:tcPr>
          <w:p>
            <w:pPr>
              <w:rPr>
                <w:rFonts w:cs="宋体" w:asciiTheme="minorEastAsia" w:hAnsiTheme="minorEastAsia"/>
                <w:sz w:val="24"/>
                <w:szCs w:val="24"/>
              </w:rPr>
            </w:pPr>
          </w:p>
        </w:tc>
        <w:tc>
          <w:tcPr>
            <w:tcW w:w="1142" w:type="dxa"/>
          </w:tcPr>
          <w:p>
            <w:pPr>
              <w:rPr>
                <w:rFonts w:cs="宋体" w:asciiTheme="minorEastAsia" w:hAnsiTheme="minorEastAsia"/>
                <w:sz w:val="24"/>
                <w:szCs w:val="24"/>
              </w:rPr>
            </w:pPr>
          </w:p>
        </w:tc>
        <w:tc>
          <w:tcPr>
            <w:tcW w:w="1168" w:type="dxa"/>
          </w:tcPr>
          <w:p>
            <w:pPr>
              <w:rPr>
                <w:rFonts w:cs="宋体" w:asciiTheme="minorEastAsia" w:hAnsiTheme="minorEastAsia"/>
                <w:sz w:val="24"/>
                <w:szCs w:val="24"/>
              </w:rPr>
            </w:pPr>
          </w:p>
        </w:tc>
        <w:tc>
          <w:tcPr>
            <w:tcW w:w="1136" w:type="dxa"/>
          </w:tcPr>
          <w:p>
            <w:pPr>
              <w:rPr>
                <w:rFonts w:cs="宋体"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165" w:type="dxa"/>
          </w:tcPr>
          <w:p>
            <w:pPr>
              <w:rPr>
                <w:rFonts w:cs="宋体" w:asciiTheme="minorEastAsia" w:hAnsiTheme="minorEastAsia"/>
                <w:sz w:val="24"/>
                <w:szCs w:val="24"/>
              </w:rPr>
            </w:pPr>
          </w:p>
        </w:tc>
        <w:tc>
          <w:tcPr>
            <w:tcW w:w="1167" w:type="dxa"/>
          </w:tcPr>
          <w:p>
            <w:pPr>
              <w:rPr>
                <w:rFonts w:cs="宋体" w:asciiTheme="minorEastAsia" w:hAnsiTheme="minorEastAsia"/>
                <w:sz w:val="24"/>
                <w:szCs w:val="24"/>
              </w:rPr>
            </w:pPr>
          </w:p>
        </w:tc>
        <w:tc>
          <w:tcPr>
            <w:tcW w:w="1140" w:type="dxa"/>
          </w:tcPr>
          <w:p>
            <w:pPr>
              <w:rPr>
                <w:rFonts w:cs="宋体" w:asciiTheme="minorEastAsia" w:hAnsiTheme="minorEastAsia"/>
                <w:sz w:val="24"/>
                <w:szCs w:val="24"/>
              </w:rPr>
            </w:pPr>
          </w:p>
        </w:tc>
        <w:tc>
          <w:tcPr>
            <w:tcW w:w="1168" w:type="dxa"/>
          </w:tcPr>
          <w:p>
            <w:pPr>
              <w:rPr>
                <w:rFonts w:cs="宋体" w:asciiTheme="minorEastAsia" w:hAnsiTheme="minorEastAsia"/>
                <w:sz w:val="24"/>
                <w:szCs w:val="24"/>
              </w:rPr>
            </w:pPr>
          </w:p>
        </w:tc>
        <w:tc>
          <w:tcPr>
            <w:tcW w:w="1168" w:type="dxa"/>
          </w:tcPr>
          <w:p>
            <w:pPr>
              <w:rPr>
                <w:rFonts w:cs="宋体" w:asciiTheme="minorEastAsia" w:hAnsiTheme="minorEastAsia"/>
                <w:sz w:val="24"/>
                <w:szCs w:val="24"/>
              </w:rPr>
            </w:pPr>
          </w:p>
        </w:tc>
        <w:tc>
          <w:tcPr>
            <w:tcW w:w="1142" w:type="dxa"/>
          </w:tcPr>
          <w:p>
            <w:pPr>
              <w:rPr>
                <w:rFonts w:cs="宋体" w:asciiTheme="minorEastAsia" w:hAnsiTheme="minorEastAsia"/>
                <w:sz w:val="24"/>
                <w:szCs w:val="24"/>
              </w:rPr>
            </w:pPr>
          </w:p>
        </w:tc>
        <w:tc>
          <w:tcPr>
            <w:tcW w:w="1168" w:type="dxa"/>
          </w:tcPr>
          <w:p>
            <w:pPr>
              <w:rPr>
                <w:rFonts w:cs="宋体" w:asciiTheme="minorEastAsia" w:hAnsiTheme="minorEastAsia"/>
                <w:sz w:val="24"/>
                <w:szCs w:val="24"/>
              </w:rPr>
            </w:pPr>
          </w:p>
        </w:tc>
        <w:tc>
          <w:tcPr>
            <w:tcW w:w="1136" w:type="dxa"/>
          </w:tcPr>
          <w:p>
            <w:pPr>
              <w:rPr>
                <w:rFonts w:cs="宋体"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165" w:type="dxa"/>
          </w:tcPr>
          <w:p>
            <w:pPr>
              <w:rPr>
                <w:rFonts w:cs="宋体" w:asciiTheme="minorEastAsia" w:hAnsiTheme="minorEastAsia"/>
                <w:sz w:val="24"/>
                <w:szCs w:val="24"/>
              </w:rPr>
            </w:pPr>
          </w:p>
        </w:tc>
        <w:tc>
          <w:tcPr>
            <w:tcW w:w="1167" w:type="dxa"/>
          </w:tcPr>
          <w:p>
            <w:pPr>
              <w:rPr>
                <w:rFonts w:cs="宋体" w:asciiTheme="minorEastAsia" w:hAnsiTheme="minorEastAsia"/>
                <w:sz w:val="24"/>
                <w:szCs w:val="24"/>
              </w:rPr>
            </w:pPr>
          </w:p>
        </w:tc>
        <w:tc>
          <w:tcPr>
            <w:tcW w:w="1140" w:type="dxa"/>
          </w:tcPr>
          <w:p>
            <w:pPr>
              <w:rPr>
                <w:rFonts w:cs="宋体" w:asciiTheme="minorEastAsia" w:hAnsiTheme="minorEastAsia"/>
                <w:sz w:val="24"/>
                <w:szCs w:val="24"/>
              </w:rPr>
            </w:pPr>
          </w:p>
        </w:tc>
        <w:tc>
          <w:tcPr>
            <w:tcW w:w="1168" w:type="dxa"/>
          </w:tcPr>
          <w:p>
            <w:pPr>
              <w:rPr>
                <w:rFonts w:cs="宋体" w:asciiTheme="minorEastAsia" w:hAnsiTheme="minorEastAsia"/>
                <w:sz w:val="24"/>
                <w:szCs w:val="24"/>
              </w:rPr>
            </w:pPr>
          </w:p>
        </w:tc>
        <w:tc>
          <w:tcPr>
            <w:tcW w:w="1168" w:type="dxa"/>
          </w:tcPr>
          <w:p>
            <w:pPr>
              <w:rPr>
                <w:rFonts w:cs="宋体" w:asciiTheme="minorEastAsia" w:hAnsiTheme="minorEastAsia"/>
                <w:sz w:val="24"/>
                <w:szCs w:val="24"/>
              </w:rPr>
            </w:pPr>
          </w:p>
        </w:tc>
        <w:tc>
          <w:tcPr>
            <w:tcW w:w="1142" w:type="dxa"/>
          </w:tcPr>
          <w:p>
            <w:pPr>
              <w:rPr>
                <w:rFonts w:cs="宋体" w:asciiTheme="minorEastAsia" w:hAnsiTheme="minorEastAsia"/>
                <w:sz w:val="24"/>
                <w:szCs w:val="24"/>
              </w:rPr>
            </w:pPr>
          </w:p>
        </w:tc>
        <w:tc>
          <w:tcPr>
            <w:tcW w:w="1168" w:type="dxa"/>
          </w:tcPr>
          <w:p>
            <w:pPr>
              <w:rPr>
                <w:rFonts w:cs="宋体" w:asciiTheme="minorEastAsia" w:hAnsiTheme="minorEastAsia"/>
                <w:sz w:val="24"/>
                <w:szCs w:val="24"/>
              </w:rPr>
            </w:pPr>
          </w:p>
        </w:tc>
        <w:tc>
          <w:tcPr>
            <w:tcW w:w="1136" w:type="dxa"/>
          </w:tcPr>
          <w:p>
            <w:pPr>
              <w:rPr>
                <w:rFonts w:cs="宋体"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165" w:type="dxa"/>
          </w:tcPr>
          <w:p>
            <w:pPr>
              <w:rPr>
                <w:rFonts w:cs="宋体" w:asciiTheme="minorEastAsia" w:hAnsiTheme="minorEastAsia"/>
                <w:sz w:val="24"/>
                <w:szCs w:val="24"/>
              </w:rPr>
            </w:pPr>
          </w:p>
        </w:tc>
        <w:tc>
          <w:tcPr>
            <w:tcW w:w="1167" w:type="dxa"/>
          </w:tcPr>
          <w:p>
            <w:pPr>
              <w:rPr>
                <w:rFonts w:cs="宋体" w:asciiTheme="minorEastAsia" w:hAnsiTheme="minorEastAsia"/>
                <w:sz w:val="24"/>
                <w:szCs w:val="24"/>
              </w:rPr>
            </w:pPr>
          </w:p>
        </w:tc>
        <w:tc>
          <w:tcPr>
            <w:tcW w:w="1140" w:type="dxa"/>
          </w:tcPr>
          <w:p>
            <w:pPr>
              <w:rPr>
                <w:rFonts w:cs="宋体" w:asciiTheme="minorEastAsia" w:hAnsiTheme="minorEastAsia"/>
                <w:sz w:val="24"/>
                <w:szCs w:val="24"/>
              </w:rPr>
            </w:pPr>
          </w:p>
        </w:tc>
        <w:tc>
          <w:tcPr>
            <w:tcW w:w="1168" w:type="dxa"/>
          </w:tcPr>
          <w:p>
            <w:pPr>
              <w:rPr>
                <w:rFonts w:cs="宋体" w:asciiTheme="minorEastAsia" w:hAnsiTheme="minorEastAsia"/>
                <w:sz w:val="24"/>
                <w:szCs w:val="24"/>
              </w:rPr>
            </w:pPr>
          </w:p>
        </w:tc>
        <w:tc>
          <w:tcPr>
            <w:tcW w:w="1168" w:type="dxa"/>
          </w:tcPr>
          <w:p>
            <w:pPr>
              <w:rPr>
                <w:rFonts w:cs="宋体" w:asciiTheme="minorEastAsia" w:hAnsiTheme="minorEastAsia"/>
                <w:sz w:val="24"/>
                <w:szCs w:val="24"/>
              </w:rPr>
            </w:pPr>
          </w:p>
        </w:tc>
        <w:tc>
          <w:tcPr>
            <w:tcW w:w="1142" w:type="dxa"/>
          </w:tcPr>
          <w:p>
            <w:pPr>
              <w:rPr>
                <w:rFonts w:cs="宋体" w:asciiTheme="minorEastAsia" w:hAnsiTheme="minorEastAsia"/>
                <w:sz w:val="24"/>
                <w:szCs w:val="24"/>
              </w:rPr>
            </w:pPr>
          </w:p>
        </w:tc>
        <w:tc>
          <w:tcPr>
            <w:tcW w:w="1168" w:type="dxa"/>
          </w:tcPr>
          <w:p>
            <w:pPr>
              <w:rPr>
                <w:rFonts w:cs="宋体" w:asciiTheme="minorEastAsia" w:hAnsiTheme="minorEastAsia"/>
                <w:sz w:val="24"/>
                <w:szCs w:val="24"/>
              </w:rPr>
            </w:pPr>
          </w:p>
        </w:tc>
        <w:tc>
          <w:tcPr>
            <w:tcW w:w="1136" w:type="dxa"/>
          </w:tcPr>
          <w:p>
            <w:pPr>
              <w:rPr>
                <w:rFonts w:cs="宋体"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165" w:type="dxa"/>
          </w:tcPr>
          <w:p>
            <w:pPr>
              <w:rPr>
                <w:rFonts w:cs="宋体" w:asciiTheme="minorEastAsia" w:hAnsiTheme="minorEastAsia"/>
                <w:sz w:val="24"/>
                <w:szCs w:val="24"/>
              </w:rPr>
            </w:pPr>
          </w:p>
        </w:tc>
        <w:tc>
          <w:tcPr>
            <w:tcW w:w="1167" w:type="dxa"/>
          </w:tcPr>
          <w:p>
            <w:pPr>
              <w:rPr>
                <w:rFonts w:cs="宋体" w:asciiTheme="minorEastAsia" w:hAnsiTheme="minorEastAsia"/>
                <w:sz w:val="24"/>
                <w:szCs w:val="24"/>
              </w:rPr>
            </w:pPr>
          </w:p>
        </w:tc>
        <w:tc>
          <w:tcPr>
            <w:tcW w:w="1140" w:type="dxa"/>
          </w:tcPr>
          <w:p>
            <w:pPr>
              <w:rPr>
                <w:rFonts w:cs="宋体" w:asciiTheme="minorEastAsia" w:hAnsiTheme="minorEastAsia"/>
                <w:sz w:val="24"/>
                <w:szCs w:val="24"/>
              </w:rPr>
            </w:pPr>
          </w:p>
        </w:tc>
        <w:tc>
          <w:tcPr>
            <w:tcW w:w="1168" w:type="dxa"/>
          </w:tcPr>
          <w:p>
            <w:pPr>
              <w:rPr>
                <w:rFonts w:cs="宋体" w:asciiTheme="minorEastAsia" w:hAnsiTheme="minorEastAsia"/>
                <w:sz w:val="24"/>
                <w:szCs w:val="24"/>
              </w:rPr>
            </w:pPr>
          </w:p>
        </w:tc>
        <w:tc>
          <w:tcPr>
            <w:tcW w:w="1168" w:type="dxa"/>
          </w:tcPr>
          <w:p>
            <w:pPr>
              <w:rPr>
                <w:rFonts w:cs="宋体" w:asciiTheme="minorEastAsia" w:hAnsiTheme="minorEastAsia"/>
                <w:sz w:val="24"/>
                <w:szCs w:val="24"/>
              </w:rPr>
            </w:pPr>
          </w:p>
        </w:tc>
        <w:tc>
          <w:tcPr>
            <w:tcW w:w="1142" w:type="dxa"/>
          </w:tcPr>
          <w:p>
            <w:pPr>
              <w:rPr>
                <w:rFonts w:cs="宋体" w:asciiTheme="minorEastAsia" w:hAnsiTheme="minorEastAsia"/>
                <w:sz w:val="24"/>
                <w:szCs w:val="24"/>
              </w:rPr>
            </w:pPr>
          </w:p>
        </w:tc>
        <w:tc>
          <w:tcPr>
            <w:tcW w:w="1168" w:type="dxa"/>
          </w:tcPr>
          <w:p>
            <w:pPr>
              <w:rPr>
                <w:rFonts w:cs="宋体" w:asciiTheme="minorEastAsia" w:hAnsiTheme="minorEastAsia"/>
                <w:sz w:val="24"/>
                <w:szCs w:val="24"/>
              </w:rPr>
            </w:pPr>
          </w:p>
        </w:tc>
        <w:tc>
          <w:tcPr>
            <w:tcW w:w="1136" w:type="dxa"/>
          </w:tcPr>
          <w:p>
            <w:pPr>
              <w:rPr>
                <w:rFonts w:cs="宋体"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165" w:type="dxa"/>
          </w:tcPr>
          <w:p>
            <w:pPr>
              <w:rPr>
                <w:rFonts w:cs="宋体" w:asciiTheme="minorEastAsia" w:hAnsiTheme="minorEastAsia"/>
                <w:sz w:val="24"/>
                <w:szCs w:val="24"/>
              </w:rPr>
            </w:pPr>
          </w:p>
        </w:tc>
        <w:tc>
          <w:tcPr>
            <w:tcW w:w="1167" w:type="dxa"/>
          </w:tcPr>
          <w:p>
            <w:pPr>
              <w:rPr>
                <w:rFonts w:cs="宋体" w:asciiTheme="minorEastAsia" w:hAnsiTheme="minorEastAsia"/>
                <w:sz w:val="24"/>
                <w:szCs w:val="24"/>
              </w:rPr>
            </w:pPr>
          </w:p>
        </w:tc>
        <w:tc>
          <w:tcPr>
            <w:tcW w:w="1140" w:type="dxa"/>
          </w:tcPr>
          <w:p>
            <w:pPr>
              <w:rPr>
                <w:rFonts w:cs="宋体" w:asciiTheme="minorEastAsia" w:hAnsiTheme="minorEastAsia"/>
                <w:sz w:val="24"/>
                <w:szCs w:val="24"/>
              </w:rPr>
            </w:pPr>
          </w:p>
        </w:tc>
        <w:tc>
          <w:tcPr>
            <w:tcW w:w="1168" w:type="dxa"/>
          </w:tcPr>
          <w:p>
            <w:pPr>
              <w:rPr>
                <w:rFonts w:cs="宋体" w:asciiTheme="minorEastAsia" w:hAnsiTheme="minorEastAsia"/>
                <w:sz w:val="24"/>
                <w:szCs w:val="24"/>
              </w:rPr>
            </w:pPr>
          </w:p>
        </w:tc>
        <w:tc>
          <w:tcPr>
            <w:tcW w:w="1168" w:type="dxa"/>
          </w:tcPr>
          <w:p>
            <w:pPr>
              <w:rPr>
                <w:rFonts w:cs="宋体" w:asciiTheme="minorEastAsia" w:hAnsiTheme="minorEastAsia"/>
                <w:sz w:val="24"/>
                <w:szCs w:val="24"/>
              </w:rPr>
            </w:pPr>
          </w:p>
        </w:tc>
        <w:tc>
          <w:tcPr>
            <w:tcW w:w="1142" w:type="dxa"/>
          </w:tcPr>
          <w:p>
            <w:pPr>
              <w:rPr>
                <w:rFonts w:cs="宋体" w:asciiTheme="minorEastAsia" w:hAnsiTheme="minorEastAsia"/>
                <w:sz w:val="24"/>
                <w:szCs w:val="24"/>
              </w:rPr>
            </w:pPr>
          </w:p>
        </w:tc>
        <w:tc>
          <w:tcPr>
            <w:tcW w:w="1168" w:type="dxa"/>
          </w:tcPr>
          <w:p>
            <w:pPr>
              <w:rPr>
                <w:rFonts w:cs="宋体" w:asciiTheme="minorEastAsia" w:hAnsiTheme="minorEastAsia"/>
                <w:sz w:val="24"/>
                <w:szCs w:val="24"/>
              </w:rPr>
            </w:pPr>
          </w:p>
        </w:tc>
        <w:tc>
          <w:tcPr>
            <w:tcW w:w="1136" w:type="dxa"/>
          </w:tcPr>
          <w:p>
            <w:pPr>
              <w:rPr>
                <w:rFonts w:cs="宋体" w:asciiTheme="minorEastAsia" w:hAnsiTheme="minorEastAsia"/>
                <w:sz w:val="24"/>
                <w:szCs w:val="24"/>
              </w:rPr>
            </w:pPr>
          </w:p>
        </w:tc>
      </w:tr>
    </w:tbl>
    <w:p>
      <w:pPr>
        <w:widowControl/>
        <w:shd w:val="clear" w:color="auto" w:fill="FFFFFF"/>
        <w:wordWrap w:val="0"/>
        <w:snapToGrid w:val="0"/>
        <w:spacing w:line="384" w:lineRule="auto"/>
        <w:ind w:firstLine="480"/>
        <w:jc w:val="left"/>
        <w:rPr>
          <w:rFonts w:cs="Arial" w:asciiTheme="minorEastAsia" w:hAnsiTheme="minorEastAsia"/>
          <w:kern w:val="0"/>
          <w:sz w:val="24"/>
          <w:szCs w:val="24"/>
        </w:rPr>
      </w:pPr>
      <w:r>
        <w:rPr>
          <w:rFonts w:hint="eastAsia" w:asciiTheme="minorEastAsia" w:hAnsiTheme="minorEastAsia"/>
          <w:sz w:val="24"/>
          <w:szCs w:val="24"/>
        </w:rPr>
        <w:t>注：</w:t>
      </w:r>
      <w:r>
        <w:rPr>
          <w:rFonts w:hint="eastAsia" w:cs="宋体" w:asciiTheme="minorEastAsia" w:hAnsiTheme="minorEastAsia"/>
          <w:sz w:val="24"/>
          <w:szCs w:val="24"/>
        </w:rPr>
        <w:t>上述人员应附聘用合同、身份证复印件（退休人员应附聘用合同及退休证明）扫描件等。</w:t>
      </w:r>
    </w:p>
    <w:p>
      <w:pPr>
        <w:widowControl/>
        <w:shd w:val="clear" w:color="auto" w:fill="FFFFFF"/>
        <w:snapToGrid w:val="0"/>
        <w:spacing w:line="384" w:lineRule="auto"/>
        <w:jc w:val="left"/>
        <w:rPr>
          <w:rFonts w:cs="Arial" w:asciiTheme="minorEastAsia" w:hAnsiTheme="minorEastAsia"/>
          <w:kern w:val="0"/>
          <w:sz w:val="24"/>
          <w:szCs w:val="24"/>
        </w:rPr>
      </w:pPr>
    </w:p>
    <w:p>
      <w:pPr>
        <w:widowControl/>
        <w:shd w:val="clear" w:color="auto" w:fill="FFFFFF"/>
        <w:snapToGrid w:val="0"/>
        <w:spacing w:line="384" w:lineRule="auto"/>
        <w:jc w:val="left"/>
        <w:rPr>
          <w:rFonts w:cs="Arial" w:asciiTheme="minorEastAsia" w:hAnsiTheme="minorEastAsia"/>
          <w:kern w:val="0"/>
          <w:sz w:val="24"/>
          <w:szCs w:val="24"/>
        </w:rPr>
      </w:pPr>
    </w:p>
    <w:p>
      <w:pPr>
        <w:tabs>
          <w:tab w:val="center" w:pos="4832"/>
          <w:tab w:val="left" w:pos="7140"/>
        </w:tabs>
        <w:jc w:val="center"/>
        <w:outlineLvl w:val="1"/>
        <w:rPr>
          <w:rFonts w:cs="宋体" w:asciiTheme="minorEastAsia" w:hAnsiTheme="minorEastAsia"/>
          <w:b/>
          <w:sz w:val="24"/>
          <w:szCs w:val="24"/>
        </w:rPr>
      </w:pPr>
      <w:r>
        <w:rPr>
          <w:rFonts w:cs="Arial" w:asciiTheme="minorEastAsia" w:hAnsiTheme="minorEastAsia"/>
          <w:kern w:val="0"/>
          <w:sz w:val="24"/>
          <w:szCs w:val="24"/>
        </w:rPr>
        <w:br w:type="page"/>
      </w:r>
      <w:bookmarkStart w:id="105" w:name="_Toc1774"/>
      <w:r>
        <w:rPr>
          <w:rFonts w:hint="eastAsia" w:cs="宋体" w:asciiTheme="minorEastAsia" w:hAnsiTheme="minorEastAsia"/>
          <w:b/>
          <w:sz w:val="24"/>
          <w:szCs w:val="24"/>
        </w:rPr>
        <w:t>十三、合理化建议</w:t>
      </w:r>
      <w:bookmarkEnd w:id="105"/>
    </w:p>
    <w:p>
      <w:pPr>
        <w:jc w:val="center"/>
        <w:rPr>
          <w:rFonts w:asciiTheme="minorEastAsia" w:hAnsiTheme="minorEastAsia"/>
          <w:sz w:val="24"/>
          <w:szCs w:val="24"/>
        </w:rPr>
      </w:pPr>
      <w:r>
        <w:rPr>
          <w:rFonts w:hint="eastAsia" w:asciiTheme="minorEastAsia" w:hAnsiTheme="minorEastAsia"/>
          <w:sz w:val="24"/>
          <w:szCs w:val="24"/>
        </w:rPr>
        <w:t>内容由投标单位内编制，格式自拟</w:t>
      </w:r>
    </w:p>
    <w:p>
      <w:pPr>
        <w:ind w:firstLine="482"/>
        <w:rPr>
          <w:rFonts w:cs="宋体" w:asciiTheme="minorEastAsia" w:hAnsiTheme="minorEastAsia"/>
          <w:b/>
          <w:sz w:val="24"/>
          <w:szCs w:val="24"/>
        </w:rPr>
      </w:pPr>
    </w:p>
    <w:p>
      <w:pPr>
        <w:ind w:firstLine="482"/>
        <w:rPr>
          <w:rFonts w:cs="宋体" w:asciiTheme="minorEastAsia" w:hAnsiTheme="minorEastAsia"/>
          <w:b/>
          <w:sz w:val="24"/>
          <w:szCs w:val="24"/>
        </w:rPr>
      </w:pPr>
      <w:r>
        <w:rPr>
          <w:rFonts w:hint="eastAsia" w:cs="宋体" w:asciiTheme="minorEastAsia" w:hAnsiTheme="minorEastAsia"/>
          <w:b/>
          <w:sz w:val="24"/>
          <w:szCs w:val="24"/>
        </w:rPr>
        <w:br w:type="page"/>
      </w:r>
    </w:p>
    <w:p>
      <w:pPr>
        <w:tabs>
          <w:tab w:val="center" w:pos="4832"/>
          <w:tab w:val="left" w:pos="7140"/>
        </w:tabs>
        <w:ind w:firstLine="482"/>
        <w:jc w:val="center"/>
        <w:outlineLvl w:val="1"/>
        <w:rPr>
          <w:rFonts w:cs="宋体" w:asciiTheme="minorEastAsia" w:hAnsiTheme="minorEastAsia"/>
          <w:b/>
          <w:sz w:val="24"/>
          <w:szCs w:val="24"/>
        </w:rPr>
      </w:pPr>
      <w:bookmarkStart w:id="106" w:name="_Toc13516"/>
      <w:r>
        <w:rPr>
          <w:rFonts w:hint="eastAsia" w:cs="宋体" w:asciiTheme="minorEastAsia" w:hAnsiTheme="minorEastAsia"/>
          <w:b/>
          <w:sz w:val="24"/>
          <w:szCs w:val="24"/>
        </w:rPr>
        <w:t>十四、养护作业方案</w:t>
      </w:r>
      <w:bookmarkEnd w:id="106"/>
    </w:p>
    <w:p>
      <w:pPr>
        <w:jc w:val="center"/>
        <w:rPr>
          <w:rFonts w:asciiTheme="minorEastAsia" w:hAnsiTheme="minorEastAsia"/>
          <w:sz w:val="24"/>
          <w:szCs w:val="24"/>
        </w:rPr>
      </w:pPr>
      <w:r>
        <w:rPr>
          <w:rFonts w:hint="eastAsia" w:asciiTheme="minorEastAsia" w:hAnsiTheme="minorEastAsia"/>
          <w:sz w:val="24"/>
          <w:szCs w:val="24"/>
        </w:rPr>
        <w:t>内容由投标单位内编制，格式自拟</w:t>
      </w:r>
    </w:p>
    <w:p>
      <w:pPr>
        <w:ind w:firstLine="482"/>
        <w:rPr>
          <w:rFonts w:cs="宋体" w:asciiTheme="minorEastAsia" w:hAnsiTheme="minorEastAsia"/>
          <w:b/>
          <w:sz w:val="24"/>
          <w:szCs w:val="24"/>
        </w:rPr>
      </w:pPr>
      <w:r>
        <w:rPr>
          <w:rFonts w:hint="eastAsia" w:cs="宋体" w:asciiTheme="minorEastAsia" w:hAnsiTheme="minorEastAsia"/>
          <w:b/>
          <w:sz w:val="24"/>
          <w:szCs w:val="24"/>
        </w:rPr>
        <w:br w:type="page"/>
      </w:r>
    </w:p>
    <w:p>
      <w:pPr>
        <w:tabs>
          <w:tab w:val="center" w:pos="4832"/>
          <w:tab w:val="left" w:pos="7140"/>
        </w:tabs>
        <w:ind w:firstLine="482"/>
        <w:jc w:val="center"/>
        <w:outlineLvl w:val="1"/>
        <w:rPr>
          <w:rFonts w:cs="宋体" w:asciiTheme="minorEastAsia" w:hAnsiTheme="minorEastAsia"/>
          <w:b/>
          <w:sz w:val="24"/>
          <w:szCs w:val="24"/>
        </w:rPr>
      </w:pPr>
      <w:bookmarkStart w:id="107" w:name="_Toc16213"/>
      <w:r>
        <w:rPr>
          <w:rFonts w:hint="eastAsia" w:cs="宋体" w:asciiTheme="minorEastAsia" w:hAnsiTheme="minorEastAsia"/>
          <w:b/>
          <w:sz w:val="24"/>
          <w:szCs w:val="24"/>
        </w:rPr>
        <w:t>十五、质量管理方案</w:t>
      </w:r>
      <w:bookmarkEnd w:id="107"/>
    </w:p>
    <w:p>
      <w:pPr>
        <w:jc w:val="center"/>
        <w:rPr>
          <w:rFonts w:asciiTheme="minorEastAsia" w:hAnsiTheme="minorEastAsia"/>
          <w:sz w:val="24"/>
          <w:szCs w:val="24"/>
        </w:rPr>
      </w:pPr>
      <w:r>
        <w:rPr>
          <w:rFonts w:hint="eastAsia" w:asciiTheme="minorEastAsia" w:hAnsiTheme="minorEastAsia"/>
          <w:sz w:val="24"/>
          <w:szCs w:val="24"/>
        </w:rPr>
        <w:t>内容由投标单位内编制，格式自拟</w:t>
      </w:r>
    </w:p>
    <w:p>
      <w:pPr>
        <w:ind w:firstLine="482"/>
        <w:rPr>
          <w:rFonts w:cs="宋体" w:asciiTheme="minorEastAsia" w:hAnsiTheme="minorEastAsia"/>
          <w:b/>
          <w:sz w:val="24"/>
          <w:szCs w:val="24"/>
        </w:rPr>
      </w:pPr>
      <w:r>
        <w:rPr>
          <w:rFonts w:hint="eastAsia" w:cs="宋体" w:asciiTheme="minorEastAsia" w:hAnsiTheme="minorEastAsia"/>
          <w:b/>
          <w:sz w:val="24"/>
          <w:szCs w:val="24"/>
        </w:rPr>
        <w:br w:type="page"/>
      </w:r>
    </w:p>
    <w:p>
      <w:pPr>
        <w:tabs>
          <w:tab w:val="center" w:pos="4832"/>
          <w:tab w:val="left" w:pos="7140"/>
        </w:tabs>
        <w:ind w:firstLine="482"/>
        <w:jc w:val="center"/>
        <w:outlineLvl w:val="1"/>
        <w:rPr>
          <w:rFonts w:cs="宋体" w:asciiTheme="minorEastAsia" w:hAnsiTheme="minorEastAsia"/>
          <w:b/>
          <w:sz w:val="24"/>
          <w:szCs w:val="24"/>
        </w:rPr>
      </w:pPr>
      <w:bookmarkStart w:id="108" w:name="_Toc8126"/>
      <w:r>
        <w:rPr>
          <w:rFonts w:hint="eastAsia" w:cs="宋体" w:asciiTheme="minorEastAsia" w:hAnsiTheme="minorEastAsia"/>
          <w:b/>
          <w:sz w:val="24"/>
          <w:szCs w:val="24"/>
        </w:rPr>
        <w:t>十六、应急抢险方案</w:t>
      </w:r>
      <w:bookmarkEnd w:id="108"/>
    </w:p>
    <w:p>
      <w:pPr>
        <w:jc w:val="center"/>
        <w:rPr>
          <w:rFonts w:asciiTheme="minorEastAsia" w:hAnsiTheme="minorEastAsia"/>
          <w:sz w:val="24"/>
          <w:szCs w:val="24"/>
        </w:rPr>
      </w:pPr>
      <w:r>
        <w:rPr>
          <w:rFonts w:hint="eastAsia" w:asciiTheme="minorEastAsia" w:hAnsiTheme="minorEastAsia"/>
          <w:sz w:val="24"/>
          <w:szCs w:val="24"/>
        </w:rPr>
        <w:t>内容由投标单位内编制，格式自拟</w:t>
      </w:r>
    </w:p>
    <w:p>
      <w:pPr>
        <w:ind w:firstLine="482"/>
        <w:rPr>
          <w:rFonts w:cs="宋体" w:asciiTheme="minorEastAsia" w:hAnsiTheme="minorEastAsia"/>
          <w:b/>
          <w:sz w:val="24"/>
          <w:szCs w:val="24"/>
        </w:rPr>
      </w:pPr>
      <w:r>
        <w:rPr>
          <w:rFonts w:hint="eastAsia" w:cs="宋体" w:asciiTheme="minorEastAsia" w:hAnsiTheme="minorEastAsia"/>
          <w:b/>
          <w:sz w:val="24"/>
          <w:szCs w:val="24"/>
        </w:rPr>
        <w:br w:type="page"/>
      </w:r>
    </w:p>
    <w:p>
      <w:pPr>
        <w:tabs>
          <w:tab w:val="center" w:pos="4832"/>
          <w:tab w:val="left" w:pos="7140"/>
        </w:tabs>
        <w:ind w:firstLine="482"/>
        <w:jc w:val="center"/>
        <w:outlineLvl w:val="1"/>
        <w:rPr>
          <w:rFonts w:cs="宋体" w:asciiTheme="minorEastAsia" w:hAnsiTheme="minorEastAsia"/>
          <w:b/>
          <w:sz w:val="24"/>
          <w:szCs w:val="24"/>
        </w:rPr>
      </w:pPr>
      <w:bookmarkStart w:id="109" w:name="_Toc2345"/>
      <w:r>
        <w:rPr>
          <w:rFonts w:hint="eastAsia" w:cs="宋体" w:asciiTheme="minorEastAsia" w:hAnsiTheme="minorEastAsia"/>
          <w:b/>
          <w:sz w:val="24"/>
          <w:szCs w:val="24"/>
        </w:rPr>
        <w:t>十七、安全服务方案</w:t>
      </w:r>
      <w:bookmarkEnd w:id="109"/>
    </w:p>
    <w:p>
      <w:pPr>
        <w:jc w:val="center"/>
        <w:rPr>
          <w:rFonts w:asciiTheme="minorEastAsia" w:hAnsiTheme="minorEastAsia"/>
          <w:sz w:val="24"/>
          <w:szCs w:val="24"/>
        </w:rPr>
      </w:pPr>
      <w:r>
        <w:rPr>
          <w:rFonts w:hint="eastAsia" w:asciiTheme="minorEastAsia" w:hAnsiTheme="minorEastAsia"/>
          <w:sz w:val="24"/>
          <w:szCs w:val="24"/>
        </w:rPr>
        <w:t>内容由投标单位内编制，格式自拟</w:t>
      </w:r>
    </w:p>
    <w:p>
      <w:pPr>
        <w:ind w:firstLine="482"/>
        <w:rPr>
          <w:rFonts w:cs="宋体" w:asciiTheme="minorEastAsia" w:hAnsiTheme="minorEastAsia"/>
          <w:b/>
          <w:sz w:val="24"/>
          <w:szCs w:val="24"/>
        </w:rPr>
      </w:pPr>
      <w:r>
        <w:rPr>
          <w:rFonts w:hint="eastAsia" w:cs="宋体" w:asciiTheme="minorEastAsia" w:hAnsiTheme="minorEastAsia"/>
          <w:b/>
          <w:sz w:val="24"/>
          <w:szCs w:val="24"/>
        </w:rPr>
        <w:br w:type="page"/>
      </w:r>
    </w:p>
    <w:p>
      <w:pPr>
        <w:tabs>
          <w:tab w:val="center" w:pos="4832"/>
          <w:tab w:val="left" w:pos="7140"/>
        </w:tabs>
        <w:ind w:firstLine="482"/>
        <w:jc w:val="center"/>
        <w:outlineLvl w:val="1"/>
        <w:rPr>
          <w:rFonts w:cs="宋体" w:asciiTheme="minorEastAsia" w:hAnsiTheme="minorEastAsia"/>
          <w:b/>
          <w:sz w:val="24"/>
          <w:szCs w:val="24"/>
        </w:rPr>
      </w:pPr>
      <w:bookmarkStart w:id="110" w:name="_Toc19684"/>
      <w:r>
        <w:rPr>
          <w:rFonts w:hint="eastAsia" w:cs="宋体" w:asciiTheme="minorEastAsia" w:hAnsiTheme="minorEastAsia"/>
          <w:b/>
          <w:sz w:val="24"/>
          <w:szCs w:val="24"/>
        </w:rPr>
        <w:t>十八、文明作业方案</w:t>
      </w:r>
      <w:bookmarkEnd w:id="110"/>
    </w:p>
    <w:p>
      <w:pPr>
        <w:jc w:val="center"/>
        <w:rPr>
          <w:rFonts w:asciiTheme="minorEastAsia" w:hAnsiTheme="minorEastAsia"/>
          <w:sz w:val="24"/>
          <w:szCs w:val="24"/>
        </w:rPr>
      </w:pPr>
      <w:r>
        <w:rPr>
          <w:rFonts w:hint="eastAsia" w:asciiTheme="minorEastAsia" w:hAnsiTheme="minorEastAsia"/>
          <w:sz w:val="24"/>
          <w:szCs w:val="24"/>
        </w:rPr>
        <w:t>内容由投标单位内编制，格式自拟</w:t>
      </w:r>
    </w:p>
    <w:p>
      <w:pPr>
        <w:ind w:firstLine="482"/>
        <w:rPr>
          <w:rFonts w:cs="宋体" w:asciiTheme="minorEastAsia" w:hAnsiTheme="minorEastAsia"/>
          <w:b/>
          <w:sz w:val="24"/>
          <w:szCs w:val="24"/>
        </w:rPr>
      </w:pPr>
      <w:r>
        <w:rPr>
          <w:rFonts w:hint="eastAsia" w:cs="宋体" w:asciiTheme="minorEastAsia" w:hAnsiTheme="minorEastAsia"/>
          <w:b/>
          <w:sz w:val="24"/>
          <w:szCs w:val="24"/>
        </w:rPr>
        <w:br w:type="page"/>
      </w:r>
    </w:p>
    <w:p>
      <w:pPr>
        <w:widowControl/>
        <w:ind w:firstLine="482"/>
        <w:jc w:val="center"/>
        <w:outlineLvl w:val="1"/>
        <w:rPr>
          <w:rFonts w:cs="宋体" w:asciiTheme="minorEastAsia" w:hAnsiTheme="minorEastAsia"/>
          <w:b/>
          <w:sz w:val="24"/>
          <w:szCs w:val="24"/>
        </w:rPr>
      </w:pPr>
      <w:bookmarkStart w:id="111" w:name="_Toc25075"/>
      <w:r>
        <w:rPr>
          <w:rFonts w:hint="eastAsia" w:cs="宋体" w:asciiTheme="minorEastAsia" w:hAnsiTheme="minorEastAsia"/>
          <w:b/>
          <w:sz w:val="24"/>
          <w:szCs w:val="24"/>
        </w:rPr>
        <w:t>十九、其他需要提交的资料</w:t>
      </w:r>
      <w:bookmarkEnd w:id="111"/>
    </w:p>
    <w:p>
      <w:pPr>
        <w:spacing w:line="360" w:lineRule="auto"/>
        <w:ind w:firstLine="480" w:firstLineChars="200"/>
        <w:jc w:val="center"/>
        <w:rPr>
          <w:rFonts w:cs="Times New Roman" w:asciiTheme="minorEastAsia" w:hAnsiTheme="minorEastAsia"/>
          <w:sz w:val="24"/>
          <w:szCs w:val="24"/>
        </w:rPr>
      </w:pPr>
      <w:r>
        <w:rPr>
          <w:rFonts w:hint="eastAsia" w:cs="Times New Roman" w:asciiTheme="minorEastAsia" w:hAnsiTheme="minorEastAsia"/>
          <w:sz w:val="24"/>
          <w:szCs w:val="24"/>
        </w:rPr>
        <w:t>根据招标文件的要求和投标人认为需要提供的资料</w:t>
      </w:r>
    </w:p>
    <w:p>
      <w:pPr>
        <w:spacing w:line="360" w:lineRule="auto"/>
        <w:ind w:firstLine="480" w:firstLineChars="200"/>
        <w:rPr>
          <w:rFonts w:cs="Times New Roman" w:asciiTheme="minorEastAsia" w:hAnsiTheme="minorEastAsia"/>
          <w:sz w:val="24"/>
          <w:szCs w:val="24"/>
        </w:rPr>
      </w:pPr>
    </w:p>
    <w:p>
      <w:pPr>
        <w:rPr>
          <w:rFonts w:cs="Times New Roman" w:asciiTheme="minorEastAsia" w:hAnsiTheme="minorEastAsia"/>
        </w:rPr>
      </w:pPr>
    </w:p>
    <w:p>
      <w:pPr>
        <w:spacing w:line="440" w:lineRule="exact"/>
        <w:jc w:val="center"/>
        <w:outlineLvl w:val="0"/>
        <w:rPr>
          <w:rFonts w:cs="宋体" w:asciiTheme="minorEastAsia" w:hAnsiTheme="minorEastAsia"/>
          <w:b/>
          <w:sz w:val="24"/>
          <w:szCs w:val="24"/>
        </w:rPr>
      </w:pPr>
      <w:r>
        <w:rPr>
          <w:rFonts w:cs="Times New Roman" w:asciiTheme="minorEastAsia" w:hAnsiTheme="minorEastAsia"/>
        </w:rPr>
        <w:br w:type="page"/>
      </w:r>
      <w:bookmarkStart w:id="112" w:name="_Toc8564"/>
      <w:r>
        <w:rPr>
          <w:rFonts w:hint="eastAsia" w:cs="宋体" w:asciiTheme="minorEastAsia" w:hAnsiTheme="minorEastAsia"/>
          <w:b/>
          <w:sz w:val="24"/>
          <w:szCs w:val="24"/>
        </w:rPr>
        <w:t>第六章补充条款</w:t>
      </w:r>
      <w:bookmarkEnd w:id="112"/>
    </w:p>
    <w:p>
      <w:pPr>
        <w:spacing w:line="440" w:lineRule="exact"/>
        <w:ind w:firstLine="482"/>
        <w:jc w:val="center"/>
        <w:outlineLvl w:val="0"/>
        <w:rPr>
          <w:rFonts w:cs="宋体" w:asciiTheme="minorEastAsia" w:hAnsiTheme="minorEastAsia"/>
          <w:b/>
          <w:sz w:val="24"/>
          <w:szCs w:val="24"/>
        </w:rPr>
      </w:pPr>
    </w:p>
    <w:p>
      <w:pPr>
        <w:spacing w:line="440" w:lineRule="exact"/>
        <w:ind w:firstLine="482"/>
        <w:jc w:val="center"/>
        <w:outlineLvl w:val="0"/>
        <w:rPr>
          <w:rFonts w:cs="宋体" w:asciiTheme="minorEastAsia" w:hAnsiTheme="minorEastAsia"/>
          <w:b/>
          <w:sz w:val="24"/>
          <w:szCs w:val="24"/>
        </w:rPr>
      </w:pPr>
    </w:p>
    <w:p>
      <w:pPr>
        <w:rPr>
          <w:rFonts w:asciiTheme="minorEastAsia" w:hAnsiTheme="minorEastAsia"/>
        </w:rPr>
      </w:pPr>
    </w:p>
    <w:p>
      <w:pPr>
        <w:widowControl/>
        <w:jc w:val="left"/>
        <w:rPr>
          <w:rFonts w:asciiTheme="minorEastAsia" w:hAnsiTheme="minorEastAsia"/>
        </w:rPr>
      </w:pPr>
    </w:p>
    <w:sectPr>
      <w:pgSz w:w="11906" w:h="16838"/>
      <w:pgMar w:top="1134" w:right="1417" w:bottom="1134" w:left="1417"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
    <w:altName w:val="Times New Roman"/>
    <w:panose1 w:val="00000000000000000000"/>
    <w:charset w:val="00"/>
    <w:family w:val="auto"/>
    <w:pitch w:val="default"/>
    <w:sig w:usb0="00000000" w:usb1="00000000" w:usb2="00000000" w:usb3="00000000" w:csb0="00000001" w:csb1="00000000"/>
  </w:font>
  <w:font w:name="??">
    <w:altName w:val="Times New Roman"/>
    <w:panose1 w:val="00000000000000000000"/>
    <w:charset w:val="00"/>
    <w:family w:val="roman"/>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monospace">
    <w:altName w:val="Courier New"/>
    <w:panose1 w:val="00000000000000000000"/>
    <w:charset w:val="00"/>
    <w:family w:val="auto"/>
    <w:pitch w:val="default"/>
    <w:sig w:usb0="00000000" w:usb1="00000000" w:usb2="00000000" w:usb3="00000000" w:csb0="00000001" w:csb1="00000000"/>
  </w:font>
  <w:font w:name="Trebuchet MS">
    <w:panose1 w:val="020B0603020202020204"/>
    <w:charset w:val="00"/>
    <w:family w:val="swiss"/>
    <w:pitch w:val="default"/>
    <w:sig w:usb0="00000287" w:usb1="00000000" w:usb2="00000000" w:usb3="00000000" w:csb0="2000009F" w:csb1="00000000"/>
  </w:font>
  <w:font w:name="方正仿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等线">
    <w:altName w:val="微软雅黑"/>
    <w:panose1 w:val="00000000000000000000"/>
    <w:charset w:val="86"/>
    <w:family w:val="auto"/>
    <w:pitch w:val="default"/>
    <w:sig w:usb0="00000000" w:usb1="00000000"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90"/>
      <w:jc w:val="right"/>
    </w:pP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8"/>
      </w:rPr>
    </w:pPr>
    <w:r>
      <w:rPr>
        <w:rStyle w:val="38"/>
      </w:rPr>
      <w:fldChar w:fldCharType="begin"/>
    </w:r>
    <w:r>
      <w:rPr>
        <w:rStyle w:val="38"/>
      </w:rPr>
      <w:instrText xml:space="preserve">PAGE  </w:instrText>
    </w:r>
    <w:r>
      <w:rPr>
        <w:rStyle w:val="38"/>
      </w:rPr>
      <w:fldChar w:fldCharType="separate"/>
    </w:r>
    <w:r>
      <w:rPr>
        <w:rStyle w:val="38"/>
      </w:rPr>
      <w:t>68</w:t>
    </w:r>
    <w:r>
      <w:rPr>
        <w:rStyle w:val="38"/>
      </w:rPr>
      <w:fldChar w:fldCharType="end"/>
    </w:r>
  </w:p>
  <w:p>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97012019"/>
    </w:sdtPr>
    <w:sdtEndPr>
      <w:rPr>
        <w:rFonts w:asciiTheme="minorEastAsia" w:hAnsiTheme="minorEastAsia" w:eastAsiaTheme="minorEastAsia"/>
        <w:sz w:val="30"/>
        <w:szCs w:val="30"/>
      </w:rPr>
    </w:sdtEndPr>
    <w:sdtContent>
      <w:p>
        <w:pPr>
          <w:pStyle w:val="19"/>
          <w:jc w:val="right"/>
          <w:rPr>
            <w:rFonts w:asciiTheme="minorEastAsia" w:hAnsiTheme="minorEastAsia" w:eastAsiaTheme="minorEastAsia"/>
            <w:sz w:val="30"/>
            <w:szCs w:val="30"/>
          </w:rPr>
        </w:pPr>
        <w:r>
          <w:rPr>
            <w:rFonts w:asciiTheme="minorEastAsia" w:hAnsiTheme="minorEastAsia" w:eastAsiaTheme="minorEastAsia"/>
            <w:sz w:val="30"/>
            <w:szCs w:val="30"/>
          </w:rPr>
          <w:fldChar w:fldCharType="begin"/>
        </w:r>
        <w:r>
          <w:rPr>
            <w:rFonts w:asciiTheme="minorEastAsia" w:hAnsiTheme="minorEastAsia" w:eastAsiaTheme="minorEastAsia"/>
            <w:sz w:val="30"/>
            <w:szCs w:val="30"/>
          </w:rPr>
          <w:instrText xml:space="preserve">PAGE   \* MERGEFORMAT</w:instrText>
        </w:r>
        <w:r>
          <w:rPr>
            <w:rFonts w:asciiTheme="minorEastAsia" w:hAnsiTheme="minorEastAsia" w:eastAsiaTheme="minorEastAsia"/>
            <w:sz w:val="30"/>
            <w:szCs w:val="30"/>
          </w:rPr>
          <w:fldChar w:fldCharType="separate"/>
        </w:r>
        <w:r>
          <w:rPr>
            <w:rFonts w:asciiTheme="minorEastAsia" w:hAnsiTheme="minorEastAsia" w:eastAsiaTheme="minorEastAsia"/>
            <w:sz w:val="30"/>
            <w:szCs w:val="30"/>
            <w:lang w:val="zh-CN"/>
          </w:rPr>
          <w:t>144</w:t>
        </w:r>
        <w:r>
          <w:rPr>
            <w:rFonts w:asciiTheme="minorEastAsia" w:hAnsiTheme="minorEastAsia" w:eastAsiaTheme="minorEastAsia"/>
            <w:sz w:val="30"/>
            <w:szCs w:val="30"/>
          </w:rPr>
          <w:fldChar w:fldCharType="end"/>
        </w:r>
      </w:p>
    </w:sdtContent>
  </w:sdt>
  <w:p>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FF134B"/>
    <w:multiLevelType w:val="singleLevel"/>
    <w:tmpl w:val="C9FF134B"/>
    <w:lvl w:ilvl="0" w:tentative="0">
      <w:start w:val="8"/>
      <w:numFmt w:val="chineseCounting"/>
      <w:suff w:val="nothing"/>
      <w:lvlText w:val="%1、"/>
      <w:lvlJc w:val="left"/>
      <w:rPr>
        <w:rFonts w:hint="eastAsia"/>
      </w:rPr>
    </w:lvl>
  </w:abstractNum>
  <w:abstractNum w:abstractNumId="1">
    <w:nsid w:val="03C5D12A"/>
    <w:multiLevelType w:val="singleLevel"/>
    <w:tmpl w:val="03C5D12A"/>
    <w:lvl w:ilvl="0" w:tentative="0">
      <w:start w:val="1"/>
      <w:numFmt w:val="decimal"/>
      <w:suff w:val="nothing"/>
      <w:lvlText w:val="%1、"/>
      <w:lvlJc w:val="left"/>
    </w:lvl>
  </w:abstractNum>
  <w:abstractNum w:abstractNumId="2">
    <w:nsid w:val="644E5166"/>
    <w:multiLevelType w:val="multilevel"/>
    <w:tmpl w:val="644E5166"/>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2NDAzNTdiODgxMGNlZDYyOWVjNjExOWU2NGY1MDEifQ=="/>
  </w:docVars>
  <w:rsids>
    <w:rsidRoot w:val="00101AA4"/>
    <w:rsid w:val="00001340"/>
    <w:rsid w:val="000014B8"/>
    <w:rsid w:val="00004DAA"/>
    <w:rsid w:val="00006BD9"/>
    <w:rsid w:val="00007BA8"/>
    <w:rsid w:val="00014F7D"/>
    <w:rsid w:val="000162FE"/>
    <w:rsid w:val="000244CA"/>
    <w:rsid w:val="00030171"/>
    <w:rsid w:val="00033566"/>
    <w:rsid w:val="00036B12"/>
    <w:rsid w:val="000400E8"/>
    <w:rsid w:val="000406B4"/>
    <w:rsid w:val="00046152"/>
    <w:rsid w:val="0005003E"/>
    <w:rsid w:val="000604DE"/>
    <w:rsid w:val="000641A9"/>
    <w:rsid w:val="00070AF5"/>
    <w:rsid w:val="00073D96"/>
    <w:rsid w:val="000762D4"/>
    <w:rsid w:val="0008025F"/>
    <w:rsid w:val="00080E16"/>
    <w:rsid w:val="00082FC4"/>
    <w:rsid w:val="000904A3"/>
    <w:rsid w:val="000916AB"/>
    <w:rsid w:val="000923E8"/>
    <w:rsid w:val="00094989"/>
    <w:rsid w:val="000A02F9"/>
    <w:rsid w:val="000A32B9"/>
    <w:rsid w:val="000A3552"/>
    <w:rsid w:val="000B210F"/>
    <w:rsid w:val="000B331B"/>
    <w:rsid w:val="000D171A"/>
    <w:rsid w:val="000D7CE7"/>
    <w:rsid w:val="000E5B9C"/>
    <w:rsid w:val="000E7461"/>
    <w:rsid w:val="000F5328"/>
    <w:rsid w:val="00101AA4"/>
    <w:rsid w:val="001063D0"/>
    <w:rsid w:val="0010650C"/>
    <w:rsid w:val="00124517"/>
    <w:rsid w:val="00127B38"/>
    <w:rsid w:val="0013312B"/>
    <w:rsid w:val="00134F82"/>
    <w:rsid w:val="001355E3"/>
    <w:rsid w:val="0013743D"/>
    <w:rsid w:val="0014066A"/>
    <w:rsid w:val="00146E26"/>
    <w:rsid w:val="00147C03"/>
    <w:rsid w:val="00150F22"/>
    <w:rsid w:val="0015794E"/>
    <w:rsid w:val="0016517F"/>
    <w:rsid w:val="001733AF"/>
    <w:rsid w:val="00176FAD"/>
    <w:rsid w:val="0018505E"/>
    <w:rsid w:val="001A2117"/>
    <w:rsid w:val="001A45DD"/>
    <w:rsid w:val="001A4E5A"/>
    <w:rsid w:val="001B1748"/>
    <w:rsid w:val="001D50A5"/>
    <w:rsid w:val="001E33A7"/>
    <w:rsid w:val="001E3D69"/>
    <w:rsid w:val="001E4755"/>
    <w:rsid w:val="001E6E8F"/>
    <w:rsid w:val="001F3A08"/>
    <w:rsid w:val="001F610A"/>
    <w:rsid w:val="001F7556"/>
    <w:rsid w:val="00200BA8"/>
    <w:rsid w:val="002055DD"/>
    <w:rsid w:val="00205DF6"/>
    <w:rsid w:val="0022177D"/>
    <w:rsid w:val="00226DEC"/>
    <w:rsid w:val="00236D43"/>
    <w:rsid w:val="002472C0"/>
    <w:rsid w:val="002508FA"/>
    <w:rsid w:val="00253DC3"/>
    <w:rsid w:val="002541CE"/>
    <w:rsid w:val="00257F22"/>
    <w:rsid w:val="002604A7"/>
    <w:rsid w:val="00260910"/>
    <w:rsid w:val="00266F04"/>
    <w:rsid w:val="00267801"/>
    <w:rsid w:val="00276908"/>
    <w:rsid w:val="002831CB"/>
    <w:rsid w:val="00283732"/>
    <w:rsid w:val="002967DA"/>
    <w:rsid w:val="002A69CC"/>
    <w:rsid w:val="002B0041"/>
    <w:rsid w:val="002C2DD2"/>
    <w:rsid w:val="002C62E9"/>
    <w:rsid w:val="002D3439"/>
    <w:rsid w:val="002D6CF2"/>
    <w:rsid w:val="002E5AAD"/>
    <w:rsid w:val="002F10F5"/>
    <w:rsid w:val="002F2283"/>
    <w:rsid w:val="002F2528"/>
    <w:rsid w:val="00300C92"/>
    <w:rsid w:val="003011C0"/>
    <w:rsid w:val="00304D2D"/>
    <w:rsid w:val="00305A20"/>
    <w:rsid w:val="00313F13"/>
    <w:rsid w:val="00315623"/>
    <w:rsid w:val="00315D4B"/>
    <w:rsid w:val="00315D59"/>
    <w:rsid w:val="00316DBA"/>
    <w:rsid w:val="00331C14"/>
    <w:rsid w:val="00360D30"/>
    <w:rsid w:val="00361C9D"/>
    <w:rsid w:val="00363991"/>
    <w:rsid w:val="00364473"/>
    <w:rsid w:val="00370F25"/>
    <w:rsid w:val="00376E83"/>
    <w:rsid w:val="003915AF"/>
    <w:rsid w:val="003A5B50"/>
    <w:rsid w:val="003B70AD"/>
    <w:rsid w:val="003C0B9E"/>
    <w:rsid w:val="003D01BB"/>
    <w:rsid w:val="003D05EA"/>
    <w:rsid w:val="003D4211"/>
    <w:rsid w:val="003E4A7A"/>
    <w:rsid w:val="003E7EF1"/>
    <w:rsid w:val="0040310D"/>
    <w:rsid w:val="004052A4"/>
    <w:rsid w:val="004220B6"/>
    <w:rsid w:val="00432C0C"/>
    <w:rsid w:val="00433EED"/>
    <w:rsid w:val="00435B53"/>
    <w:rsid w:val="00444EE1"/>
    <w:rsid w:val="0044799D"/>
    <w:rsid w:val="0045091A"/>
    <w:rsid w:val="00452BB8"/>
    <w:rsid w:val="004640C1"/>
    <w:rsid w:val="004A010F"/>
    <w:rsid w:val="004A266D"/>
    <w:rsid w:val="004A4981"/>
    <w:rsid w:val="004A5376"/>
    <w:rsid w:val="004A6517"/>
    <w:rsid w:val="004A68AF"/>
    <w:rsid w:val="004A7D7E"/>
    <w:rsid w:val="004B0537"/>
    <w:rsid w:val="004B10F1"/>
    <w:rsid w:val="004C4F38"/>
    <w:rsid w:val="004D11B3"/>
    <w:rsid w:val="004D75D5"/>
    <w:rsid w:val="004E2088"/>
    <w:rsid w:val="004E419C"/>
    <w:rsid w:val="004E7786"/>
    <w:rsid w:val="004F0D23"/>
    <w:rsid w:val="00501303"/>
    <w:rsid w:val="00507DCF"/>
    <w:rsid w:val="00520FE8"/>
    <w:rsid w:val="00526F0E"/>
    <w:rsid w:val="005307A5"/>
    <w:rsid w:val="0053132A"/>
    <w:rsid w:val="00535245"/>
    <w:rsid w:val="0054181E"/>
    <w:rsid w:val="0055435D"/>
    <w:rsid w:val="00566F28"/>
    <w:rsid w:val="00577ECB"/>
    <w:rsid w:val="00577FFA"/>
    <w:rsid w:val="00582F95"/>
    <w:rsid w:val="005879D1"/>
    <w:rsid w:val="005A215C"/>
    <w:rsid w:val="005A3E3A"/>
    <w:rsid w:val="005A69CA"/>
    <w:rsid w:val="005C3710"/>
    <w:rsid w:val="005C53A8"/>
    <w:rsid w:val="005D651D"/>
    <w:rsid w:val="005E3C18"/>
    <w:rsid w:val="005E617A"/>
    <w:rsid w:val="005F41B4"/>
    <w:rsid w:val="005F6E39"/>
    <w:rsid w:val="0060072E"/>
    <w:rsid w:val="00600C9C"/>
    <w:rsid w:val="006046A9"/>
    <w:rsid w:val="00621EF9"/>
    <w:rsid w:val="00622699"/>
    <w:rsid w:val="00630AAC"/>
    <w:rsid w:val="006314C2"/>
    <w:rsid w:val="00631C5A"/>
    <w:rsid w:val="00632F36"/>
    <w:rsid w:val="00635EE6"/>
    <w:rsid w:val="0063610A"/>
    <w:rsid w:val="006367D4"/>
    <w:rsid w:val="00644CAA"/>
    <w:rsid w:val="0064722F"/>
    <w:rsid w:val="00647D58"/>
    <w:rsid w:val="00652A1B"/>
    <w:rsid w:val="00652A7E"/>
    <w:rsid w:val="00657AD0"/>
    <w:rsid w:val="00661E10"/>
    <w:rsid w:val="0066681E"/>
    <w:rsid w:val="006728AB"/>
    <w:rsid w:val="00674A1B"/>
    <w:rsid w:val="006804BB"/>
    <w:rsid w:val="00691151"/>
    <w:rsid w:val="0069486A"/>
    <w:rsid w:val="006A4AC4"/>
    <w:rsid w:val="006A5498"/>
    <w:rsid w:val="006A74F0"/>
    <w:rsid w:val="006B014A"/>
    <w:rsid w:val="006B2DDD"/>
    <w:rsid w:val="006B6739"/>
    <w:rsid w:val="006C06C9"/>
    <w:rsid w:val="006C08F0"/>
    <w:rsid w:val="006C214D"/>
    <w:rsid w:val="006C551A"/>
    <w:rsid w:val="006E10BD"/>
    <w:rsid w:val="006E249F"/>
    <w:rsid w:val="006E344D"/>
    <w:rsid w:val="006E51CF"/>
    <w:rsid w:val="006F2A4E"/>
    <w:rsid w:val="006F6DB0"/>
    <w:rsid w:val="006F7BBE"/>
    <w:rsid w:val="00704AEC"/>
    <w:rsid w:val="00711806"/>
    <w:rsid w:val="00711DFE"/>
    <w:rsid w:val="007137F1"/>
    <w:rsid w:val="007156D2"/>
    <w:rsid w:val="007165FF"/>
    <w:rsid w:val="0072037A"/>
    <w:rsid w:val="00734ABC"/>
    <w:rsid w:val="007404E3"/>
    <w:rsid w:val="0075151D"/>
    <w:rsid w:val="00754459"/>
    <w:rsid w:val="0075556E"/>
    <w:rsid w:val="00767044"/>
    <w:rsid w:val="00784173"/>
    <w:rsid w:val="00787D19"/>
    <w:rsid w:val="007920FE"/>
    <w:rsid w:val="00796034"/>
    <w:rsid w:val="007A0E43"/>
    <w:rsid w:val="007A5319"/>
    <w:rsid w:val="007A7EF1"/>
    <w:rsid w:val="007B2A84"/>
    <w:rsid w:val="007C66D2"/>
    <w:rsid w:val="007D2A30"/>
    <w:rsid w:val="007D45D4"/>
    <w:rsid w:val="007D68A5"/>
    <w:rsid w:val="007F2D7C"/>
    <w:rsid w:val="007F6C55"/>
    <w:rsid w:val="0080672E"/>
    <w:rsid w:val="008068DA"/>
    <w:rsid w:val="008068EC"/>
    <w:rsid w:val="00813D04"/>
    <w:rsid w:val="0081414C"/>
    <w:rsid w:val="00820914"/>
    <w:rsid w:val="008247D9"/>
    <w:rsid w:val="00826C3A"/>
    <w:rsid w:val="00843C8F"/>
    <w:rsid w:val="00846F1B"/>
    <w:rsid w:val="00857654"/>
    <w:rsid w:val="00857B62"/>
    <w:rsid w:val="00862EBB"/>
    <w:rsid w:val="008631DD"/>
    <w:rsid w:val="008703DB"/>
    <w:rsid w:val="00872CE4"/>
    <w:rsid w:val="00877E4D"/>
    <w:rsid w:val="00884BA6"/>
    <w:rsid w:val="008858F6"/>
    <w:rsid w:val="00892DE8"/>
    <w:rsid w:val="008A6628"/>
    <w:rsid w:val="008B044A"/>
    <w:rsid w:val="008B1D39"/>
    <w:rsid w:val="008B5573"/>
    <w:rsid w:val="008C6135"/>
    <w:rsid w:val="008D5387"/>
    <w:rsid w:val="008F1D6D"/>
    <w:rsid w:val="008F6AA2"/>
    <w:rsid w:val="00900116"/>
    <w:rsid w:val="00910B36"/>
    <w:rsid w:val="0091776B"/>
    <w:rsid w:val="00920867"/>
    <w:rsid w:val="00922592"/>
    <w:rsid w:val="00926EE7"/>
    <w:rsid w:val="009324FE"/>
    <w:rsid w:val="0094041C"/>
    <w:rsid w:val="0094055B"/>
    <w:rsid w:val="00941545"/>
    <w:rsid w:val="009437A7"/>
    <w:rsid w:val="00946789"/>
    <w:rsid w:val="00955047"/>
    <w:rsid w:val="009613A3"/>
    <w:rsid w:val="0096147D"/>
    <w:rsid w:val="00965552"/>
    <w:rsid w:val="0096574A"/>
    <w:rsid w:val="00965D93"/>
    <w:rsid w:val="0096617A"/>
    <w:rsid w:val="009700E7"/>
    <w:rsid w:val="00975775"/>
    <w:rsid w:val="00981749"/>
    <w:rsid w:val="009840B0"/>
    <w:rsid w:val="009869E5"/>
    <w:rsid w:val="009930AE"/>
    <w:rsid w:val="009A456E"/>
    <w:rsid w:val="009A6799"/>
    <w:rsid w:val="009A693B"/>
    <w:rsid w:val="009A7284"/>
    <w:rsid w:val="009B074B"/>
    <w:rsid w:val="009B0A3E"/>
    <w:rsid w:val="009B353F"/>
    <w:rsid w:val="009B5E2B"/>
    <w:rsid w:val="009C598B"/>
    <w:rsid w:val="009C7FD8"/>
    <w:rsid w:val="009D05BF"/>
    <w:rsid w:val="009D0D96"/>
    <w:rsid w:val="009D2432"/>
    <w:rsid w:val="009D5201"/>
    <w:rsid w:val="009E22E8"/>
    <w:rsid w:val="009F064F"/>
    <w:rsid w:val="009F15EF"/>
    <w:rsid w:val="009F24D1"/>
    <w:rsid w:val="00A01EFD"/>
    <w:rsid w:val="00A0318F"/>
    <w:rsid w:val="00A04B51"/>
    <w:rsid w:val="00A068B7"/>
    <w:rsid w:val="00A13FDE"/>
    <w:rsid w:val="00A17158"/>
    <w:rsid w:val="00A20856"/>
    <w:rsid w:val="00A320D2"/>
    <w:rsid w:val="00A33E52"/>
    <w:rsid w:val="00A377F1"/>
    <w:rsid w:val="00A41CA5"/>
    <w:rsid w:val="00A46BC3"/>
    <w:rsid w:val="00A56EFA"/>
    <w:rsid w:val="00A57C84"/>
    <w:rsid w:val="00A648D2"/>
    <w:rsid w:val="00A648FB"/>
    <w:rsid w:val="00A665B8"/>
    <w:rsid w:val="00A841E3"/>
    <w:rsid w:val="00A920ED"/>
    <w:rsid w:val="00A96813"/>
    <w:rsid w:val="00A97447"/>
    <w:rsid w:val="00AA0874"/>
    <w:rsid w:val="00AA0C7F"/>
    <w:rsid w:val="00AA1E25"/>
    <w:rsid w:val="00AA3DE1"/>
    <w:rsid w:val="00AA65EF"/>
    <w:rsid w:val="00AB07FC"/>
    <w:rsid w:val="00AB0BCB"/>
    <w:rsid w:val="00AB3FFC"/>
    <w:rsid w:val="00AB706C"/>
    <w:rsid w:val="00AB7635"/>
    <w:rsid w:val="00AB7D40"/>
    <w:rsid w:val="00AC169A"/>
    <w:rsid w:val="00AC17BD"/>
    <w:rsid w:val="00AD0858"/>
    <w:rsid w:val="00AD159E"/>
    <w:rsid w:val="00AD3FA3"/>
    <w:rsid w:val="00AE2F7F"/>
    <w:rsid w:val="00AF35AE"/>
    <w:rsid w:val="00B20979"/>
    <w:rsid w:val="00B3004A"/>
    <w:rsid w:val="00B3066F"/>
    <w:rsid w:val="00B32FDE"/>
    <w:rsid w:val="00B3485C"/>
    <w:rsid w:val="00B3551C"/>
    <w:rsid w:val="00B455A2"/>
    <w:rsid w:val="00B51751"/>
    <w:rsid w:val="00B55DD4"/>
    <w:rsid w:val="00B628A3"/>
    <w:rsid w:val="00B65DD7"/>
    <w:rsid w:val="00B66DAD"/>
    <w:rsid w:val="00B76B5B"/>
    <w:rsid w:val="00B836E8"/>
    <w:rsid w:val="00B841A4"/>
    <w:rsid w:val="00B871DD"/>
    <w:rsid w:val="00BA1954"/>
    <w:rsid w:val="00BB33FE"/>
    <w:rsid w:val="00BB5C5F"/>
    <w:rsid w:val="00BB612A"/>
    <w:rsid w:val="00BC4B9D"/>
    <w:rsid w:val="00BC6F1B"/>
    <w:rsid w:val="00BC7668"/>
    <w:rsid w:val="00BD1FA5"/>
    <w:rsid w:val="00BD2812"/>
    <w:rsid w:val="00BD6949"/>
    <w:rsid w:val="00BE121A"/>
    <w:rsid w:val="00BE4B8D"/>
    <w:rsid w:val="00BE5EB9"/>
    <w:rsid w:val="00BF28EC"/>
    <w:rsid w:val="00BF51F6"/>
    <w:rsid w:val="00C02D9A"/>
    <w:rsid w:val="00C12240"/>
    <w:rsid w:val="00C13F57"/>
    <w:rsid w:val="00C21672"/>
    <w:rsid w:val="00C32472"/>
    <w:rsid w:val="00C34FE2"/>
    <w:rsid w:val="00C41BF8"/>
    <w:rsid w:val="00C42211"/>
    <w:rsid w:val="00C466A2"/>
    <w:rsid w:val="00C479FE"/>
    <w:rsid w:val="00C47EB3"/>
    <w:rsid w:val="00C53ADD"/>
    <w:rsid w:val="00C62E07"/>
    <w:rsid w:val="00C70F4F"/>
    <w:rsid w:val="00C840F2"/>
    <w:rsid w:val="00C9122B"/>
    <w:rsid w:val="00C9683B"/>
    <w:rsid w:val="00CA0EF6"/>
    <w:rsid w:val="00CA31DB"/>
    <w:rsid w:val="00CB03C9"/>
    <w:rsid w:val="00CB7C96"/>
    <w:rsid w:val="00CD33AB"/>
    <w:rsid w:val="00CD5E71"/>
    <w:rsid w:val="00CF1C70"/>
    <w:rsid w:val="00CF291C"/>
    <w:rsid w:val="00CF4B54"/>
    <w:rsid w:val="00D060F5"/>
    <w:rsid w:val="00D06613"/>
    <w:rsid w:val="00D119E0"/>
    <w:rsid w:val="00D12679"/>
    <w:rsid w:val="00D13FCC"/>
    <w:rsid w:val="00D15B9A"/>
    <w:rsid w:val="00D15D80"/>
    <w:rsid w:val="00D17D8C"/>
    <w:rsid w:val="00D26793"/>
    <w:rsid w:val="00D27953"/>
    <w:rsid w:val="00D334C0"/>
    <w:rsid w:val="00D36619"/>
    <w:rsid w:val="00D450F4"/>
    <w:rsid w:val="00D45431"/>
    <w:rsid w:val="00D50E97"/>
    <w:rsid w:val="00D66F88"/>
    <w:rsid w:val="00D85475"/>
    <w:rsid w:val="00D87DC8"/>
    <w:rsid w:val="00D9044D"/>
    <w:rsid w:val="00DA2563"/>
    <w:rsid w:val="00DA380B"/>
    <w:rsid w:val="00DB133C"/>
    <w:rsid w:val="00DB7459"/>
    <w:rsid w:val="00DC499D"/>
    <w:rsid w:val="00DC7034"/>
    <w:rsid w:val="00DD5A57"/>
    <w:rsid w:val="00DF29E0"/>
    <w:rsid w:val="00DF7FC9"/>
    <w:rsid w:val="00E0297A"/>
    <w:rsid w:val="00E05CD7"/>
    <w:rsid w:val="00E121FC"/>
    <w:rsid w:val="00E311A1"/>
    <w:rsid w:val="00E31BBA"/>
    <w:rsid w:val="00E34833"/>
    <w:rsid w:val="00E34FF9"/>
    <w:rsid w:val="00E40272"/>
    <w:rsid w:val="00E41690"/>
    <w:rsid w:val="00E4229F"/>
    <w:rsid w:val="00E45AB6"/>
    <w:rsid w:val="00E50150"/>
    <w:rsid w:val="00E53FDA"/>
    <w:rsid w:val="00E56EAE"/>
    <w:rsid w:val="00E638D4"/>
    <w:rsid w:val="00E656AA"/>
    <w:rsid w:val="00E6785B"/>
    <w:rsid w:val="00E67BB4"/>
    <w:rsid w:val="00E705A5"/>
    <w:rsid w:val="00E715AA"/>
    <w:rsid w:val="00E75265"/>
    <w:rsid w:val="00E761CC"/>
    <w:rsid w:val="00E76A25"/>
    <w:rsid w:val="00E8351B"/>
    <w:rsid w:val="00E847F7"/>
    <w:rsid w:val="00E87230"/>
    <w:rsid w:val="00E872AD"/>
    <w:rsid w:val="00E87666"/>
    <w:rsid w:val="00E9078D"/>
    <w:rsid w:val="00E912E2"/>
    <w:rsid w:val="00E92B97"/>
    <w:rsid w:val="00E96D5C"/>
    <w:rsid w:val="00EC22AB"/>
    <w:rsid w:val="00ED7DB6"/>
    <w:rsid w:val="00EE1040"/>
    <w:rsid w:val="00EE2F7B"/>
    <w:rsid w:val="00EF7BEC"/>
    <w:rsid w:val="00F00A1D"/>
    <w:rsid w:val="00F02FAE"/>
    <w:rsid w:val="00F10359"/>
    <w:rsid w:val="00F141A0"/>
    <w:rsid w:val="00F1438C"/>
    <w:rsid w:val="00F2452B"/>
    <w:rsid w:val="00F26609"/>
    <w:rsid w:val="00F3403B"/>
    <w:rsid w:val="00F37DC2"/>
    <w:rsid w:val="00F41097"/>
    <w:rsid w:val="00F42B8A"/>
    <w:rsid w:val="00F5283D"/>
    <w:rsid w:val="00F61283"/>
    <w:rsid w:val="00F65CFD"/>
    <w:rsid w:val="00F9122C"/>
    <w:rsid w:val="00F94DA0"/>
    <w:rsid w:val="00FA6BE0"/>
    <w:rsid w:val="00FA72A6"/>
    <w:rsid w:val="00FB5939"/>
    <w:rsid w:val="00FD3CEF"/>
    <w:rsid w:val="00FF2520"/>
    <w:rsid w:val="00FF4215"/>
    <w:rsid w:val="00FF4C85"/>
    <w:rsid w:val="00FF7BA0"/>
    <w:rsid w:val="01AA53CD"/>
    <w:rsid w:val="027E4865"/>
    <w:rsid w:val="038061AD"/>
    <w:rsid w:val="04547320"/>
    <w:rsid w:val="05F76F31"/>
    <w:rsid w:val="07647851"/>
    <w:rsid w:val="0B14133A"/>
    <w:rsid w:val="0B526B23"/>
    <w:rsid w:val="0BB84DE3"/>
    <w:rsid w:val="0C7A56D7"/>
    <w:rsid w:val="0CD66DD1"/>
    <w:rsid w:val="0CE2480D"/>
    <w:rsid w:val="0CEF36E3"/>
    <w:rsid w:val="0E751200"/>
    <w:rsid w:val="10AB2B9D"/>
    <w:rsid w:val="117B0C7B"/>
    <w:rsid w:val="11B31184"/>
    <w:rsid w:val="12C375AC"/>
    <w:rsid w:val="12D6271E"/>
    <w:rsid w:val="143017A1"/>
    <w:rsid w:val="171D2280"/>
    <w:rsid w:val="17321EED"/>
    <w:rsid w:val="17FA6EAF"/>
    <w:rsid w:val="18D563D0"/>
    <w:rsid w:val="1C0D6C7E"/>
    <w:rsid w:val="1C6320DF"/>
    <w:rsid w:val="1C6A484E"/>
    <w:rsid w:val="1CF2060C"/>
    <w:rsid w:val="1E805C34"/>
    <w:rsid w:val="21C4408A"/>
    <w:rsid w:val="21ED1832"/>
    <w:rsid w:val="226C09A9"/>
    <w:rsid w:val="23144B9D"/>
    <w:rsid w:val="24567E46"/>
    <w:rsid w:val="263C781B"/>
    <w:rsid w:val="264E038E"/>
    <w:rsid w:val="274F0899"/>
    <w:rsid w:val="2B773C5E"/>
    <w:rsid w:val="2BAA0794"/>
    <w:rsid w:val="2BC1541B"/>
    <w:rsid w:val="2E5D4C41"/>
    <w:rsid w:val="2E951288"/>
    <w:rsid w:val="2F503401"/>
    <w:rsid w:val="2FD32684"/>
    <w:rsid w:val="316B201F"/>
    <w:rsid w:val="31DE6AA2"/>
    <w:rsid w:val="32FD4461"/>
    <w:rsid w:val="33FA48FD"/>
    <w:rsid w:val="348C4EDB"/>
    <w:rsid w:val="358B3002"/>
    <w:rsid w:val="38740160"/>
    <w:rsid w:val="399F4FFA"/>
    <w:rsid w:val="39BD7A1D"/>
    <w:rsid w:val="39D13722"/>
    <w:rsid w:val="3A7A77C8"/>
    <w:rsid w:val="3AE72E6B"/>
    <w:rsid w:val="3B6958A3"/>
    <w:rsid w:val="3D9756A5"/>
    <w:rsid w:val="3DC93F58"/>
    <w:rsid w:val="3E580B9B"/>
    <w:rsid w:val="3E5B7AE8"/>
    <w:rsid w:val="3EB14E36"/>
    <w:rsid w:val="3F453ADA"/>
    <w:rsid w:val="413A2358"/>
    <w:rsid w:val="41BB3F1A"/>
    <w:rsid w:val="41E77C8C"/>
    <w:rsid w:val="4216154E"/>
    <w:rsid w:val="42FE2D71"/>
    <w:rsid w:val="43641D51"/>
    <w:rsid w:val="475F3D89"/>
    <w:rsid w:val="47FC1909"/>
    <w:rsid w:val="4828256E"/>
    <w:rsid w:val="48C8645F"/>
    <w:rsid w:val="4A737F1A"/>
    <w:rsid w:val="4C226976"/>
    <w:rsid w:val="4C465518"/>
    <w:rsid w:val="4D285982"/>
    <w:rsid w:val="4DF27E89"/>
    <w:rsid w:val="4E773F04"/>
    <w:rsid w:val="51A93339"/>
    <w:rsid w:val="530F7BB2"/>
    <w:rsid w:val="53D12B98"/>
    <w:rsid w:val="555F6A99"/>
    <w:rsid w:val="564035EA"/>
    <w:rsid w:val="564156CE"/>
    <w:rsid w:val="564D601C"/>
    <w:rsid w:val="56753913"/>
    <w:rsid w:val="5A422C67"/>
    <w:rsid w:val="5BF926C6"/>
    <w:rsid w:val="5C2A2760"/>
    <w:rsid w:val="5C3D4368"/>
    <w:rsid w:val="5C607E15"/>
    <w:rsid w:val="5C9A13C5"/>
    <w:rsid w:val="5DF9063C"/>
    <w:rsid w:val="60E53887"/>
    <w:rsid w:val="612358EA"/>
    <w:rsid w:val="61D62B3B"/>
    <w:rsid w:val="63A43008"/>
    <w:rsid w:val="653509E5"/>
    <w:rsid w:val="657874A5"/>
    <w:rsid w:val="657A6D97"/>
    <w:rsid w:val="6616058A"/>
    <w:rsid w:val="67393F00"/>
    <w:rsid w:val="6751773B"/>
    <w:rsid w:val="6817003C"/>
    <w:rsid w:val="682C4391"/>
    <w:rsid w:val="69160B2D"/>
    <w:rsid w:val="696C2B8A"/>
    <w:rsid w:val="69B30239"/>
    <w:rsid w:val="6B0317E1"/>
    <w:rsid w:val="6B3929BF"/>
    <w:rsid w:val="6C4A3A24"/>
    <w:rsid w:val="703D260A"/>
    <w:rsid w:val="7041132E"/>
    <w:rsid w:val="71033839"/>
    <w:rsid w:val="71E865AC"/>
    <w:rsid w:val="72842772"/>
    <w:rsid w:val="752F3921"/>
    <w:rsid w:val="76112389"/>
    <w:rsid w:val="7701121A"/>
    <w:rsid w:val="777074AF"/>
    <w:rsid w:val="77751065"/>
    <w:rsid w:val="79084367"/>
    <w:rsid w:val="7AAF2754"/>
    <w:rsid w:val="7B49061E"/>
    <w:rsid w:val="7CD40D8A"/>
    <w:rsid w:val="7D0502B1"/>
    <w:rsid w:val="7DBC5A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qFormat="1" w:unhideWhenUsed="0"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99"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qFormat="1" w:unhideWhenUsed="0" w:uiPriority="99"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qFormat="1" w:unhideWhenUsed="0" w:uiPriority="99" w:semiHidden="0"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sdException w:qFormat="1" w:unhideWhenUsed="0" w:uiPriority="99" w:semiHidden="0" w:name="HTML Sample"/>
    <w:lsdException w:uiPriority="99" w:name="HTML Typewriter"/>
    <w:lsdException w:qFormat="1" w:unhideWhenUsed="0"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1"/>
    <w:autoRedefine/>
    <w:qFormat/>
    <w:uiPriority w:val="9"/>
    <w:pPr>
      <w:keepNext/>
      <w:widowControl/>
      <w:spacing w:before="340" w:after="330" w:line="576" w:lineRule="auto"/>
      <w:jc w:val="center"/>
      <w:outlineLvl w:val="0"/>
    </w:pPr>
    <w:rPr>
      <w:rFonts w:ascii="???" w:hAnsi="???" w:eastAsia="宋体" w:cs="Arial"/>
      <w:b/>
      <w:bCs/>
      <w:color w:val="020000"/>
      <w:kern w:val="36"/>
      <w:sz w:val="44"/>
      <w:szCs w:val="44"/>
    </w:rPr>
  </w:style>
  <w:style w:type="paragraph" w:styleId="3">
    <w:name w:val="heading 2"/>
    <w:basedOn w:val="1"/>
    <w:next w:val="1"/>
    <w:link w:val="52"/>
    <w:autoRedefine/>
    <w:qFormat/>
    <w:uiPriority w:val="0"/>
    <w:pPr>
      <w:keepNext/>
      <w:widowControl/>
      <w:spacing w:before="260" w:after="260" w:line="412" w:lineRule="auto"/>
      <w:outlineLvl w:val="1"/>
    </w:pPr>
    <w:rPr>
      <w:rFonts w:ascii="???" w:hAnsi="???" w:eastAsia="宋体" w:cs="Arial"/>
      <w:b/>
      <w:bCs/>
      <w:color w:val="020000"/>
      <w:kern w:val="0"/>
      <w:sz w:val="32"/>
      <w:szCs w:val="32"/>
    </w:rPr>
  </w:style>
  <w:style w:type="paragraph" w:styleId="4">
    <w:name w:val="heading 3"/>
    <w:basedOn w:val="1"/>
    <w:next w:val="1"/>
    <w:link w:val="53"/>
    <w:autoRedefine/>
    <w:qFormat/>
    <w:uiPriority w:val="99"/>
    <w:pPr>
      <w:keepNext/>
      <w:widowControl/>
      <w:spacing w:before="260" w:after="260" w:line="412" w:lineRule="auto"/>
      <w:outlineLvl w:val="2"/>
    </w:pPr>
    <w:rPr>
      <w:rFonts w:ascii="??" w:hAnsi="??" w:eastAsia="宋体" w:cs="Arial"/>
      <w:b/>
      <w:bCs/>
      <w:color w:val="000000"/>
      <w:kern w:val="0"/>
      <w:sz w:val="32"/>
      <w:szCs w:val="32"/>
    </w:rPr>
  </w:style>
  <w:style w:type="character" w:default="1" w:styleId="36">
    <w:name w:val="Default Paragraph Font"/>
    <w:autoRedefine/>
    <w:semiHidden/>
    <w:unhideWhenUsed/>
    <w:qFormat/>
    <w:uiPriority w:val="1"/>
  </w:style>
  <w:style w:type="table" w:default="1" w:styleId="34">
    <w:name w:val="Normal Table"/>
    <w:autoRedefine/>
    <w:semiHidden/>
    <w:unhideWhenUsed/>
    <w:qFormat/>
    <w:uiPriority w:val="99"/>
    <w:tblPr>
      <w:tblCellMar>
        <w:top w:w="0" w:type="dxa"/>
        <w:left w:w="108" w:type="dxa"/>
        <w:bottom w:w="0" w:type="dxa"/>
        <w:right w:w="108" w:type="dxa"/>
      </w:tblCellMar>
    </w:tblPr>
  </w:style>
  <w:style w:type="paragraph" w:styleId="5">
    <w:name w:val="toc 7"/>
    <w:basedOn w:val="1"/>
    <w:next w:val="1"/>
    <w:autoRedefine/>
    <w:qFormat/>
    <w:uiPriority w:val="0"/>
    <w:pPr>
      <w:ind w:left="2520" w:leftChars="1200"/>
    </w:pPr>
    <w:rPr>
      <w:rFonts w:ascii="Times New Roman" w:hAnsi="Times New Roman" w:eastAsia="宋体" w:cs="Times New Roman"/>
      <w:szCs w:val="24"/>
    </w:rPr>
  </w:style>
  <w:style w:type="paragraph" w:styleId="6">
    <w:name w:val="List Number"/>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Normal Indent"/>
    <w:basedOn w:val="1"/>
    <w:link w:val="104"/>
    <w:autoRedefine/>
    <w:qFormat/>
    <w:uiPriority w:val="99"/>
    <w:pPr>
      <w:ind w:firstLine="420" w:firstLineChars="200"/>
    </w:pPr>
    <w:rPr>
      <w:rFonts w:ascii="Times New Roman" w:hAnsi="Times New Roman" w:eastAsia="宋体" w:cs="Times New Roman"/>
      <w:kern w:val="0"/>
      <w:sz w:val="24"/>
      <w:szCs w:val="20"/>
    </w:rPr>
  </w:style>
  <w:style w:type="paragraph" w:styleId="8">
    <w:name w:val="Document Map"/>
    <w:basedOn w:val="1"/>
    <w:link w:val="122"/>
    <w:autoRedefine/>
    <w:qFormat/>
    <w:uiPriority w:val="0"/>
    <w:rPr>
      <w:rFonts w:ascii="宋体" w:hAnsi="Calibri" w:eastAsia="宋体" w:cs="Times New Roman"/>
      <w:kern w:val="0"/>
      <w:sz w:val="18"/>
      <w:szCs w:val="20"/>
    </w:rPr>
  </w:style>
  <w:style w:type="paragraph" w:styleId="9">
    <w:name w:val="annotation text"/>
    <w:basedOn w:val="1"/>
    <w:link w:val="150"/>
    <w:autoRedefine/>
    <w:qFormat/>
    <w:uiPriority w:val="0"/>
    <w:pPr>
      <w:jc w:val="left"/>
    </w:pPr>
  </w:style>
  <w:style w:type="paragraph" w:styleId="10">
    <w:name w:val="Body Text"/>
    <w:basedOn w:val="1"/>
    <w:link w:val="125"/>
    <w:autoRedefine/>
    <w:qFormat/>
    <w:uiPriority w:val="99"/>
    <w:pPr>
      <w:spacing w:after="120"/>
    </w:pPr>
    <w:rPr>
      <w:rFonts w:cs="Times New Roman" w:asciiTheme="minorEastAsia" w:hAnsiTheme="minorEastAsia"/>
      <w:b/>
      <w:kern w:val="0"/>
      <w:sz w:val="24"/>
      <w:szCs w:val="21"/>
    </w:rPr>
  </w:style>
  <w:style w:type="paragraph" w:styleId="11">
    <w:name w:val="Body Text Indent"/>
    <w:basedOn w:val="1"/>
    <w:link w:val="56"/>
    <w:autoRedefine/>
    <w:qFormat/>
    <w:uiPriority w:val="0"/>
    <w:pPr>
      <w:widowControl/>
      <w:spacing w:after="120"/>
      <w:ind w:left="420"/>
    </w:pPr>
    <w:rPr>
      <w:rFonts w:ascii="??" w:hAnsi="??" w:eastAsia="宋体" w:cs="Arial"/>
      <w:kern w:val="0"/>
      <w:sz w:val="24"/>
      <w:szCs w:val="24"/>
    </w:rPr>
  </w:style>
  <w:style w:type="paragraph" w:styleId="12">
    <w:name w:val="toc 5"/>
    <w:basedOn w:val="1"/>
    <w:next w:val="1"/>
    <w:autoRedefine/>
    <w:qFormat/>
    <w:uiPriority w:val="0"/>
    <w:pPr>
      <w:ind w:left="1680" w:leftChars="800"/>
    </w:pPr>
    <w:rPr>
      <w:rFonts w:ascii="Times New Roman" w:hAnsi="Times New Roman" w:eastAsia="宋体" w:cs="Times New Roman"/>
      <w:szCs w:val="24"/>
    </w:rPr>
  </w:style>
  <w:style w:type="paragraph" w:styleId="13">
    <w:name w:val="toc 3"/>
    <w:basedOn w:val="1"/>
    <w:next w:val="1"/>
    <w:autoRedefine/>
    <w:qFormat/>
    <w:uiPriority w:val="39"/>
    <w:pPr>
      <w:ind w:left="840" w:leftChars="400"/>
    </w:pPr>
    <w:rPr>
      <w:rFonts w:ascii="Times New Roman" w:hAnsi="Times New Roman" w:eastAsia="宋体" w:cs="Times New Roman"/>
      <w:szCs w:val="24"/>
    </w:rPr>
  </w:style>
  <w:style w:type="paragraph" w:styleId="14">
    <w:name w:val="Plain Text"/>
    <w:basedOn w:val="1"/>
    <w:link w:val="193"/>
    <w:autoRedefine/>
    <w:qFormat/>
    <w:uiPriority w:val="0"/>
    <w:rPr>
      <w:rFonts w:ascii="宋体" w:hAnsi="Courier New" w:eastAsia="宋体"/>
      <w:szCs w:val="21"/>
    </w:rPr>
  </w:style>
  <w:style w:type="paragraph" w:styleId="15">
    <w:name w:val="toc 8"/>
    <w:basedOn w:val="1"/>
    <w:next w:val="1"/>
    <w:autoRedefine/>
    <w:qFormat/>
    <w:uiPriority w:val="0"/>
    <w:pPr>
      <w:ind w:left="2940" w:leftChars="1400"/>
    </w:pPr>
    <w:rPr>
      <w:rFonts w:ascii="Times New Roman" w:hAnsi="Times New Roman" w:eastAsia="宋体" w:cs="Times New Roman"/>
      <w:szCs w:val="24"/>
    </w:rPr>
  </w:style>
  <w:style w:type="paragraph" w:styleId="16">
    <w:name w:val="Date"/>
    <w:basedOn w:val="1"/>
    <w:next w:val="1"/>
    <w:link w:val="145"/>
    <w:autoRedefine/>
    <w:qFormat/>
    <w:uiPriority w:val="0"/>
    <w:rPr>
      <w:szCs w:val="21"/>
    </w:rPr>
  </w:style>
  <w:style w:type="paragraph" w:styleId="17">
    <w:name w:val="Body Text Indent 2"/>
    <w:basedOn w:val="1"/>
    <w:link w:val="118"/>
    <w:autoRedefine/>
    <w:qFormat/>
    <w:uiPriority w:val="99"/>
    <w:pPr>
      <w:spacing w:before="100" w:beforeAutospacing="1" w:after="100" w:afterAutospacing="1" w:line="360" w:lineRule="auto"/>
      <w:ind w:firstLine="420"/>
    </w:pPr>
    <w:rPr>
      <w:rFonts w:ascii="宋体" w:hAnsi="Calibri" w:eastAsia="宋体" w:cs="Times New Roman"/>
      <w:kern w:val="0"/>
      <w:sz w:val="24"/>
      <w:szCs w:val="20"/>
    </w:rPr>
  </w:style>
  <w:style w:type="paragraph" w:styleId="18">
    <w:name w:val="Balloon Text"/>
    <w:basedOn w:val="1"/>
    <w:link w:val="68"/>
    <w:autoRedefine/>
    <w:qFormat/>
    <w:uiPriority w:val="99"/>
    <w:rPr>
      <w:rFonts w:ascii="Calibri" w:hAnsi="Calibri" w:eastAsia="宋体" w:cs="Times New Roman"/>
      <w:sz w:val="18"/>
      <w:szCs w:val="18"/>
    </w:rPr>
  </w:style>
  <w:style w:type="paragraph" w:styleId="19">
    <w:name w:val="footer"/>
    <w:basedOn w:val="1"/>
    <w:link w:val="55"/>
    <w:autoRedefine/>
    <w:qFormat/>
    <w:uiPriority w:val="99"/>
    <w:pPr>
      <w:tabs>
        <w:tab w:val="center" w:pos="4153"/>
        <w:tab w:val="right" w:pos="8306"/>
      </w:tabs>
      <w:snapToGrid w:val="0"/>
      <w:jc w:val="left"/>
    </w:pPr>
    <w:rPr>
      <w:rFonts w:ascii="Calibri" w:hAnsi="Calibri" w:eastAsia="宋体" w:cs="Times New Roman"/>
      <w:sz w:val="18"/>
      <w:szCs w:val="18"/>
    </w:rPr>
  </w:style>
  <w:style w:type="paragraph" w:styleId="20">
    <w:name w:val="header"/>
    <w:basedOn w:val="1"/>
    <w:link w:val="54"/>
    <w:autoRedefine/>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21">
    <w:name w:val="toc 1"/>
    <w:basedOn w:val="1"/>
    <w:next w:val="1"/>
    <w:autoRedefine/>
    <w:qFormat/>
    <w:uiPriority w:val="39"/>
    <w:rPr>
      <w:rFonts w:ascii="Times New Roman" w:hAnsi="Times New Roman" w:eastAsia="宋体" w:cs="Times New Roman"/>
      <w:szCs w:val="24"/>
    </w:rPr>
  </w:style>
  <w:style w:type="paragraph" w:styleId="22">
    <w:name w:val="toc 4"/>
    <w:basedOn w:val="1"/>
    <w:next w:val="1"/>
    <w:autoRedefine/>
    <w:qFormat/>
    <w:uiPriority w:val="0"/>
    <w:pPr>
      <w:ind w:left="1260" w:leftChars="600"/>
    </w:pPr>
    <w:rPr>
      <w:rFonts w:ascii="Times New Roman" w:hAnsi="Times New Roman" w:eastAsia="宋体" w:cs="Times New Roman"/>
      <w:szCs w:val="24"/>
    </w:rPr>
  </w:style>
  <w:style w:type="paragraph" w:styleId="23">
    <w:name w:val="footnote text"/>
    <w:basedOn w:val="1"/>
    <w:link w:val="162"/>
    <w:autoRedefine/>
    <w:semiHidden/>
    <w:qFormat/>
    <w:uiPriority w:val="0"/>
    <w:pPr>
      <w:snapToGrid w:val="0"/>
      <w:jc w:val="left"/>
    </w:pPr>
    <w:rPr>
      <w:rFonts w:ascii="Times New Roman" w:hAnsi="Times New Roman" w:eastAsia="宋体" w:cs="Times New Roman"/>
      <w:sz w:val="18"/>
      <w:szCs w:val="18"/>
    </w:rPr>
  </w:style>
  <w:style w:type="paragraph" w:styleId="24">
    <w:name w:val="toc 6"/>
    <w:basedOn w:val="1"/>
    <w:next w:val="1"/>
    <w:autoRedefine/>
    <w:qFormat/>
    <w:uiPriority w:val="0"/>
    <w:pPr>
      <w:ind w:left="2100" w:leftChars="1000"/>
    </w:pPr>
    <w:rPr>
      <w:rFonts w:ascii="Times New Roman" w:hAnsi="Times New Roman" w:eastAsia="宋体" w:cs="Times New Roman"/>
      <w:szCs w:val="24"/>
    </w:rPr>
  </w:style>
  <w:style w:type="paragraph" w:styleId="25">
    <w:name w:val="Body Text Indent 3"/>
    <w:basedOn w:val="1"/>
    <w:link w:val="120"/>
    <w:autoRedefine/>
    <w:qFormat/>
    <w:uiPriority w:val="99"/>
    <w:pPr>
      <w:spacing w:line="440" w:lineRule="exact"/>
      <w:ind w:firstLine="412" w:firstLineChars="200"/>
    </w:pPr>
    <w:rPr>
      <w:rFonts w:ascii="宋体" w:hAnsi="Calibri" w:eastAsia="宋体" w:cs="Times New Roman"/>
      <w:kern w:val="0"/>
      <w:sz w:val="20"/>
      <w:szCs w:val="20"/>
    </w:rPr>
  </w:style>
  <w:style w:type="paragraph" w:styleId="26">
    <w:name w:val="table of figures"/>
    <w:basedOn w:val="1"/>
    <w:next w:val="1"/>
    <w:autoRedefine/>
    <w:qFormat/>
    <w:uiPriority w:val="0"/>
    <w:pPr>
      <w:ind w:left="200" w:leftChars="200" w:hanging="200" w:hangingChars="200"/>
    </w:pPr>
    <w:rPr>
      <w:rFonts w:ascii="Times New Roman" w:hAnsi="Times New Roman" w:eastAsia="宋体" w:cs="Times New Roman"/>
      <w:szCs w:val="20"/>
    </w:rPr>
  </w:style>
  <w:style w:type="paragraph" w:styleId="27">
    <w:name w:val="toc 2"/>
    <w:basedOn w:val="1"/>
    <w:next w:val="1"/>
    <w:autoRedefine/>
    <w:qFormat/>
    <w:uiPriority w:val="39"/>
    <w:pPr>
      <w:ind w:left="420" w:leftChars="200"/>
    </w:pPr>
    <w:rPr>
      <w:rFonts w:ascii="Times New Roman" w:hAnsi="Times New Roman" w:eastAsia="宋体" w:cs="Times New Roman"/>
      <w:szCs w:val="24"/>
    </w:rPr>
  </w:style>
  <w:style w:type="paragraph" w:styleId="28">
    <w:name w:val="toc 9"/>
    <w:basedOn w:val="1"/>
    <w:next w:val="1"/>
    <w:autoRedefine/>
    <w:qFormat/>
    <w:uiPriority w:val="0"/>
    <w:pPr>
      <w:ind w:left="3360" w:leftChars="1600"/>
    </w:pPr>
    <w:rPr>
      <w:rFonts w:ascii="Times New Roman" w:hAnsi="Times New Roman" w:eastAsia="宋体" w:cs="Times New Roman"/>
      <w:szCs w:val="24"/>
    </w:rPr>
  </w:style>
  <w:style w:type="paragraph" w:styleId="29">
    <w:name w:val="List Continue 2"/>
    <w:basedOn w:val="1"/>
    <w:autoRedefine/>
    <w:qFormat/>
    <w:uiPriority w:val="99"/>
    <w:pPr>
      <w:spacing w:after="120"/>
      <w:ind w:left="840" w:leftChars="400"/>
    </w:pPr>
    <w:rPr>
      <w:rFonts w:ascii="Times New Roman" w:hAnsi="Times New Roman" w:eastAsia="宋体" w:cs="Times New Roman"/>
      <w:szCs w:val="24"/>
    </w:rPr>
  </w:style>
  <w:style w:type="paragraph" w:styleId="30">
    <w:name w:val="Normal (Web)"/>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styleId="31">
    <w:name w:val="index 1"/>
    <w:basedOn w:val="1"/>
    <w:next w:val="1"/>
    <w:autoRedefine/>
    <w:semiHidden/>
    <w:qFormat/>
    <w:uiPriority w:val="0"/>
    <w:pPr>
      <w:adjustRightInd w:val="0"/>
      <w:snapToGrid w:val="0"/>
      <w:spacing w:line="300" w:lineRule="exact"/>
    </w:pPr>
    <w:rPr>
      <w:rFonts w:ascii="宋体" w:hAnsi="宋体" w:eastAsia="宋体" w:cs="Times New Roman"/>
      <w:bCs/>
      <w:sz w:val="20"/>
      <w:szCs w:val="21"/>
    </w:rPr>
  </w:style>
  <w:style w:type="paragraph" w:styleId="32">
    <w:name w:val="Title"/>
    <w:basedOn w:val="1"/>
    <w:next w:val="1"/>
    <w:link w:val="148"/>
    <w:autoRedefine/>
    <w:qFormat/>
    <w:uiPriority w:val="0"/>
    <w:pPr>
      <w:spacing w:before="240" w:after="60"/>
      <w:jc w:val="center"/>
      <w:outlineLvl w:val="0"/>
    </w:pPr>
    <w:rPr>
      <w:rFonts w:ascii="Cambria" w:hAnsi="Cambria" w:cs="Times New Roman"/>
      <w:b/>
      <w:bCs/>
      <w:sz w:val="32"/>
      <w:szCs w:val="32"/>
    </w:rPr>
  </w:style>
  <w:style w:type="paragraph" w:styleId="33">
    <w:name w:val="annotation subject"/>
    <w:basedOn w:val="9"/>
    <w:next w:val="9"/>
    <w:link w:val="155"/>
    <w:autoRedefine/>
    <w:qFormat/>
    <w:uiPriority w:val="0"/>
    <w:rPr>
      <w:b/>
      <w:bCs/>
    </w:rPr>
  </w:style>
  <w:style w:type="table" w:styleId="35">
    <w:name w:val="Table Grid"/>
    <w:basedOn w:val="34"/>
    <w:autoRedefine/>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7">
    <w:name w:val="Strong"/>
    <w:basedOn w:val="36"/>
    <w:autoRedefine/>
    <w:qFormat/>
    <w:uiPriority w:val="22"/>
    <w:rPr>
      <w:rFonts w:cs="Times New Roman"/>
      <w:b/>
    </w:rPr>
  </w:style>
  <w:style w:type="character" w:styleId="38">
    <w:name w:val="page number"/>
    <w:basedOn w:val="36"/>
    <w:autoRedefine/>
    <w:qFormat/>
    <w:uiPriority w:val="0"/>
    <w:rPr>
      <w:rFonts w:cs="Times New Roman"/>
    </w:rPr>
  </w:style>
  <w:style w:type="character" w:styleId="39">
    <w:name w:val="FollowedHyperlink"/>
    <w:basedOn w:val="36"/>
    <w:autoRedefine/>
    <w:qFormat/>
    <w:uiPriority w:val="99"/>
    <w:rPr>
      <w:rFonts w:cs="Times New Roman"/>
      <w:color w:val="555555"/>
      <w:u w:val="none"/>
    </w:rPr>
  </w:style>
  <w:style w:type="character" w:styleId="40">
    <w:name w:val="Emphasis"/>
    <w:basedOn w:val="36"/>
    <w:autoRedefine/>
    <w:qFormat/>
    <w:uiPriority w:val="0"/>
    <w:rPr>
      <w:rFonts w:cs="Times New Roman"/>
      <w:i/>
    </w:rPr>
  </w:style>
  <w:style w:type="character" w:styleId="41">
    <w:name w:val="HTML Definition"/>
    <w:basedOn w:val="36"/>
    <w:autoRedefine/>
    <w:qFormat/>
    <w:uiPriority w:val="99"/>
    <w:rPr>
      <w:rFonts w:cs="Times New Roman"/>
    </w:rPr>
  </w:style>
  <w:style w:type="character" w:styleId="42">
    <w:name w:val="HTML Acronym"/>
    <w:basedOn w:val="36"/>
    <w:autoRedefine/>
    <w:qFormat/>
    <w:uiPriority w:val="99"/>
    <w:rPr>
      <w:rFonts w:cs="Times New Roman"/>
    </w:rPr>
  </w:style>
  <w:style w:type="character" w:styleId="43">
    <w:name w:val="HTML Variable"/>
    <w:basedOn w:val="36"/>
    <w:autoRedefine/>
    <w:qFormat/>
    <w:uiPriority w:val="99"/>
    <w:rPr>
      <w:rFonts w:cs="Times New Roman"/>
    </w:rPr>
  </w:style>
  <w:style w:type="character" w:styleId="44">
    <w:name w:val="Hyperlink"/>
    <w:basedOn w:val="36"/>
    <w:autoRedefine/>
    <w:qFormat/>
    <w:uiPriority w:val="99"/>
    <w:rPr>
      <w:rFonts w:cs="Times New Roman"/>
      <w:color w:val="555555"/>
      <w:u w:val="none"/>
    </w:rPr>
  </w:style>
  <w:style w:type="character" w:styleId="45">
    <w:name w:val="HTML Code"/>
    <w:basedOn w:val="36"/>
    <w:autoRedefine/>
    <w:qFormat/>
    <w:uiPriority w:val="99"/>
    <w:rPr>
      <w:rFonts w:ascii="monospace" w:hAnsi="monospace" w:cs="Times New Roman"/>
      <w:sz w:val="24"/>
    </w:rPr>
  </w:style>
  <w:style w:type="character" w:styleId="46">
    <w:name w:val="annotation reference"/>
    <w:autoRedefine/>
    <w:qFormat/>
    <w:uiPriority w:val="0"/>
    <w:rPr>
      <w:sz w:val="21"/>
      <w:szCs w:val="21"/>
    </w:rPr>
  </w:style>
  <w:style w:type="character" w:styleId="47">
    <w:name w:val="HTML Cite"/>
    <w:basedOn w:val="36"/>
    <w:autoRedefine/>
    <w:qFormat/>
    <w:uiPriority w:val="99"/>
    <w:rPr>
      <w:rFonts w:cs="Times New Roman"/>
    </w:rPr>
  </w:style>
  <w:style w:type="character" w:styleId="48">
    <w:name w:val="footnote reference"/>
    <w:autoRedefine/>
    <w:semiHidden/>
    <w:qFormat/>
    <w:uiPriority w:val="0"/>
    <w:rPr>
      <w:vertAlign w:val="superscript"/>
    </w:rPr>
  </w:style>
  <w:style w:type="character" w:styleId="49">
    <w:name w:val="HTML Keyboard"/>
    <w:basedOn w:val="36"/>
    <w:autoRedefine/>
    <w:qFormat/>
    <w:uiPriority w:val="99"/>
    <w:rPr>
      <w:rFonts w:ascii="monospace" w:hAnsi="monospace" w:cs="Times New Roman"/>
      <w:sz w:val="24"/>
    </w:rPr>
  </w:style>
  <w:style w:type="character" w:styleId="50">
    <w:name w:val="HTML Sample"/>
    <w:basedOn w:val="36"/>
    <w:autoRedefine/>
    <w:qFormat/>
    <w:uiPriority w:val="99"/>
    <w:rPr>
      <w:rFonts w:ascii="monospace" w:hAnsi="monospace" w:cs="Times New Roman"/>
      <w:sz w:val="24"/>
    </w:rPr>
  </w:style>
  <w:style w:type="character" w:customStyle="1" w:styleId="51">
    <w:name w:val="标题 1 Char"/>
    <w:basedOn w:val="36"/>
    <w:link w:val="2"/>
    <w:autoRedefine/>
    <w:qFormat/>
    <w:uiPriority w:val="9"/>
    <w:rPr>
      <w:rFonts w:ascii="???" w:hAnsi="???" w:eastAsia="宋体" w:cs="Arial"/>
      <w:b/>
      <w:bCs/>
      <w:color w:val="020000"/>
      <w:kern w:val="36"/>
      <w:sz w:val="44"/>
      <w:szCs w:val="44"/>
    </w:rPr>
  </w:style>
  <w:style w:type="character" w:customStyle="1" w:styleId="52">
    <w:name w:val="标题 2 Char"/>
    <w:basedOn w:val="36"/>
    <w:link w:val="3"/>
    <w:autoRedefine/>
    <w:qFormat/>
    <w:uiPriority w:val="99"/>
    <w:rPr>
      <w:rFonts w:ascii="???" w:hAnsi="???" w:eastAsia="宋体" w:cs="Arial"/>
      <w:b/>
      <w:bCs/>
      <w:color w:val="020000"/>
      <w:kern w:val="0"/>
      <w:sz w:val="32"/>
      <w:szCs w:val="32"/>
    </w:rPr>
  </w:style>
  <w:style w:type="character" w:customStyle="1" w:styleId="53">
    <w:name w:val="标题 3 Char"/>
    <w:basedOn w:val="36"/>
    <w:link w:val="4"/>
    <w:autoRedefine/>
    <w:qFormat/>
    <w:uiPriority w:val="99"/>
    <w:rPr>
      <w:rFonts w:ascii="??" w:hAnsi="??" w:eastAsia="宋体" w:cs="Arial"/>
      <w:b/>
      <w:bCs/>
      <w:color w:val="000000"/>
      <w:kern w:val="0"/>
      <w:sz w:val="32"/>
      <w:szCs w:val="32"/>
    </w:rPr>
  </w:style>
  <w:style w:type="character" w:customStyle="1" w:styleId="54">
    <w:name w:val="页眉 Char"/>
    <w:basedOn w:val="36"/>
    <w:link w:val="20"/>
    <w:autoRedefine/>
    <w:qFormat/>
    <w:uiPriority w:val="99"/>
    <w:rPr>
      <w:rFonts w:ascii="Calibri" w:hAnsi="Calibri" w:eastAsia="宋体" w:cs="Times New Roman"/>
      <w:sz w:val="18"/>
      <w:szCs w:val="18"/>
    </w:rPr>
  </w:style>
  <w:style w:type="character" w:customStyle="1" w:styleId="55">
    <w:name w:val="页脚 Char"/>
    <w:basedOn w:val="36"/>
    <w:link w:val="19"/>
    <w:autoRedefine/>
    <w:qFormat/>
    <w:uiPriority w:val="99"/>
    <w:rPr>
      <w:rFonts w:ascii="Calibri" w:hAnsi="Calibri" w:eastAsia="宋体" w:cs="Times New Roman"/>
      <w:sz w:val="18"/>
      <w:szCs w:val="18"/>
    </w:rPr>
  </w:style>
  <w:style w:type="character" w:customStyle="1" w:styleId="56">
    <w:name w:val="正文文本缩进 Char"/>
    <w:basedOn w:val="36"/>
    <w:link w:val="11"/>
    <w:autoRedefine/>
    <w:qFormat/>
    <w:uiPriority w:val="0"/>
    <w:rPr>
      <w:rFonts w:ascii="??" w:hAnsi="??" w:eastAsia="宋体" w:cs="Arial"/>
      <w:kern w:val="0"/>
      <w:sz w:val="24"/>
      <w:szCs w:val="24"/>
    </w:rPr>
  </w:style>
  <w:style w:type="paragraph" w:styleId="57">
    <w:name w:val="List Paragraph"/>
    <w:basedOn w:val="1"/>
    <w:autoRedefine/>
    <w:qFormat/>
    <w:uiPriority w:val="34"/>
    <w:pPr>
      <w:ind w:firstLine="420" w:firstLineChars="200"/>
    </w:pPr>
    <w:rPr>
      <w:rFonts w:ascii="Calibri" w:hAnsi="Calibri" w:eastAsia="宋体" w:cs="Times New Roman"/>
    </w:rPr>
  </w:style>
  <w:style w:type="character" w:customStyle="1" w:styleId="58">
    <w:name w:val="标题 2 Char Char"/>
    <w:autoRedefine/>
    <w:qFormat/>
    <w:uiPriority w:val="99"/>
    <w:rPr>
      <w:rFonts w:ascii="Arial" w:hAnsi="Arial" w:eastAsia="黑体"/>
      <w:b/>
      <w:kern w:val="2"/>
      <w:sz w:val="32"/>
      <w:lang w:val="en-US" w:eastAsia="zh-CN"/>
    </w:rPr>
  </w:style>
  <w:style w:type="character" w:customStyle="1" w:styleId="59">
    <w:name w:val="2charchar"/>
    <w:basedOn w:val="36"/>
    <w:autoRedefine/>
    <w:qFormat/>
    <w:uiPriority w:val="99"/>
    <w:rPr>
      <w:rFonts w:cs="Times New Roman"/>
    </w:rPr>
  </w:style>
  <w:style w:type="paragraph" w:customStyle="1" w:styleId="60">
    <w:name w:val="表格文字"/>
    <w:basedOn w:val="1"/>
    <w:autoRedefine/>
    <w:qFormat/>
    <w:uiPriority w:val="99"/>
    <w:pPr>
      <w:adjustRightInd w:val="0"/>
      <w:spacing w:line="420" w:lineRule="atLeast"/>
      <w:jc w:val="left"/>
    </w:pPr>
    <w:rPr>
      <w:rFonts w:ascii="Times New Roman" w:hAnsi="Times New Roman" w:eastAsia="宋体" w:cs="Times New Roman"/>
      <w:kern w:val="0"/>
      <w:szCs w:val="20"/>
    </w:rPr>
  </w:style>
  <w:style w:type="paragraph" w:customStyle="1" w:styleId="61">
    <w:name w:val="z-窗体顶端1"/>
    <w:basedOn w:val="1"/>
    <w:next w:val="1"/>
    <w:link w:val="62"/>
    <w:autoRedefine/>
    <w:semiHidden/>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62">
    <w:name w:val="z-窗体顶端 Char"/>
    <w:basedOn w:val="36"/>
    <w:link w:val="61"/>
    <w:autoRedefine/>
    <w:semiHidden/>
    <w:qFormat/>
    <w:uiPriority w:val="99"/>
    <w:rPr>
      <w:rFonts w:ascii="Arial" w:hAnsi="Arial" w:eastAsia="宋体" w:cs="Arial"/>
      <w:vanish/>
      <w:kern w:val="0"/>
      <w:sz w:val="16"/>
      <w:szCs w:val="16"/>
    </w:rPr>
  </w:style>
  <w:style w:type="paragraph" w:customStyle="1" w:styleId="63">
    <w:name w:val="z-窗体底端1"/>
    <w:basedOn w:val="1"/>
    <w:next w:val="1"/>
    <w:link w:val="64"/>
    <w:autoRedefine/>
    <w:semiHidden/>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64">
    <w:name w:val="z-窗体底端 Char"/>
    <w:basedOn w:val="36"/>
    <w:link w:val="63"/>
    <w:autoRedefine/>
    <w:semiHidden/>
    <w:qFormat/>
    <w:uiPriority w:val="99"/>
    <w:rPr>
      <w:rFonts w:ascii="Arial" w:hAnsi="Arial" w:eastAsia="宋体" w:cs="Arial"/>
      <w:vanish/>
      <w:kern w:val="0"/>
      <w:sz w:val="16"/>
      <w:szCs w:val="16"/>
    </w:rPr>
  </w:style>
  <w:style w:type="paragraph" w:customStyle="1" w:styleId="65">
    <w:name w:val="hu正文"/>
    <w:basedOn w:val="1"/>
    <w:link w:val="66"/>
    <w:autoRedefine/>
    <w:qFormat/>
    <w:uiPriority w:val="99"/>
    <w:pPr>
      <w:spacing w:before="156" w:after="156" w:line="300" w:lineRule="auto"/>
      <w:ind w:firstLine="480" w:firstLineChars="200"/>
    </w:pPr>
    <w:rPr>
      <w:rFonts w:ascii="Times New Roman" w:hAnsi="Times New Roman" w:eastAsia="宋体" w:cs="Times New Roman"/>
      <w:kern w:val="0"/>
      <w:sz w:val="24"/>
      <w:szCs w:val="20"/>
    </w:rPr>
  </w:style>
  <w:style w:type="character" w:customStyle="1" w:styleId="66">
    <w:name w:val="hu正文 Char"/>
    <w:link w:val="65"/>
    <w:autoRedefine/>
    <w:qFormat/>
    <w:locked/>
    <w:uiPriority w:val="99"/>
    <w:rPr>
      <w:rFonts w:ascii="Times New Roman" w:hAnsi="Times New Roman" w:eastAsia="宋体" w:cs="Times New Roman"/>
      <w:kern w:val="0"/>
      <w:sz w:val="24"/>
      <w:szCs w:val="20"/>
    </w:rPr>
  </w:style>
  <w:style w:type="paragraph" w:styleId="67">
    <w:name w:val="No Spacing"/>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68">
    <w:name w:val="批注框文本 Char"/>
    <w:basedOn w:val="36"/>
    <w:link w:val="18"/>
    <w:autoRedefine/>
    <w:qFormat/>
    <w:uiPriority w:val="99"/>
    <w:rPr>
      <w:rFonts w:ascii="Calibri" w:hAnsi="Calibri" w:eastAsia="宋体" w:cs="Times New Roman"/>
      <w:sz w:val="18"/>
      <w:szCs w:val="18"/>
    </w:rPr>
  </w:style>
  <w:style w:type="character" w:customStyle="1" w:styleId="69">
    <w:name w:val="ui-bz-bg-hover1"/>
    <w:basedOn w:val="36"/>
    <w:autoRedefine/>
    <w:qFormat/>
    <w:uiPriority w:val="99"/>
    <w:rPr>
      <w:rFonts w:cs="Times New Roman"/>
    </w:rPr>
  </w:style>
  <w:style w:type="character" w:customStyle="1" w:styleId="70">
    <w:name w:val="批注框文本 Char1"/>
    <w:autoRedefine/>
    <w:qFormat/>
    <w:uiPriority w:val="99"/>
    <w:rPr>
      <w:rFonts w:ascii="Times New Roman" w:hAnsi="Times New Roman" w:eastAsia="宋体"/>
      <w:sz w:val="18"/>
    </w:rPr>
  </w:style>
  <w:style w:type="character" w:customStyle="1" w:styleId="71">
    <w:name w:val="bds_nopic"/>
    <w:basedOn w:val="36"/>
    <w:autoRedefine/>
    <w:qFormat/>
    <w:uiPriority w:val="99"/>
    <w:rPr>
      <w:rFonts w:cs="Times New Roman"/>
    </w:rPr>
  </w:style>
  <w:style w:type="character" w:customStyle="1" w:styleId="72">
    <w:name w:val="tip12"/>
    <w:autoRedefine/>
    <w:qFormat/>
    <w:uiPriority w:val="99"/>
    <w:rPr>
      <w:vanish/>
      <w:color w:val="FF0000"/>
      <w:sz w:val="18"/>
    </w:rPr>
  </w:style>
  <w:style w:type="character" w:customStyle="1" w:styleId="73">
    <w:name w:val="Body Text Indent 3 Char"/>
    <w:autoRedefine/>
    <w:qFormat/>
    <w:locked/>
    <w:uiPriority w:val="99"/>
    <w:rPr>
      <w:rFonts w:ascii="宋体" w:eastAsia="宋体"/>
    </w:rPr>
  </w:style>
  <w:style w:type="character" w:customStyle="1" w:styleId="74">
    <w:name w:val="HTML Markup"/>
    <w:autoRedefine/>
    <w:qFormat/>
    <w:uiPriority w:val="99"/>
    <w:rPr>
      <w:vanish/>
      <w:color w:val="FF0000"/>
    </w:rPr>
  </w:style>
  <w:style w:type="character" w:customStyle="1" w:styleId="75">
    <w:name w:val="tip7"/>
    <w:autoRedefine/>
    <w:qFormat/>
    <w:uiPriority w:val="99"/>
    <w:rPr>
      <w:vanish/>
      <w:color w:val="FF0000"/>
      <w:sz w:val="18"/>
    </w:rPr>
  </w:style>
  <w:style w:type="character" w:customStyle="1" w:styleId="76">
    <w:name w:val="f-star"/>
    <w:autoRedefine/>
    <w:qFormat/>
    <w:uiPriority w:val="99"/>
    <w:rPr>
      <w:color w:val="999999"/>
      <w:sz w:val="21"/>
    </w:rPr>
  </w:style>
  <w:style w:type="character" w:customStyle="1" w:styleId="77">
    <w:name w:val="Document Map Char1"/>
    <w:autoRedefine/>
    <w:qFormat/>
    <w:uiPriority w:val="99"/>
    <w:rPr>
      <w:rFonts w:ascii="Times New Roman" w:hAnsi="Times New Roman"/>
      <w:kern w:val="2"/>
      <w:sz w:val="2"/>
    </w:rPr>
  </w:style>
  <w:style w:type="character" w:customStyle="1" w:styleId="78">
    <w:name w:val="my-class2"/>
    <w:basedOn w:val="36"/>
    <w:autoRedefine/>
    <w:qFormat/>
    <w:uiPriority w:val="99"/>
    <w:rPr>
      <w:rFonts w:cs="Times New Roman"/>
    </w:rPr>
  </w:style>
  <w:style w:type="character" w:customStyle="1" w:styleId="79">
    <w:name w:val="no52"/>
    <w:basedOn w:val="36"/>
    <w:autoRedefine/>
    <w:qFormat/>
    <w:uiPriority w:val="99"/>
    <w:rPr>
      <w:rFonts w:cs="Times New Roman"/>
    </w:rPr>
  </w:style>
  <w:style w:type="character" w:customStyle="1" w:styleId="80">
    <w:name w:val="no4"/>
    <w:basedOn w:val="36"/>
    <w:autoRedefine/>
    <w:qFormat/>
    <w:uiPriority w:val="99"/>
    <w:rPr>
      <w:rFonts w:cs="Times New Roman"/>
    </w:rPr>
  </w:style>
  <w:style w:type="character" w:customStyle="1" w:styleId="81">
    <w:name w:val="my-notice"/>
    <w:basedOn w:val="36"/>
    <w:autoRedefine/>
    <w:qFormat/>
    <w:uiPriority w:val="99"/>
    <w:rPr>
      <w:rFonts w:cs="Times New Roman"/>
    </w:rPr>
  </w:style>
  <w:style w:type="character" w:customStyle="1" w:styleId="82">
    <w:name w:val="ico-jiang"/>
    <w:basedOn w:val="36"/>
    <w:autoRedefine/>
    <w:qFormat/>
    <w:uiPriority w:val="99"/>
    <w:rPr>
      <w:rFonts w:cs="Times New Roman"/>
    </w:rPr>
  </w:style>
  <w:style w:type="character" w:customStyle="1" w:styleId="83">
    <w:name w:val="ico-jiang2"/>
    <w:basedOn w:val="36"/>
    <w:autoRedefine/>
    <w:qFormat/>
    <w:uiPriority w:val="99"/>
    <w:rPr>
      <w:rFonts w:cs="Times New Roman"/>
    </w:rPr>
  </w:style>
  <w:style w:type="character" w:customStyle="1" w:styleId="84">
    <w:name w:val="bds_more1"/>
    <w:autoRedefine/>
    <w:qFormat/>
    <w:uiPriority w:val="99"/>
    <w:rPr>
      <w:rFonts w:ascii="宋体" w:hAnsi="宋体" w:eastAsia="宋体"/>
    </w:rPr>
  </w:style>
  <w:style w:type="character" w:customStyle="1" w:styleId="85">
    <w:name w:val="Body Text Indent 2 Char"/>
    <w:autoRedefine/>
    <w:qFormat/>
    <w:locked/>
    <w:uiPriority w:val="99"/>
    <w:rPr>
      <w:rFonts w:ascii="宋体" w:eastAsia="宋体"/>
      <w:sz w:val="24"/>
    </w:rPr>
  </w:style>
  <w:style w:type="character" w:customStyle="1" w:styleId="86">
    <w:name w:val="org_name"/>
    <w:basedOn w:val="36"/>
    <w:autoRedefine/>
    <w:qFormat/>
    <w:uiPriority w:val="99"/>
    <w:rPr>
      <w:rFonts w:cs="Times New Roman"/>
    </w:rPr>
  </w:style>
  <w:style w:type="character" w:customStyle="1" w:styleId="87">
    <w:name w:val="org_name2"/>
    <w:basedOn w:val="36"/>
    <w:autoRedefine/>
    <w:qFormat/>
    <w:uiPriority w:val="99"/>
    <w:rPr>
      <w:rFonts w:cs="Times New Roman"/>
    </w:rPr>
  </w:style>
  <w:style w:type="character" w:customStyle="1" w:styleId="88">
    <w:name w:val="tip10"/>
    <w:autoRedefine/>
    <w:qFormat/>
    <w:uiPriority w:val="99"/>
    <w:rPr>
      <w:vanish/>
      <w:color w:val="FF0000"/>
      <w:sz w:val="18"/>
    </w:rPr>
  </w:style>
  <w:style w:type="character" w:customStyle="1" w:styleId="89">
    <w:name w:val="orange"/>
    <w:autoRedefine/>
    <w:qFormat/>
    <w:uiPriority w:val="99"/>
    <w:rPr>
      <w:color w:val="3FB58F"/>
    </w:rPr>
  </w:style>
  <w:style w:type="character" w:customStyle="1" w:styleId="90">
    <w:name w:val="bds_more"/>
    <w:basedOn w:val="36"/>
    <w:autoRedefine/>
    <w:qFormat/>
    <w:uiPriority w:val="99"/>
    <w:rPr>
      <w:rFonts w:cs="Times New Roman"/>
    </w:rPr>
  </w:style>
  <w:style w:type="character" w:customStyle="1" w:styleId="91">
    <w:name w:val="t-tag"/>
    <w:autoRedefine/>
    <w:qFormat/>
    <w:uiPriority w:val="99"/>
    <w:rPr>
      <w:color w:val="FFFFFF"/>
      <w:sz w:val="18"/>
      <w:shd w:val="clear" w:color="auto" w:fill="FE8833"/>
    </w:rPr>
  </w:style>
  <w:style w:type="character" w:customStyle="1" w:styleId="92">
    <w:name w:val="top-icon"/>
    <w:basedOn w:val="36"/>
    <w:autoRedefine/>
    <w:qFormat/>
    <w:uiPriority w:val="99"/>
    <w:rPr>
      <w:rFonts w:cs="Times New Roman"/>
    </w:rPr>
  </w:style>
  <w:style w:type="character" w:customStyle="1" w:styleId="93">
    <w:name w:val="Body Text Char"/>
    <w:autoRedefine/>
    <w:qFormat/>
    <w:locked/>
    <w:uiPriority w:val="99"/>
    <w:rPr>
      <w:sz w:val="24"/>
    </w:rPr>
  </w:style>
  <w:style w:type="character" w:customStyle="1" w:styleId="94">
    <w:name w:val="no72"/>
    <w:basedOn w:val="36"/>
    <w:autoRedefine/>
    <w:qFormat/>
    <w:uiPriority w:val="99"/>
    <w:rPr>
      <w:rFonts w:cs="Times New Roman"/>
    </w:rPr>
  </w:style>
  <w:style w:type="character" w:customStyle="1" w:styleId="95">
    <w:name w:val="bds_nopic2"/>
    <w:basedOn w:val="36"/>
    <w:autoRedefine/>
    <w:qFormat/>
    <w:uiPriority w:val="99"/>
    <w:rPr>
      <w:rFonts w:cs="Times New Roman"/>
    </w:rPr>
  </w:style>
  <w:style w:type="character" w:customStyle="1" w:styleId="96">
    <w:name w:val="Document Map Char"/>
    <w:autoRedefine/>
    <w:qFormat/>
    <w:uiPriority w:val="99"/>
    <w:rPr>
      <w:rFonts w:ascii="宋体"/>
      <w:sz w:val="18"/>
    </w:rPr>
  </w:style>
  <w:style w:type="character" w:customStyle="1" w:styleId="97">
    <w:name w:val="no6"/>
    <w:basedOn w:val="36"/>
    <w:autoRedefine/>
    <w:qFormat/>
    <w:uiPriority w:val="99"/>
    <w:rPr>
      <w:rFonts w:cs="Times New Roman"/>
    </w:rPr>
  </w:style>
  <w:style w:type="character" w:customStyle="1" w:styleId="98">
    <w:name w:val="tip"/>
    <w:autoRedefine/>
    <w:qFormat/>
    <w:uiPriority w:val="99"/>
    <w:rPr>
      <w:vanish/>
      <w:color w:val="FF0000"/>
      <w:sz w:val="18"/>
    </w:rPr>
  </w:style>
  <w:style w:type="character" w:customStyle="1" w:styleId="99">
    <w:name w:val="apple-converted-space"/>
    <w:basedOn w:val="36"/>
    <w:autoRedefine/>
    <w:qFormat/>
    <w:uiPriority w:val="99"/>
    <w:rPr>
      <w:rFonts w:cs="Times New Roman"/>
    </w:rPr>
  </w:style>
  <w:style w:type="character" w:customStyle="1" w:styleId="100">
    <w:name w:val="bds_more2"/>
    <w:basedOn w:val="36"/>
    <w:autoRedefine/>
    <w:qFormat/>
    <w:uiPriority w:val="99"/>
    <w:rPr>
      <w:rFonts w:cs="Times New Roman"/>
    </w:rPr>
  </w:style>
  <w:style w:type="character" w:customStyle="1" w:styleId="101">
    <w:name w:val="my-class"/>
    <w:basedOn w:val="36"/>
    <w:autoRedefine/>
    <w:qFormat/>
    <w:uiPriority w:val="99"/>
    <w:rPr>
      <w:rFonts w:cs="Times New Roman"/>
    </w:rPr>
  </w:style>
  <w:style w:type="character" w:customStyle="1" w:styleId="102">
    <w:name w:val="ui-bz-bg-hover"/>
    <w:autoRedefine/>
    <w:qFormat/>
    <w:uiPriority w:val="99"/>
    <w:rPr>
      <w:shd w:val="clear" w:color="auto" w:fill="000000"/>
    </w:rPr>
  </w:style>
  <w:style w:type="character" w:customStyle="1" w:styleId="103">
    <w:name w:val="no7"/>
    <w:basedOn w:val="36"/>
    <w:autoRedefine/>
    <w:qFormat/>
    <w:uiPriority w:val="99"/>
    <w:rPr>
      <w:rFonts w:cs="Times New Roman"/>
    </w:rPr>
  </w:style>
  <w:style w:type="character" w:customStyle="1" w:styleId="104">
    <w:name w:val="正文缩进 Char"/>
    <w:link w:val="7"/>
    <w:autoRedefine/>
    <w:qFormat/>
    <w:locked/>
    <w:uiPriority w:val="99"/>
    <w:rPr>
      <w:rFonts w:ascii="Times New Roman" w:hAnsi="Times New Roman" w:eastAsia="宋体" w:cs="Times New Roman"/>
      <w:kern w:val="0"/>
      <w:sz w:val="24"/>
      <w:szCs w:val="20"/>
    </w:rPr>
  </w:style>
  <w:style w:type="character" w:customStyle="1" w:styleId="105">
    <w:name w:val="ico-jiang1"/>
    <w:basedOn w:val="36"/>
    <w:autoRedefine/>
    <w:qFormat/>
    <w:uiPriority w:val="99"/>
    <w:rPr>
      <w:rFonts w:cs="Times New Roman"/>
    </w:rPr>
  </w:style>
  <w:style w:type="character" w:customStyle="1" w:styleId="106">
    <w:name w:val="no62"/>
    <w:basedOn w:val="36"/>
    <w:autoRedefine/>
    <w:qFormat/>
    <w:uiPriority w:val="99"/>
    <w:rPr>
      <w:rFonts w:cs="Times New Roman"/>
    </w:rPr>
  </w:style>
  <w:style w:type="character" w:customStyle="1" w:styleId="107">
    <w:name w:val="orange5"/>
    <w:autoRedefine/>
    <w:qFormat/>
    <w:uiPriority w:val="99"/>
    <w:rPr>
      <w:color w:val="3FB58F"/>
    </w:rPr>
  </w:style>
  <w:style w:type="character" w:customStyle="1" w:styleId="108">
    <w:name w:val="bds_more4"/>
    <w:basedOn w:val="36"/>
    <w:autoRedefine/>
    <w:qFormat/>
    <w:uiPriority w:val="99"/>
    <w:rPr>
      <w:rFonts w:cs="Times New Roman"/>
    </w:rPr>
  </w:style>
  <w:style w:type="character" w:customStyle="1" w:styleId="109">
    <w:name w:val="no5"/>
    <w:basedOn w:val="36"/>
    <w:autoRedefine/>
    <w:qFormat/>
    <w:uiPriority w:val="99"/>
    <w:rPr>
      <w:rFonts w:cs="Times New Roman"/>
    </w:rPr>
  </w:style>
  <w:style w:type="character" w:customStyle="1" w:styleId="110">
    <w:name w:val="bds_more3"/>
    <w:basedOn w:val="36"/>
    <w:autoRedefine/>
    <w:qFormat/>
    <w:uiPriority w:val="99"/>
    <w:rPr>
      <w:rFonts w:cs="Times New Roman"/>
    </w:rPr>
  </w:style>
  <w:style w:type="character" w:customStyle="1" w:styleId="111">
    <w:name w:val="no42"/>
    <w:basedOn w:val="36"/>
    <w:autoRedefine/>
    <w:qFormat/>
    <w:uiPriority w:val="99"/>
    <w:rPr>
      <w:rFonts w:cs="Times New Roman"/>
    </w:rPr>
  </w:style>
  <w:style w:type="character" w:customStyle="1" w:styleId="112">
    <w:name w:val="bds_nopic1"/>
    <w:basedOn w:val="36"/>
    <w:autoRedefine/>
    <w:qFormat/>
    <w:uiPriority w:val="99"/>
    <w:rPr>
      <w:rFonts w:cs="Times New Roman"/>
    </w:rPr>
  </w:style>
  <w:style w:type="character" w:customStyle="1" w:styleId="113">
    <w:name w:val="my-notice1"/>
    <w:basedOn w:val="36"/>
    <w:autoRedefine/>
    <w:qFormat/>
    <w:uiPriority w:val="99"/>
    <w:rPr>
      <w:rFonts w:cs="Times New Roman"/>
    </w:rPr>
  </w:style>
  <w:style w:type="character" w:customStyle="1" w:styleId="114">
    <w:name w:val="orange6"/>
    <w:autoRedefine/>
    <w:qFormat/>
    <w:uiPriority w:val="99"/>
    <w:rPr>
      <w:color w:val="3FB58F"/>
    </w:rPr>
  </w:style>
  <w:style w:type="character" w:customStyle="1" w:styleId="115">
    <w:name w:val="Document Map Char2"/>
    <w:autoRedefine/>
    <w:qFormat/>
    <w:locked/>
    <w:uiPriority w:val="99"/>
    <w:rPr>
      <w:rFonts w:ascii="宋体"/>
      <w:sz w:val="18"/>
    </w:rPr>
  </w:style>
  <w:style w:type="character" w:customStyle="1" w:styleId="116">
    <w:name w:val="ico-jiang3"/>
    <w:basedOn w:val="36"/>
    <w:autoRedefine/>
    <w:qFormat/>
    <w:uiPriority w:val="99"/>
    <w:rPr>
      <w:rFonts w:cs="Times New Roman"/>
    </w:rPr>
  </w:style>
  <w:style w:type="character" w:customStyle="1" w:styleId="117">
    <w:name w:val="tip13"/>
    <w:autoRedefine/>
    <w:qFormat/>
    <w:uiPriority w:val="99"/>
    <w:rPr>
      <w:vanish/>
      <w:color w:val="FF0000"/>
      <w:sz w:val="18"/>
    </w:rPr>
  </w:style>
  <w:style w:type="character" w:customStyle="1" w:styleId="118">
    <w:name w:val="正文文本缩进 2 Char"/>
    <w:basedOn w:val="36"/>
    <w:link w:val="17"/>
    <w:autoRedefine/>
    <w:qFormat/>
    <w:uiPriority w:val="99"/>
    <w:rPr>
      <w:rFonts w:ascii="宋体" w:hAnsi="Calibri" w:eastAsia="宋体" w:cs="Times New Roman"/>
      <w:kern w:val="0"/>
      <w:sz w:val="24"/>
      <w:szCs w:val="20"/>
    </w:rPr>
  </w:style>
  <w:style w:type="character" w:customStyle="1" w:styleId="119">
    <w:name w:val="Body Text Indent 2 Char1"/>
    <w:basedOn w:val="36"/>
    <w:autoRedefine/>
    <w:semiHidden/>
    <w:qFormat/>
    <w:locked/>
    <w:uiPriority w:val="99"/>
    <w:rPr>
      <w:rFonts w:cs="Times New Roman"/>
    </w:rPr>
  </w:style>
  <w:style w:type="character" w:customStyle="1" w:styleId="120">
    <w:name w:val="正文文本缩进 3 Char"/>
    <w:basedOn w:val="36"/>
    <w:link w:val="25"/>
    <w:autoRedefine/>
    <w:qFormat/>
    <w:uiPriority w:val="99"/>
    <w:rPr>
      <w:rFonts w:ascii="宋体" w:hAnsi="Calibri" w:eastAsia="宋体" w:cs="Times New Roman"/>
      <w:kern w:val="0"/>
      <w:sz w:val="20"/>
      <w:szCs w:val="20"/>
    </w:rPr>
  </w:style>
  <w:style w:type="character" w:customStyle="1" w:styleId="121">
    <w:name w:val="Body Text Indent 3 Char1"/>
    <w:basedOn w:val="36"/>
    <w:autoRedefine/>
    <w:semiHidden/>
    <w:qFormat/>
    <w:locked/>
    <w:uiPriority w:val="99"/>
    <w:rPr>
      <w:rFonts w:cs="Times New Roman"/>
      <w:sz w:val="16"/>
      <w:szCs w:val="16"/>
    </w:rPr>
  </w:style>
  <w:style w:type="character" w:customStyle="1" w:styleId="122">
    <w:name w:val="文档结构图 Char"/>
    <w:basedOn w:val="36"/>
    <w:link w:val="8"/>
    <w:autoRedefine/>
    <w:qFormat/>
    <w:uiPriority w:val="99"/>
    <w:rPr>
      <w:rFonts w:ascii="宋体" w:hAnsi="Calibri" w:eastAsia="宋体" w:cs="Times New Roman"/>
      <w:kern w:val="0"/>
      <w:sz w:val="18"/>
      <w:szCs w:val="20"/>
    </w:rPr>
  </w:style>
  <w:style w:type="character" w:customStyle="1" w:styleId="123">
    <w:name w:val="Document Map Char3"/>
    <w:basedOn w:val="36"/>
    <w:autoRedefine/>
    <w:semiHidden/>
    <w:qFormat/>
    <w:locked/>
    <w:uiPriority w:val="99"/>
    <w:rPr>
      <w:rFonts w:ascii="Times New Roman" w:hAnsi="Times New Roman" w:cs="Times New Roman"/>
      <w:sz w:val="2"/>
    </w:rPr>
  </w:style>
  <w:style w:type="paragraph" w:customStyle="1" w:styleId="124">
    <w:name w:val="_Style 1"/>
    <w:basedOn w:val="1"/>
    <w:autoRedefine/>
    <w:qFormat/>
    <w:uiPriority w:val="99"/>
    <w:pPr>
      <w:ind w:firstLine="420" w:firstLineChars="200"/>
    </w:pPr>
    <w:rPr>
      <w:rFonts w:ascii="Times New Roman" w:hAnsi="Times New Roman" w:eastAsia="宋体" w:cs="Times New Roman"/>
      <w:szCs w:val="24"/>
    </w:rPr>
  </w:style>
  <w:style w:type="character" w:customStyle="1" w:styleId="125">
    <w:name w:val="正文文本 Char"/>
    <w:basedOn w:val="36"/>
    <w:link w:val="10"/>
    <w:autoRedefine/>
    <w:qFormat/>
    <w:uiPriority w:val="99"/>
    <w:rPr>
      <w:rFonts w:asciiTheme="minorEastAsia" w:hAnsiTheme="minorEastAsia" w:eastAsiaTheme="minorEastAsia"/>
      <w:b/>
      <w:sz w:val="24"/>
      <w:szCs w:val="21"/>
    </w:rPr>
  </w:style>
  <w:style w:type="character" w:customStyle="1" w:styleId="126">
    <w:name w:val="Body Text Char1"/>
    <w:basedOn w:val="36"/>
    <w:autoRedefine/>
    <w:semiHidden/>
    <w:qFormat/>
    <w:locked/>
    <w:uiPriority w:val="99"/>
    <w:rPr>
      <w:rFonts w:cs="Times New Roman"/>
    </w:rPr>
  </w:style>
  <w:style w:type="paragraph" w:customStyle="1" w:styleId="127">
    <w:name w:val="_Style 21"/>
    <w:basedOn w:val="1"/>
    <w:autoRedefine/>
    <w:qFormat/>
    <w:uiPriority w:val="99"/>
    <w:rPr>
      <w:rFonts w:ascii="Times New Roman" w:hAnsi="Times New Roman" w:eastAsia="宋体" w:cs="Times New Roman"/>
      <w:szCs w:val="20"/>
    </w:rPr>
  </w:style>
  <w:style w:type="paragraph" w:customStyle="1" w:styleId="128">
    <w:name w:val="p0"/>
    <w:basedOn w:val="1"/>
    <w:autoRedefine/>
    <w:qFormat/>
    <w:uiPriority w:val="99"/>
    <w:pPr>
      <w:widowControl/>
    </w:pPr>
    <w:rPr>
      <w:rFonts w:ascii="Times New Roman" w:hAnsi="Times New Roman" w:eastAsia="宋体" w:cs="Times New Roman"/>
      <w:kern w:val="0"/>
      <w:szCs w:val="21"/>
    </w:rPr>
  </w:style>
  <w:style w:type="paragraph" w:customStyle="1" w:styleId="129">
    <w:name w:val="xl37"/>
    <w:basedOn w:val="1"/>
    <w:autoRedefine/>
    <w:qFormat/>
    <w:uiPriority w:val="0"/>
    <w:pPr>
      <w:widowControl/>
      <w:pBdr>
        <w:left w:val="single" w:color="auto" w:sz="8" w:space="0"/>
        <w:right w:val="single" w:color="auto" w:sz="4" w:space="0"/>
      </w:pBdr>
      <w:spacing w:before="100" w:beforeAutospacing="1" w:after="100" w:afterAutospacing="1"/>
      <w:jc w:val="center"/>
      <w:textAlignment w:val="center"/>
    </w:pPr>
    <w:rPr>
      <w:rFonts w:ascii="宋体" w:hAnsi="宋体" w:eastAsia="宋体" w:cs="Times New Roman"/>
      <w:kern w:val="0"/>
      <w:sz w:val="18"/>
      <w:szCs w:val="18"/>
    </w:rPr>
  </w:style>
  <w:style w:type="paragraph" w:customStyle="1" w:styleId="130">
    <w:name w:val="xl25"/>
    <w:basedOn w:val="1"/>
    <w:autoRedefine/>
    <w:qFormat/>
    <w:uiPriority w:val="99"/>
    <w:pPr>
      <w:widowControl/>
      <w:spacing w:before="100" w:beforeAutospacing="1" w:after="100" w:afterAutospacing="1"/>
      <w:textAlignment w:val="center"/>
    </w:pPr>
    <w:rPr>
      <w:rFonts w:ascii="宋体" w:hAnsi="宋体" w:eastAsia="宋体" w:cs="Times New Roman"/>
      <w:kern w:val="0"/>
      <w:sz w:val="18"/>
      <w:szCs w:val="18"/>
    </w:rPr>
  </w:style>
  <w:style w:type="paragraph" w:customStyle="1" w:styleId="131">
    <w:name w:val="样式 样式 样式 样式 内容 + 首行缩进:  2 字符18 + 首行缩进:  5.71 厘米 + 首行缩进:  8.04 厘米..."/>
    <w:basedOn w:val="1"/>
    <w:autoRedefine/>
    <w:qFormat/>
    <w:uiPriority w:val="99"/>
    <w:pPr>
      <w:widowControl/>
      <w:spacing w:line="360" w:lineRule="auto"/>
      <w:ind w:firstLine="425" w:firstLineChars="177"/>
      <w:jc w:val="left"/>
    </w:pPr>
    <w:rPr>
      <w:rFonts w:ascii="Trebuchet MS" w:hAnsi="Trebuchet MS" w:eastAsia="宋体" w:cs="Times New Roman"/>
      <w:color w:val="404040"/>
      <w:kern w:val="0"/>
      <w:sz w:val="24"/>
      <w:szCs w:val="20"/>
      <w:lang w:eastAsia="en-US"/>
    </w:rPr>
  </w:style>
  <w:style w:type="paragraph" w:customStyle="1" w:styleId="132">
    <w:name w:val="无间隔1"/>
    <w:autoRedefine/>
    <w:qFormat/>
    <w:uiPriority w:val="99"/>
    <w:pPr>
      <w:widowControl w:val="0"/>
      <w:spacing w:line="360" w:lineRule="auto"/>
      <w:jc w:val="center"/>
    </w:pPr>
    <w:rPr>
      <w:rFonts w:ascii="Times New Roman" w:hAnsi="Times New Roman" w:eastAsia="宋体" w:cs="Times New Roman"/>
      <w:b/>
      <w:color w:val="000000"/>
      <w:kern w:val="2"/>
      <w:sz w:val="21"/>
      <w:szCs w:val="21"/>
      <w:lang w:val="zh-CN" w:eastAsia="zh-CN" w:bidi="ar-SA"/>
    </w:rPr>
  </w:style>
  <w:style w:type="paragraph" w:customStyle="1" w:styleId="133">
    <w:name w:val="列出段落11"/>
    <w:basedOn w:val="1"/>
    <w:autoRedefine/>
    <w:qFormat/>
    <w:uiPriority w:val="99"/>
    <w:pPr>
      <w:ind w:firstLine="420" w:firstLineChars="200"/>
    </w:pPr>
    <w:rPr>
      <w:rFonts w:ascii="Times New Roman" w:hAnsi="Times New Roman" w:eastAsia="宋体" w:cs="Times New Roman"/>
      <w:szCs w:val="24"/>
    </w:rPr>
  </w:style>
  <w:style w:type="paragraph" w:customStyle="1" w:styleId="134">
    <w:name w:val="_Style 2"/>
    <w:basedOn w:val="1"/>
    <w:autoRedefine/>
    <w:qFormat/>
    <w:uiPriority w:val="99"/>
    <w:pPr>
      <w:ind w:firstLine="420" w:firstLineChars="200"/>
    </w:pPr>
    <w:rPr>
      <w:rFonts w:ascii="Calibri" w:hAnsi="Calibri" w:eastAsia="宋体" w:cs="Times New Roman"/>
    </w:rPr>
  </w:style>
  <w:style w:type="paragraph" w:customStyle="1" w:styleId="135">
    <w:name w:val="txt14"/>
    <w:basedOn w:val="1"/>
    <w:autoRedefine/>
    <w:qFormat/>
    <w:uiPriority w:val="99"/>
    <w:pPr>
      <w:widowControl/>
      <w:spacing w:before="100" w:beforeAutospacing="1" w:after="100" w:afterAutospacing="1"/>
      <w:jc w:val="left"/>
    </w:pPr>
    <w:rPr>
      <w:rFonts w:ascii="宋体" w:hAnsi="宋体" w:eastAsia="宋体" w:cs="Times New Roman"/>
      <w:color w:val="000000"/>
      <w:kern w:val="0"/>
      <w:szCs w:val="21"/>
    </w:rPr>
  </w:style>
  <w:style w:type="paragraph" w:customStyle="1" w:styleId="136">
    <w:name w:val="_Style 11"/>
    <w:basedOn w:val="1"/>
    <w:autoRedefine/>
    <w:qFormat/>
    <w:uiPriority w:val="99"/>
    <w:rPr>
      <w:rFonts w:ascii="Times New Roman" w:hAnsi="Times New Roman" w:eastAsia="宋体" w:cs="Times New Roman"/>
      <w:szCs w:val="24"/>
    </w:rPr>
  </w:style>
  <w:style w:type="paragraph" w:customStyle="1" w:styleId="137">
    <w:name w:val="Char"/>
    <w:basedOn w:val="1"/>
    <w:autoRedefine/>
    <w:qFormat/>
    <w:uiPriority w:val="99"/>
    <w:rPr>
      <w:rFonts w:ascii="Times New Roman" w:hAnsi="Times New Roman" w:eastAsia="宋体" w:cs="Times New Roman"/>
      <w:szCs w:val="21"/>
    </w:rPr>
  </w:style>
  <w:style w:type="paragraph" w:customStyle="1" w:styleId="138">
    <w:name w:val="列出段落1"/>
    <w:basedOn w:val="1"/>
    <w:autoRedefine/>
    <w:qFormat/>
    <w:uiPriority w:val="99"/>
    <w:pPr>
      <w:ind w:firstLine="420" w:firstLineChars="200"/>
    </w:pPr>
    <w:rPr>
      <w:rFonts w:ascii="Times New Roman" w:hAnsi="Times New Roman" w:eastAsia="宋体" w:cs="Times New Roman"/>
      <w:szCs w:val="24"/>
    </w:rPr>
  </w:style>
  <w:style w:type="paragraph" w:customStyle="1" w:styleId="139">
    <w:name w:val="列出段落2"/>
    <w:basedOn w:val="1"/>
    <w:autoRedefine/>
    <w:qFormat/>
    <w:uiPriority w:val="99"/>
    <w:pPr>
      <w:ind w:firstLine="420" w:firstLineChars="200"/>
    </w:pPr>
    <w:rPr>
      <w:rFonts w:ascii="Times New Roman" w:hAnsi="Times New Roman" w:eastAsia="宋体" w:cs="Times New Roman"/>
      <w:szCs w:val="24"/>
    </w:rPr>
  </w:style>
  <w:style w:type="paragraph" w:customStyle="1" w:styleId="140">
    <w:name w:val="TOC 标题1"/>
    <w:basedOn w:val="2"/>
    <w:next w:val="1"/>
    <w:autoRedefine/>
    <w:qFormat/>
    <w:uiPriority w:val="39"/>
    <w:pPr>
      <w:keepLines/>
      <w:spacing w:before="480" w:after="0" w:line="276" w:lineRule="auto"/>
      <w:jc w:val="left"/>
      <w:outlineLvl w:val="9"/>
    </w:pPr>
    <w:rPr>
      <w:rFonts w:ascii="Cambria" w:hAnsi="Cambria" w:cs="Times New Roman"/>
      <w:color w:val="365F91"/>
      <w:kern w:val="0"/>
      <w:sz w:val="28"/>
      <w:szCs w:val="28"/>
    </w:rPr>
  </w:style>
  <w:style w:type="paragraph" w:customStyle="1" w:styleId="141">
    <w:name w:val="正文文本缩进 31"/>
    <w:basedOn w:val="1"/>
    <w:autoRedefine/>
    <w:qFormat/>
    <w:uiPriority w:val="99"/>
    <w:pPr>
      <w:spacing w:line="440" w:lineRule="exact"/>
      <w:ind w:firstLine="412" w:firstLineChars="200"/>
    </w:pPr>
    <w:rPr>
      <w:rFonts w:ascii="宋体" w:hAnsi="宋体" w:eastAsia="宋体" w:cs="Times New Roman"/>
      <w:kern w:val="0"/>
      <w:sz w:val="20"/>
      <w:szCs w:val="20"/>
    </w:rPr>
  </w:style>
  <w:style w:type="character" w:customStyle="1" w:styleId="142">
    <w:name w:val="font41"/>
    <w:autoRedefine/>
    <w:qFormat/>
    <w:uiPriority w:val="99"/>
    <w:rPr>
      <w:rFonts w:hint="eastAsia" w:ascii="宋体" w:hAnsi="宋体" w:eastAsia="宋体" w:cs="宋体"/>
      <w:b/>
      <w:color w:val="000000"/>
      <w:sz w:val="22"/>
      <w:szCs w:val="22"/>
      <w:u w:val="none"/>
    </w:rPr>
  </w:style>
  <w:style w:type="character" w:customStyle="1" w:styleId="143">
    <w:name w:val="font81"/>
    <w:autoRedefine/>
    <w:qFormat/>
    <w:uiPriority w:val="99"/>
    <w:rPr>
      <w:rFonts w:hint="eastAsia" w:ascii="宋体" w:hAnsi="宋体" w:eastAsia="宋体" w:cs="宋体"/>
      <w:b/>
      <w:color w:val="000000"/>
      <w:sz w:val="22"/>
      <w:szCs w:val="22"/>
      <w:u w:val="none"/>
    </w:rPr>
  </w:style>
  <w:style w:type="character" w:customStyle="1" w:styleId="144">
    <w:name w:val="font21"/>
    <w:autoRedefine/>
    <w:qFormat/>
    <w:uiPriority w:val="0"/>
    <w:rPr>
      <w:rFonts w:hint="eastAsia" w:ascii="宋体" w:hAnsi="宋体" w:eastAsia="宋体" w:cs="宋体"/>
      <w:color w:val="000000"/>
      <w:sz w:val="18"/>
      <w:szCs w:val="18"/>
      <w:u w:val="none"/>
    </w:rPr>
  </w:style>
  <w:style w:type="character" w:customStyle="1" w:styleId="145">
    <w:name w:val="日期 Char"/>
    <w:link w:val="16"/>
    <w:autoRedefine/>
    <w:qFormat/>
    <w:uiPriority w:val="0"/>
    <w:rPr>
      <w:szCs w:val="21"/>
    </w:rPr>
  </w:style>
  <w:style w:type="character" w:customStyle="1" w:styleId="146">
    <w:name w:val="font01"/>
    <w:autoRedefine/>
    <w:qFormat/>
    <w:uiPriority w:val="99"/>
    <w:rPr>
      <w:rFonts w:hint="eastAsia" w:ascii="宋体" w:hAnsi="宋体" w:eastAsia="宋体" w:cs="宋体"/>
      <w:color w:val="000000"/>
      <w:sz w:val="22"/>
      <w:szCs w:val="22"/>
      <w:u w:val="none"/>
    </w:rPr>
  </w:style>
  <w:style w:type="character" w:customStyle="1" w:styleId="147">
    <w:name w:val="Char Char1"/>
    <w:autoRedefine/>
    <w:qFormat/>
    <w:uiPriority w:val="0"/>
    <w:rPr>
      <w:rFonts w:eastAsia="宋体"/>
      <w:kern w:val="2"/>
      <w:sz w:val="18"/>
      <w:szCs w:val="18"/>
      <w:lang w:val="en-US" w:eastAsia="zh-CN" w:bidi="ar-SA"/>
    </w:rPr>
  </w:style>
  <w:style w:type="character" w:customStyle="1" w:styleId="148">
    <w:name w:val="标题 Char"/>
    <w:link w:val="32"/>
    <w:autoRedefine/>
    <w:qFormat/>
    <w:uiPriority w:val="0"/>
    <w:rPr>
      <w:rFonts w:ascii="Cambria" w:hAnsi="Cambria" w:cs="Times New Roman"/>
      <w:b/>
      <w:bCs/>
      <w:sz w:val="32"/>
      <w:szCs w:val="32"/>
    </w:rPr>
  </w:style>
  <w:style w:type="character" w:customStyle="1" w:styleId="149">
    <w:name w:val="hei141"/>
    <w:autoRedefine/>
    <w:qFormat/>
    <w:uiPriority w:val="0"/>
    <w:rPr>
      <w:rFonts w:hint="eastAsia" w:ascii="宋体" w:hAnsi="宋体" w:eastAsia="宋体"/>
      <w:color w:val="000000"/>
      <w:sz w:val="19"/>
      <w:szCs w:val="19"/>
      <w:u w:val="none"/>
    </w:rPr>
  </w:style>
  <w:style w:type="character" w:customStyle="1" w:styleId="150">
    <w:name w:val="批注文字 Char"/>
    <w:link w:val="9"/>
    <w:autoRedefine/>
    <w:qFormat/>
    <w:uiPriority w:val="0"/>
  </w:style>
  <w:style w:type="character" w:customStyle="1" w:styleId="151">
    <w:name w:val="apple-style-span"/>
    <w:basedOn w:val="36"/>
    <w:autoRedefine/>
    <w:qFormat/>
    <w:uiPriority w:val="0"/>
  </w:style>
  <w:style w:type="character" w:customStyle="1" w:styleId="152">
    <w:name w:val="param-value"/>
    <w:autoRedefine/>
    <w:qFormat/>
    <w:uiPriority w:val="99"/>
    <w:rPr>
      <w:rFonts w:cs="Times New Roman"/>
    </w:rPr>
  </w:style>
  <w:style w:type="character" w:customStyle="1" w:styleId="153">
    <w:name w:val="font61"/>
    <w:autoRedefine/>
    <w:qFormat/>
    <w:uiPriority w:val="0"/>
    <w:rPr>
      <w:rFonts w:hint="eastAsia" w:ascii="宋体" w:hAnsi="宋体" w:eastAsia="宋体" w:cs="宋体"/>
      <w:color w:val="000000"/>
      <w:sz w:val="22"/>
      <w:szCs w:val="22"/>
      <w:u w:val="none"/>
    </w:rPr>
  </w:style>
  <w:style w:type="character" w:customStyle="1" w:styleId="154">
    <w:name w:val="font11"/>
    <w:autoRedefine/>
    <w:qFormat/>
    <w:uiPriority w:val="0"/>
    <w:rPr>
      <w:rFonts w:hint="eastAsia" w:ascii="宋体" w:hAnsi="宋体" w:eastAsia="宋体" w:cs="宋体"/>
      <w:color w:val="FF0000"/>
      <w:sz w:val="22"/>
      <w:szCs w:val="22"/>
      <w:u w:val="none"/>
    </w:rPr>
  </w:style>
  <w:style w:type="character" w:customStyle="1" w:styleId="155">
    <w:name w:val="批注主题 Char"/>
    <w:link w:val="33"/>
    <w:autoRedefine/>
    <w:qFormat/>
    <w:uiPriority w:val="0"/>
    <w:rPr>
      <w:b/>
      <w:bCs/>
    </w:rPr>
  </w:style>
  <w:style w:type="character" w:customStyle="1" w:styleId="156">
    <w:name w:val="批注文字 Char1"/>
    <w:basedOn w:val="36"/>
    <w:autoRedefine/>
    <w:semiHidden/>
    <w:qFormat/>
    <w:uiPriority w:val="99"/>
  </w:style>
  <w:style w:type="paragraph" w:customStyle="1" w:styleId="157">
    <w:name w:val="内文"/>
    <w:basedOn w:val="1"/>
    <w:autoRedefine/>
    <w:qFormat/>
    <w:uiPriority w:val="0"/>
    <w:pPr>
      <w:spacing w:line="500" w:lineRule="exact"/>
      <w:ind w:firstLine="560" w:firstLineChars="200"/>
    </w:pPr>
    <w:rPr>
      <w:rFonts w:ascii="方正仿宋简体" w:hAnsi="宋体" w:eastAsia="方正仿宋简体" w:cs="Times New Roman"/>
      <w:sz w:val="28"/>
      <w:szCs w:val="28"/>
    </w:rPr>
  </w:style>
  <w:style w:type="character" w:customStyle="1" w:styleId="158">
    <w:name w:val="批注主题 Char1"/>
    <w:basedOn w:val="156"/>
    <w:autoRedefine/>
    <w:semiHidden/>
    <w:qFormat/>
    <w:uiPriority w:val="99"/>
    <w:rPr>
      <w:b/>
      <w:bCs/>
    </w:rPr>
  </w:style>
  <w:style w:type="paragraph" w:customStyle="1" w:styleId="159">
    <w:name w:val="reader-word-layer reader-word-s1-17"/>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0">
    <w:name w:val="日期 Char1"/>
    <w:basedOn w:val="36"/>
    <w:autoRedefine/>
    <w:semiHidden/>
    <w:qFormat/>
    <w:uiPriority w:val="99"/>
  </w:style>
  <w:style w:type="paragraph" w:customStyle="1" w:styleId="161">
    <w:name w:val="reader-word-layer reader-word-s1-14"/>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2">
    <w:name w:val="脚注文本 Char"/>
    <w:basedOn w:val="36"/>
    <w:link w:val="23"/>
    <w:autoRedefine/>
    <w:semiHidden/>
    <w:qFormat/>
    <w:uiPriority w:val="0"/>
    <w:rPr>
      <w:rFonts w:ascii="Times New Roman" w:hAnsi="Times New Roman" w:eastAsia="宋体" w:cs="Times New Roman"/>
      <w:sz w:val="18"/>
      <w:szCs w:val="18"/>
    </w:rPr>
  </w:style>
  <w:style w:type="paragraph" w:customStyle="1" w:styleId="163">
    <w:name w:val="reader-word-layer reader-word-s1-16"/>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4">
    <w:name w:val="reader-word-layer reader-word-s1-15"/>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5">
    <w:name w:val="标题 Char1"/>
    <w:basedOn w:val="36"/>
    <w:autoRedefine/>
    <w:qFormat/>
    <w:uiPriority w:val="10"/>
    <w:rPr>
      <w:rFonts w:eastAsia="宋体" w:asciiTheme="majorHAnsi" w:hAnsiTheme="majorHAnsi" w:cstheme="majorBidi"/>
      <w:b/>
      <w:bCs/>
      <w:sz w:val="32"/>
      <w:szCs w:val="32"/>
    </w:rPr>
  </w:style>
  <w:style w:type="paragraph" w:customStyle="1" w:styleId="166">
    <w:name w:val="本文正文"/>
    <w:basedOn w:val="1"/>
    <w:autoRedefine/>
    <w:qFormat/>
    <w:uiPriority w:val="0"/>
    <w:pPr>
      <w:widowControl/>
      <w:spacing w:line="480" w:lineRule="exact"/>
      <w:ind w:firstLine="200" w:firstLineChars="200"/>
      <w:jc w:val="left"/>
    </w:pPr>
    <w:rPr>
      <w:rFonts w:ascii="宋体" w:hAnsi="宋体" w:eastAsia="宋体" w:cs="Times New Roman"/>
      <w:kern w:val="0"/>
      <w:sz w:val="24"/>
      <w:szCs w:val="24"/>
    </w:rPr>
  </w:style>
  <w:style w:type="paragraph" w:customStyle="1" w:styleId="167">
    <w:name w:val="reader-word-layer reader-word-s1-18"/>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8">
    <w:name w:val="Char Char Char1 Char Char Char Char"/>
    <w:basedOn w:val="1"/>
    <w:autoRedefine/>
    <w:qFormat/>
    <w:uiPriority w:val="99"/>
    <w:pPr>
      <w:spacing w:line="300" w:lineRule="auto"/>
    </w:pPr>
    <w:rPr>
      <w:rFonts w:ascii="Tahoma" w:hAnsi="Tahoma" w:eastAsia="宋体" w:cs="Times New Roman"/>
      <w:sz w:val="24"/>
      <w:szCs w:val="24"/>
    </w:rPr>
  </w:style>
  <w:style w:type="paragraph" w:customStyle="1" w:styleId="169">
    <w:name w:val="Default"/>
    <w:autoRedefine/>
    <w:qFormat/>
    <w:uiPriority w:val="0"/>
    <w:pPr>
      <w:widowControl w:val="0"/>
      <w:autoSpaceDE w:val="0"/>
      <w:autoSpaceDN w:val="0"/>
      <w:adjustRightInd w:val="0"/>
      <w:jc w:val="both"/>
    </w:pPr>
    <w:rPr>
      <w:rFonts w:ascii="黑体" w:hAnsi="黑体" w:eastAsia="宋体" w:cs="黑体"/>
      <w:color w:val="000000"/>
      <w:sz w:val="24"/>
      <w:szCs w:val="24"/>
      <w:lang w:val="en-US" w:eastAsia="zh-CN" w:bidi="ar-SA"/>
    </w:rPr>
  </w:style>
  <w:style w:type="paragraph" w:customStyle="1" w:styleId="170">
    <w:name w:val="List Paragraph1"/>
    <w:basedOn w:val="1"/>
    <w:autoRedefine/>
    <w:qFormat/>
    <w:uiPriority w:val="0"/>
    <w:pPr>
      <w:ind w:firstLine="420" w:firstLineChars="200"/>
    </w:pPr>
    <w:rPr>
      <w:rFonts w:ascii="Times New Roman" w:hAnsi="Times New Roman" w:eastAsia="宋体" w:cs="Times New Roman"/>
      <w:szCs w:val="24"/>
    </w:rPr>
  </w:style>
  <w:style w:type="paragraph" w:customStyle="1" w:styleId="171">
    <w:name w:val="reader-word-layer reader-word-s1-11"/>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2">
    <w:name w:val="reader-word-layer reader-word-s1-19"/>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3">
    <w:name w:val="reader-word-layer reader-word-s1-10"/>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4">
    <w:name w:val="Char Char4"/>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175">
    <w:name w:val="reader-word-layer"/>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6">
    <w:name w:val="Char Char4 Char Char"/>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177">
    <w:name w:val="列出段落3"/>
    <w:basedOn w:val="1"/>
    <w:autoRedefine/>
    <w:qFormat/>
    <w:uiPriority w:val="0"/>
    <w:pPr>
      <w:ind w:firstLine="420" w:firstLineChars="200"/>
    </w:pPr>
    <w:rPr>
      <w:rFonts w:ascii="Times New Roman" w:hAnsi="Times New Roman" w:eastAsia="宋体" w:cs="Times New Roman"/>
      <w:szCs w:val="24"/>
    </w:rPr>
  </w:style>
  <w:style w:type="character" w:customStyle="1" w:styleId="178">
    <w:name w:val="Char Char12"/>
    <w:autoRedefine/>
    <w:qFormat/>
    <w:uiPriority w:val="0"/>
    <w:rPr>
      <w:rFonts w:eastAsia="宋体"/>
      <w:kern w:val="2"/>
      <w:sz w:val="18"/>
      <w:szCs w:val="18"/>
      <w:lang w:val="en-US" w:eastAsia="zh-CN" w:bidi="ar-SA"/>
    </w:rPr>
  </w:style>
  <w:style w:type="paragraph" w:customStyle="1" w:styleId="179">
    <w:name w:val="Char Char42"/>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180">
    <w:name w:val="Char Char4 Char Char2"/>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181">
    <w:name w:val="列出段落4"/>
    <w:basedOn w:val="1"/>
    <w:autoRedefine/>
    <w:qFormat/>
    <w:uiPriority w:val="0"/>
    <w:pPr>
      <w:ind w:firstLine="420" w:firstLineChars="200"/>
    </w:pPr>
    <w:rPr>
      <w:rFonts w:ascii="Times New Roman" w:hAnsi="Times New Roman" w:eastAsia="宋体" w:cs="Times New Roman"/>
      <w:szCs w:val="24"/>
    </w:rPr>
  </w:style>
  <w:style w:type="character" w:customStyle="1" w:styleId="182">
    <w:name w:val="Char Char11"/>
    <w:autoRedefine/>
    <w:qFormat/>
    <w:uiPriority w:val="0"/>
    <w:rPr>
      <w:rFonts w:eastAsia="宋体"/>
      <w:kern w:val="2"/>
      <w:sz w:val="18"/>
      <w:szCs w:val="18"/>
      <w:lang w:val="en-US" w:eastAsia="zh-CN" w:bidi="ar-SA"/>
    </w:rPr>
  </w:style>
  <w:style w:type="paragraph" w:customStyle="1" w:styleId="183">
    <w:name w:val="Char Char41"/>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184">
    <w:name w:val="Char Char4 Char Char1"/>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185">
    <w:name w:val="列出段落5"/>
    <w:basedOn w:val="1"/>
    <w:autoRedefine/>
    <w:qFormat/>
    <w:uiPriority w:val="0"/>
    <w:pPr>
      <w:ind w:firstLine="420" w:firstLineChars="200"/>
    </w:pPr>
    <w:rPr>
      <w:rFonts w:ascii="Times New Roman" w:hAnsi="Times New Roman" w:eastAsia="宋体" w:cs="Times New Roman"/>
      <w:szCs w:val="24"/>
    </w:rPr>
  </w:style>
  <w:style w:type="paragraph" w:customStyle="1" w:styleId="186">
    <w:name w:val="Table Paragraph"/>
    <w:basedOn w:val="1"/>
    <w:autoRedefine/>
    <w:qFormat/>
    <w:uiPriority w:val="1"/>
    <w:rPr>
      <w:rFonts w:ascii="宋体" w:hAnsi="宋体" w:eastAsia="宋体" w:cs="宋体"/>
      <w:lang w:val="zh-CN" w:bidi="zh-CN"/>
    </w:rPr>
  </w:style>
  <w:style w:type="character" w:customStyle="1" w:styleId="187">
    <w:name w:val="font51"/>
    <w:basedOn w:val="36"/>
    <w:autoRedefine/>
    <w:qFormat/>
    <w:uiPriority w:val="0"/>
    <w:rPr>
      <w:rFonts w:hint="eastAsia" w:ascii="宋体" w:hAnsi="宋体" w:eastAsia="宋体" w:cs="宋体"/>
      <w:b/>
      <w:color w:val="000000"/>
      <w:sz w:val="21"/>
      <w:szCs w:val="21"/>
      <w:u w:val="none"/>
    </w:rPr>
  </w:style>
  <w:style w:type="character" w:customStyle="1" w:styleId="188">
    <w:name w:val="bookmark-item"/>
    <w:basedOn w:val="36"/>
    <w:autoRedefine/>
    <w:qFormat/>
    <w:uiPriority w:val="0"/>
  </w:style>
  <w:style w:type="paragraph" w:customStyle="1" w:styleId="189">
    <w:name w:val="样式 样式 样式 左侧:  2 字符1 + 首行缩进:  2 字符1 + 首行缩进:  2 字符"/>
    <w:basedOn w:val="1"/>
    <w:autoRedefine/>
    <w:qFormat/>
    <w:uiPriority w:val="0"/>
    <w:pPr>
      <w:widowControl/>
      <w:adjustRightInd w:val="0"/>
      <w:spacing w:before="60" w:after="120" w:line="440" w:lineRule="atLeast"/>
      <w:ind w:firstLine="480"/>
      <w:textAlignment w:val="baseline"/>
    </w:pPr>
    <w:rPr>
      <w:rFonts w:ascii="Times New Roman" w:hAnsi="Times New Roman" w:eastAsia="宋体" w:cs="Times New Roman"/>
      <w:sz w:val="24"/>
    </w:rPr>
  </w:style>
  <w:style w:type="paragraph" w:customStyle="1" w:styleId="190">
    <w:name w:val="正文3"/>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191">
    <w:name w:val="样式 首行缩进:  2 字符"/>
    <w:basedOn w:val="1"/>
    <w:autoRedefine/>
    <w:qFormat/>
    <w:uiPriority w:val="99"/>
    <w:pPr>
      <w:ind w:firstLine="560"/>
    </w:pPr>
    <w:rPr>
      <w:szCs w:val="21"/>
    </w:rPr>
  </w:style>
  <w:style w:type="character" w:customStyle="1" w:styleId="192">
    <w:name w:val="font31"/>
    <w:basedOn w:val="36"/>
    <w:autoRedefine/>
    <w:qFormat/>
    <w:uiPriority w:val="0"/>
    <w:rPr>
      <w:rFonts w:hint="eastAsia" w:ascii="仿宋" w:hAnsi="仿宋" w:eastAsia="仿宋" w:cs="仿宋"/>
      <w:color w:val="FF0000"/>
      <w:sz w:val="22"/>
      <w:szCs w:val="22"/>
      <w:u w:val="none"/>
    </w:rPr>
  </w:style>
  <w:style w:type="character" w:customStyle="1" w:styleId="193">
    <w:name w:val="纯文本 Char"/>
    <w:link w:val="14"/>
    <w:autoRedefine/>
    <w:qFormat/>
    <w:uiPriority w:val="0"/>
    <w:rPr>
      <w:rFonts w:ascii="宋体" w:hAnsi="Courier New" w:cstheme="minorBid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F222E-E6CB-4C5C-8B85-AFF40580E6E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146</Pages>
  <Words>10996</Words>
  <Characters>62679</Characters>
  <Lines>522</Lines>
  <Paragraphs>147</Paragraphs>
  <TotalTime>7</TotalTime>
  <ScaleCrop>false</ScaleCrop>
  <LinksUpToDate>false</LinksUpToDate>
  <CharactersWithSpaces>73528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2023-12-22T07:19:00Z</dcterms:created>
  <dc:creator>WHB</dc:creator>
  <cp:lastModifiedBy>大大大朵朵</cp:lastModifiedBy>
  <cp:lastPrinted>2023-12-15T04:33:00Z</cp:lastPrinted>
  <dcterms:modified xsi:type="dcterms:W3CDTF">2023-12-23T10:31:36Z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EBE2603581284E59870B186227F34251_13</vt:lpwstr>
  </property>
</Properties>
</file>