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asciiTheme="minorEastAsia" w:hAnsiTheme="minorEastAsia"/>
          <w:b/>
          <w:bCs/>
        </w:rPr>
      </w:pPr>
    </w:p>
    <w:p>
      <w:pPr>
        <w:adjustRightInd w:val="0"/>
        <w:snapToGrid w:val="0"/>
        <w:jc w:val="right"/>
        <w:rPr>
          <w:rFonts w:hint="eastAsia" w:asciiTheme="minorEastAsia" w:hAnsiTheme="minorEastAsia" w:eastAsiaTheme="minorEastAsia"/>
          <w:lang w:eastAsia="zh-CN"/>
        </w:rPr>
      </w:pPr>
      <w:r>
        <w:rPr>
          <w:rFonts w:hint="eastAsia" w:asciiTheme="minorEastAsia" w:hAnsiTheme="minorEastAsia"/>
        </w:rPr>
        <w:drawing>
          <wp:anchor distT="0" distB="0" distL="114300" distR="114300" simplePos="0" relativeHeight="251659264" behindDoc="0" locked="0" layoutInCell="1" allowOverlap="1">
            <wp:simplePos x="0" y="0"/>
            <wp:positionH relativeFrom="column">
              <wp:posOffset>255905</wp:posOffset>
            </wp:positionH>
            <wp:positionV relativeFrom="paragraph">
              <wp:posOffset>77470</wp:posOffset>
            </wp:positionV>
            <wp:extent cx="746760" cy="786765"/>
            <wp:effectExtent l="0" t="0" r="15240" b="133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stretch>
                      <a:fillRect/>
                    </a:stretch>
                  </pic:blipFill>
                  <pic:spPr>
                    <a:xfrm>
                      <a:off x="0" y="0"/>
                      <a:ext cx="746494" cy="786810"/>
                    </a:xfrm>
                    <a:prstGeom prst="rect">
                      <a:avLst/>
                    </a:prstGeom>
                    <a:noFill/>
                    <a:ln>
                      <a:noFill/>
                    </a:ln>
                  </pic:spPr>
                </pic:pic>
              </a:graphicData>
            </a:graphic>
          </wp:anchor>
        </w:drawing>
      </w:r>
      <w:r>
        <w:rPr>
          <w:rFonts w:hint="eastAsia" w:asciiTheme="minorEastAsia" w:hAnsiTheme="minorEastAsia"/>
        </w:rPr>
        <w:t>标段编号：</w:t>
      </w:r>
      <w:r>
        <w:rPr>
          <w:rFonts w:hint="eastAsia" w:asciiTheme="minorEastAsia" w:hAnsiTheme="minorEastAsia"/>
          <w:lang w:eastAsia="zh-CN"/>
        </w:rPr>
        <w:t>2023-1213-153736014</w:t>
      </w:r>
    </w:p>
    <w:p>
      <w:pPr>
        <w:adjustRightInd w:val="0"/>
        <w:snapToGrid w:val="0"/>
        <w:jc w:val="right"/>
        <w:rPr>
          <w:rFonts w:asciiTheme="minorEastAsia" w:hAnsiTheme="minorEastAsia"/>
        </w:rPr>
      </w:pPr>
    </w:p>
    <w:p>
      <w:pPr>
        <w:adjustRightInd w:val="0"/>
        <w:snapToGrid w:val="0"/>
        <w:jc w:val="right"/>
        <w:rPr>
          <w:rFonts w:asciiTheme="minorEastAsia" w:hAnsiTheme="minorEastAsia"/>
        </w:rPr>
      </w:pPr>
    </w:p>
    <w:p>
      <w:pPr>
        <w:adjustRightInd w:val="0"/>
        <w:snapToGrid w:val="0"/>
        <w:spacing w:line="480" w:lineRule="exact"/>
        <w:ind w:firstLine="964"/>
        <w:jc w:val="center"/>
        <w:rPr>
          <w:rFonts w:asciiTheme="minorEastAsia" w:hAnsiTheme="minorEastAsia"/>
          <w:b/>
          <w:sz w:val="48"/>
          <w:szCs w:val="48"/>
        </w:rPr>
      </w:pPr>
      <w:r>
        <w:rPr>
          <w:rFonts w:hint="eastAsia" w:asciiTheme="minorEastAsia" w:hAnsiTheme="minorEastAsia"/>
          <w:b/>
          <w:sz w:val="48"/>
          <w:szCs w:val="48"/>
        </w:rPr>
        <w:t>招 标 文 件</w:t>
      </w:r>
    </w:p>
    <w:p>
      <w:pPr>
        <w:ind w:firstLine="640"/>
        <w:jc w:val="center"/>
        <w:rPr>
          <w:rFonts w:asciiTheme="minorEastAsia" w:hAnsiTheme="minorEastAsia"/>
          <w:bCs/>
          <w:color w:val="auto"/>
          <w:sz w:val="36"/>
          <w:szCs w:val="36"/>
        </w:rPr>
      </w:pPr>
      <w:r>
        <w:rPr>
          <w:rFonts w:hint="eastAsia" w:asciiTheme="minorEastAsia" w:hAnsiTheme="minorEastAsia"/>
          <w:bCs/>
          <w:color w:val="auto"/>
          <w:sz w:val="32"/>
        </w:rPr>
        <w:t>（政府采购服务）</w:t>
      </w:r>
    </w:p>
    <w:p>
      <w:pPr>
        <w:adjustRightInd w:val="0"/>
        <w:snapToGrid w:val="0"/>
        <w:spacing w:line="480" w:lineRule="exact"/>
        <w:rPr>
          <w:rFonts w:asciiTheme="minorEastAsia" w:hAnsiTheme="minorEastAsia"/>
          <w:bCs/>
          <w:sz w:val="32"/>
        </w:rPr>
      </w:pPr>
      <w:r>
        <w:rPr>
          <w:rFonts w:hint="eastAsia" w:asciiTheme="minorEastAsia" w:hAnsiTheme="minorEastAsia"/>
          <w:bCs/>
          <w:sz w:val="32"/>
        </w:rPr>
        <w:t>项目名称：2024年-2026年米东区公共绿地绿化养护项目</w:t>
      </w:r>
    </w:p>
    <w:p>
      <w:pPr>
        <w:adjustRightInd w:val="0"/>
        <w:snapToGrid w:val="0"/>
        <w:spacing w:line="480" w:lineRule="exact"/>
        <w:ind w:firstLine="640"/>
        <w:rPr>
          <w:rFonts w:asciiTheme="minorEastAsia" w:hAnsiTheme="minorEastAsia"/>
          <w:bCs/>
          <w:sz w:val="32"/>
        </w:rPr>
      </w:pPr>
    </w:p>
    <w:p>
      <w:pPr>
        <w:ind w:left="1574" w:right="-191" w:rightChars="-91" w:hanging="1574" w:hangingChars="492"/>
        <w:rPr>
          <w:rFonts w:hint="eastAsia" w:asciiTheme="minorEastAsia" w:hAnsiTheme="minorEastAsia" w:eastAsiaTheme="minorEastAsia"/>
          <w:bCs/>
          <w:sz w:val="32"/>
          <w:lang w:eastAsia="zh-CN"/>
        </w:rPr>
      </w:pPr>
      <w:r>
        <w:rPr>
          <w:rFonts w:hint="eastAsia" w:asciiTheme="minorEastAsia" w:hAnsiTheme="minorEastAsia"/>
          <w:bCs/>
          <w:sz w:val="32"/>
        </w:rPr>
        <w:t>标段名称</w:t>
      </w:r>
      <w:r>
        <w:rPr>
          <w:rFonts w:hint="eastAsia" w:asciiTheme="minorEastAsia" w:hAnsiTheme="minorEastAsia"/>
          <w:bCs/>
          <w:kern w:val="0"/>
          <w:sz w:val="32"/>
          <w:szCs w:val="32"/>
        </w:rPr>
        <w:t>：</w:t>
      </w:r>
      <w:r>
        <w:rPr>
          <w:rFonts w:hint="eastAsia" w:asciiTheme="minorEastAsia" w:hAnsiTheme="minorEastAsia"/>
          <w:bCs/>
          <w:sz w:val="32"/>
          <w:lang w:eastAsia="zh-CN"/>
        </w:rPr>
        <w:t>2024年-2026年米东区公共绿地绿化养护项目第14包</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kern w:val="0"/>
          <w:sz w:val="32"/>
          <w:szCs w:val="32"/>
        </w:rPr>
      </w:pPr>
      <w:r>
        <w:rPr>
          <w:rFonts w:hint="eastAsia" w:asciiTheme="minorEastAsia" w:hAnsiTheme="minorEastAsia"/>
          <w:bCs/>
          <w:kern w:val="0"/>
          <w:sz w:val="32"/>
          <w:szCs w:val="32"/>
        </w:rPr>
        <w:t>采购人</w:t>
      </w:r>
      <w:r>
        <w:rPr>
          <w:rFonts w:asciiTheme="minorEastAsia" w:hAnsiTheme="minorEastAsia"/>
          <w:bCs/>
          <w:kern w:val="0"/>
          <w:sz w:val="32"/>
          <w:szCs w:val="32"/>
        </w:rPr>
        <w:t>(</w:t>
      </w:r>
      <w:r>
        <w:rPr>
          <w:rFonts w:hint="eastAsia" w:asciiTheme="minorEastAsia" w:hAnsiTheme="minorEastAsia"/>
          <w:bCs/>
          <w:kern w:val="0"/>
          <w:sz w:val="32"/>
          <w:szCs w:val="32"/>
        </w:rPr>
        <w:t>盖章</w:t>
      </w:r>
      <w:r>
        <w:rPr>
          <w:rFonts w:asciiTheme="minorEastAsia" w:hAnsiTheme="minorEastAsia"/>
          <w:bCs/>
          <w:kern w:val="0"/>
          <w:sz w:val="32"/>
          <w:szCs w:val="32"/>
        </w:rPr>
        <w:t>)</w:t>
      </w:r>
      <w:r>
        <w:rPr>
          <w:rFonts w:hint="eastAsia" w:asciiTheme="minorEastAsia" w:hAnsiTheme="minorEastAsia"/>
          <w:bCs/>
          <w:kern w:val="0"/>
          <w:sz w:val="32"/>
          <w:szCs w:val="32"/>
        </w:rPr>
        <w:t>：</w:t>
      </w:r>
      <w:r>
        <w:rPr>
          <w:rFonts w:hint="eastAsia" w:asciiTheme="minorEastAsia" w:hAnsiTheme="minorEastAsia"/>
          <w:bCs/>
          <w:sz w:val="32"/>
        </w:rPr>
        <w:t>乌鲁木齐市米东区园林管理局</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w:t>
      </w:r>
    </w:p>
    <w:p>
      <w:pPr>
        <w:adjustRightInd w:val="0"/>
        <w:snapToGrid w:val="0"/>
        <w:spacing w:line="480" w:lineRule="exact"/>
        <w:ind w:firstLine="640"/>
        <w:jc w:val="center"/>
        <w:rPr>
          <w:rFonts w:asciiTheme="minorEastAsia" w:hAnsiTheme="minorEastAsia"/>
          <w:bCs/>
          <w:sz w:val="32"/>
          <w:szCs w:val="32"/>
        </w:rPr>
      </w:pPr>
    </w:p>
    <w:p>
      <w:pPr>
        <w:tabs>
          <w:tab w:val="left" w:pos="8372"/>
        </w:tabs>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联系人：马国云</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：13619913728</w:t>
      </w:r>
    </w:p>
    <w:p>
      <w:pPr>
        <w:adjustRightInd w:val="0"/>
        <w:snapToGrid w:val="0"/>
        <w:spacing w:line="480" w:lineRule="exact"/>
        <w:rPr>
          <w:rFonts w:asciiTheme="minorEastAsia" w:hAnsiTheme="minorEastAsia"/>
          <w:bCs/>
          <w:sz w:val="32"/>
          <w:szCs w:val="32"/>
        </w:rPr>
      </w:pPr>
      <w:r>
        <w:rPr>
          <w:rFonts w:asciiTheme="minorEastAsia" w:hAnsiTheme="minorEastAsia"/>
          <w:bCs/>
          <w:kern w:val="0"/>
          <w:sz w:val="32"/>
          <w:szCs w:val="32"/>
        </w:rPr>
        <w:t>—————————————————————————————</w:t>
      </w: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采购代理机构</w:t>
      </w:r>
      <w:r>
        <w:rPr>
          <w:rFonts w:asciiTheme="minorEastAsia" w:hAnsiTheme="minorEastAsia"/>
          <w:sz w:val="32"/>
          <w:szCs w:val="32"/>
        </w:rPr>
        <w:t>(</w:t>
      </w:r>
      <w:r>
        <w:rPr>
          <w:rFonts w:hint="eastAsia" w:asciiTheme="minorEastAsia" w:hAnsiTheme="minorEastAsia"/>
          <w:sz w:val="32"/>
          <w:szCs w:val="32"/>
        </w:rPr>
        <w:t>盖章</w:t>
      </w:r>
      <w:r>
        <w:rPr>
          <w:rFonts w:asciiTheme="minorEastAsia" w:hAnsiTheme="minorEastAsia"/>
          <w:sz w:val="32"/>
          <w:szCs w:val="32"/>
        </w:rPr>
        <w:t>)</w:t>
      </w:r>
      <w:r>
        <w:rPr>
          <w:rFonts w:hint="eastAsia" w:asciiTheme="minorEastAsia" w:hAnsiTheme="minorEastAsia"/>
          <w:bCs/>
          <w:sz w:val="32"/>
          <w:szCs w:val="32"/>
        </w:rPr>
        <w:t>：新疆锐智时代建设工程项目管理有限公司</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：吴巧珠</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联系人：王芳</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 xml:space="preserve">：17690920122          </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详细地址：乌鲁木齐市水磨沟区立井街198号丽景名都商住10号楼21楼</w:t>
      </w:r>
    </w:p>
    <w:p>
      <w:pPr>
        <w:widowControl/>
        <w:ind w:firstLine="482"/>
        <w:jc w:val="center"/>
        <w:rPr>
          <w:rFonts w:cs="宋体" w:asciiTheme="minorEastAsia" w:hAnsiTheme="minorEastAsia"/>
          <w:b/>
          <w:bCs/>
          <w:sz w:val="24"/>
          <w:szCs w:val="24"/>
        </w:rPr>
      </w:pPr>
      <w:r>
        <w:rPr>
          <w:rFonts w:cs="宋体" w:asciiTheme="minorEastAsia" w:hAnsiTheme="minorEastAsia"/>
          <w:b/>
          <w:bCs/>
        </w:rPr>
        <w:br w:type="page"/>
      </w:r>
      <w:r>
        <w:rPr>
          <w:rFonts w:hint="eastAsia" w:cs="宋体" w:asciiTheme="minorEastAsia" w:hAnsiTheme="minorEastAsia"/>
          <w:b/>
          <w:bCs/>
          <w:sz w:val="24"/>
          <w:szCs w:val="24"/>
        </w:rPr>
        <w:t>目录</w:t>
      </w:r>
    </w:p>
    <w:p>
      <w:pPr>
        <w:pStyle w:val="21"/>
        <w:tabs>
          <w:tab w:val="right" w:leader="dot" w:pos="9354"/>
        </w:tabs>
      </w:pPr>
      <w:r>
        <w:rPr>
          <w:rFonts w:cs="宋体" w:asciiTheme="minorEastAsia" w:hAnsiTheme="minorEastAsia" w:eastAsiaTheme="minorEastAsia"/>
          <w:b/>
          <w:bCs/>
          <w:sz w:val="24"/>
        </w:rPr>
        <w:fldChar w:fldCharType="begin"/>
      </w:r>
      <w:r>
        <w:rPr>
          <w:rFonts w:cs="宋体" w:asciiTheme="minorEastAsia" w:hAnsiTheme="minorEastAsia" w:eastAsiaTheme="minorEastAsia"/>
          <w:b/>
          <w:bCs/>
          <w:sz w:val="24"/>
        </w:rPr>
        <w:instrText xml:space="preserve">TOC \o "1-3" \h \u </w:instrText>
      </w:r>
      <w:r>
        <w:rPr>
          <w:rFonts w:cs="宋体" w:asciiTheme="minorEastAsia" w:hAnsiTheme="minorEastAsia" w:eastAsiaTheme="minorEastAsia"/>
          <w:b/>
          <w:bCs/>
          <w:sz w:val="24"/>
        </w:rPr>
        <w:fldChar w:fldCharType="separate"/>
      </w:r>
      <w:r>
        <w:rPr>
          <w:rFonts w:cs="宋体" w:asciiTheme="minorEastAsia" w:hAnsiTheme="minorEastAsia" w:eastAsiaTheme="minorEastAsia"/>
          <w:bCs/>
        </w:rPr>
        <w:fldChar w:fldCharType="begin"/>
      </w:r>
      <w:r>
        <w:rPr>
          <w:rFonts w:cs="宋体" w:asciiTheme="minorEastAsia" w:hAnsiTheme="minorEastAsia" w:eastAsiaTheme="minorEastAsia"/>
          <w:bCs/>
        </w:rPr>
        <w:instrText xml:space="preserve"> HYPERLINK \l _Toc26426 </w:instrText>
      </w:r>
      <w:r>
        <w:rPr>
          <w:rFonts w:cs="宋体" w:asciiTheme="minorEastAsia" w:hAnsiTheme="minorEastAsia" w:eastAsiaTheme="minorEastAsia"/>
          <w:bCs/>
        </w:rPr>
        <w:fldChar w:fldCharType="separate"/>
      </w:r>
      <w:r>
        <w:rPr>
          <w:rFonts w:hint="eastAsia" w:asciiTheme="minorEastAsia" w:hAnsiTheme="minorEastAsia"/>
        </w:rPr>
        <w:t>2024年-2026年米东区公共绿地绿化养护项目公开招标公告</w:t>
      </w:r>
      <w:r>
        <w:tab/>
      </w:r>
      <w:r>
        <w:fldChar w:fldCharType="begin"/>
      </w:r>
      <w:r>
        <w:instrText xml:space="preserve"> PAGEREF _Toc26426 \h </w:instrText>
      </w:r>
      <w:r>
        <w:fldChar w:fldCharType="separate"/>
      </w:r>
      <w:r>
        <w:t>1</w:t>
      </w:r>
      <w:r>
        <w:fldChar w:fldCharType="end"/>
      </w:r>
      <w:r>
        <w:rPr>
          <w:rFonts w:cs="宋体" w:asciiTheme="minorEastAsia" w:hAnsiTheme="minorEastAsia" w:eastAsia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_Toc14276 </w:instrText>
      </w:r>
      <w:r>
        <w:rPr>
          <w:rFonts w:cs="宋体" w:asciiTheme="minorEastAsia" w:hAnsiTheme="minorEastAsia"/>
          <w:bCs/>
        </w:rPr>
        <w:fldChar w:fldCharType="separate"/>
      </w:r>
      <w:r>
        <w:rPr>
          <w:rFonts w:hint="eastAsia" w:cs="宋体" w:asciiTheme="minorEastAsia" w:hAnsiTheme="minorEastAsia"/>
          <w:szCs w:val="24"/>
        </w:rPr>
        <w:t>投标人须知前附表</w:t>
      </w:r>
      <w:r>
        <w:tab/>
      </w:r>
      <w:r>
        <w:fldChar w:fldCharType="begin"/>
      </w:r>
      <w:r>
        <w:instrText xml:space="preserve"> PAGEREF _Toc14276 \h </w:instrText>
      </w:r>
      <w:r>
        <w:fldChar w:fldCharType="separate"/>
      </w:r>
      <w:r>
        <w:t>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_Toc22437 </w:instrText>
      </w:r>
      <w:r>
        <w:rPr>
          <w:rFonts w:cs="宋体" w:asciiTheme="minorEastAsia" w:hAnsiTheme="minorEastAsia"/>
          <w:bCs/>
        </w:rPr>
        <w:fldChar w:fldCharType="separate"/>
      </w:r>
      <w:r>
        <w:rPr>
          <w:rFonts w:cs="宋体" w:asciiTheme="minorEastAsia" w:hAnsiTheme="minorEastAsia"/>
          <w:szCs w:val="24"/>
        </w:rPr>
        <w:t>1</w:t>
      </w:r>
      <w:r>
        <w:rPr>
          <w:rFonts w:hint="eastAsia" w:cs="宋体" w:asciiTheme="minorEastAsia" w:hAnsiTheme="minorEastAsia"/>
          <w:szCs w:val="24"/>
        </w:rPr>
        <w:t>．总则</w:t>
      </w:r>
      <w:r>
        <w:tab/>
      </w:r>
      <w:r>
        <w:fldChar w:fldCharType="begin"/>
      </w:r>
      <w:r>
        <w:instrText xml:space="preserve"> PAGEREF _Toc22437 \h </w:instrText>
      </w:r>
      <w:r>
        <w:fldChar w:fldCharType="separate"/>
      </w:r>
      <w:r>
        <w:t>10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_Toc3248 </w:instrText>
      </w:r>
      <w:r>
        <w:rPr>
          <w:rFonts w:cs="宋体" w:asciiTheme="minorEastAsia" w:hAnsiTheme="minorEastAsia"/>
          <w:bCs/>
        </w:rPr>
        <w:fldChar w:fldCharType="separate"/>
      </w:r>
      <w:r>
        <w:rPr>
          <w:rFonts w:cs="宋体" w:asciiTheme="minorEastAsia" w:hAnsiTheme="minorEastAsia"/>
          <w:szCs w:val="24"/>
        </w:rPr>
        <w:t>2</w:t>
      </w:r>
      <w:r>
        <w:rPr>
          <w:rFonts w:hint="eastAsia" w:cs="宋体" w:asciiTheme="minorEastAsia" w:hAnsiTheme="minorEastAsia"/>
          <w:szCs w:val="24"/>
        </w:rPr>
        <w:t>．招标文件</w:t>
      </w:r>
      <w:r>
        <w:tab/>
      </w:r>
      <w:r>
        <w:fldChar w:fldCharType="begin"/>
      </w:r>
      <w:r>
        <w:instrText xml:space="preserve"> PAGEREF _Toc3248 \h </w:instrText>
      </w:r>
      <w:r>
        <w:fldChar w:fldCharType="separate"/>
      </w:r>
      <w:r>
        <w:t>12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_Toc5109 </w:instrText>
      </w:r>
      <w:r>
        <w:rPr>
          <w:rFonts w:cs="宋体" w:asciiTheme="minorEastAsia" w:hAnsiTheme="minorEastAsia"/>
          <w:bCs/>
        </w:rPr>
        <w:fldChar w:fldCharType="separate"/>
      </w:r>
      <w:r>
        <w:rPr>
          <w:rFonts w:cs="宋体" w:asciiTheme="minorEastAsia" w:hAnsiTheme="minorEastAsia"/>
          <w:szCs w:val="24"/>
        </w:rPr>
        <w:t>3</w:t>
      </w:r>
      <w:r>
        <w:rPr>
          <w:rFonts w:hint="eastAsia" w:cs="宋体" w:asciiTheme="minorEastAsia" w:hAnsiTheme="minorEastAsia"/>
          <w:szCs w:val="24"/>
        </w:rPr>
        <w:t>．投标文件</w:t>
      </w:r>
      <w:r>
        <w:tab/>
      </w:r>
      <w:r>
        <w:fldChar w:fldCharType="begin"/>
      </w:r>
      <w:r>
        <w:instrText xml:space="preserve"> PAGEREF _Toc5109 \h </w:instrText>
      </w:r>
      <w:r>
        <w:fldChar w:fldCharType="separate"/>
      </w:r>
      <w:r>
        <w:t>13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_Toc7591 </w:instrText>
      </w:r>
      <w:r>
        <w:rPr>
          <w:rFonts w:cs="宋体" w:asciiTheme="minorEastAsia" w:hAnsiTheme="minorEastAsia"/>
          <w:bCs/>
        </w:rPr>
        <w:fldChar w:fldCharType="separate"/>
      </w:r>
      <w:r>
        <w:rPr>
          <w:rFonts w:cs="宋体" w:asciiTheme="minorEastAsia" w:hAnsiTheme="minorEastAsia"/>
          <w:szCs w:val="24"/>
        </w:rPr>
        <w:t>4</w:t>
      </w:r>
      <w:r>
        <w:rPr>
          <w:rFonts w:hint="eastAsia" w:cs="宋体" w:asciiTheme="minorEastAsia" w:hAnsiTheme="minorEastAsia"/>
          <w:szCs w:val="24"/>
        </w:rPr>
        <w:t>．投标</w:t>
      </w:r>
      <w:r>
        <w:tab/>
      </w:r>
      <w:r>
        <w:fldChar w:fldCharType="begin"/>
      </w:r>
      <w:r>
        <w:instrText xml:space="preserve"> PAGEREF _Toc7591 \h </w:instrText>
      </w:r>
      <w:r>
        <w:fldChar w:fldCharType="separate"/>
      </w:r>
      <w:r>
        <w:t>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_Toc10750 </w:instrText>
      </w:r>
      <w:r>
        <w:rPr>
          <w:rFonts w:cs="宋体" w:asciiTheme="minorEastAsia" w:hAnsiTheme="minorEastAsia"/>
          <w:bCs/>
        </w:rPr>
        <w:fldChar w:fldCharType="separate"/>
      </w:r>
      <w:r>
        <w:rPr>
          <w:rFonts w:cs="宋体" w:asciiTheme="minorEastAsia" w:hAnsiTheme="minorEastAsia"/>
          <w:szCs w:val="24"/>
        </w:rPr>
        <w:t>5</w:t>
      </w:r>
      <w:r>
        <w:rPr>
          <w:rFonts w:hint="eastAsia" w:cs="宋体" w:asciiTheme="minorEastAsia" w:hAnsiTheme="minorEastAsia"/>
          <w:szCs w:val="24"/>
        </w:rPr>
        <w:t>．开标</w:t>
      </w:r>
      <w:r>
        <w:tab/>
      </w:r>
      <w:r>
        <w:fldChar w:fldCharType="begin"/>
      </w:r>
      <w:r>
        <w:instrText xml:space="preserve"> PAGEREF _Toc10750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_Toc12517 </w:instrText>
      </w:r>
      <w:r>
        <w:rPr>
          <w:rFonts w:cs="宋体" w:asciiTheme="minorEastAsia" w:hAnsiTheme="minorEastAsia"/>
          <w:bCs/>
        </w:rPr>
        <w:fldChar w:fldCharType="separate"/>
      </w:r>
      <w:r>
        <w:rPr>
          <w:rFonts w:cs="宋体" w:asciiTheme="minorEastAsia" w:hAnsiTheme="minorEastAsia"/>
          <w:szCs w:val="24"/>
        </w:rPr>
        <w:t>6</w:t>
      </w:r>
      <w:r>
        <w:rPr>
          <w:rFonts w:hint="eastAsia" w:cs="宋体" w:asciiTheme="minorEastAsia" w:hAnsiTheme="minorEastAsia"/>
          <w:szCs w:val="24"/>
        </w:rPr>
        <w:t>．评标</w:t>
      </w:r>
      <w:r>
        <w:tab/>
      </w:r>
      <w:r>
        <w:fldChar w:fldCharType="begin"/>
      </w:r>
      <w:r>
        <w:instrText xml:space="preserve"> PAGEREF _Toc12517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_Toc24540 </w:instrText>
      </w:r>
      <w:r>
        <w:rPr>
          <w:rFonts w:cs="宋体" w:asciiTheme="minorEastAsia" w:hAnsiTheme="minorEastAsia"/>
          <w:bCs/>
        </w:rPr>
        <w:fldChar w:fldCharType="separate"/>
      </w:r>
      <w:r>
        <w:rPr>
          <w:rFonts w:cs="宋体" w:asciiTheme="minorEastAsia" w:hAnsiTheme="minorEastAsia"/>
          <w:szCs w:val="24"/>
        </w:rPr>
        <w:t>7</w:t>
      </w:r>
      <w:r>
        <w:rPr>
          <w:rFonts w:hint="eastAsia" w:cs="宋体" w:asciiTheme="minorEastAsia" w:hAnsiTheme="minorEastAsia"/>
          <w:szCs w:val="24"/>
        </w:rPr>
        <w:t>．定标及合同授予</w:t>
      </w:r>
      <w:r>
        <w:tab/>
      </w:r>
      <w:r>
        <w:fldChar w:fldCharType="begin"/>
      </w:r>
      <w:r>
        <w:instrText xml:space="preserve"> PAGEREF _Toc24540 \h </w:instrText>
      </w:r>
      <w:r>
        <w:fldChar w:fldCharType="separate"/>
      </w:r>
      <w:r>
        <w:t>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_Toc29083 </w:instrText>
      </w:r>
      <w:r>
        <w:rPr>
          <w:rFonts w:cs="宋体" w:asciiTheme="minorEastAsia" w:hAnsiTheme="minorEastAsia"/>
          <w:bCs/>
        </w:rPr>
        <w:fldChar w:fldCharType="separate"/>
      </w:r>
      <w:r>
        <w:rPr>
          <w:rFonts w:cs="宋体" w:asciiTheme="minorEastAsia" w:hAnsiTheme="minorEastAsia"/>
          <w:szCs w:val="24"/>
        </w:rPr>
        <w:t>8</w:t>
      </w:r>
      <w:r>
        <w:rPr>
          <w:rFonts w:hint="eastAsia" w:cs="宋体" w:asciiTheme="minorEastAsia" w:hAnsiTheme="minorEastAsia"/>
          <w:szCs w:val="24"/>
        </w:rPr>
        <w:t>．纪律和监督</w:t>
      </w:r>
      <w:r>
        <w:tab/>
      </w:r>
      <w:r>
        <w:fldChar w:fldCharType="begin"/>
      </w:r>
      <w:r>
        <w:instrText xml:space="preserve"> PAGEREF _Toc29083 \h </w:instrText>
      </w:r>
      <w:r>
        <w:fldChar w:fldCharType="separate"/>
      </w:r>
      <w:r>
        <w:t>18</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_Toc25443 </w:instrText>
      </w:r>
      <w:r>
        <w:rPr>
          <w:rFonts w:cs="宋体" w:asciiTheme="minorEastAsia" w:hAnsiTheme="minorEastAsia"/>
          <w:bCs/>
        </w:rPr>
        <w:fldChar w:fldCharType="separate"/>
      </w:r>
      <w:r>
        <w:rPr>
          <w:rFonts w:hint="eastAsia" w:cs="宋体" w:asciiTheme="minorEastAsia" w:hAnsiTheme="minorEastAsia"/>
          <w:szCs w:val="24"/>
        </w:rPr>
        <w:t>第二章评标办法</w:t>
      </w:r>
      <w:r>
        <w:tab/>
      </w:r>
      <w:r>
        <w:fldChar w:fldCharType="begin"/>
      </w:r>
      <w:r>
        <w:instrText xml:space="preserve"> PAGEREF _Toc25443 \h </w:instrText>
      </w:r>
      <w:r>
        <w:fldChar w:fldCharType="separate"/>
      </w:r>
      <w:r>
        <w:t>20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_Toc20529 </w:instrText>
      </w:r>
      <w:r>
        <w:rPr>
          <w:rFonts w:cs="宋体" w:asciiTheme="minorEastAsia" w:hAnsiTheme="minorEastAsia"/>
          <w:bCs/>
        </w:rPr>
        <w:fldChar w:fldCharType="separate"/>
      </w:r>
      <w:r>
        <w:rPr>
          <w:rFonts w:hint="eastAsia" w:cs="宋体" w:asciiTheme="minorEastAsia" w:hAnsiTheme="minorEastAsia"/>
          <w:szCs w:val="24"/>
        </w:rPr>
        <w:t>第一节 综合评分法</w:t>
      </w:r>
      <w:r>
        <w:tab/>
      </w:r>
      <w:r>
        <w:fldChar w:fldCharType="begin"/>
      </w:r>
      <w:r>
        <w:instrText xml:space="preserve"> PAGEREF _Toc20529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_Toc10658 </w:instrText>
      </w:r>
      <w:r>
        <w:rPr>
          <w:rFonts w:cs="宋体" w:asciiTheme="minorEastAsia" w:hAnsiTheme="minorEastAsia"/>
          <w:bCs/>
        </w:rPr>
        <w:fldChar w:fldCharType="separate"/>
      </w:r>
      <w:r>
        <w:rPr>
          <w:rFonts w:hint="eastAsia" w:cs="宋体" w:asciiTheme="minorEastAsia" w:hAnsiTheme="minorEastAsia"/>
          <w:szCs w:val="24"/>
        </w:rPr>
        <w:t>评标办法前附表</w:t>
      </w:r>
      <w:r>
        <w:tab/>
      </w:r>
      <w:r>
        <w:fldChar w:fldCharType="begin"/>
      </w:r>
      <w:r>
        <w:instrText xml:space="preserve"> PAGEREF _Toc10658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_Toc22050 </w:instrText>
      </w:r>
      <w:r>
        <w:rPr>
          <w:rFonts w:cs="宋体" w:asciiTheme="minorEastAsia" w:hAnsiTheme="minorEastAsia"/>
          <w:bCs/>
        </w:rPr>
        <w:fldChar w:fldCharType="separate"/>
      </w:r>
      <w:r>
        <w:rPr>
          <w:rFonts w:cs="宋体" w:asciiTheme="minorEastAsia" w:hAnsiTheme="minorEastAsia"/>
          <w:szCs w:val="24"/>
        </w:rPr>
        <w:t xml:space="preserve">1. </w:t>
      </w:r>
      <w:r>
        <w:rPr>
          <w:rFonts w:hint="eastAsia" w:cs="宋体" w:asciiTheme="minorEastAsia" w:hAnsiTheme="minorEastAsia"/>
          <w:szCs w:val="24"/>
        </w:rPr>
        <w:t>评标方法</w:t>
      </w:r>
      <w:r>
        <w:tab/>
      </w:r>
      <w:r>
        <w:fldChar w:fldCharType="begin"/>
      </w:r>
      <w:r>
        <w:instrText xml:space="preserve"> PAGEREF _Toc22050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_Toc5818 </w:instrText>
      </w:r>
      <w:r>
        <w:rPr>
          <w:rFonts w:cs="宋体" w:asciiTheme="minorEastAsia" w:hAnsiTheme="minorEastAsia"/>
          <w:bCs/>
        </w:rPr>
        <w:fldChar w:fldCharType="separate"/>
      </w:r>
      <w:r>
        <w:rPr>
          <w:rFonts w:cs="宋体" w:asciiTheme="minorEastAsia" w:hAnsiTheme="minorEastAsia"/>
          <w:szCs w:val="24"/>
        </w:rPr>
        <w:t xml:space="preserve">2. </w:t>
      </w:r>
      <w:r>
        <w:rPr>
          <w:rFonts w:hint="eastAsia" w:cs="宋体" w:asciiTheme="minorEastAsia" w:hAnsiTheme="minorEastAsia"/>
          <w:szCs w:val="24"/>
        </w:rPr>
        <w:t>评审标准</w:t>
      </w:r>
      <w:r>
        <w:tab/>
      </w:r>
      <w:r>
        <w:fldChar w:fldCharType="begin"/>
      </w:r>
      <w:r>
        <w:instrText xml:space="preserve"> PAGEREF _Toc5818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_Toc24599 </w:instrText>
      </w:r>
      <w:r>
        <w:rPr>
          <w:rFonts w:cs="宋体" w:asciiTheme="minorEastAsia" w:hAnsiTheme="minorEastAsia"/>
          <w:bCs/>
        </w:rPr>
        <w:fldChar w:fldCharType="separate"/>
      </w:r>
      <w:r>
        <w:rPr>
          <w:rFonts w:cs="宋体" w:asciiTheme="minorEastAsia" w:hAnsiTheme="minorEastAsia"/>
          <w:szCs w:val="24"/>
        </w:rPr>
        <w:t xml:space="preserve">3. </w:t>
      </w:r>
      <w:r>
        <w:rPr>
          <w:rFonts w:hint="eastAsia" w:cs="宋体" w:asciiTheme="minorEastAsia" w:hAnsiTheme="minorEastAsia"/>
          <w:szCs w:val="24"/>
        </w:rPr>
        <w:t>评标程序</w:t>
      </w:r>
      <w:r>
        <w:tab/>
      </w:r>
      <w:r>
        <w:fldChar w:fldCharType="begin"/>
      </w:r>
      <w:r>
        <w:instrText xml:space="preserve"> PAGEREF _Toc24599 \h </w:instrText>
      </w:r>
      <w:r>
        <w:fldChar w:fldCharType="separate"/>
      </w:r>
      <w:r>
        <w:t>23</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_Toc2622 </w:instrText>
      </w:r>
      <w:r>
        <w:rPr>
          <w:rFonts w:cs="宋体" w:asciiTheme="minorEastAsia" w:hAnsiTheme="minorEastAsia"/>
          <w:bCs/>
        </w:rPr>
        <w:fldChar w:fldCharType="separate"/>
      </w:r>
      <w:r>
        <w:rPr>
          <w:rFonts w:hint="eastAsia" w:cs="宋体" w:asciiTheme="minorEastAsia" w:hAnsiTheme="minorEastAsia"/>
          <w:szCs w:val="24"/>
        </w:rPr>
        <w:t>第三章合同</w:t>
      </w:r>
      <w:r>
        <w:tab/>
      </w:r>
      <w:r>
        <w:fldChar w:fldCharType="begin"/>
      </w:r>
      <w:r>
        <w:instrText xml:space="preserve"> PAGEREF _Toc2622 \h </w:instrText>
      </w:r>
      <w:r>
        <w:fldChar w:fldCharType="separate"/>
      </w:r>
      <w:r>
        <w:t>29</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_Toc16899 </w:instrText>
      </w:r>
      <w:r>
        <w:rPr>
          <w:rFonts w:cs="宋体" w:asciiTheme="minorEastAsia" w:hAnsiTheme="minorEastAsia"/>
          <w:bCs/>
        </w:rPr>
        <w:fldChar w:fldCharType="separate"/>
      </w:r>
      <w:r>
        <w:rPr>
          <w:rFonts w:hint="eastAsia" w:cs="宋体" w:asciiTheme="minorEastAsia" w:hAnsiTheme="minorEastAsia"/>
          <w:szCs w:val="24"/>
        </w:rPr>
        <w:t>第四章技术标准和要求</w:t>
      </w:r>
      <w:r>
        <w:tab/>
      </w:r>
      <w:r>
        <w:fldChar w:fldCharType="begin"/>
      </w:r>
      <w:r>
        <w:instrText xml:space="preserve"> PAGEREF _Toc16899 \h </w:instrText>
      </w:r>
      <w:r>
        <w:fldChar w:fldCharType="separate"/>
      </w:r>
      <w:r>
        <w:t>102</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_Toc23869 </w:instrText>
      </w:r>
      <w:r>
        <w:rPr>
          <w:rFonts w:cs="宋体" w:asciiTheme="minorEastAsia" w:hAnsiTheme="minorEastAsia"/>
          <w:bCs/>
        </w:rPr>
        <w:fldChar w:fldCharType="separate"/>
      </w:r>
      <w:r>
        <w:rPr>
          <w:rFonts w:hint="eastAsia" w:cs="宋体" w:asciiTheme="minorEastAsia" w:hAnsiTheme="minorEastAsia"/>
          <w:szCs w:val="24"/>
        </w:rPr>
        <w:t>第五章投标文件格式</w:t>
      </w:r>
      <w:r>
        <w:tab/>
      </w:r>
      <w:r>
        <w:fldChar w:fldCharType="begin"/>
      </w:r>
      <w:r>
        <w:instrText xml:space="preserve"> PAGEREF _Toc23869 \h </w:instrText>
      </w:r>
      <w:r>
        <w:fldChar w:fldCharType="separate"/>
      </w:r>
      <w:r>
        <w:t>106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_Toc21602 </w:instrText>
      </w:r>
      <w:r>
        <w:rPr>
          <w:rFonts w:cs="宋体" w:asciiTheme="minorEastAsia" w:hAnsiTheme="minorEastAsia"/>
          <w:bCs/>
        </w:rPr>
        <w:fldChar w:fldCharType="separate"/>
      </w:r>
      <w:r>
        <w:rPr>
          <w:rFonts w:hint="eastAsia" w:cs="宋体" w:asciiTheme="minorEastAsia" w:hAnsiTheme="minorEastAsia"/>
          <w:szCs w:val="24"/>
        </w:rPr>
        <w:t>目录</w:t>
      </w:r>
      <w:r>
        <w:tab/>
      </w:r>
      <w:r>
        <w:fldChar w:fldCharType="begin"/>
      </w:r>
      <w:r>
        <w:instrText xml:space="preserve"> PAGEREF _Toc21602 \h </w:instrText>
      </w:r>
      <w:r>
        <w:fldChar w:fldCharType="separate"/>
      </w:r>
      <w:r>
        <w:t>107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_Toc9000 </w:instrText>
      </w:r>
      <w:r>
        <w:rPr>
          <w:rFonts w:cs="宋体" w:asciiTheme="minorEastAsia" w:hAnsiTheme="minorEastAsia"/>
          <w:bCs/>
        </w:rPr>
        <w:fldChar w:fldCharType="separate"/>
      </w:r>
      <w:r>
        <w:rPr>
          <w:rFonts w:hint="eastAsia" w:cs="宋体" w:asciiTheme="minorEastAsia" w:hAnsiTheme="minorEastAsia"/>
          <w:szCs w:val="24"/>
        </w:rPr>
        <w:t>一、投标函</w:t>
      </w:r>
      <w:r>
        <w:tab/>
      </w:r>
      <w:r>
        <w:fldChar w:fldCharType="begin"/>
      </w:r>
      <w:r>
        <w:instrText xml:space="preserve"> PAGEREF _Toc9000 \h </w:instrText>
      </w:r>
      <w:r>
        <w:fldChar w:fldCharType="separate"/>
      </w:r>
      <w:r>
        <w:t>108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_Toc11816 </w:instrText>
      </w:r>
      <w:r>
        <w:rPr>
          <w:rFonts w:cs="宋体" w:asciiTheme="minorEastAsia" w:hAnsiTheme="minorEastAsia"/>
          <w:bCs/>
        </w:rPr>
        <w:fldChar w:fldCharType="separate"/>
      </w:r>
      <w:r>
        <w:rPr>
          <w:rFonts w:hint="eastAsia" w:cs="宋体" w:asciiTheme="minorEastAsia" w:hAnsiTheme="minorEastAsia"/>
          <w:szCs w:val="24"/>
        </w:rPr>
        <w:t>二、开标一览表</w:t>
      </w:r>
      <w:r>
        <w:tab/>
      </w:r>
      <w:r>
        <w:fldChar w:fldCharType="begin"/>
      </w:r>
      <w:r>
        <w:instrText xml:space="preserve"> PAGEREF _Toc11816 \h </w:instrText>
      </w:r>
      <w:r>
        <w:fldChar w:fldCharType="separate"/>
      </w:r>
      <w:r>
        <w:t>111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_Toc11101 </w:instrText>
      </w:r>
      <w:r>
        <w:rPr>
          <w:rFonts w:cs="宋体" w:asciiTheme="minorEastAsia" w:hAnsiTheme="minorEastAsia"/>
          <w:bCs/>
        </w:rPr>
        <w:fldChar w:fldCharType="separate"/>
      </w:r>
      <w:r>
        <w:rPr>
          <w:rFonts w:hint="eastAsia" w:cs="宋体" w:asciiTheme="minorEastAsia" w:hAnsiTheme="minorEastAsia"/>
          <w:szCs w:val="24"/>
        </w:rPr>
        <w:t>三、</w:t>
      </w:r>
      <w:r>
        <w:rPr>
          <w:rFonts w:hint="eastAsia" w:cs="宋体" w:asciiTheme="minorEastAsia" w:hAnsiTheme="minorEastAsia"/>
          <w:kern w:val="0"/>
          <w:szCs w:val="24"/>
        </w:rPr>
        <w:t>反商业贿赂承诺书</w:t>
      </w:r>
      <w:r>
        <w:tab/>
      </w:r>
      <w:r>
        <w:fldChar w:fldCharType="begin"/>
      </w:r>
      <w:r>
        <w:instrText xml:space="preserve"> PAGEREF _Toc11101 \h </w:instrText>
      </w:r>
      <w:r>
        <w:fldChar w:fldCharType="separate"/>
      </w:r>
      <w:r>
        <w:t>114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_Toc3213 </w:instrText>
      </w:r>
      <w:r>
        <w:rPr>
          <w:rFonts w:cs="宋体" w:asciiTheme="minorEastAsia" w:hAnsiTheme="minorEastAsia"/>
          <w:bCs/>
        </w:rPr>
        <w:fldChar w:fldCharType="separate"/>
      </w:r>
      <w:r>
        <w:rPr>
          <w:rFonts w:hint="eastAsia" w:cs="宋体" w:asciiTheme="minorEastAsia" w:hAnsiTheme="minorEastAsia"/>
          <w:szCs w:val="24"/>
        </w:rPr>
        <w:t>四、技术条款偏离表</w:t>
      </w:r>
      <w:r>
        <w:tab/>
      </w:r>
      <w:r>
        <w:fldChar w:fldCharType="begin"/>
      </w:r>
      <w:r>
        <w:instrText xml:space="preserve"> PAGEREF _Toc3213 \h </w:instrText>
      </w:r>
      <w:r>
        <w:fldChar w:fldCharType="separate"/>
      </w:r>
      <w:r>
        <w:t>115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_Toc1092 </w:instrText>
      </w:r>
      <w:r>
        <w:rPr>
          <w:rFonts w:cs="宋体" w:asciiTheme="minorEastAsia" w:hAnsiTheme="minorEastAsia"/>
          <w:bCs/>
        </w:rPr>
        <w:fldChar w:fldCharType="separate"/>
      </w:r>
      <w:r>
        <w:rPr>
          <w:rFonts w:hint="eastAsia" w:cs="宋体" w:asciiTheme="minorEastAsia" w:hAnsiTheme="minorEastAsia"/>
          <w:szCs w:val="24"/>
        </w:rPr>
        <w:t>五、商务条款偏离表</w:t>
      </w:r>
      <w:r>
        <w:tab/>
      </w:r>
      <w:r>
        <w:fldChar w:fldCharType="begin"/>
      </w:r>
      <w:r>
        <w:instrText xml:space="preserve"> PAGEREF _Toc1092 \h </w:instrText>
      </w:r>
      <w:r>
        <w:fldChar w:fldCharType="separate"/>
      </w:r>
      <w:r>
        <w:t>116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_Toc6713 </w:instrText>
      </w:r>
      <w:r>
        <w:rPr>
          <w:rFonts w:cs="宋体" w:asciiTheme="minorEastAsia" w:hAnsiTheme="minorEastAsia"/>
          <w:bCs/>
        </w:rPr>
        <w:fldChar w:fldCharType="separate"/>
      </w:r>
      <w:r>
        <w:rPr>
          <w:rFonts w:hint="eastAsia" w:cs="宋体" w:asciiTheme="minorEastAsia" w:hAnsiTheme="minorEastAsia"/>
          <w:szCs w:val="24"/>
        </w:rPr>
        <w:t>六、法定代表人身份证明书</w:t>
      </w:r>
      <w:r>
        <w:tab/>
      </w:r>
      <w:r>
        <w:fldChar w:fldCharType="begin"/>
      </w:r>
      <w:r>
        <w:instrText xml:space="preserve"> PAGEREF _Toc6713 \h </w:instrText>
      </w:r>
      <w:r>
        <w:fldChar w:fldCharType="separate"/>
      </w:r>
      <w:r>
        <w:t>117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_Toc13371 </w:instrText>
      </w:r>
      <w:r>
        <w:rPr>
          <w:rFonts w:cs="宋体" w:asciiTheme="minorEastAsia" w:hAnsiTheme="minorEastAsia"/>
          <w:bCs/>
        </w:rPr>
        <w:fldChar w:fldCharType="separate"/>
      </w:r>
      <w:r>
        <w:rPr>
          <w:rFonts w:hint="eastAsia" w:cs="宋体" w:asciiTheme="minorEastAsia" w:hAnsiTheme="minorEastAsia"/>
          <w:szCs w:val="24"/>
        </w:rPr>
        <w:t>七、法定代表人授权委托书</w:t>
      </w:r>
      <w:r>
        <w:tab/>
      </w:r>
      <w:r>
        <w:fldChar w:fldCharType="begin"/>
      </w:r>
      <w:r>
        <w:instrText xml:space="preserve"> PAGEREF _Toc13371 \h </w:instrText>
      </w:r>
      <w:r>
        <w:fldChar w:fldCharType="separate"/>
      </w:r>
      <w:r>
        <w:t>118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_Toc6408 </w:instrText>
      </w:r>
      <w:r>
        <w:rPr>
          <w:rFonts w:cs="宋体" w:asciiTheme="minorEastAsia" w:hAnsiTheme="minorEastAsia"/>
          <w:bCs/>
        </w:rPr>
        <w:fldChar w:fldCharType="separate"/>
      </w:r>
      <w:r>
        <w:rPr>
          <w:rFonts w:hint="eastAsia" w:cs="宋体" w:asciiTheme="minorEastAsia" w:hAnsiTheme="minorEastAsia"/>
          <w:szCs w:val="24"/>
        </w:rPr>
        <w:t>八、 投标人基本情况</w:t>
      </w:r>
      <w:r>
        <w:tab/>
      </w:r>
      <w:r>
        <w:fldChar w:fldCharType="begin"/>
      </w:r>
      <w:r>
        <w:instrText xml:space="preserve"> PAGEREF _Toc6408 \h </w:instrText>
      </w:r>
      <w:r>
        <w:fldChar w:fldCharType="separate"/>
      </w:r>
      <w:r>
        <w:t>119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_Toc16085 </w:instrText>
      </w:r>
      <w:r>
        <w:rPr>
          <w:rFonts w:cs="宋体" w:asciiTheme="minorEastAsia" w:hAnsiTheme="minorEastAsia"/>
          <w:bCs/>
        </w:rPr>
        <w:fldChar w:fldCharType="separate"/>
      </w:r>
      <w:r>
        <w:rPr>
          <w:rFonts w:hint="eastAsia" w:cs="宋体" w:asciiTheme="minorEastAsia" w:hAnsiTheme="minorEastAsia"/>
          <w:szCs w:val="24"/>
        </w:rPr>
        <w:t>九、投标人近年类似项目情况表</w:t>
      </w:r>
      <w:r>
        <w:tab/>
      </w:r>
      <w:r>
        <w:fldChar w:fldCharType="begin"/>
      </w:r>
      <w:r>
        <w:instrText xml:space="preserve"> PAGEREF _Toc16085 \h </w:instrText>
      </w:r>
      <w:r>
        <w:fldChar w:fldCharType="separate"/>
      </w:r>
      <w:r>
        <w:t>125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_Toc19134 </w:instrText>
      </w:r>
      <w:r>
        <w:rPr>
          <w:rFonts w:cs="宋体" w:asciiTheme="minorEastAsia" w:hAnsiTheme="minorEastAsia"/>
          <w:bCs/>
        </w:rPr>
        <w:fldChar w:fldCharType="separate"/>
      </w:r>
      <w:r>
        <w:rPr>
          <w:rFonts w:hint="eastAsia" w:cs="宋体" w:asciiTheme="minorEastAsia" w:hAnsiTheme="minorEastAsia"/>
          <w:bCs/>
          <w:szCs w:val="24"/>
        </w:rPr>
        <w:t>十、拟投入本项目主要机械设备</w:t>
      </w:r>
      <w:r>
        <w:tab/>
      </w:r>
      <w:r>
        <w:fldChar w:fldCharType="begin"/>
      </w:r>
      <w:r>
        <w:instrText xml:space="preserve"> PAGEREF _Toc19134 \h </w:instrText>
      </w:r>
      <w:r>
        <w:fldChar w:fldCharType="separate"/>
      </w:r>
      <w:r>
        <w:t>126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_Toc326 </w:instrText>
      </w:r>
      <w:r>
        <w:rPr>
          <w:rFonts w:cs="宋体" w:asciiTheme="minorEastAsia" w:hAnsiTheme="minorEastAsia"/>
          <w:bCs/>
        </w:rPr>
        <w:fldChar w:fldCharType="separate"/>
      </w:r>
      <w:r>
        <w:rPr>
          <w:rFonts w:hint="eastAsia" w:cs="宋体" w:asciiTheme="minorEastAsia" w:hAnsiTheme="minorEastAsia"/>
          <w:szCs w:val="24"/>
        </w:rPr>
        <w:t>十一、项目负责人简历表</w:t>
      </w:r>
      <w:r>
        <w:tab/>
      </w:r>
      <w:r>
        <w:fldChar w:fldCharType="begin"/>
      </w:r>
      <w:r>
        <w:instrText xml:space="preserve"> PAGEREF _Toc326 \h </w:instrText>
      </w:r>
      <w:r>
        <w:fldChar w:fldCharType="separate"/>
      </w:r>
      <w:r>
        <w:t>127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_Toc6227 </w:instrText>
      </w:r>
      <w:r>
        <w:rPr>
          <w:rFonts w:cs="宋体" w:asciiTheme="minorEastAsia" w:hAnsiTheme="minorEastAsia"/>
          <w:bCs/>
        </w:rPr>
        <w:fldChar w:fldCharType="separate"/>
      </w:r>
      <w:r>
        <w:rPr>
          <w:rFonts w:hint="eastAsia" w:cs="Arial" w:asciiTheme="minorEastAsia" w:hAnsiTheme="minorEastAsia"/>
          <w:bCs/>
          <w:kern w:val="0"/>
          <w:szCs w:val="24"/>
        </w:rPr>
        <w:t>十二</w:t>
      </w:r>
      <w:r>
        <w:rPr>
          <w:rFonts w:hint="eastAsia" w:cs="宋体" w:asciiTheme="minorEastAsia" w:hAnsiTheme="minorEastAsia"/>
          <w:szCs w:val="24"/>
        </w:rPr>
        <w:t>、拟投入人员配置表</w:t>
      </w:r>
      <w:r>
        <w:tab/>
      </w:r>
      <w:r>
        <w:fldChar w:fldCharType="begin"/>
      </w:r>
      <w:r>
        <w:instrText xml:space="preserve"> PAGEREF _Toc6227 \h </w:instrText>
      </w:r>
      <w:r>
        <w:fldChar w:fldCharType="separate"/>
      </w:r>
      <w:r>
        <w:t>128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_Toc1774 </w:instrText>
      </w:r>
      <w:r>
        <w:rPr>
          <w:rFonts w:cs="宋体" w:asciiTheme="minorEastAsia" w:hAnsiTheme="minorEastAsia"/>
          <w:bCs/>
        </w:rPr>
        <w:fldChar w:fldCharType="separate"/>
      </w:r>
      <w:r>
        <w:rPr>
          <w:rFonts w:hint="eastAsia" w:cs="宋体" w:asciiTheme="minorEastAsia" w:hAnsiTheme="minorEastAsia"/>
          <w:szCs w:val="24"/>
        </w:rPr>
        <w:t>十三、合理化建议</w:t>
      </w:r>
      <w:r>
        <w:tab/>
      </w:r>
      <w:r>
        <w:fldChar w:fldCharType="begin"/>
      </w:r>
      <w:r>
        <w:instrText xml:space="preserve"> PAGEREF _Toc1774 \h </w:instrText>
      </w:r>
      <w:r>
        <w:fldChar w:fldCharType="separate"/>
      </w:r>
      <w:r>
        <w:t>129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_Toc13516 </w:instrText>
      </w:r>
      <w:r>
        <w:rPr>
          <w:rFonts w:cs="宋体" w:asciiTheme="minorEastAsia" w:hAnsiTheme="minorEastAsia"/>
          <w:bCs/>
        </w:rPr>
        <w:fldChar w:fldCharType="separate"/>
      </w:r>
      <w:r>
        <w:rPr>
          <w:rFonts w:hint="eastAsia" w:cs="宋体" w:asciiTheme="minorEastAsia" w:hAnsiTheme="minorEastAsia"/>
          <w:szCs w:val="24"/>
        </w:rPr>
        <w:t>十四、养护作业方案</w:t>
      </w:r>
      <w:r>
        <w:tab/>
      </w:r>
      <w:r>
        <w:fldChar w:fldCharType="begin"/>
      </w:r>
      <w:r>
        <w:instrText xml:space="preserve"> PAGEREF _Toc13516 \h </w:instrText>
      </w:r>
      <w:r>
        <w:fldChar w:fldCharType="separate"/>
      </w:r>
      <w:r>
        <w:t>130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_Toc16213 </w:instrText>
      </w:r>
      <w:r>
        <w:rPr>
          <w:rFonts w:cs="宋体" w:asciiTheme="minorEastAsia" w:hAnsiTheme="minorEastAsia"/>
          <w:bCs/>
        </w:rPr>
        <w:fldChar w:fldCharType="separate"/>
      </w:r>
      <w:r>
        <w:rPr>
          <w:rFonts w:hint="eastAsia" w:cs="宋体" w:asciiTheme="minorEastAsia" w:hAnsiTheme="minorEastAsia"/>
          <w:szCs w:val="24"/>
        </w:rPr>
        <w:t>十五、质量管理方案</w:t>
      </w:r>
      <w:r>
        <w:tab/>
      </w:r>
      <w:r>
        <w:fldChar w:fldCharType="begin"/>
      </w:r>
      <w:r>
        <w:instrText xml:space="preserve"> PAGEREF _Toc16213 \h </w:instrText>
      </w:r>
      <w:r>
        <w:fldChar w:fldCharType="separate"/>
      </w:r>
      <w:r>
        <w:t>131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_Toc8126 </w:instrText>
      </w:r>
      <w:r>
        <w:rPr>
          <w:rFonts w:cs="宋体" w:asciiTheme="minorEastAsia" w:hAnsiTheme="minorEastAsia"/>
          <w:bCs/>
        </w:rPr>
        <w:fldChar w:fldCharType="separate"/>
      </w:r>
      <w:r>
        <w:rPr>
          <w:rFonts w:hint="eastAsia" w:cs="宋体" w:asciiTheme="minorEastAsia" w:hAnsiTheme="minorEastAsia"/>
          <w:szCs w:val="24"/>
        </w:rPr>
        <w:t>十六、应急抢险方案</w:t>
      </w:r>
      <w:r>
        <w:tab/>
      </w:r>
      <w:r>
        <w:fldChar w:fldCharType="begin"/>
      </w:r>
      <w:r>
        <w:instrText xml:space="preserve"> PAGEREF _Toc8126 \h </w:instrText>
      </w:r>
      <w:r>
        <w:fldChar w:fldCharType="separate"/>
      </w:r>
      <w:r>
        <w:t>132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_Toc2345 </w:instrText>
      </w:r>
      <w:r>
        <w:rPr>
          <w:rFonts w:cs="宋体" w:asciiTheme="minorEastAsia" w:hAnsiTheme="minorEastAsia"/>
          <w:bCs/>
        </w:rPr>
        <w:fldChar w:fldCharType="separate"/>
      </w:r>
      <w:r>
        <w:rPr>
          <w:rFonts w:hint="eastAsia" w:cs="宋体" w:asciiTheme="minorEastAsia" w:hAnsiTheme="minorEastAsia"/>
          <w:szCs w:val="24"/>
        </w:rPr>
        <w:t>十七、安全服务方案</w:t>
      </w:r>
      <w:r>
        <w:tab/>
      </w:r>
      <w:r>
        <w:fldChar w:fldCharType="begin"/>
      </w:r>
      <w:r>
        <w:instrText xml:space="preserve"> PAGEREF _Toc2345 \h </w:instrText>
      </w:r>
      <w:r>
        <w:fldChar w:fldCharType="separate"/>
      </w:r>
      <w:r>
        <w:t>133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_Toc19684 </w:instrText>
      </w:r>
      <w:r>
        <w:rPr>
          <w:rFonts w:cs="宋体" w:asciiTheme="minorEastAsia" w:hAnsiTheme="minorEastAsia"/>
          <w:bCs/>
        </w:rPr>
        <w:fldChar w:fldCharType="separate"/>
      </w:r>
      <w:r>
        <w:rPr>
          <w:rFonts w:hint="eastAsia" w:cs="宋体" w:asciiTheme="minorEastAsia" w:hAnsiTheme="minorEastAsia"/>
          <w:szCs w:val="24"/>
        </w:rPr>
        <w:t>十八、文明作业方案</w:t>
      </w:r>
      <w:r>
        <w:tab/>
      </w:r>
      <w:r>
        <w:fldChar w:fldCharType="begin"/>
      </w:r>
      <w:r>
        <w:instrText xml:space="preserve"> PAGEREF _Toc19684 \h </w:instrText>
      </w:r>
      <w:r>
        <w:fldChar w:fldCharType="separate"/>
      </w:r>
      <w:r>
        <w:t>134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_Toc25075 </w:instrText>
      </w:r>
      <w:r>
        <w:rPr>
          <w:rFonts w:cs="宋体" w:asciiTheme="minorEastAsia" w:hAnsiTheme="minorEastAsia"/>
          <w:bCs/>
        </w:rPr>
        <w:fldChar w:fldCharType="separate"/>
      </w:r>
      <w:r>
        <w:rPr>
          <w:rFonts w:hint="eastAsia" w:cs="宋体" w:asciiTheme="minorEastAsia" w:hAnsiTheme="minorEastAsia"/>
          <w:szCs w:val="24"/>
        </w:rPr>
        <w:t>十九、其他需要提交的资料</w:t>
      </w:r>
      <w:r>
        <w:tab/>
      </w:r>
      <w:r>
        <w:fldChar w:fldCharType="begin"/>
      </w:r>
      <w:r>
        <w:instrText xml:space="preserve"> PAGEREF _Toc25075 \h </w:instrText>
      </w:r>
      <w:r>
        <w:fldChar w:fldCharType="separate"/>
      </w:r>
      <w:r>
        <w:t>135</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_Toc8564 </w:instrText>
      </w:r>
      <w:r>
        <w:rPr>
          <w:rFonts w:cs="宋体" w:asciiTheme="minorEastAsia" w:hAnsiTheme="minorEastAsia"/>
          <w:bCs/>
        </w:rPr>
        <w:fldChar w:fldCharType="separate"/>
      </w:r>
      <w:r>
        <w:rPr>
          <w:rFonts w:hint="eastAsia" w:cs="宋体" w:asciiTheme="minorEastAsia" w:hAnsiTheme="minorEastAsia"/>
          <w:szCs w:val="24"/>
        </w:rPr>
        <w:t>第六章补充条款</w:t>
      </w:r>
      <w:r>
        <w:tab/>
      </w:r>
      <w:r>
        <w:fldChar w:fldCharType="begin"/>
      </w:r>
      <w:r>
        <w:instrText xml:space="preserve"> PAGEREF _Toc8564 \h </w:instrText>
      </w:r>
      <w:r>
        <w:fldChar w:fldCharType="separate"/>
      </w:r>
      <w:r>
        <w:t>136</w:t>
      </w:r>
      <w:r>
        <w:fldChar w:fldCharType="end"/>
      </w:r>
      <w:r>
        <w:rPr>
          <w:rFonts w:cs="宋体" w:asciiTheme="minorEastAsia" w:hAnsiTheme="minorEastAsia"/>
          <w:bCs/>
        </w:rPr>
        <w:fldChar w:fldCharType="end"/>
      </w:r>
    </w:p>
    <w:p>
      <w:pPr>
        <w:ind w:firstLine="482"/>
        <w:rPr>
          <w:rFonts w:cs="宋体" w:asciiTheme="minorEastAsia" w:hAnsiTheme="minorEastAsia"/>
          <w:b/>
          <w:bCs/>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cs="宋体" w:asciiTheme="minorEastAsia" w:hAnsiTheme="minorEastAsia"/>
          <w:bCs/>
        </w:rPr>
        <w:fldChar w:fldCharType="end"/>
      </w:r>
    </w:p>
    <w:p>
      <w:pPr>
        <w:spacing w:line="360" w:lineRule="auto"/>
        <w:ind w:firstLine="562"/>
        <w:jc w:val="center"/>
        <w:outlineLvl w:val="0"/>
        <w:rPr>
          <w:rFonts w:asciiTheme="minorEastAsia" w:hAnsiTheme="minorEastAsia"/>
          <w:color w:val="auto"/>
          <w:sz w:val="24"/>
          <w:szCs w:val="24"/>
        </w:rPr>
      </w:pPr>
      <w:bookmarkStart w:id="0" w:name="_Toc26426"/>
      <w:bookmarkStart w:id="1" w:name="_Toc8737"/>
      <w:r>
        <w:rPr>
          <w:rFonts w:hint="eastAsia" w:asciiTheme="minorEastAsia" w:hAnsiTheme="minorEastAsia"/>
          <w:b/>
          <w:color w:val="auto"/>
          <w:sz w:val="28"/>
          <w:u w:val="single"/>
        </w:rPr>
        <w:t>2024年-2026年米东区公共绿地绿化养护项目公开招标公告</w:t>
      </w:r>
      <w:bookmarkEnd w:id="0"/>
      <w:bookmarkEnd w:id="1"/>
    </w:p>
    <w:p>
      <w:pPr>
        <w:spacing w:line="360" w:lineRule="auto"/>
        <w:rPr>
          <w:rFonts w:cs="仿宋" w:asciiTheme="minorEastAsia" w:hAnsiTheme="minorEastAsia"/>
          <w:color w:val="auto"/>
          <w:sz w:val="24"/>
          <w:szCs w:val="24"/>
          <w:u w:val="single"/>
        </w:rPr>
      </w:pPr>
      <w:r>
        <w:rPr>
          <w:rFonts w:hint="eastAsia" w:asciiTheme="minorEastAsia" w:hAnsiTheme="minorEastAsia"/>
          <w:color w:val="auto"/>
          <w:sz w:val="24"/>
          <w:szCs w:val="24"/>
        </w:rPr>
        <w:t xml:space="preserve">   </w:t>
      </w:r>
      <w:r>
        <w:rPr>
          <w:rFonts w:hint="eastAsia" w:cs="仿宋" w:asciiTheme="minorEastAsia" w:hAnsiTheme="minorEastAsia"/>
          <w:color w:val="auto"/>
          <w:sz w:val="24"/>
          <w:szCs w:val="24"/>
          <w:u w:val="single"/>
        </w:rPr>
        <w:t>2024年-2026年米东区公共绿地绿化养护项目</w:t>
      </w:r>
      <w:r>
        <w:rPr>
          <w:rFonts w:hint="eastAsia" w:cs="仿宋" w:asciiTheme="minorEastAsia" w:hAnsiTheme="minorEastAsia"/>
          <w:color w:val="auto"/>
          <w:sz w:val="24"/>
          <w:szCs w:val="24"/>
        </w:rPr>
        <w:t>的潜在投标人应在投标人登录政采云平台https://www.zcygov.cn/在线申请获取采购文件（进入“项目采购”应用，在获取采购文件菜单中选择项目，申请获取采购文件）获取采购文件，并于</w:t>
      </w:r>
      <w:r>
        <w:rPr>
          <w:rFonts w:hint="eastAsia" w:cs="仿宋" w:asciiTheme="minorEastAsia" w:hAnsiTheme="minorEastAsia"/>
          <w:color w:val="auto"/>
          <w:sz w:val="24"/>
          <w:szCs w:val="24"/>
          <w:u w:val="single"/>
        </w:rPr>
        <w:t>2024年 01月1</w:t>
      </w:r>
      <w:r>
        <w:rPr>
          <w:rFonts w:hint="eastAsia" w:cs="仿宋" w:asciiTheme="minorEastAsia" w:hAnsiTheme="minorEastAsia"/>
          <w:color w:val="auto"/>
          <w:sz w:val="24"/>
          <w:szCs w:val="24"/>
          <w:u w:val="single"/>
          <w:lang w:val="en-US" w:eastAsia="zh-CN"/>
        </w:rPr>
        <w:t>6</w:t>
      </w:r>
      <w:r>
        <w:rPr>
          <w:rFonts w:hint="eastAsia" w:cs="仿宋" w:asciiTheme="minorEastAsia" w:hAnsiTheme="minorEastAsia"/>
          <w:color w:val="auto"/>
          <w:sz w:val="24"/>
          <w:szCs w:val="24"/>
          <w:u w:val="single"/>
        </w:rPr>
        <w:t>日11:00北京时间）</w:t>
      </w:r>
      <w:r>
        <w:rPr>
          <w:rFonts w:hint="eastAsia" w:cs="仿宋" w:asciiTheme="minorEastAsia" w:hAnsiTheme="minorEastAsia"/>
          <w:color w:val="auto"/>
          <w:sz w:val="24"/>
          <w:szCs w:val="24"/>
        </w:rPr>
        <w:t>前提交投标文件。</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一、项目基本情况</w:t>
      </w:r>
    </w:p>
    <w:p>
      <w:pPr>
        <w:spacing w:line="360" w:lineRule="auto"/>
        <w:rPr>
          <w:rFonts w:hint="eastAsia" w:cs="仿宋" w:asciiTheme="minorEastAsia" w:hAnsiTheme="minorEastAsia" w:eastAsiaTheme="minorEastAsia"/>
          <w:color w:val="auto"/>
          <w:sz w:val="24"/>
          <w:szCs w:val="24"/>
          <w:u w:val="single"/>
          <w:shd w:val="clear" w:color="auto" w:fill="FFFFFF"/>
          <w:lang w:eastAsia="zh-CN"/>
        </w:rPr>
      </w:pPr>
      <w:r>
        <w:rPr>
          <w:rFonts w:hint="eastAsia" w:cs="仿宋" w:asciiTheme="minorEastAsia" w:hAnsiTheme="minorEastAsia"/>
          <w:color w:val="auto"/>
          <w:sz w:val="24"/>
          <w:szCs w:val="24"/>
        </w:rPr>
        <w:t>标段编号：</w:t>
      </w:r>
      <w:r>
        <w:rPr>
          <w:rFonts w:hint="eastAsia" w:cs="仿宋" w:asciiTheme="minorEastAsia" w:hAnsiTheme="minorEastAsia"/>
          <w:color w:val="auto"/>
          <w:sz w:val="24"/>
          <w:szCs w:val="24"/>
          <w:u w:val="single"/>
          <w:lang w:eastAsia="zh-CN"/>
        </w:rPr>
        <w:t>2023-1213-153736014</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项目名称：</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采购方式：</w:t>
      </w:r>
      <w:r>
        <w:rPr>
          <w:rFonts w:hint="eastAsia" w:cs="仿宋" w:asciiTheme="minorEastAsia" w:hAnsiTheme="minorEastAsia"/>
          <w:color w:val="auto"/>
          <w:sz w:val="24"/>
          <w:szCs w:val="24"/>
          <w:u w:val="single"/>
        </w:rPr>
        <w:t>公开招标</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1442078</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最高限价（元）：</w:t>
      </w:r>
      <w:r>
        <w:rPr>
          <w:rFonts w:hint="eastAsia" w:cs="仿宋" w:asciiTheme="minorEastAsia" w:hAnsiTheme="minorEastAsia"/>
          <w:color w:val="auto"/>
          <w:sz w:val="24"/>
          <w:szCs w:val="24"/>
          <w:u w:val="single"/>
          <w:lang w:eastAsia="zh-CN"/>
        </w:rPr>
        <w:t>1442078</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采购需求：</w:t>
      </w:r>
    </w:p>
    <w:p>
      <w:pPr>
        <w:spacing w:line="360" w:lineRule="auto"/>
        <w:jc w:val="left"/>
        <w:rPr>
          <w:rFonts w:cs="仿宋" w:asciiTheme="minorEastAsia" w:hAnsiTheme="minorEastAsia"/>
          <w:color w:val="auto"/>
          <w:sz w:val="24"/>
          <w:szCs w:val="24"/>
        </w:rPr>
      </w:pPr>
      <w:r>
        <w:rPr>
          <w:rFonts w:hint="eastAsia" w:cs="仿宋" w:asciiTheme="minorEastAsia" w:hAnsiTheme="minorEastAsia"/>
          <w:color w:val="auto"/>
          <w:sz w:val="24"/>
          <w:szCs w:val="24"/>
        </w:rPr>
        <w:t>数量:不限</w:t>
      </w:r>
    </w:p>
    <w:p>
      <w:pPr>
        <w:spacing w:line="360" w:lineRule="auto"/>
        <w:jc w:val="left"/>
        <w:rPr>
          <w:rFonts w:hint="eastAsia" w:cs="仿宋" w:asciiTheme="minorEastAsia" w:hAnsiTheme="minorEastAsia" w:eastAsiaTheme="minorEastAsia"/>
          <w:color w:val="auto"/>
          <w:sz w:val="24"/>
          <w:szCs w:val="24"/>
          <w:u w:val="single"/>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1442078</w:t>
      </w:r>
    </w:p>
    <w:p>
      <w:pPr>
        <w:spacing w:line="360" w:lineRule="auto"/>
        <w:rPr>
          <w:rFonts w:cs="仿宋" w:asciiTheme="minorEastAsia" w:hAnsiTheme="minorEastAsia"/>
          <w:color w:val="auto"/>
          <w:sz w:val="24"/>
          <w:szCs w:val="24"/>
          <w:u w:val="single"/>
        </w:rPr>
      </w:pPr>
      <w:r>
        <w:rPr>
          <w:rFonts w:hint="eastAsia" w:cs="仿宋" w:asciiTheme="minorEastAsia" w:hAnsiTheme="minorEastAsia"/>
          <w:color w:val="auto"/>
          <w:sz w:val="24"/>
          <w:szCs w:val="24"/>
        </w:rPr>
        <w:t>简要规格描述或项目基本概况介绍、用途：</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合同履约期限：</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二、申请人的资格要求：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1.满足《中华人民共和国政府采购法》第二十二条规定；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2.落实政府采购政策需满足的资格要求：供应商为小微企业；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3.本项目的特定资格要求：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1）、投标人须符合《中华人民共和国政府采购法》第二十二条款的规定，具有有效的营业执照</w:t>
      </w:r>
      <w:r>
        <w:rPr>
          <w:rFonts w:hint="eastAsia" w:asciiTheme="minorEastAsia" w:hAnsiTheme="minorEastAsia" w:cstheme="minorEastAsia"/>
          <w:color w:val="auto"/>
          <w:kern w:val="0"/>
          <w:sz w:val="24"/>
          <w:szCs w:val="24"/>
        </w:rPr>
        <w:t>（或事业单位法人证书）；</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2）、投标人须是在“信用中国”（www.creditchina.gov.cn）和中国政府采购网（www.ccgp.gov.cn）网站上未被列入失信被执行人、重大税收违法案件当事人名单以及政府采购严重违法失信行为记录名单；</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3）本项目可兼投不可兼中，开标顺序为2包→1包→3包→5包→4包→11包→6包→12包→10包→8包→9包→13包→16包→14包→15包→7包,本标段前排名第一的中标候选人不得参与本标段评审；</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4）、其他说明：</w:t>
      </w: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p>
      <w:pPr>
        <w:spacing w:line="360" w:lineRule="auto"/>
        <w:rPr>
          <w:rFonts w:cs="仿宋" w:asciiTheme="minorEastAsia" w:hAnsiTheme="minorEastAsia"/>
          <w:sz w:val="24"/>
          <w:szCs w:val="24"/>
        </w:rPr>
      </w:pPr>
      <w:r>
        <w:rPr>
          <w:rFonts w:hint="eastAsia" w:cs="仿宋" w:asciiTheme="minorEastAsia" w:hAnsiTheme="minorEastAsia"/>
          <w:sz w:val="24"/>
          <w:szCs w:val="24"/>
        </w:rPr>
        <w:t>三、获取招标文件</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时间：</w:t>
      </w:r>
      <w:r>
        <w:rPr>
          <w:rFonts w:hint="eastAsia" w:cs="仿宋" w:asciiTheme="minorEastAsia" w:hAnsiTheme="minorEastAsia"/>
          <w:sz w:val="24"/>
          <w:szCs w:val="24"/>
          <w:u w:val="single"/>
        </w:rPr>
        <w:t xml:space="preserve"> 2023 </w:t>
      </w:r>
      <w:r>
        <w:rPr>
          <w:rFonts w:hint="eastAsia" w:cs="仿宋" w:asciiTheme="minorEastAsia" w:hAnsiTheme="minorEastAsia"/>
          <w:sz w:val="24"/>
          <w:szCs w:val="24"/>
        </w:rPr>
        <w:t>年</w:t>
      </w:r>
      <w:r>
        <w:rPr>
          <w:rFonts w:hint="eastAsia" w:cs="仿宋" w:asciiTheme="minorEastAsia" w:hAnsiTheme="minorEastAsia"/>
          <w:sz w:val="24"/>
          <w:szCs w:val="24"/>
          <w:u w:val="single"/>
        </w:rPr>
        <w:t>12</w:t>
      </w:r>
      <w:r>
        <w:rPr>
          <w:rFonts w:hint="eastAsia" w:cs="仿宋" w:asciiTheme="minorEastAsia" w:hAnsiTheme="minorEastAsia"/>
          <w:sz w:val="24"/>
          <w:szCs w:val="24"/>
        </w:rPr>
        <w:t>月</w:t>
      </w:r>
      <w:r>
        <w:rPr>
          <w:rFonts w:hint="eastAsia" w:cs="仿宋" w:asciiTheme="minorEastAsia" w:hAnsiTheme="minorEastAsia"/>
          <w:sz w:val="24"/>
          <w:szCs w:val="24"/>
          <w:u w:val="single"/>
        </w:rPr>
        <w:t>2</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日至</w:t>
      </w:r>
      <w:r>
        <w:rPr>
          <w:rFonts w:hint="eastAsia" w:cs="仿宋" w:asciiTheme="minorEastAsia" w:hAnsiTheme="minorEastAsia"/>
          <w:sz w:val="24"/>
          <w:szCs w:val="24"/>
          <w:u w:val="single"/>
        </w:rPr>
        <w:t>202</w:t>
      </w:r>
      <w:r>
        <w:rPr>
          <w:rFonts w:hint="eastAsia" w:cs="仿宋" w:asciiTheme="minorEastAsia" w:hAnsiTheme="minorEastAsia"/>
          <w:sz w:val="24"/>
          <w:szCs w:val="24"/>
          <w:u w:val="single"/>
          <w:lang w:val="en-US" w:eastAsia="zh-CN"/>
        </w:rPr>
        <w:t>4</w:t>
      </w:r>
      <w:r>
        <w:rPr>
          <w:rFonts w:hint="eastAsia" w:cs="仿宋" w:asciiTheme="minorEastAsia" w:hAnsiTheme="minorEastAsia"/>
          <w:sz w:val="24"/>
          <w:szCs w:val="24"/>
        </w:rPr>
        <w:t>年</w:t>
      </w:r>
      <w:r>
        <w:rPr>
          <w:rFonts w:hint="eastAsia" w:cs="仿宋" w:asciiTheme="minorEastAsia" w:hAnsiTheme="minorEastAsia"/>
          <w:sz w:val="24"/>
          <w:szCs w:val="24"/>
          <w:u w:val="single"/>
          <w:lang w:val="en-US" w:eastAsia="zh-CN"/>
        </w:rPr>
        <w:t>01</w:t>
      </w:r>
      <w:r>
        <w:rPr>
          <w:rFonts w:hint="eastAsia" w:cs="仿宋" w:asciiTheme="minorEastAsia" w:hAnsiTheme="minorEastAsia"/>
          <w:sz w:val="24"/>
          <w:szCs w:val="24"/>
        </w:rPr>
        <w:t>月</w:t>
      </w:r>
      <w:r>
        <w:rPr>
          <w:rFonts w:hint="eastAsia" w:cs="仿宋" w:asciiTheme="minorEastAsia" w:hAnsiTheme="minorEastAsia"/>
          <w:sz w:val="24"/>
          <w:szCs w:val="24"/>
          <w:u w:val="single"/>
          <w:lang w:val="en-US" w:eastAsia="zh-CN"/>
        </w:rPr>
        <w:t>02</w:t>
      </w:r>
      <w:r>
        <w:rPr>
          <w:rFonts w:hint="eastAsia" w:cs="仿宋" w:asciiTheme="minorEastAsia" w:hAnsiTheme="minorEastAsia"/>
          <w:sz w:val="24"/>
          <w:szCs w:val="24"/>
        </w:rPr>
        <w:t>日，每天上午10:30至13:30，下午15:30至18:00（北京时间，法定节假日除外）</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地点：登陆政采云https://www.zcygov.cn/平台后进入“项目采购“应用，在获取文件菜单中选择项目，申请获取采购文件。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方式：投标人须办理CA数字证书，通过CA数字证书登陆政采云平台https://www.zcygov.cn/，进行下载采购文件。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售价（元）：0</w:t>
      </w:r>
    </w:p>
    <w:p>
      <w:pPr>
        <w:spacing w:line="360" w:lineRule="auto"/>
        <w:rPr>
          <w:rFonts w:cs="仿宋" w:asciiTheme="minorEastAsia" w:hAnsiTheme="minorEastAsia"/>
          <w:sz w:val="24"/>
          <w:szCs w:val="24"/>
        </w:rPr>
      </w:pPr>
      <w:r>
        <w:rPr>
          <w:rFonts w:hint="eastAsia" w:cs="仿宋" w:asciiTheme="minorEastAsia" w:hAnsiTheme="minorEastAsia"/>
          <w:sz w:val="24"/>
          <w:szCs w:val="24"/>
        </w:rPr>
        <w:t>四、提交投标文件截止时间、开标时间和地点</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提交投标文件截止时间：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提交地点：将投标文件上传至政采云平台https://www.zcygov.cn/对应位置（逾期未上传的或不符合规定的投标文件将被拒绝接收）。</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开标地点：政采云网上不见面开标系统。</w:t>
      </w:r>
    </w:p>
    <w:p>
      <w:pPr>
        <w:spacing w:line="360" w:lineRule="auto"/>
        <w:rPr>
          <w:rFonts w:cs="仿宋" w:asciiTheme="minorEastAsia" w:hAnsiTheme="minorEastAsia"/>
          <w:sz w:val="24"/>
          <w:szCs w:val="24"/>
        </w:rPr>
      </w:pPr>
      <w:r>
        <w:rPr>
          <w:rFonts w:hint="eastAsia" w:cs="仿宋" w:asciiTheme="minorEastAsia" w:hAnsiTheme="minorEastAsia"/>
          <w:sz w:val="24"/>
          <w:szCs w:val="24"/>
        </w:rPr>
        <w:t>五、公告期限</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自本公告发布之日起5个工作日。</w:t>
      </w:r>
    </w:p>
    <w:p>
      <w:pPr>
        <w:spacing w:line="360" w:lineRule="auto"/>
        <w:rPr>
          <w:rFonts w:cs="仿宋" w:asciiTheme="minorEastAsia" w:hAnsiTheme="minorEastAsia"/>
          <w:color w:val="auto"/>
          <w:sz w:val="24"/>
          <w:szCs w:val="24"/>
        </w:rPr>
      </w:pPr>
      <w:r>
        <w:rPr>
          <w:rFonts w:hint="eastAsia" w:cs="仿宋" w:asciiTheme="minorEastAsia" w:hAnsiTheme="minorEastAsia"/>
          <w:sz w:val="24"/>
          <w:szCs w:val="24"/>
        </w:rPr>
        <w:t>六</w:t>
      </w:r>
      <w:r>
        <w:rPr>
          <w:rFonts w:hint="eastAsia" w:cs="仿宋" w:asciiTheme="minorEastAsia" w:hAnsiTheme="minorEastAsia"/>
          <w:color w:val="auto"/>
          <w:sz w:val="24"/>
          <w:szCs w:val="24"/>
        </w:rPr>
        <w:t>、其他补充事宜</w:t>
      </w:r>
    </w:p>
    <w:p>
      <w:pPr>
        <w:pStyle w:val="30"/>
        <w:spacing w:before="20" w:beforeAutospacing="0" w:after="20" w:afterAutospacing="0" w:line="360" w:lineRule="auto"/>
        <w:rPr>
          <w:rFonts w:cstheme="minorBidi"/>
          <w:color w:val="auto"/>
          <w:kern w:val="2"/>
        </w:rPr>
      </w:pPr>
      <w:r>
        <w:rPr>
          <w:rFonts w:hint="eastAsia" w:cstheme="minorBidi"/>
          <w:color w:val="auto"/>
          <w:kern w:val="2"/>
        </w:rPr>
        <w:t>（1）本项目采用全流程不见面电子开评标，</w:t>
      </w:r>
      <w:r>
        <w:rPr>
          <w:color w:val="auto"/>
        </w:rPr>
        <w:t>投标人</w:t>
      </w:r>
      <w:r>
        <w:rPr>
          <w:rFonts w:hint="eastAsia" w:cstheme="minorBidi"/>
          <w:color w:val="auto"/>
          <w:kern w:val="2"/>
        </w:rPr>
        <w:t>需要使用CA加密设备，</w:t>
      </w:r>
      <w:r>
        <w:rPr>
          <w:color w:val="auto"/>
        </w:rPr>
        <w:t>投标人</w:t>
      </w:r>
      <w:r>
        <w:rPr>
          <w:rFonts w:hint="eastAsia" w:cstheme="minorBidi"/>
          <w:color w:val="auto"/>
          <w:kern w:val="2"/>
        </w:rPr>
        <w:t>可通过新疆数字证书认证中心官网（https://www.xjca.com.cn/）或下载“新疆政务通”APP自行进行申领。</w:t>
      </w:r>
    </w:p>
    <w:p>
      <w:pPr>
        <w:pStyle w:val="30"/>
        <w:spacing w:before="20" w:beforeAutospacing="0" w:after="20" w:afterAutospacing="0" w:line="360" w:lineRule="auto"/>
        <w:rPr>
          <w:rFonts w:cstheme="minorBidi"/>
          <w:color w:val="auto"/>
          <w:kern w:val="2"/>
        </w:rPr>
      </w:pPr>
      <w:r>
        <w:rPr>
          <w:rFonts w:hint="eastAsia" w:cstheme="minorBidi"/>
          <w:color w:val="auto"/>
          <w:kern w:val="2"/>
        </w:rPr>
        <w:t>（2）本项目实行网上投标，采用加密电子投标文件(</w:t>
      </w:r>
      <w:r>
        <w:rPr>
          <w:color w:val="auto"/>
        </w:rPr>
        <w:t>投标人</w:t>
      </w:r>
      <w:r>
        <w:rPr>
          <w:rFonts w:hint="eastAsia" w:cstheme="minorBidi"/>
          <w:color w:val="auto"/>
          <w:kern w:val="2"/>
        </w:rPr>
        <w:t>须使用CA加密设备通过政采云电子投标客户端制作投标文件)。若</w:t>
      </w:r>
      <w:r>
        <w:rPr>
          <w:color w:val="auto"/>
        </w:rPr>
        <w:t>投标人</w:t>
      </w:r>
      <w:r>
        <w:rPr>
          <w:rFonts w:hint="eastAsia" w:cstheme="minorBidi"/>
          <w:color w:val="auto"/>
          <w:kern w:val="2"/>
        </w:rPr>
        <w:t>参与投标，自行承担投标一切费用。</w:t>
      </w:r>
    </w:p>
    <w:p>
      <w:pPr>
        <w:pStyle w:val="30"/>
        <w:spacing w:before="20" w:beforeAutospacing="0" w:after="20" w:afterAutospacing="0" w:line="360" w:lineRule="auto"/>
        <w:rPr>
          <w:rFonts w:cstheme="minorBidi"/>
          <w:color w:val="auto"/>
          <w:kern w:val="2"/>
        </w:rPr>
      </w:pPr>
      <w:r>
        <w:rPr>
          <w:rFonts w:hint="eastAsia" w:cstheme="minorBidi"/>
          <w:color w:val="auto"/>
          <w:kern w:val="2"/>
        </w:rPr>
        <w:t>（3）各投标人在开标前应确保成为新疆政府采购网正式注册入库投标人，并完成CA数字证书申领。因未注册入库、未办理CA数字证书等原因造成无法投标或投标失败等后果由</w:t>
      </w:r>
      <w:r>
        <w:rPr>
          <w:color w:val="auto"/>
        </w:rPr>
        <w:t>投标人</w:t>
      </w:r>
      <w:r>
        <w:rPr>
          <w:rFonts w:hint="eastAsia" w:cstheme="minorBidi"/>
          <w:color w:val="auto"/>
          <w:kern w:val="2"/>
        </w:rPr>
        <w:t>自行承担。</w:t>
      </w:r>
    </w:p>
    <w:p>
      <w:pPr>
        <w:pStyle w:val="30"/>
        <w:spacing w:before="20" w:beforeAutospacing="0" w:after="20" w:afterAutospacing="0" w:line="360" w:lineRule="auto"/>
        <w:rPr>
          <w:rFonts w:cstheme="minorBidi"/>
          <w:color w:val="auto"/>
          <w:kern w:val="2"/>
        </w:rPr>
      </w:pPr>
      <w:r>
        <w:rPr>
          <w:rFonts w:hint="eastAsia" w:cstheme="minorBidi"/>
          <w:color w:val="auto"/>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0"/>
        <w:spacing w:before="20" w:beforeAutospacing="0" w:after="20" w:afterAutospacing="0" w:line="360" w:lineRule="auto"/>
        <w:rPr>
          <w:rFonts w:cstheme="minorBidi"/>
          <w:color w:val="auto"/>
          <w:kern w:val="2"/>
        </w:rPr>
      </w:pPr>
      <w:r>
        <w:rPr>
          <w:rFonts w:hint="eastAsia" w:cstheme="minorBidi"/>
          <w:color w:val="auto"/>
          <w:kern w:val="2"/>
        </w:rPr>
        <w:t>（5）投标人在开标时须使用制作加密电子投标文件所使用的CA锁及电脑，电脑须提前配置好浏览器，以便开标时解锁。如因</w:t>
      </w:r>
      <w:r>
        <w:rPr>
          <w:color w:val="auto"/>
        </w:rPr>
        <w:t>投标人</w:t>
      </w:r>
      <w:r>
        <w:rPr>
          <w:rFonts w:hint="eastAsia" w:cstheme="minorBidi"/>
          <w:color w:val="auto"/>
          <w:kern w:val="2"/>
        </w:rPr>
        <w:t>自身原因导致在规定时间内无法正常解密的（如：浏览器故障、未安装相关驱动、网络故障、加密CA与解密CA不一致等），招标代理机构不予异常处理，视为</w:t>
      </w:r>
      <w:r>
        <w:rPr>
          <w:color w:val="auto"/>
        </w:rPr>
        <w:t>投标人</w:t>
      </w:r>
      <w:r>
        <w:rPr>
          <w:rFonts w:hint="eastAsia" w:cstheme="minorBidi"/>
          <w:color w:val="auto"/>
          <w:kern w:val="2"/>
        </w:rPr>
        <w:t>自动弃标。</w:t>
      </w:r>
    </w:p>
    <w:p>
      <w:pPr>
        <w:spacing w:line="360" w:lineRule="auto"/>
        <w:rPr>
          <w:rFonts w:ascii="宋体" w:hAnsi="宋体"/>
          <w:color w:val="auto"/>
          <w:sz w:val="24"/>
          <w:szCs w:val="24"/>
        </w:rPr>
      </w:pPr>
      <w:r>
        <w:rPr>
          <w:rFonts w:hint="eastAsia" w:ascii="宋体" w:hAnsi="宋体"/>
          <w:color w:val="auto"/>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特别提示：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1、超过200万元的货物和服务采购项目、超过400万元的工程采购项目中适宜由中小企业提供的，预留该部分采购项目预算总额的40%以上专门面向中小企业采购，其中预留给小微企业的比例不低于60%。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2、对于未预留份额专门面向中小企业的采购项目，以及预留份额项目中的非预留部分采购包，采购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人、招标代理机构应当对符合规定的小微企业报价给予10%~20%（工程项目为6%~10%）的扣除，用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扣除后的价格参加评审。适用招标投标法的政府采购工程建设项目，采用综合评估法但未采用低价优先法计算价格分的，评标时应当在采用原报价进行评分的基础上增加其价格得分的6%~10%作为其价格分。 </w:t>
      </w:r>
    </w:p>
    <w:p>
      <w:pPr>
        <w:spacing w:line="360" w:lineRule="auto"/>
        <w:ind w:firstLine="482"/>
        <w:rPr>
          <w:rFonts w:cs="仿宋" w:asciiTheme="minorEastAsia" w:hAnsiTheme="minorEastAsia"/>
          <w:color w:val="auto"/>
          <w:sz w:val="24"/>
          <w:szCs w:val="24"/>
        </w:rPr>
      </w:pPr>
      <w:r>
        <w:rPr>
          <w:rFonts w:hint="eastAsia" w:asciiTheme="minorEastAsia" w:hAnsiTheme="minorEastAsia"/>
          <w:b/>
          <w:color w:val="auto"/>
          <w:kern w:val="0"/>
          <w:szCs w:val="24"/>
        </w:rPr>
        <w:t>3、接受大中型企业与小微企业组成联合体或者允许大中型企业向一家或者多家小微企业分包的采购项目，对于联合协议或者分包意向协议约定小微企业的合同份额占到合同总金额40%以上的，招标人、招标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rPr>
          <w:rFonts w:cs="仿宋" w:asciiTheme="minorEastAsia" w:hAnsiTheme="minorEastAsia"/>
          <w:sz w:val="24"/>
          <w:szCs w:val="24"/>
        </w:rPr>
      </w:pPr>
      <w:r>
        <w:rPr>
          <w:rFonts w:hint="eastAsia" w:cs="仿宋" w:asciiTheme="minorEastAsia" w:hAnsiTheme="minorEastAsia"/>
          <w:sz w:val="24"/>
          <w:szCs w:val="24"/>
        </w:rPr>
        <w:t>七、对本次采购提出询问，请按以下方式联系</w:t>
      </w:r>
    </w:p>
    <w:p>
      <w:pPr>
        <w:spacing w:line="360" w:lineRule="auto"/>
        <w:rPr>
          <w:rFonts w:cs="仿宋" w:asciiTheme="minorEastAsia" w:hAnsiTheme="minorEastAsia"/>
          <w:sz w:val="24"/>
          <w:szCs w:val="24"/>
        </w:rPr>
      </w:pPr>
      <w:r>
        <w:rPr>
          <w:rFonts w:hint="eastAsia" w:cs="仿宋" w:asciiTheme="minorEastAsia" w:hAnsiTheme="minorEastAsia"/>
          <w:sz w:val="24"/>
          <w:szCs w:val="24"/>
        </w:rPr>
        <w:t>1.招标人信息</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名 称：乌鲁木齐市米东区园林管理局</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地 址：乌鲁木齐市米东区</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联系方式：13619913728</w:t>
      </w:r>
    </w:p>
    <w:p>
      <w:pPr>
        <w:spacing w:line="360" w:lineRule="auto"/>
        <w:rPr>
          <w:rFonts w:cs="仿宋" w:asciiTheme="minorEastAsia" w:hAnsiTheme="minorEastAsia"/>
          <w:sz w:val="24"/>
          <w:szCs w:val="24"/>
        </w:rPr>
      </w:pPr>
      <w:r>
        <w:rPr>
          <w:rFonts w:hint="eastAsia" w:cs="仿宋" w:asciiTheme="minorEastAsia" w:hAnsiTheme="minorEastAsia"/>
          <w:sz w:val="24"/>
          <w:szCs w:val="24"/>
        </w:rPr>
        <w:t>2.采购代理机构信息</w:t>
      </w:r>
    </w:p>
    <w:p>
      <w:pPr>
        <w:spacing w:line="360" w:lineRule="auto"/>
        <w:rPr>
          <w:rFonts w:cs="仿宋" w:asciiTheme="minorEastAsia" w:hAnsiTheme="minorEastAsia"/>
          <w:sz w:val="24"/>
          <w:szCs w:val="24"/>
        </w:rPr>
      </w:pPr>
      <w:r>
        <w:rPr>
          <w:rFonts w:hint="eastAsia" w:cs="仿宋" w:asciiTheme="minorEastAsia" w:hAnsiTheme="minorEastAsia"/>
          <w:sz w:val="24"/>
          <w:szCs w:val="24"/>
        </w:rPr>
        <w:t>名 称：新疆锐智时代建设工程项目管理有限公司</w:t>
      </w:r>
    </w:p>
    <w:p>
      <w:pPr>
        <w:spacing w:line="360" w:lineRule="auto"/>
        <w:rPr>
          <w:rFonts w:cs="仿宋" w:asciiTheme="minorEastAsia" w:hAnsiTheme="minorEastAsia"/>
          <w:sz w:val="24"/>
          <w:szCs w:val="24"/>
        </w:rPr>
      </w:pPr>
      <w:r>
        <w:rPr>
          <w:rFonts w:hint="eastAsia" w:cs="仿宋" w:asciiTheme="minorEastAsia" w:hAnsiTheme="minorEastAsia"/>
          <w:sz w:val="24"/>
          <w:szCs w:val="24"/>
        </w:rPr>
        <w:t>地 址：乌鲁木齐市水磨沟区立井街198号丽景名都商住10号楼21楼2115室</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项目联系人： 王芳 </w:t>
      </w:r>
    </w:p>
    <w:p>
      <w:pPr>
        <w:spacing w:line="360" w:lineRule="auto"/>
        <w:rPr>
          <w:rFonts w:cs="仿宋" w:asciiTheme="minorEastAsia" w:hAnsiTheme="minorEastAsia"/>
          <w:sz w:val="24"/>
          <w:szCs w:val="24"/>
        </w:rPr>
      </w:pPr>
      <w:r>
        <w:rPr>
          <w:rFonts w:hint="eastAsia" w:cs="仿宋" w:asciiTheme="minorEastAsia" w:hAnsiTheme="minorEastAsia"/>
          <w:sz w:val="24"/>
          <w:szCs w:val="24"/>
        </w:rPr>
        <w:t>联系方式：17690920122</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spacing w:line="440" w:lineRule="exact"/>
        <w:ind w:firstLine="482"/>
        <w:jc w:val="center"/>
        <w:outlineLvl w:val="0"/>
        <w:rPr>
          <w:rFonts w:cs="宋体" w:asciiTheme="minorEastAsia" w:hAnsiTheme="minorEastAsia"/>
          <w:b/>
          <w:sz w:val="24"/>
          <w:szCs w:val="24"/>
        </w:rPr>
      </w:pPr>
      <w:bookmarkStart w:id="2" w:name="_Toc14276"/>
      <w:r>
        <w:rPr>
          <w:rFonts w:hint="eastAsia" w:cs="宋体" w:asciiTheme="minorEastAsia" w:hAnsiTheme="minorEastAsia"/>
          <w:b/>
          <w:sz w:val="24"/>
          <w:szCs w:val="24"/>
        </w:rPr>
        <w:t>投标人须知前附表</w:t>
      </w:r>
      <w:bookmarkEnd w:id="2"/>
    </w:p>
    <w:tbl>
      <w:tblPr>
        <w:tblStyle w:val="35"/>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837"/>
        <w:gridCol w:w="1764"/>
        <w:gridCol w:w="7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837" w:type="dxa"/>
            <w:vAlign w:val="center"/>
          </w:tcPr>
          <w:p>
            <w:pPr>
              <w:ind w:firstLine="482"/>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项号</w:t>
            </w:r>
          </w:p>
        </w:tc>
        <w:tc>
          <w:tcPr>
            <w:tcW w:w="9233" w:type="dxa"/>
            <w:gridSpan w:val="2"/>
          </w:tcPr>
          <w:p>
            <w:pPr>
              <w:ind w:firstLine="482"/>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2024年-2026年米东区公共绿地绿化养护项目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标段名称</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2024年-2026年米东区公共绿地绿化养护项目第14包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标段编号</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2023-1213-153736014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采购人</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乌鲁木齐市米东区园林管理局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采购代理机构</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新疆锐智时代建设工程项目管理有限公司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项目地点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项目规模</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养护面积</w:t>
            </w:r>
            <w:r>
              <w:rPr>
                <w:rFonts w:hint="eastAsia" w:asciiTheme="minorEastAsia" w:hAnsiTheme="minorEastAsia" w:cstheme="minorEastAsia"/>
                <w:kern w:val="0"/>
                <w:sz w:val="24"/>
                <w:szCs w:val="24"/>
                <w:lang w:val="en-US" w:eastAsia="zh-CN"/>
              </w:rPr>
              <w:t>197404</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民和路、中兴街步行街、石化苗圃。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资金来源</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采购预算金额</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1442078</w:t>
            </w:r>
            <w:r>
              <w:rPr>
                <w:rFonts w:hint="eastAsia" w:asciiTheme="minorEastAsia" w:hAnsiTheme="minorEastAsia" w:cstheme="minorEastAsia"/>
                <w:kern w:val="0"/>
                <w:sz w:val="24"/>
                <w:szCs w:val="24"/>
              </w:rPr>
              <w:t>元（其中绿地养护费1434010元；设施维护费</w:t>
            </w:r>
            <w:r>
              <w:rPr>
                <w:rFonts w:hint="eastAsia" w:asciiTheme="minorEastAsia" w:hAnsiTheme="minorEastAsia" w:cstheme="minorEastAsia"/>
                <w:kern w:val="0"/>
                <w:sz w:val="24"/>
                <w:szCs w:val="24"/>
                <w:lang w:val="en-US" w:eastAsia="zh-CN"/>
              </w:rPr>
              <w:t>8068</w:t>
            </w:r>
            <w:r>
              <w:rPr>
                <w:rFonts w:hint="eastAsia" w:asciiTheme="minorEastAsia" w:hAnsiTheme="minorEastAsia" w:cstheme="minorEastAsia"/>
                <w:kern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最高限价</w:t>
            </w:r>
          </w:p>
        </w:tc>
        <w:tc>
          <w:tcPr>
            <w:tcW w:w="7469" w:type="dxa"/>
            <w:vAlign w:val="center"/>
          </w:tcPr>
          <w:p>
            <w:pPr>
              <w:keepNext/>
              <w:widowControl/>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1442078</w:t>
            </w:r>
            <w:r>
              <w:rPr>
                <w:rFonts w:hint="eastAsia" w:asciiTheme="minorEastAsia" w:hAnsiTheme="minorEastAsia" w:cstheme="minorEastAsia"/>
                <w:kern w:val="0"/>
                <w:sz w:val="24"/>
                <w:szCs w:val="24"/>
              </w:rPr>
              <w:t>元（其中绿地养护费1434010元；设施维护费</w:t>
            </w:r>
            <w:r>
              <w:rPr>
                <w:rFonts w:hint="eastAsia" w:asciiTheme="minorEastAsia" w:hAnsiTheme="minorEastAsia" w:cstheme="minorEastAsia"/>
                <w:kern w:val="0"/>
                <w:sz w:val="24"/>
                <w:szCs w:val="24"/>
                <w:lang w:val="en-US" w:eastAsia="zh-CN"/>
              </w:rPr>
              <w:t>8068</w:t>
            </w:r>
            <w:r>
              <w:rPr>
                <w:rFonts w:hint="eastAsia" w:asciiTheme="minorEastAsia" w:hAnsiTheme="minorEastAsia" w:cstheme="minorEastAsia"/>
                <w:kern w:val="0"/>
                <w:sz w:val="24"/>
                <w:szCs w:val="24"/>
              </w:rPr>
              <w:t>元。）</w:t>
            </w:r>
          </w:p>
          <w:tbl>
            <w:tblPr>
              <w:tblStyle w:val="3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34"/>
              <w:gridCol w:w="2742"/>
              <w:gridCol w:w="2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15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18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5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kern w:val="0"/>
                      <w:sz w:val="24"/>
                      <w:szCs w:val="24"/>
                      <w:lang w:bidi="ar"/>
                    </w:rPr>
                  </w:pPr>
                  <w:r>
                    <w:rPr>
                      <w:rFonts w:hint="eastAsia" w:asciiTheme="minorEastAsia" w:hAnsiTheme="minorEastAsia" w:cstheme="minorEastAsia"/>
                      <w:kern w:val="0"/>
                      <w:sz w:val="24"/>
                      <w:szCs w:val="24"/>
                      <w:lang w:bidi="ar"/>
                    </w:rPr>
                    <w:t>控制单价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cstheme="minorEastAsia"/>
                      <w:kern w:val="0"/>
                      <w:sz w:val="24"/>
                      <w:szCs w:val="24"/>
                      <w:lang w:bidi="ar"/>
                    </w:rPr>
                    <w:t>（元/m²/年）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87"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民和路</w:t>
                  </w:r>
                </w:p>
              </w:tc>
              <w:tc>
                <w:tcPr>
                  <w:tcW w:w="1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864"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中兴街步行街</w:t>
                  </w:r>
                </w:p>
              </w:tc>
              <w:tc>
                <w:tcPr>
                  <w:tcW w:w="1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w:t>
                  </w:r>
                </w:p>
              </w:tc>
              <w:tc>
                <w:tcPr>
                  <w:tcW w:w="1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苗圃</w:t>
                  </w:r>
                </w:p>
              </w:tc>
              <w:tc>
                <w:tcPr>
                  <w:tcW w:w="1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7.2</w:t>
                  </w:r>
                </w:p>
              </w:tc>
            </w:tr>
          </w:tbl>
          <w:p>
            <w:pPr>
              <w:pStyle w:val="10"/>
            </w:pPr>
            <w:r>
              <w:rPr>
                <w:rFonts w:hint="eastAsia"/>
                <w:lang w:bidi="ar"/>
              </w:rPr>
              <w:t>注：设施维护费为暂估价，暂估价投标人不得更改。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服务周期</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1年（服务开始时间2024年1月，绿化养护在年底考核，考核通过后，续签下一年合同，中标通知书有效期三年。）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招标范围</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2024年-2026年米东区公共绿地绿化养护项目第14包</w:t>
            </w:r>
            <w:r>
              <w:rPr>
                <w:rFonts w:hint="eastAsia" w:asciiTheme="minorEastAsia" w:hAnsiTheme="minorEastAsia" w:cstheme="minorEastAsia"/>
                <w:kern w:val="0"/>
                <w:sz w:val="24"/>
                <w:szCs w:val="24"/>
              </w:rPr>
              <w:t>范围内所有工作内容，关于招标范围的详细说明见第四章“技术标准和要求”。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资格审查方式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评标办法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定标方法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投标人资格条件和能力</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1、投标人必须满足《中华人民共和国政府采购法》第二十二条规定。</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2、落实政府采购政策需满足的资格要求：供应商为小微企业； </w:t>
            </w:r>
          </w:p>
          <w:p>
            <w:pPr>
              <w:rPr>
                <w:rFonts w:asciiTheme="minorEastAsia" w:hAnsiTheme="minorEastAsia" w:cstheme="minorEastAsia"/>
                <w:color w:val="auto"/>
                <w:kern w:val="0"/>
                <w:sz w:val="24"/>
                <w:szCs w:val="24"/>
              </w:rPr>
            </w:pPr>
            <w:r>
              <w:rPr>
                <w:rFonts w:hint="eastAsia" w:asciiTheme="minorEastAsia" w:hAnsiTheme="minorEastAsia" w:cstheme="minorEastAsia"/>
                <w:kern w:val="0"/>
                <w:sz w:val="24"/>
                <w:szCs w:val="24"/>
              </w:rPr>
              <w:t>3</w:t>
            </w:r>
            <w:r>
              <w:rPr>
                <w:rFonts w:hint="eastAsia" w:asciiTheme="minorEastAsia" w:hAnsiTheme="minorEastAsia" w:cstheme="minorEastAsia"/>
                <w:color w:val="auto"/>
                <w:kern w:val="0"/>
                <w:sz w:val="24"/>
                <w:szCs w:val="24"/>
              </w:rPr>
              <w:t>、投标人必须是中华人民共和国境内注册，具有有效的营业执照（或事业单位法人证书）。</w:t>
            </w:r>
          </w:p>
          <w:p>
            <w:pP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4、投标人须是在“信用中国”网站（WWW.creditchina.gov.cn）和中国政府采购网（www.ccgp.gov.cn）网站中未被列入失信被执行人、重大税收违法案件当事人名单以及政府采购严重违法失信行为记录名单（尚在处罚期内的）；</w:t>
            </w:r>
          </w:p>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5、本次招标不接受联合体投标。</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
              <w:t>6、其他说明：</w:t>
            </w:r>
            <w:r>
              <w:rPr>
                <w:rFonts w:asciiTheme="minorEastAsia" w:hAnsiTheme="minorEastAsia"/>
                <w:color w:val="auto"/>
                <w:sz w:val="24"/>
                <w:szCs w:val="24"/>
              </w:rPr>
              <w:t>①与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存在利害关系可能影响招标公正性的法人、其他组织或者个人，不得参加投标。②</w:t>
            </w:r>
            <w:r>
              <w:rPr>
                <w:rFonts w:hint="eastAsia" w:asciiTheme="minorEastAsia" w:hAnsiTheme="minorEastAsia"/>
                <w:color w:val="auto"/>
                <w:sz w:val="24"/>
                <w:szCs w:val="24"/>
              </w:rPr>
              <w:t>单位负责人为同一人或者存在控股、管理关系的不同投标人，不得参加同一合同项下的政府采购活动。</w:t>
            </w:r>
            <w:r>
              <w:rPr>
                <w:rFonts w:asciiTheme="minorEastAsia" w:hAnsiTheme="minorEastAsia"/>
                <w:color w:val="auto"/>
                <w:sz w:val="24"/>
                <w:szCs w:val="24"/>
              </w:rPr>
              <w:t>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投标保证金</w:t>
            </w:r>
          </w:p>
        </w:tc>
        <w:tc>
          <w:tcPr>
            <w:tcW w:w="7469" w:type="dxa"/>
            <w:vAlign w:val="center"/>
          </w:tcPr>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要求提供。</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本项目的投标保证金金额：</w:t>
            </w:r>
            <w:r>
              <w:rPr>
                <w:rFonts w:hint="eastAsia" w:asciiTheme="minorEastAsia" w:hAnsiTheme="minorEastAsia" w:eastAsiaTheme="minorEastAsia"/>
                <w:color w:val="auto"/>
                <w:sz w:val="24"/>
                <w:szCs w:val="24"/>
                <w:u w:val="single"/>
                <w:lang w:val="en-US" w:eastAsia="zh-CN"/>
              </w:rPr>
              <w:t>14000</w:t>
            </w:r>
            <w:r>
              <w:rPr>
                <w:rFonts w:hint="eastAsia" w:asciiTheme="minorEastAsia" w:hAnsiTheme="minorEastAsia" w:eastAsiaTheme="minorEastAsia"/>
                <w:color w:val="auto"/>
                <w:sz w:val="24"/>
                <w:szCs w:val="24"/>
              </w:rPr>
              <w:t>元（</w:t>
            </w:r>
            <w:r>
              <w:rPr>
                <w:rFonts w:hint="eastAsia" w:asciiTheme="minorEastAsia" w:hAnsiTheme="minorEastAsia" w:eastAsiaTheme="minorEastAsia"/>
                <w:color w:val="auto"/>
                <w:sz w:val="24"/>
                <w:szCs w:val="24"/>
                <w:lang w:eastAsia="zh-CN"/>
              </w:rPr>
              <w:t>壹万肆仟元整</w:t>
            </w:r>
            <w:r>
              <w:rPr>
                <w:rFonts w:hint="eastAsia" w:asciiTheme="minorEastAsia" w:hAnsiTheme="minorEastAsia" w:eastAsiaTheme="minorEastAsia"/>
                <w:color w:val="auto"/>
                <w:sz w:val="24"/>
                <w:szCs w:val="24"/>
              </w:rPr>
              <w:t>）</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账户名：新疆锐智时代建设工程项目管理有限公司</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开户行：建行五星路支行</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行  号：</w:t>
            </w:r>
            <w:r>
              <w:rPr>
                <w:rFonts w:asciiTheme="minorEastAsia" w:hAnsiTheme="minorEastAsia" w:eastAsiaTheme="minorEastAsia"/>
                <w:color w:val="auto"/>
                <w:sz w:val="24"/>
                <w:szCs w:val="24"/>
              </w:rPr>
              <w:t>105881000500</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w:t>
            </w:r>
            <w:r>
              <w:rPr>
                <w:rFonts w:asciiTheme="minorEastAsia" w:hAnsiTheme="minorEastAsia" w:eastAsiaTheme="minorEastAsia"/>
                <w:color w:val="auto"/>
                <w:sz w:val="24"/>
                <w:szCs w:val="24"/>
              </w:rPr>
              <w:t>65050161603800000351</w:t>
            </w:r>
          </w:p>
          <w:p>
            <w:pPr>
              <w:rPr>
                <w:color w:val="auto"/>
              </w:rPr>
            </w:pPr>
            <w:r>
              <w:rPr>
                <w:rFonts w:hint="eastAsia" w:asciiTheme="minorEastAsia" w:hAnsiTheme="minorEastAsia"/>
                <w:color w:val="auto"/>
                <w:sz w:val="24"/>
                <w:szCs w:val="24"/>
              </w:rPr>
              <w:t>投标保证金缴纳形式：</w:t>
            </w:r>
            <w:r>
              <w:rPr>
                <w:rFonts w:hint="eastAsia" w:hAnsi="宋体"/>
                <w:color w:val="auto"/>
                <w:sz w:val="24"/>
                <w:szCs w:val="24"/>
              </w:rPr>
              <w:t>以非现金形式的电子保函缴纳或以电汇、网银等支付方式缴纳至招标代理机构指定账户。</w:t>
            </w:r>
          </w:p>
          <w:p>
            <w:pPr>
              <w:ind w:firstLine="482"/>
              <w:rPr>
                <w:rFonts w:ascii="宋体" w:hAnsi="宋体"/>
                <w:b/>
                <w:color w:val="auto"/>
                <w:sz w:val="24"/>
                <w:szCs w:val="24"/>
              </w:rPr>
            </w:pPr>
            <w:r>
              <w:rPr>
                <w:rFonts w:hint="eastAsia" w:ascii="宋体" w:hAnsi="宋体"/>
                <w:b/>
                <w:color w:val="auto"/>
                <w:sz w:val="24"/>
                <w:szCs w:val="24"/>
              </w:rPr>
              <w:t>1、电汇、网银转账须知：缴纳时需在附加信息及用途栏内注明投标保证金、</w:t>
            </w:r>
            <w:r>
              <w:rPr>
                <w:rFonts w:hint="eastAsia" w:ascii="宋体" w:hAnsi="宋体"/>
                <w:b/>
                <w:color w:val="auto"/>
                <w:sz w:val="24"/>
                <w:szCs w:val="24"/>
                <w:lang w:eastAsia="zh-CN"/>
              </w:rPr>
              <w:t>标段</w:t>
            </w:r>
            <w:r>
              <w:rPr>
                <w:rFonts w:hint="eastAsia" w:ascii="宋体" w:hAnsi="宋体"/>
                <w:b/>
                <w:color w:val="auto"/>
                <w:sz w:val="24"/>
                <w:szCs w:val="24"/>
              </w:rPr>
              <w:t>名称（简称）；投标</w:t>
            </w:r>
            <w:r>
              <w:rPr>
                <w:rFonts w:ascii="宋体" w:hAnsi="宋体"/>
                <w:b/>
                <w:color w:val="auto"/>
                <w:sz w:val="24"/>
                <w:szCs w:val="24"/>
              </w:rPr>
              <w:t>保证金于</w:t>
            </w:r>
            <w:r>
              <w:rPr>
                <w:rFonts w:hint="eastAsia" w:ascii="宋体" w:hAnsi="宋体"/>
                <w:b/>
                <w:color w:val="auto"/>
                <w:sz w:val="24"/>
                <w:szCs w:val="24"/>
              </w:rPr>
              <w:t>投标文件递交</w:t>
            </w:r>
            <w:r>
              <w:rPr>
                <w:rFonts w:ascii="宋体" w:hAnsi="宋体"/>
                <w:b/>
                <w:color w:val="auto"/>
                <w:sz w:val="24"/>
                <w:szCs w:val="24"/>
              </w:rPr>
              <w:t>截止时间前确认到账</w:t>
            </w:r>
            <w:r>
              <w:rPr>
                <w:rFonts w:hint="eastAsia" w:ascii="宋体" w:hAnsi="宋体"/>
                <w:b/>
                <w:color w:val="auto"/>
                <w:sz w:val="24"/>
                <w:szCs w:val="24"/>
              </w:rPr>
              <w:t>（</w:t>
            </w:r>
            <w:r>
              <w:rPr>
                <w:rFonts w:hint="eastAsia"/>
                <w:b/>
                <w:color w:val="auto"/>
                <w:sz w:val="24"/>
                <w:szCs w:val="24"/>
              </w:rPr>
              <w:t>投标人</w:t>
            </w:r>
            <w:r>
              <w:rPr>
                <w:b/>
                <w:color w:val="auto"/>
                <w:sz w:val="24"/>
                <w:szCs w:val="24"/>
              </w:rPr>
              <w:t>需自行评估因异地、跨行、公休日等因素造成的</w:t>
            </w:r>
            <w:r>
              <w:rPr>
                <w:rFonts w:hint="eastAsia" w:ascii="宋体" w:hAnsi="宋体"/>
                <w:b/>
                <w:color w:val="auto"/>
                <w:sz w:val="24"/>
                <w:szCs w:val="24"/>
              </w:rPr>
              <w:t>投标</w:t>
            </w:r>
            <w:r>
              <w:rPr>
                <w:b/>
                <w:color w:val="auto"/>
                <w:sz w:val="24"/>
                <w:szCs w:val="24"/>
              </w:rPr>
              <w:t>保证金到账延迟风险，并承担相应责任。</w:t>
            </w:r>
            <w:r>
              <w:rPr>
                <w:rFonts w:hint="eastAsia" w:ascii="宋体" w:hAnsi="宋体"/>
                <w:b/>
                <w:color w:val="auto"/>
                <w:sz w:val="24"/>
                <w:szCs w:val="24"/>
              </w:rPr>
              <w:t>）</w:t>
            </w:r>
          </w:p>
          <w:p>
            <w:pPr>
              <w:ind w:firstLine="482"/>
              <w:rPr>
                <w:b/>
                <w:color w:val="auto"/>
              </w:rPr>
            </w:pPr>
            <w:r>
              <w:rPr>
                <w:rFonts w:hint="eastAsia"/>
                <w:b/>
                <w:color w:val="auto"/>
                <w:sz w:val="24"/>
                <w:szCs w:val="24"/>
              </w:rPr>
              <w:t>2</w:t>
            </w:r>
            <w:r>
              <w:rPr>
                <w:b/>
                <w:color w:val="auto"/>
                <w:sz w:val="24"/>
                <w:szCs w:val="24"/>
              </w:rPr>
              <w:t>、政采云电子保函须知</w:t>
            </w:r>
            <w:r>
              <w:rPr>
                <w:rFonts w:hint="eastAsia"/>
                <w:b/>
                <w:color w:val="auto"/>
                <w:sz w:val="24"/>
                <w:szCs w:val="24"/>
              </w:rPr>
              <w:t>：</w:t>
            </w:r>
          </w:p>
          <w:p>
            <w:pPr>
              <w:rPr>
                <w:b/>
                <w:color w:val="auto"/>
              </w:rPr>
            </w:pPr>
            <w:r>
              <w:rPr>
                <w:rFonts w:hint="eastAsia" w:ascii="宋体" w:hAnsi="宋体" w:eastAsia="等线"/>
                <w:b/>
                <w:color w:val="auto"/>
                <w:sz w:val="24"/>
                <w:szCs w:val="24"/>
              </w:rPr>
              <w:t>(1)</w:t>
            </w:r>
            <w:r>
              <w:rPr>
                <w:rFonts w:hint="eastAsia" w:ascii="宋体" w:hAnsi="宋体"/>
                <w:b/>
                <w:color w:val="auto"/>
                <w:sz w:val="24"/>
                <w:szCs w:val="24"/>
              </w:rPr>
              <w:t>本项目推荐使用政采云电子保函形式缴纳投标保证金，在线完成保函的申请、审核、开票、出函等环节；</w:t>
            </w:r>
          </w:p>
          <w:p>
            <w:pPr>
              <w:rPr>
                <w:b/>
                <w:color w:val="auto"/>
              </w:rPr>
            </w:pPr>
            <w:r>
              <w:rPr>
                <w:rFonts w:hint="eastAsia" w:ascii="宋体" w:hAnsi="宋体" w:eastAsia="等线"/>
                <w:b/>
                <w:color w:val="auto"/>
                <w:sz w:val="24"/>
                <w:szCs w:val="24"/>
              </w:rPr>
              <w:t>(2)</w:t>
            </w:r>
            <w:r>
              <w:rPr>
                <w:rFonts w:hint="eastAsia" w:ascii="宋体" w:hAnsi="宋体"/>
                <w:b/>
                <w:color w:val="auto"/>
                <w:sz w:val="24"/>
                <w:szCs w:val="24"/>
              </w:rPr>
              <w:t>如采用政采云电子保函形式，可按照以下形式进行在线申请，电子保函申请链接</w:t>
            </w:r>
            <w:r>
              <w:rPr>
                <w:b/>
                <w:color w:val="auto"/>
                <w:sz w:val="24"/>
                <w:szCs w:val="24"/>
              </w:rPr>
              <w:t>（</w:t>
            </w:r>
            <w:r>
              <w:rPr>
                <w:rFonts w:hint="eastAsia" w:ascii="宋体" w:hAnsi="宋体" w:eastAsia="等线"/>
                <w:b/>
                <w:color w:val="auto"/>
                <w:sz w:val="24"/>
                <w:szCs w:val="24"/>
              </w:rPr>
              <w:t>https://jinrong.zcygov.cn/finance/letter/produc</w:t>
            </w:r>
          </w:p>
          <w:p>
            <w:pPr>
              <w:rPr>
                <w:b/>
                <w:color w:val="auto"/>
              </w:rPr>
            </w:pPr>
            <w:r>
              <w:rPr>
                <w:rFonts w:hint="eastAsia" w:ascii="宋体" w:hAnsi="宋体" w:eastAsia="等线"/>
                <w:b/>
                <w:color w:val="auto"/>
                <w:sz w:val="24"/>
                <w:szCs w:val="24"/>
              </w:rPr>
              <w:t>t/detail?id=30&amp;source=41</w:t>
            </w:r>
            <w:r>
              <w:rPr>
                <w:b/>
                <w:color w:val="auto"/>
                <w:sz w:val="24"/>
                <w:szCs w:val="24"/>
              </w:rPr>
              <w:t>）</w:t>
            </w:r>
            <w:r>
              <w:rPr>
                <w:rFonts w:hint="eastAsia" w:ascii="宋体" w:hAnsi="宋体"/>
                <w:b/>
                <w:color w:val="auto"/>
                <w:sz w:val="24"/>
                <w:szCs w:val="24"/>
              </w:rPr>
              <w:t>，如遇问题可拨打客服电话：95763</w:t>
            </w:r>
          </w:p>
          <w:p>
            <w:pPr>
              <w:keepNext/>
              <w:widowControl/>
              <w:ind w:firstLine="482"/>
              <w:jc w:val="left"/>
              <w:rPr>
                <w:rFonts w:asciiTheme="minorEastAsia" w:hAnsiTheme="minorEastAsia" w:cstheme="minorEastAsia"/>
                <w:color w:val="auto"/>
                <w:kern w:val="0"/>
                <w:sz w:val="24"/>
                <w:szCs w:val="24"/>
              </w:rPr>
            </w:pPr>
            <w:r>
              <w:rPr>
                <w:rFonts w:ascii="宋体" w:hAnsi="宋体"/>
                <w:b/>
                <w:color w:val="auto"/>
                <w:sz w:val="24"/>
                <w:szCs w:val="24"/>
              </w:rPr>
              <w:t>若</w:t>
            </w:r>
            <w:r>
              <w:rPr>
                <w:rFonts w:hint="eastAsia" w:ascii="宋体" w:hAnsi="宋体"/>
                <w:b/>
                <w:color w:val="auto"/>
                <w:sz w:val="24"/>
                <w:szCs w:val="24"/>
              </w:rPr>
              <w:t>投标人</w:t>
            </w:r>
            <w:r>
              <w:rPr>
                <w:rFonts w:ascii="宋体" w:hAnsi="宋体"/>
                <w:b/>
                <w:color w:val="auto"/>
                <w:sz w:val="24"/>
                <w:szCs w:val="24"/>
              </w:rPr>
              <w:t>未按照上述缴纳</w:t>
            </w:r>
            <w:r>
              <w:rPr>
                <w:rFonts w:hint="eastAsia" w:ascii="宋体" w:hAnsi="宋体"/>
                <w:b/>
                <w:color w:val="auto"/>
                <w:sz w:val="24"/>
                <w:szCs w:val="24"/>
              </w:rPr>
              <w:t>投标</w:t>
            </w:r>
            <w:r>
              <w:rPr>
                <w:rFonts w:ascii="宋体" w:hAnsi="宋体"/>
                <w:b/>
                <w:color w:val="auto"/>
                <w:sz w:val="24"/>
                <w:szCs w:val="24"/>
              </w:rPr>
              <w:t>保证金,</w:t>
            </w:r>
            <w:r>
              <w:rPr>
                <w:rFonts w:hint="eastAsia" w:ascii="宋体" w:hAnsi="宋体"/>
                <w:b/>
                <w:color w:val="auto"/>
                <w:sz w:val="24"/>
                <w:szCs w:val="24"/>
              </w:rPr>
              <w:t>投标</w:t>
            </w:r>
            <w:r>
              <w:rPr>
                <w:rFonts w:ascii="宋体" w:hAnsi="宋体"/>
                <w:b/>
                <w:color w:val="auto"/>
                <w:sz w:val="24"/>
                <w:szCs w:val="24"/>
              </w:rPr>
              <w:t>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现场踏勘</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招标答疑</w:t>
            </w:r>
          </w:p>
        </w:tc>
        <w:tc>
          <w:tcPr>
            <w:tcW w:w="7469" w:type="dxa"/>
            <w:vAlign w:val="center"/>
          </w:tcPr>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对招标文件提出质疑的，应当在获取招标文件或者招标文件公告期限届满之日起7个工作日内一次性提出。投标人投诉的事项不得超出已质疑事项的范围。</w:t>
            </w:r>
          </w:p>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澄清修改内容可能影响投标文件编制的，应当在投标截止时间至少15日前，以公告变更的形式通知所有获取招标文件的潜在投标人。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投标文件份数</w:t>
            </w:r>
          </w:p>
        </w:tc>
        <w:tc>
          <w:tcPr>
            <w:tcW w:w="7469" w:type="dxa"/>
            <w:vAlign w:val="center"/>
          </w:tcPr>
          <w:p>
            <w:pPr>
              <w:autoSpaceDE w:val="0"/>
              <w:autoSpaceDN w:val="0"/>
              <w:adjustRightInd w:val="0"/>
              <w:jc w:val="left"/>
              <w:rPr>
                <w:rFonts w:ascii="宋体" w:hAnsi="宋体"/>
                <w:color w:val="auto"/>
                <w:kern w:val="0"/>
                <w:sz w:val="24"/>
                <w:szCs w:val="24"/>
              </w:rPr>
            </w:pPr>
            <w:r>
              <w:rPr>
                <w:rFonts w:hint="eastAsia" w:ascii="宋体" w:hAnsi="宋体"/>
                <w:color w:val="auto"/>
                <w:kern w:val="0"/>
                <w:sz w:val="24"/>
                <w:szCs w:val="24"/>
              </w:rPr>
              <w:t>加密的电子投标文件在投标截止时间前通过CA在政采云平台上传，加密的电子投标文件为使用政采云电子投标客户端制作生成的加密版投标文件。投标人未按上述要求提供加密的电子投标文件的，将导致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截止时间：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asciiTheme="minorEastAsia" w:hAnsiTheme="minorEastAsia" w:cstheme="minorEastAsia"/>
                <w:kern w:val="0"/>
                <w:sz w:val="24"/>
                <w:szCs w:val="24"/>
              </w:rPr>
            </w:pPr>
            <w:r>
              <w:rPr>
                <w:rFonts w:hint="eastAsia" w:cs="宋体" w:asciiTheme="minorEastAsia" w:hAnsiTheme="minorEastAsia"/>
                <w:kern w:val="0"/>
                <w:sz w:val="24"/>
                <w:szCs w:val="24"/>
              </w:rPr>
              <w:t>递交地点：政采云平台http://www.zcygov.cn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开标</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cs="宋体" w:asciiTheme="minorEastAsia" w:hAnsiTheme="minorEastAsia"/>
                <w:kern w:val="0"/>
                <w:sz w:val="24"/>
                <w:szCs w:val="24"/>
              </w:rPr>
            </w:pPr>
            <w:r>
              <w:rPr>
                <w:rFonts w:hint="eastAsia" w:cs="宋体" w:asciiTheme="minorEastAsia" w:hAnsiTheme="minorEastAsia"/>
                <w:kern w:val="0"/>
                <w:sz w:val="24"/>
                <w:szCs w:val="24"/>
              </w:rPr>
              <w:t>地点：政采云网上不见面开标系统</w:t>
            </w:r>
          </w:p>
          <w:p>
            <w:pPr>
              <w:jc w:val="left"/>
              <w:rPr>
                <w:rFonts w:cs="Arial" w:asciiTheme="minorEastAsia" w:hAnsiTheme="minorEastAsia"/>
                <w:color w:val="auto"/>
                <w:sz w:val="24"/>
                <w:szCs w:val="24"/>
              </w:rPr>
            </w:pPr>
            <w:r>
              <w:rPr>
                <w:rFonts w:hint="eastAsia" w:cs="Arial" w:asciiTheme="minorEastAsia" w:hAnsiTheme="minorEastAsia"/>
                <w:color w:val="auto"/>
                <w:szCs w:val="24"/>
              </w:rPr>
              <w:t>说</w:t>
            </w:r>
            <w:r>
              <w:rPr>
                <w:rFonts w:hint="eastAsia" w:cs="Arial" w:asciiTheme="minorEastAsia" w:hAnsiTheme="minorEastAsia"/>
                <w:color w:val="auto"/>
                <w:sz w:val="24"/>
                <w:szCs w:val="24"/>
              </w:rPr>
              <w:t>明：</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1、本次采购采用电子交易方式，电子交易平台为“政府采购云平台（www.zcygov.cn）”。投标人参与本项目电子交易活动前，应注册成为政府采购云平台投标人。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rPr>
                <w:rFonts w:asciiTheme="minorEastAsia" w:hAnsiTheme="minorEastAsia" w:cstheme="minorEastAsia"/>
                <w:kern w:val="0"/>
                <w:sz w:val="24"/>
                <w:szCs w:val="24"/>
              </w:rPr>
            </w:pPr>
            <w:r>
              <w:rPr>
                <w:rFonts w:hint="eastAsia" w:cs="Arial" w:asciiTheme="minorEastAsia" w:hAnsiTheme="minorEastAsia"/>
                <w:color w:val="auto"/>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7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13</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投标有效期</w:t>
            </w:r>
          </w:p>
        </w:tc>
        <w:tc>
          <w:tcPr>
            <w:tcW w:w="7469" w:type="dxa"/>
            <w:vAlign w:val="center"/>
          </w:tcPr>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14</w:t>
            </w:r>
          </w:p>
        </w:tc>
        <w:tc>
          <w:tcPr>
            <w:tcW w:w="1764" w:type="dxa"/>
            <w:vAlign w:val="center"/>
          </w:tcPr>
          <w:p>
            <w:pPr>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招标公告发布媒体</w:t>
            </w:r>
          </w:p>
        </w:tc>
        <w:tc>
          <w:tcPr>
            <w:tcW w:w="7469" w:type="dxa"/>
            <w:vAlign w:val="center"/>
          </w:tcPr>
          <w:p>
            <w:pPr>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新疆政府采购网（</w:t>
            </w:r>
            <w:r>
              <w:rPr>
                <w:rFonts w:cs="Arial" w:asciiTheme="minorEastAsia" w:hAnsiTheme="minorEastAsia"/>
                <w:color w:val="auto"/>
                <w:kern w:val="0"/>
                <w:sz w:val="24"/>
                <w:szCs w:val="24"/>
              </w:rPr>
              <w:t>http://www.ccgp-xinjiang.gov.cn/</w:t>
            </w:r>
            <w:r>
              <w:rPr>
                <w:rFonts w:hint="eastAsia" w:cs="Arial" w:asciiTheme="minorEastAsia" w:hAnsiTheme="minorEastAsia"/>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15</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履约保证金</w:t>
            </w:r>
          </w:p>
        </w:tc>
        <w:tc>
          <w:tcPr>
            <w:tcW w:w="7469" w:type="dxa"/>
            <w:vAlign w:val="center"/>
          </w:tcPr>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金额：合同签订价款的10%或遵循甲方约定；</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递交时间：中标人收到《中标通知书》且签订合同时，向招标人缴纳；</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递交形式：汇票、银行转账等非现金形式；</w:t>
            </w:r>
          </w:p>
          <w:p>
            <w:pPr>
              <w:keepNext/>
              <w:widowControl/>
              <w:jc w:val="left"/>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退还时间及方式：项目通过最终验收后，招标人一次性退还给中标人。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w:t>
            </w:r>
          </w:p>
        </w:tc>
        <w:tc>
          <w:tcPr>
            <w:tcW w:w="1764" w:type="dxa"/>
            <w:vAlign w:val="center"/>
          </w:tcPr>
          <w:p>
            <w:pPr>
              <w:keepNext/>
              <w:widowControl/>
              <w:jc w:val="distribute"/>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所属行业</w:t>
            </w:r>
          </w:p>
        </w:tc>
        <w:tc>
          <w:tcPr>
            <w:tcW w:w="7469" w:type="dxa"/>
            <w:vAlign w:val="center"/>
          </w:tcPr>
          <w:p>
            <w:pPr>
              <w:keepNext/>
              <w:widowControl/>
              <w:jc w:val="left"/>
              <w:rPr>
                <w:rFonts w:cs="Arial" w:asciiTheme="minorEastAsia" w:hAnsiTheme="minorEastAsia"/>
                <w:color w:val="auto"/>
                <w:kern w:val="0"/>
                <w:sz w:val="24"/>
                <w:szCs w:val="24"/>
              </w:rPr>
            </w:pPr>
            <w:r>
              <w:rPr>
                <w:rFonts w:hint="eastAsia" w:asciiTheme="minorEastAsia" w:hAnsiTheme="minorEastAsia"/>
                <w:color w:val="auto"/>
                <w:kern w:val="0"/>
                <w:sz w:val="24"/>
                <w:szCs w:val="24"/>
              </w:rPr>
              <w:t>根据《关于印发中小企业划型标准规定的通知》工信部联企业〔2011〕300号，本项目属行业为：</w:t>
            </w:r>
            <w:r>
              <w:rPr>
                <w:rFonts w:hint="eastAsia" w:asciiTheme="minorEastAsia" w:hAnsiTheme="minorEastAsia"/>
                <w:b/>
                <w:bCs/>
                <w:color w:val="auto"/>
                <w:kern w:val="0"/>
                <w:sz w:val="24"/>
                <w:szCs w:val="24"/>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0"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1764" w:type="dxa"/>
            <w:vAlign w:val="center"/>
          </w:tcPr>
          <w:p>
            <w:pPr>
              <w:keepNext/>
              <w:widowControl/>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c>
          <w:tcPr>
            <w:tcW w:w="7469" w:type="dxa"/>
            <w:vAlign w:val="center"/>
          </w:tcPr>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1）本项目招标代理咨询服务费由中标人支付</w:t>
            </w:r>
          </w:p>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2）本项目为一个整体项目【2021年-2023年米东区公共绿地绿化养护项目】划分为16个包，投标人可兼投不可兼中。</w:t>
            </w:r>
            <w:r>
              <w:rPr>
                <w:rFonts w:hint="eastAsia" w:cs="Arial" w:asciiTheme="minorEastAsia" w:hAnsiTheme="minorEastAsia"/>
                <w:b/>
                <w:bCs/>
                <w:kern w:val="0"/>
                <w:sz w:val="24"/>
                <w:szCs w:val="24"/>
              </w:rPr>
              <w:t>开标顺序为2包→1包→3包→5包→4包→11包→6包→12包→10包→8包→9包→13包→16包→14包→15包→7包,本标段前排名第一的中标候选人不得参与本标段评审。</w:t>
            </w:r>
          </w:p>
        </w:tc>
      </w:tr>
    </w:tbl>
    <w:p>
      <w:pPr>
        <w:rPr>
          <w:rFonts w:cs="Times New Roman" w:asciiTheme="minorEastAsia" w:hAnsiTheme="minorEastAsia"/>
          <w:kern w:val="0"/>
          <w:sz w:val="24"/>
          <w:szCs w:val="24"/>
        </w:rPr>
      </w:pPr>
    </w:p>
    <w:p>
      <w:pPr>
        <w:tabs>
          <w:tab w:val="center" w:pos="4832"/>
          <w:tab w:val="left" w:pos="7140"/>
        </w:tabs>
        <w:spacing w:line="360" w:lineRule="auto"/>
        <w:ind w:firstLine="470" w:firstLineChars="196"/>
        <w:jc w:val="left"/>
        <w:outlineLvl w:val="1"/>
        <w:rPr>
          <w:rFonts w:cs="宋体" w:asciiTheme="minorEastAsia" w:hAnsiTheme="minorEastAsia"/>
          <w:b/>
          <w:sz w:val="24"/>
          <w:szCs w:val="24"/>
        </w:rPr>
      </w:pPr>
      <w:bookmarkStart w:id="3" w:name="_BookMark_3"/>
      <w:bookmarkEnd w:id="3"/>
      <w:r>
        <w:rPr>
          <w:rFonts w:cs="Arial" w:asciiTheme="minorEastAsia" w:hAnsiTheme="minorEastAsia"/>
          <w:kern w:val="0"/>
          <w:sz w:val="24"/>
          <w:szCs w:val="24"/>
        </w:rPr>
        <w:br w:type="page"/>
      </w:r>
      <w:bookmarkStart w:id="4" w:name="_BookMark_12"/>
      <w:bookmarkEnd w:id="4"/>
      <w:bookmarkStart w:id="5" w:name="_Toc17299"/>
      <w:bookmarkStart w:id="6" w:name="_Toc22437"/>
      <w:r>
        <w:rPr>
          <w:rFonts w:cs="宋体" w:asciiTheme="minorEastAsia" w:hAnsiTheme="minorEastAsia"/>
          <w:b/>
          <w:sz w:val="24"/>
          <w:szCs w:val="24"/>
        </w:rPr>
        <w:t>1</w:t>
      </w:r>
      <w:r>
        <w:rPr>
          <w:rFonts w:hint="eastAsia" w:cs="宋体" w:asciiTheme="minorEastAsia" w:hAnsiTheme="minorEastAsia"/>
          <w:b/>
          <w:sz w:val="24"/>
          <w:szCs w:val="24"/>
        </w:rPr>
        <w:t>．总则</w:t>
      </w:r>
      <w:bookmarkEnd w:id="5"/>
      <w:bookmarkEnd w:id="6"/>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 </w:t>
      </w:r>
      <w:r>
        <w:rPr>
          <w:rFonts w:hint="eastAsia" w:cs="Arial" w:asciiTheme="minorEastAsia" w:hAnsiTheme="minorEastAsia"/>
          <w:kern w:val="0"/>
          <w:sz w:val="24"/>
          <w:szCs w:val="24"/>
        </w:rPr>
        <w:t>招标项目概况</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1.1.1 </w:t>
      </w:r>
      <w:r>
        <w:rPr>
          <w:rFonts w:hint="eastAsia" w:cs="Arial" w:asciiTheme="minorEastAsia" w:hAnsiTheme="minorEastAsia"/>
          <w:kern w:val="0"/>
          <w:sz w:val="24"/>
          <w:szCs w:val="24"/>
        </w:rPr>
        <w:t>项目名称：见投标人须知前附表。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2标段名称：见投标人须知前附表。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3标段编号：见投标人须知前附表。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4招标人：见投标人须知前附表。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5采购代理机构：见投标人须知前附表。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6项目地点：见投标人须知前附表。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7资金来源：见投标人须知前附表。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8采购预算金额：见投标人须知前附表。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1.1.8服务周期：见投标人须知前附表。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1.2</w:t>
      </w:r>
      <w:r>
        <w:rPr>
          <w:rFonts w:hint="eastAsia" w:cs="Arial" w:asciiTheme="minorEastAsia" w:hAnsiTheme="minorEastAsia"/>
          <w:kern w:val="0"/>
          <w:sz w:val="24"/>
          <w:szCs w:val="24"/>
        </w:rPr>
        <w:t>招标范围：见投标人须知前附表。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 </w:t>
      </w:r>
      <w:r>
        <w:rPr>
          <w:rFonts w:hint="eastAsia" w:cs="Arial" w:asciiTheme="minorEastAsia" w:hAnsiTheme="minorEastAsia"/>
          <w:kern w:val="0"/>
          <w:sz w:val="24"/>
          <w:szCs w:val="24"/>
        </w:rPr>
        <w:t>招标方式和资格审查方式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1.3.1 </w:t>
      </w:r>
      <w:r>
        <w:rPr>
          <w:rFonts w:hint="eastAsia" w:cs="Arial" w:asciiTheme="minorEastAsia" w:hAnsiTheme="minorEastAsia"/>
          <w:kern w:val="0"/>
          <w:sz w:val="24"/>
          <w:szCs w:val="24"/>
        </w:rPr>
        <w:t>招标方式：见投标人须知前附表。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1.3.2 </w:t>
      </w:r>
      <w:r>
        <w:rPr>
          <w:rFonts w:hint="eastAsia" w:cs="Arial" w:asciiTheme="minorEastAsia" w:hAnsiTheme="minorEastAsia"/>
          <w:kern w:val="0"/>
          <w:sz w:val="24"/>
          <w:szCs w:val="24"/>
        </w:rPr>
        <w:t>资格审查方式：见投标人须知前附表。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 </w:t>
      </w:r>
      <w:r>
        <w:rPr>
          <w:rFonts w:hint="eastAsia" w:cs="Arial" w:asciiTheme="minorEastAsia" w:hAnsiTheme="minorEastAsia"/>
          <w:kern w:val="0"/>
          <w:sz w:val="24"/>
          <w:szCs w:val="24"/>
        </w:rPr>
        <w:t>评标办法及定标方法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1.4.1 </w:t>
      </w:r>
      <w:r>
        <w:rPr>
          <w:rFonts w:hint="eastAsia" w:cs="Arial" w:asciiTheme="minorEastAsia" w:hAnsiTheme="minorEastAsia"/>
          <w:kern w:val="0"/>
          <w:sz w:val="24"/>
          <w:szCs w:val="24"/>
        </w:rPr>
        <w:t>评标办法：见投标人须知前附表。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1.4.2</w:t>
      </w:r>
      <w:r>
        <w:rPr>
          <w:rFonts w:hint="eastAsia" w:cs="Arial" w:asciiTheme="minorEastAsia" w:hAnsiTheme="minorEastAsia"/>
          <w:kern w:val="0"/>
          <w:sz w:val="24"/>
          <w:szCs w:val="24"/>
        </w:rPr>
        <w:t xml:space="preserve"> 定标方法：见投标人须知前附表。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1.5 </w:t>
      </w:r>
      <w:r>
        <w:rPr>
          <w:rFonts w:hint="eastAsia" w:cs="Arial" w:asciiTheme="minorEastAsia" w:hAnsiTheme="minorEastAsia"/>
          <w:kern w:val="0"/>
          <w:sz w:val="24"/>
          <w:szCs w:val="24"/>
        </w:rPr>
        <w:t>投标人资格条件和能力要求</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kern w:val="0"/>
          <w:sz w:val="24"/>
          <w:szCs w:val="24"/>
        </w:rPr>
        <w:t xml:space="preserve">1.5.1 </w:t>
      </w:r>
      <w:r>
        <w:rPr>
          <w:rFonts w:hint="eastAsia" w:cs="Arial" w:asciiTheme="minorEastAsia" w:hAnsiTheme="minorEastAsia"/>
          <w:kern w:val="0"/>
          <w:sz w:val="24"/>
          <w:szCs w:val="24"/>
        </w:rPr>
        <w:t>投标人应具备承担本招标项目的资格条件和能力，具体要求见投标人须知前附</w:t>
      </w:r>
      <w:r>
        <w:rPr>
          <w:rFonts w:hint="eastAsia" w:cs="Arial" w:asciiTheme="minorEastAsia" w:hAnsiTheme="minorEastAsia"/>
          <w:color w:val="auto"/>
          <w:kern w:val="0"/>
          <w:sz w:val="24"/>
          <w:szCs w:val="24"/>
        </w:rPr>
        <w:t>表。</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1.5.</w:t>
      </w:r>
      <w:r>
        <w:rPr>
          <w:rFonts w:hint="eastAsia" w:cs="Arial" w:asciiTheme="minorEastAsia" w:hAnsiTheme="minorEastAsia"/>
          <w:color w:val="auto"/>
          <w:kern w:val="0"/>
          <w:sz w:val="24"/>
          <w:szCs w:val="24"/>
        </w:rPr>
        <w:t>2</w:t>
      </w:r>
      <w:r>
        <w:rPr>
          <w:rFonts w:cs="Arial" w:asciiTheme="minorEastAsia" w:hAnsiTheme="minorEastAsia"/>
          <w:color w:val="auto"/>
          <w:kern w:val="0"/>
          <w:sz w:val="24"/>
          <w:szCs w:val="24"/>
        </w:rPr>
        <w:t xml:space="preserve"> </w:t>
      </w:r>
      <w:r>
        <w:rPr>
          <w:rFonts w:hint="eastAsia" w:cs="Arial" w:asciiTheme="minorEastAsia" w:hAnsiTheme="minorEastAsia"/>
          <w:color w:val="auto"/>
          <w:kern w:val="0"/>
          <w:sz w:val="24"/>
          <w:szCs w:val="24"/>
        </w:rPr>
        <w:t>投标人不得存在下列情形之一，否则相关投标均应被否决：</w:t>
      </w:r>
    </w:p>
    <w:p>
      <w:pPr>
        <w:autoSpaceDE w:val="0"/>
        <w:autoSpaceDN w:val="0"/>
        <w:spacing w:line="360" w:lineRule="auto"/>
        <w:ind w:firstLine="480" w:firstLineChars="200"/>
        <w:jc w:val="left"/>
        <w:rPr>
          <w:rFonts w:asciiTheme="minorEastAsia" w:hAnsiTheme="minorEastAsia"/>
          <w:color w:val="auto"/>
          <w:sz w:val="24"/>
          <w:szCs w:val="24"/>
        </w:rPr>
      </w:pPr>
      <w:bookmarkStart w:id="7" w:name="_BookMark_5"/>
      <w:bookmarkEnd w:id="7"/>
      <w:r>
        <w:rPr>
          <w:rFonts w:hint="eastAsia" w:asciiTheme="minorEastAsia" w:hAnsiTheme="minorEastAsia"/>
          <w:color w:val="auto"/>
          <w:kern w:val="0"/>
          <w:sz w:val="24"/>
          <w:szCs w:val="24"/>
        </w:rPr>
        <w:t>（</w:t>
      </w:r>
      <w:r>
        <w:rPr>
          <w:rFonts w:asciiTheme="minorEastAsia" w:hAnsiTheme="minorEastAsia"/>
          <w:color w:val="auto"/>
          <w:kern w:val="0"/>
          <w:sz w:val="24"/>
          <w:szCs w:val="24"/>
        </w:rPr>
        <w:t>1</w:t>
      </w:r>
      <w:r>
        <w:rPr>
          <w:rFonts w:hint="eastAsia" w:asciiTheme="minorEastAsia" w:hAnsiTheme="minorEastAsia"/>
          <w:color w:val="auto"/>
          <w:kern w:val="0"/>
          <w:sz w:val="24"/>
          <w:szCs w:val="24"/>
        </w:rPr>
        <w:t>）</w:t>
      </w:r>
      <w:r>
        <w:rPr>
          <w:rFonts w:asciiTheme="minorEastAsia" w:hAnsiTheme="minorEastAsia"/>
          <w:color w:val="auto"/>
          <w:sz w:val="24"/>
          <w:szCs w:val="24"/>
        </w:rPr>
        <w:t>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color w:val="auto"/>
          <w:kern w:val="0"/>
          <w:sz w:val="24"/>
          <w:szCs w:val="24"/>
        </w:rPr>
        <w:t>（</w:t>
      </w:r>
      <w:r>
        <w:rPr>
          <w:rFonts w:asciiTheme="minorEastAsia" w:hAnsiTheme="minorEastAsia"/>
          <w:color w:val="auto"/>
          <w:kern w:val="0"/>
          <w:sz w:val="24"/>
          <w:szCs w:val="24"/>
        </w:rPr>
        <w:t>2</w:t>
      </w:r>
      <w:r>
        <w:rPr>
          <w:rFonts w:hint="eastAsia" w:asciiTheme="minorEastAsia" w:hAnsiTheme="minorEastAsia"/>
          <w:color w:val="auto"/>
          <w:kern w:val="0"/>
          <w:sz w:val="24"/>
          <w:szCs w:val="24"/>
        </w:rPr>
        <w:t>）单位负责人为同一人或者存在控股、管理关系的不同投标人，不得参加同一合同项下的政府采购活动。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6费用承担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1.6.1招标文件费：见投标人须知前附表。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1.6.2投标人应承担其编制投标文件与递交投标文件所涉及的一切费用，无论投标结果如何，招标人及采购代理机构对上述费用不作任何补偿。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7投标保证金：见投标人须知前附表。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1.8踏勘现场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投标人须知前附表规定组织踏勘现场的，招标人或采购代理机构按投标人须知前附表规定的时间、地点组织投标人踏勘项目现场。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投标人踏勘现场发生的费用自理。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除招标人或采购代理机构的原因外，投标人自行负责在踏勘现场中所发生的人员伤亡和财产损失。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招标人或采购代理机构在踏勘现场中介绍的项目有关情况，供投标人在编制投标文件时参考，招标人或采购代理机构不对投标人据此作出的判断和决策负责。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9招标答疑会和招标澄清答疑要求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投标人须知前附表规定召开招标答疑会的，招标人或采购代理机构按照投标人须知前附表规定的时间和地点召开招标答疑会，澄清投标人提出的问题。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投标人若有疑问，应按投标人须知前附表规定的时间、方式向招标人或采购代理机构提出，要求招标人对招标文件予以澄清。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1.10投标文件份数：见投标人须知前附表。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1.11投标文件递交：见投标人须知前附表。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1.12开标：见投标人须知前附表。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1.13投标有效期：见投标人须知前附表。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1.14招标公告发布媒体：见投标人须知前附表。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1.15履约保证金：见投标人须知前附表。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1.16保密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17语言文字</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18计量单位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所有计量均采用中华人民共和国法定计量单位。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19偏离</w:t>
      </w:r>
    </w:p>
    <w:p>
      <w:pPr>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w:t>
      </w:r>
      <w:r>
        <w:rPr>
          <w:rFonts w:hint="eastAsia" w:cs="Arial" w:asciiTheme="minorEastAsia" w:hAnsiTheme="minorEastAsia"/>
          <w:color w:val="auto"/>
          <w:kern w:val="0"/>
          <w:sz w:val="24"/>
          <w:szCs w:val="24"/>
        </w:rPr>
        <w:t>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cs="Arial" w:asciiTheme="minorEastAsia" w:hAnsiTheme="minorEastAsia"/>
          <w:color w:val="auto"/>
          <w:kern w:val="0"/>
          <w:sz w:val="24"/>
          <w:szCs w:val="24"/>
        </w:rPr>
      </w:pPr>
      <w:r>
        <w:rPr>
          <w:rFonts w:cs="Arial" w:asciiTheme="minorEastAsia" w:hAnsiTheme="minorEastAsia"/>
          <w:b/>
          <w:color w:val="auto"/>
          <w:kern w:val="0"/>
          <w:sz w:val="24"/>
          <w:szCs w:val="24"/>
        </w:rPr>
        <w:t>1.</w:t>
      </w:r>
      <w:r>
        <w:rPr>
          <w:rFonts w:hint="eastAsia" w:cs="Arial" w:asciiTheme="minorEastAsia" w:hAnsiTheme="minorEastAsia"/>
          <w:b/>
          <w:color w:val="auto"/>
          <w:kern w:val="0"/>
          <w:sz w:val="24"/>
          <w:szCs w:val="24"/>
        </w:rPr>
        <w:t>19.2除法律、法规和规章规定外。招标文件中 “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招标人概不负责。</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8" w:name="_Toc3248"/>
      <w:bookmarkStart w:id="9" w:name="_Toc1284"/>
      <w:r>
        <w:rPr>
          <w:rFonts w:cs="宋体" w:asciiTheme="minorEastAsia" w:hAnsiTheme="minorEastAsia"/>
          <w:b/>
          <w:sz w:val="24"/>
          <w:szCs w:val="24"/>
        </w:rPr>
        <w:t>2</w:t>
      </w:r>
      <w:r>
        <w:rPr>
          <w:rFonts w:hint="eastAsia" w:cs="宋体" w:asciiTheme="minorEastAsia" w:hAnsiTheme="minorEastAsia"/>
          <w:b/>
          <w:sz w:val="24"/>
          <w:szCs w:val="24"/>
        </w:rPr>
        <w:t>．招标文件</w:t>
      </w:r>
      <w:bookmarkEnd w:id="8"/>
      <w:bookmarkEnd w:id="9"/>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2.1 </w:t>
      </w:r>
      <w:r>
        <w:rPr>
          <w:rFonts w:hint="eastAsia" w:cs="Arial" w:asciiTheme="minorEastAsia" w:hAnsiTheme="minorEastAsia"/>
          <w:kern w:val="0"/>
          <w:sz w:val="24"/>
          <w:szCs w:val="24"/>
        </w:rPr>
        <w:t>招标文件的组成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）投标人须知；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）评标办法；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）合同条款及格式；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）技术标准和要求；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）补充条款。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根据本章第</w:t>
      </w:r>
      <w:r>
        <w:rPr>
          <w:rFonts w:cs="Arial" w:asciiTheme="minorEastAsia" w:hAnsiTheme="minorEastAsia"/>
          <w:kern w:val="0"/>
          <w:sz w:val="24"/>
          <w:szCs w:val="24"/>
        </w:rPr>
        <w:t>2.</w:t>
      </w:r>
      <w:r>
        <w:rPr>
          <w:rFonts w:hint="eastAsia" w:cs="Arial" w:asciiTheme="minorEastAsia" w:hAnsiTheme="minorEastAsia"/>
          <w:kern w:val="0"/>
          <w:sz w:val="24"/>
          <w:szCs w:val="24"/>
        </w:rPr>
        <w:t>3款和第</w:t>
      </w:r>
      <w:r>
        <w:rPr>
          <w:rFonts w:cs="Arial" w:asciiTheme="minorEastAsia" w:hAnsiTheme="minorEastAsia"/>
          <w:kern w:val="0"/>
          <w:sz w:val="24"/>
          <w:szCs w:val="24"/>
        </w:rPr>
        <w:t>2.</w:t>
      </w:r>
      <w:r>
        <w:rPr>
          <w:rFonts w:hint="eastAsia" w:cs="Arial" w:asciiTheme="minorEastAsia" w:hAnsiTheme="minorEastAsia"/>
          <w:kern w:val="0"/>
          <w:sz w:val="24"/>
          <w:szCs w:val="24"/>
        </w:rPr>
        <w:t>4款对招标文件所作的澄清、修改，构成招标文件的组成部分。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2招标文件的获取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凡有意参加并符合投标人须知前附表“投标人资格条件和能力”的投标人，均可登陆政采云https://www.zcygov.cn/平台后进入“项目采购“应用，在获取文件菜单中选择项目，申请获取采购文件。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3招标文件的澄清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4招标文件的修改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在投标人须知前附表规定的截止时间前，无论出于何种原因，采购代理机构和招标人可主动地或在解答潜在投标人提出的澄清问题时对招标文件进行修改。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招标文件的修改部分是招标文件的组成部分对投标人具有约束力。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10" w:name="_BookMark_6"/>
      <w:bookmarkEnd w:id="10"/>
      <w:bookmarkStart w:id="11" w:name="_Toc5109"/>
      <w:bookmarkStart w:id="12" w:name="_Toc28949"/>
      <w:r>
        <w:rPr>
          <w:rFonts w:cs="宋体" w:asciiTheme="minorEastAsia" w:hAnsiTheme="minorEastAsia"/>
          <w:b/>
          <w:sz w:val="24"/>
          <w:szCs w:val="24"/>
        </w:rPr>
        <w:t>3</w:t>
      </w:r>
      <w:r>
        <w:rPr>
          <w:rFonts w:hint="eastAsia" w:cs="宋体" w:asciiTheme="minorEastAsia" w:hAnsiTheme="minorEastAsia"/>
          <w:b/>
          <w:sz w:val="24"/>
          <w:szCs w:val="24"/>
        </w:rPr>
        <w:t>．投标文件</w:t>
      </w:r>
      <w:bookmarkEnd w:id="11"/>
      <w:bookmarkEnd w:id="1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投标文件的组成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3.1.1</w:t>
      </w:r>
      <w:r>
        <w:rPr>
          <w:rFonts w:hint="eastAsia" w:cs="Arial" w:asciiTheme="minorEastAsia" w:hAnsiTheme="minorEastAsia"/>
          <w:kern w:val="0"/>
          <w:sz w:val="24"/>
          <w:szCs w:val="24"/>
        </w:rPr>
        <w:t>投标文件应包括下列内容：</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1、投标函</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2、开标一览表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3、反商业贿赂承诺书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4、技术条款偏离表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5、商务条款偏离表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6、法定代表人身份证明书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7、法定代表人授权委托书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8、投标人基本情况</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9、投标人近年类似项目情况表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10、拟投入本项目主要机械设备</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11、项目负责人简历表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12、拟投入人员配置表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13、合理化建议</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14、养护作业方案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15、质量管理方案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16、应急抢险方案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17、安全服务方案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18、文明作业方案</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ascii="宋体" w:hAnsi="宋体" w:eastAsia="宋体" w:cs="Arial"/>
          <w:kern w:val="0"/>
          <w:sz w:val="24"/>
          <w:szCs w:val="24"/>
        </w:rPr>
        <w:t>19、其他需要提交的资料（根据招标文件的要求和投标人认为需要提供的资料）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投标价格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1投标人的货物只允许有一个报价，招标人不接受有任何选择的报价。投标价格应包括投标人履行本项目合同（如果中标）所必须的所有成本费用和中标人应承担的一切税费，包括但不仅限于必要资料、办公、交通、保险、人员、税费、售后服务费及培训费等一切费用。未列和没有填写的项目费用，招标人将视为已包括在投标价格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2投标人提供的货物一律用人民币报价。</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 </w:t>
      </w:r>
      <w:r>
        <w:rPr>
          <w:rFonts w:hint="eastAsia" w:cs="Arial" w:asciiTheme="minorEastAsia" w:hAnsiTheme="minorEastAsia"/>
          <w:kern w:val="0"/>
          <w:sz w:val="24"/>
          <w:szCs w:val="24"/>
        </w:rPr>
        <w:t>投标有效期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3.3.1 </w:t>
      </w:r>
      <w:r>
        <w:rPr>
          <w:rFonts w:hint="eastAsia" w:cs="Arial" w:asciiTheme="minorEastAsia" w:hAnsiTheme="minorEastAsia"/>
          <w:kern w:val="0"/>
          <w:sz w:val="24"/>
          <w:szCs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3.3.2 </w:t>
      </w:r>
      <w:r>
        <w:rPr>
          <w:rFonts w:hint="eastAsia" w:cs="Arial" w:asciiTheme="minorEastAsia" w:hAnsiTheme="minorEastAsia"/>
          <w:kern w:val="0"/>
          <w:sz w:val="24"/>
          <w:szCs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3.3.3 </w:t>
      </w:r>
      <w:r>
        <w:rPr>
          <w:rFonts w:hint="eastAsia" w:cs="Arial" w:asciiTheme="minorEastAsia" w:hAnsiTheme="minorEastAsia"/>
          <w:kern w:val="0"/>
          <w:sz w:val="24"/>
          <w:szCs w:val="24"/>
        </w:rPr>
        <w:t>投标保证金的有效期与投标有效期一致。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 </w:t>
      </w:r>
      <w:r>
        <w:rPr>
          <w:rFonts w:hint="eastAsia" w:cs="Arial" w:asciiTheme="minorEastAsia" w:hAnsiTheme="minorEastAsia"/>
          <w:kern w:val="0"/>
          <w:sz w:val="24"/>
          <w:szCs w:val="24"/>
        </w:rPr>
        <w:t>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3.4.1 </w:t>
      </w:r>
      <w:r>
        <w:rPr>
          <w:rFonts w:hint="eastAsia" w:cs="Arial" w:asciiTheme="minorEastAsia" w:hAnsiTheme="minor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cs="Arial" w:asciiTheme="minorEastAsia" w:hAnsiTheme="minorEastAsia"/>
          <w:kern w:val="0"/>
          <w:sz w:val="24"/>
          <w:szCs w:val="24"/>
        </w:rPr>
      </w:pPr>
      <w:r>
        <w:rPr>
          <w:rFonts w:hint="eastAsia" w:cs="Arial" w:asciiTheme="minorEastAsia" w:hAnsiTheme="minorEastAsia"/>
          <w:kern w:val="0"/>
          <w:sz w:val="24"/>
          <w:szCs w:val="24"/>
        </w:rPr>
        <w:t xml:space="preserve"> </w:t>
      </w:r>
      <w:r>
        <w:rPr>
          <w:rFonts w:cs="Arial" w:asciiTheme="minorEastAsia" w:hAnsiTheme="minorEastAsia"/>
          <w:kern w:val="0"/>
          <w:sz w:val="24"/>
          <w:szCs w:val="24"/>
        </w:rPr>
        <w:t>3.4.2</w:t>
      </w:r>
      <w:r>
        <w:rPr>
          <w:rFonts w:hint="eastAsia" w:cs="Arial" w:asciiTheme="minorEastAsia" w:hAnsiTheme="minorEastAsia"/>
          <w:kern w:val="0"/>
          <w:sz w:val="24"/>
          <w:szCs w:val="24"/>
        </w:rPr>
        <w:t>投标保证金是为了保护招标人免遭因投标人的行为而蒙受损失。招标人在因投标人的行为受到损害时可根据相关法律规定没收投标人的投标保证金。</w:t>
      </w:r>
    </w:p>
    <w:p>
      <w:pPr>
        <w:autoSpaceDE w:val="0"/>
        <w:autoSpaceDN w:val="0"/>
        <w:adjustRightInd w:val="0"/>
        <w:spacing w:line="360" w:lineRule="auto"/>
        <w:ind w:firstLine="480" w:firstLineChars="200"/>
        <w:jc w:val="left"/>
        <w:rPr>
          <w:rFonts w:cs="Arial" w:asciiTheme="minorEastAsia" w:hAnsiTheme="minorEastAsia"/>
          <w:b/>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3投标人在投标截止时间前撤回已提交的投标文件的，招标人或者招标代理机构应当自收到投标人书面撤回通知之日起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个工作日内，退还已收取的投标保证金，但因投标人自身原因导致无法及时退还的除外。招标人或者招标代理机构应当自中标通知书发出之日起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个工作日内退还未中标人的投标保证金，自采购合同签订之日起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个工作日内退还中标人的投标保证金。</w:t>
      </w:r>
      <w:r>
        <w:rPr>
          <w:rFonts w:hint="eastAsia" w:cs="Arial" w:asciiTheme="minorEastAsia" w:hAnsiTheme="minorEastAsia"/>
          <w:b/>
          <w:kern w:val="0"/>
          <w:sz w:val="24"/>
          <w:szCs w:val="24"/>
        </w:rPr>
        <w:t xml:space="preserve"> </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4投标保证金有效期与投标有效期一致。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5有下列情形之一的，投标保证金不予退还：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）投标人在规定的投标有效期内撤销或修改其投标文件的；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）未按招标文件规定提交履约保证金的。</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3.5</w:t>
      </w:r>
      <w:r>
        <w:rPr>
          <w:rFonts w:hint="eastAsia" w:cs="Arial" w:asciiTheme="minorEastAsia" w:hAnsiTheme="minorEastAsia"/>
          <w:color w:val="auto"/>
          <w:kern w:val="0"/>
          <w:sz w:val="24"/>
          <w:szCs w:val="24"/>
        </w:rPr>
        <w:t>电子投标文件的编制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3.5.1电子投标文件使用政采云平台响应文件制作工具以及招标文件要求进行制作编制。投标文件制作时，按照招标文件中明确的投标文件目录和格式进行编制，保证目录清晰、内容完整。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13" w:name="_BookMark_7"/>
      <w:bookmarkEnd w:id="13"/>
      <w:bookmarkStart w:id="14" w:name="_Toc1186"/>
      <w:bookmarkStart w:id="15" w:name="_Toc7591"/>
      <w:r>
        <w:rPr>
          <w:rFonts w:cs="宋体" w:asciiTheme="minorEastAsia" w:hAnsiTheme="minorEastAsia"/>
          <w:b/>
          <w:color w:val="auto"/>
          <w:sz w:val="24"/>
          <w:szCs w:val="24"/>
        </w:rPr>
        <w:t>4</w:t>
      </w:r>
      <w:r>
        <w:rPr>
          <w:rFonts w:hint="eastAsia" w:cs="宋体" w:asciiTheme="minorEastAsia" w:hAnsiTheme="minorEastAsia"/>
          <w:b/>
          <w:color w:val="auto"/>
          <w:sz w:val="24"/>
          <w:szCs w:val="24"/>
        </w:rPr>
        <w:t>．投标</w:t>
      </w:r>
      <w:bookmarkEnd w:id="14"/>
      <w:bookmarkEnd w:id="15"/>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4.1 </w:t>
      </w:r>
      <w:r>
        <w:rPr>
          <w:rFonts w:hint="eastAsia" w:cs="Arial" w:asciiTheme="minorEastAsia" w:hAnsiTheme="minorEastAsia"/>
          <w:color w:val="auto"/>
          <w:kern w:val="0"/>
          <w:sz w:val="24"/>
          <w:szCs w:val="24"/>
        </w:rPr>
        <w:t>投标文件的密封</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4.1.1</w:t>
      </w:r>
      <w:r>
        <w:rPr>
          <w:rFonts w:hint="eastAsia" w:cs="Arial" w:asciiTheme="minorEastAsia" w:hAnsiTheme="minorEastAsia"/>
          <w:color w:val="auto"/>
          <w:kern w:val="0"/>
          <w:sz w:val="24"/>
          <w:szCs w:val="24"/>
        </w:rPr>
        <w:t>、</w:t>
      </w:r>
      <w:r>
        <w:rPr>
          <w:rFonts w:hint="eastAsia" w:asciiTheme="minorEastAsia" w:hAnsiTheme="minorEastAsia"/>
          <w:color w:val="auto"/>
          <w:kern w:val="0"/>
          <w:sz w:val="24"/>
          <w:szCs w:val="24"/>
        </w:rPr>
        <w:t>投标文件的密封：</w:t>
      </w:r>
      <w:r>
        <w:rPr>
          <w:rFonts w:hint="eastAsia" w:cs="Arial" w:asciiTheme="minorEastAsia" w:hAnsiTheme="minorEastAsia"/>
          <w:color w:val="auto"/>
          <w:kern w:val="0"/>
          <w:sz w:val="24"/>
          <w:szCs w:val="24"/>
        </w:rPr>
        <w:t>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4.2 </w:t>
      </w:r>
      <w:r>
        <w:rPr>
          <w:rFonts w:hint="eastAsia" w:cs="Arial" w:asciiTheme="minorEastAsia" w:hAnsiTheme="minorEastAsia"/>
          <w:color w:val="auto"/>
          <w:kern w:val="0"/>
          <w:sz w:val="24"/>
          <w:szCs w:val="24"/>
        </w:rPr>
        <w:t>投标文件的递交</w:t>
      </w:r>
    </w:p>
    <w:p>
      <w:pPr>
        <w:autoSpaceDE w:val="0"/>
        <w:autoSpaceDN w:val="0"/>
        <w:spacing w:line="360" w:lineRule="auto"/>
        <w:ind w:firstLine="480" w:firstLineChars="200"/>
        <w:jc w:val="left"/>
        <w:rPr>
          <w:rFonts w:asciiTheme="minorEastAsia" w:hAnsiTheme="minorEastAsia"/>
          <w:bCs/>
          <w:color w:val="auto"/>
          <w:kern w:val="0"/>
          <w:sz w:val="24"/>
          <w:szCs w:val="24"/>
        </w:rPr>
      </w:pPr>
      <w:bookmarkStart w:id="16" w:name="_Hlk57105548"/>
      <w:bookmarkStart w:id="17" w:name="_Hlk18820306"/>
      <w:bookmarkStart w:id="18" w:name="_Hlk57105547"/>
      <w:bookmarkStart w:id="19" w:name="_Hlk57105549"/>
      <w:bookmarkStart w:id="20" w:name="_Hlk22461104"/>
      <w:bookmarkStart w:id="21" w:name="_Hlk22461105"/>
      <w:bookmarkStart w:id="22" w:name="_Hlk23746210"/>
      <w:bookmarkStart w:id="23" w:name="_Hlk23651230"/>
      <w:bookmarkStart w:id="24" w:name="_Hlk18820305"/>
      <w:bookmarkStart w:id="25" w:name="_Hlk22461103"/>
      <w:bookmarkStart w:id="26" w:name="_Hlk23651229"/>
      <w:bookmarkStart w:id="27" w:name="_Hlk23746209"/>
      <w:bookmarkStart w:id="28" w:name="_Hlk23746208"/>
      <w:bookmarkStart w:id="29" w:name="_Hlk23651228"/>
      <w:bookmarkStart w:id="30" w:name="_Hlk18820304"/>
      <w:r>
        <w:rPr>
          <w:rFonts w:cs="Arial" w:asciiTheme="minorEastAsia" w:hAnsiTheme="minorEastAsia"/>
          <w:color w:val="auto"/>
          <w:kern w:val="0"/>
          <w:sz w:val="24"/>
          <w:szCs w:val="24"/>
        </w:rPr>
        <w:t>4.2.1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cs="Arial" w:asciiTheme="minorEastAsia" w:hAnsiTheme="minorEastAsia"/>
          <w:color w:val="auto"/>
          <w:kern w:val="0"/>
          <w:sz w:val="24"/>
          <w:szCs w:val="24"/>
        </w:rPr>
        <w:t>、</w:t>
      </w:r>
      <w:r>
        <w:rPr>
          <w:rFonts w:hint="eastAsia" w:asciiTheme="minorEastAsia" w:hAnsiTheme="minorEastAsia"/>
          <w:bCs/>
          <w:color w:val="auto"/>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招标人、招标代理机构将予以拒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bCs/>
          <w:color w:val="auto"/>
          <w:kern w:val="0"/>
          <w:sz w:val="24"/>
          <w:szCs w:val="24"/>
        </w:rPr>
        <w:t>4.2</w:t>
      </w:r>
      <w:r>
        <w:rPr>
          <w:rFonts w:asciiTheme="minorEastAsia" w:hAnsiTheme="minorEastAsia"/>
          <w:bCs/>
          <w:color w:val="auto"/>
          <w:kern w:val="0"/>
          <w:sz w:val="24"/>
          <w:szCs w:val="24"/>
        </w:rPr>
        <w:t xml:space="preserve">.2 </w:t>
      </w:r>
      <w:r>
        <w:rPr>
          <w:rFonts w:hint="eastAsia" w:asciiTheme="minorEastAsia" w:hAnsiTheme="minorEastAsia"/>
          <w:bCs/>
          <w:color w:val="auto"/>
          <w:kern w:val="0"/>
          <w:sz w:val="24"/>
          <w:szCs w:val="24"/>
        </w:rPr>
        <w:t>出现因招标文件的修改推迟投标截止时间时，则按招标人或者招标代理机构规定的顺延时间递交。</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4.3 </w:t>
      </w:r>
      <w:r>
        <w:rPr>
          <w:rFonts w:hint="eastAsia" w:cs="Arial" w:asciiTheme="minorEastAsia" w:hAnsiTheme="minorEastAsia"/>
          <w:color w:val="auto"/>
          <w:kern w:val="0"/>
          <w:sz w:val="24"/>
          <w:szCs w:val="24"/>
        </w:rPr>
        <w:t>投标文件的修改与撤回</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cs="Arial" w:asciiTheme="minorEastAsia" w:hAnsiTheme="minorEastAsia"/>
          <w:color w:val="auto"/>
          <w:kern w:val="0"/>
          <w:sz w:val="24"/>
          <w:szCs w:val="24"/>
        </w:rPr>
        <w:t>4.3.1</w:t>
      </w:r>
      <w:r>
        <w:rPr>
          <w:rFonts w:hint="eastAsia" w:asciiTheme="minorEastAsia" w:hAnsiTheme="minorEastAsia"/>
          <w:bCs/>
          <w:color w:val="auto"/>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hint="eastAsia" w:asciiTheme="minorEastAsia" w:hAnsiTheme="minorEastAsia"/>
          <w:bCs/>
          <w:color w:val="auto"/>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4.4</w:t>
      </w:r>
      <w:r>
        <w:rPr>
          <w:rFonts w:hint="eastAsia" w:cs="Arial" w:asciiTheme="minorEastAsia" w:hAnsiTheme="minorEastAsia"/>
          <w:color w:val="auto"/>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4.4.1 </w:t>
      </w:r>
      <w:r>
        <w:rPr>
          <w:rFonts w:hint="eastAsia" w:cs="Arial" w:asciiTheme="minorEastAsia" w:hAnsiTheme="minorEastAsia"/>
          <w:color w:val="auto"/>
          <w:kern w:val="0"/>
          <w:sz w:val="24"/>
          <w:szCs w:val="24"/>
        </w:rPr>
        <w:t>投标文件格式见第五章。</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4.4.2 </w:t>
      </w:r>
      <w:r>
        <w:rPr>
          <w:rFonts w:hint="eastAsia" w:cs="Arial" w:asciiTheme="minorEastAsia" w:hAnsiTheme="minorEastAsia"/>
          <w:color w:val="auto"/>
          <w:kern w:val="0"/>
          <w:sz w:val="24"/>
          <w:szCs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1" w:name="_BookMark_8"/>
      <w:bookmarkEnd w:id="31"/>
      <w:bookmarkStart w:id="32" w:name="_Toc18413"/>
      <w:bookmarkStart w:id="33" w:name="_Toc10750"/>
      <w:r>
        <w:rPr>
          <w:rFonts w:cs="宋体" w:asciiTheme="minorEastAsia" w:hAnsiTheme="minorEastAsia"/>
          <w:b/>
          <w:color w:val="auto"/>
          <w:sz w:val="24"/>
          <w:szCs w:val="24"/>
        </w:rPr>
        <w:t>5</w:t>
      </w:r>
      <w:r>
        <w:rPr>
          <w:rFonts w:hint="eastAsia" w:cs="宋体" w:asciiTheme="minorEastAsia" w:hAnsiTheme="minorEastAsia"/>
          <w:b/>
          <w:color w:val="auto"/>
          <w:sz w:val="24"/>
          <w:szCs w:val="24"/>
        </w:rPr>
        <w:t>．开标</w:t>
      </w:r>
      <w:bookmarkEnd w:id="32"/>
      <w:bookmarkEnd w:id="33"/>
    </w:p>
    <w:p>
      <w:pPr>
        <w:spacing w:line="360" w:lineRule="auto"/>
        <w:ind w:firstLine="482" w:firstLineChars="200"/>
        <w:rPr>
          <w:rFonts w:asciiTheme="minorEastAsia" w:hAnsiTheme="minorEastAsia"/>
          <w:b/>
          <w:bCs/>
          <w:color w:val="auto"/>
          <w:kern w:val="0"/>
          <w:sz w:val="24"/>
          <w:szCs w:val="24"/>
        </w:rPr>
      </w:pPr>
      <w:bookmarkStart w:id="34" w:name="_BookMark_9"/>
      <w:bookmarkEnd w:id="34"/>
      <w:bookmarkStart w:id="35" w:name="_Toc13479"/>
      <w:r>
        <w:rPr>
          <w:rFonts w:hint="eastAsia" w:asciiTheme="minorEastAsia" w:hAnsiTheme="minorEastAsia"/>
          <w:b/>
          <w:bCs/>
          <w:color w:val="auto"/>
          <w:kern w:val="0"/>
          <w:sz w:val="24"/>
          <w:szCs w:val="24"/>
        </w:rPr>
        <w:t>5.1投标人须在在提交投标文件截止时间前通过CA在政采云平台上传加密的电子投标文件。投标人在开标时须使用制作加密电子投标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asciiTheme="minorEastAsia" w:hAnsiTheme="minorEastAsia"/>
          <w:b/>
          <w:bCs/>
          <w:color w:val="auto"/>
          <w:kern w:val="0"/>
          <w:sz w:val="24"/>
          <w:szCs w:val="24"/>
        </w:rPr>
      </w:pPr>
      <w:r>
        <w:rPr>
          <w:rFonts w:hint="eastAsia" w:asciiTheme="minorEastAsia" w:hAnsiTheme="minorEastAsia"/>
          <w:b/>
          <w:bCs/>
          <w:color w:val="auto"/>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tabs>
          <w:tab w:val="center" w:pos="4832"/>
          <w:tab w:val="left" w:pos="7140"/>
        </w:tabs>
        <w:spacing w:line="360" w:lineRule="auto"/>
        <w:ind w:firstLine="472" w:firstLineChars="196"/>
        <w:jc w:val="left"/>
        <w:outlineLvl w:val="9"/>
        <w:rPr>
          <w:rFonts w:hint="eastAsia" w:asciiTheme="minorEastAsia" w:hAnsiTheme="minorEastAsia"/>
          <w:b/>
          <w:color w:val="auto"/>
          <w:kern w:val="0"/>
          <w:sz w:val="24"/>
          <w:szCs w:val="24"/>
        </w:rPr>
      </w:pPr>
      <w:bookmarkStart w:id="36" w:name="_Toc7306"/>
      <w:r>
        <w:rPr>
          <w:rFonts w:hint="eastAsia" w:asciiTheme="minorEastAsia" w:hAnsiTheme="minorEastAsia"/>
          <w:b/>
          <w:bCs/>
          <w:color w:val="auto"/>
          <w:kern w:val="0"/>
          <w:sz w:val="24"/>
          <w:szCs w:val="24"/>
        </w:rPr>
        <w:t>5.3</w:t>
      </w:r>
      <w:r>
        <w:rPr>
          <w:rFonts w:hint="eastAsia" w:asciiTheme="minorEastAsia" w:hAnsiTheme="minorEastAsia"/>
          <w:b/>
          <w:color w:val="auto"/>
          <w:kern w:val="0"/>
          <w:sz w:val="24"/>
          <w:szCs w:val="24"/>
        </w:rPr>
        <w:t>开标结束后由招标人或招标代理机构对投标人已解密的电子投标文件进行资格审查（详见资格审查标准）。</w:t>
      </w:r>
      <w:bookmarkEnd w:id="36"/>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7" w:name="_Toc12517"/>
      <w:r>
        <w:rPr>
          <w:rFonts w:cs="宋体" w:asciiTheme="minorEastAsia" w:hAnsiTheme="minorEastAsia"/>
          <w:b/>
          <w:color w:val="auto"/>
          <w:sz w:val="24"/>
          <w:szCs w:val="24"/>
        </w:rPr>
        <w:t>6</w:t>
      </w:r>
      <w:r>
        <w:rPr>
          <w:rFonts w:hint="eastAsia" w:cs="宋体" w:asciiTheme="minorEastAsia" w:hAnsiTheme="minorEastAsia"/>
          <w:b/>
          <w:color w:val="auto"/>
          <w:sz w:val="24"/>
          <w:szCs w:val="24"/>
        </w:rPr>
        <w:t>．评标</w:t>
      </w:r>
      <w:bookmarkEnd w:id="35"/>
      <w:bookmarkEnd w:id="37"/>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6.1 </w:t>
      </w:r>
      <w:r>
        <w:rPr>
          <w:rFonts w:hint="eastAsia" w:cs="Arial" w:asciiTheme="minorEastAsia" w:hAnsiTheme="minorEastAsia"/>
          <w:color w:val="auto"/>
          <w:kern w:val="0"/>
          <w:sz w:val="24"/>
          <w:szCs w:val="24"/>
        </w:rPr>
        <w:t>评标委员会</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6.1.1</w:t>
      </w:r>
      <w:r>
        <w:rPr>
          <w:rFonts w:hint="eastAsia" w:cs="Arial" w:asciiTheme="minorEastAsia" w:hAnsiTheme="minorEastAsia"/>
          <w:color w:val="auto"/>
          <w:kern w:val="0"/>
          <w:sz w:val="24"/>
          <w:szCs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招标人评标代表须具备中级专业技术职称或同等专业水平且从事相关领域工作满8年,或者具有高级专业技术职称或同等专业水平。评标委员会负责评标工作，并向招标人提交书面评标报告。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6.1.2 </w:t>
      </w:r>
      <w:r>
        <w:rPr>
          <w:rFonts w:hint="eastAsia" w:cs="Arial" w:asciiTheme="minorEastAsia" w:hAnsiTheme="minorEastAsia"/>
          <w:kern w:val="0"/>
          <w:sz w:val="24"/>
          <w:szCs w:val="24"/>
        </w:rPr>
        <w:t>评标委员会成员有下列情形之一的，应当回避：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）与投标人有其它可能影响政府采购活动公平、公正进行的关系。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6.2 </w:t>
      </w:r>
      <w:r>
        <w:rPr>
          <w:rFonts w:hint="eastAsia" w:cs="Arial" w:asciiTheme="minorEastAsia" w:hAnsiTheme="minorEastAsia"/>
          <w:kern w:val="0"/>
          <w:sz w:val="24"/>
          <w:szCs w:val="24"/>
        </w:rPr>
        <w:t>评标原则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评标活动遵循公平、公正、科学和择优的原则。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6.3 </w:t>
      </w:r>
      <w:r>
        <w:rPr>
          <w:rFonts w:hint="eastAsia" w:cs="Arial" w:asciiTheme="minorEastAsia" w:hAnsiTheme="minorEastAsia"/>
          <w:kern w:val="0"/>
          <w:sz w:val="24"/>
          <w:szCs w:val="24"/>
        </w:rPr>
        <w:t>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38" w:name="_BookMark_10"/>
      <w:bookmarkEnd w:id="38"/>
      <w:bookmarkStart w:id="39" w:name="_Toc24540"/>
      <w:bookmarkStart w:id="40" w:name="_Toc31061"/>
      <w:r>
        <w:rPr>
          <w:rFonts w:cs="宋体" w:asciiTheme="minorEastAsia" w:hAnsiTheme="minorEastAsia"/>
          <w:b/>
          <w:sz w:val="24"/>
          <w:szCs w:val="24"/>
        </w:rPr>
        <w:t>7</w:t>
      </w:r>
      <w:r>
        <w:rPr>
          <w:rFonts w:hint="eastAsia" w:cs="宋体" w:asciiTheme="minorEastAsia" w:hAnsiTheme="minorEastAsia"/>
          <w:b/>
          <w:sz w:val="24"/>
          <w:szCs w:val="24"/>
        </w:rPr>
        <w:t>．定标及合同授予</w:t>
      </w:r>
      <w:bookmarkEnd w:id="39"/>
      <w:bookmarkEnd w:id="4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 </w:t>
      </w:r>
      <w:r>
        <w:rPr>
          <w:rFonts w:hint="eastAsia" w:cs="Arial" w:asciiTheme="minorEastAsia" w:hAnsiTheme="minorEastAsia"/>
          <w:kern w:val="0"/>
          <w:sz w:val="24"/>
          <w:szCs w:val="24"/>
        </w:rPr>
        <w:t>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7.1.1 </w:t>
      </w:r>
      <w:r>
        <w:rPr>
          <w:rFonts w:hint="eastAsia" w:cs="Arial" w:asciiTheme="minorEastAsia" w:hAnsiTheme="minorEastAsia"/>
          <w:kern w:val="0"/>
          <w:sz w:val="24"/>
          <w:szCs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7.1.</w:t>
      </w:r>
      <w:r>
        <w:rPr>
          <w:rFonts w:hint="eastAsia" w:cs="Arial" w:asciiTheme="minorEastAsia" w:hAnsiTheme="minorEastAsia"/>
          <w:kern w:val="0"/>
          <w:sz w:val="24"/>
          <w:szCs w:val="24"/>
        </w:rPr>
        <w:t>2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它中标候选人为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7.2 </w:t>
      </w:r>
      <w:r>
        <w:rPr>
          <w:rFonts w:hint="eastAsia" w:cs="Arial" w:asciiTheme="minorEastAsia" w:hAnsiTheme="minorEastAsia"/>
          <w:kern w:val="0"/>
          <w:sz w:val="24"/>
          <w:szCs w:val="24"/>
        </w:rPr>
        <w:t>中标候选人公示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7.3 </w:t>
      </w:r>
      <w:r>
        <w:rPr>
          <w:rFonts w:hint="eastAsia" w:cs="Arial" w:asciiTheme="minorEastAsia" w:hAnsiTheme="minorEastAsia"/>
          <w:color w:val="auto"/>
          <w:kern w:val="0"/>
          <w:sz w:val="24"/>
          <w:szCs w:val="24"/>
        </w:rPr>
        <w:t>中标通知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中标公示发布同时，招标人向中标单位发出中标通知书，并及时通知其它投标人中标结果。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 </w:t>
      </w:r>
      <w:r>
        <w:rPr>
          <w:rFonts w:hint="eastAsia" w:cs="Arial" w:asciiTheme="minorEastAsia" w:hAnsiTheme="minorEastAsia"/>
          <w:kern w:val="0"/>
          <w:sz w:val="24"/>
          <w:szCs w:val="24"/>
        </w:rPr>
        <w:t>履约保证金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7.4.1 </w:t>
      </w:r>
      <w:r>
        <w:rPr>
          <w:rFonts w:hint="eastAsia" w:cs="Arial" w:asciiTheme="minorEastAsia" w:hAnsiTheme="minorEastAsia"/>
          <w:kern w:val="0"/>
          <w:sz w:val="24"/>
          <w:szCs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7.4.2 </w:t>
      </w:r>
      <w:r>
        <w:rPr>
          <w:rFonts w:hint="eastAsia" w:cs="Arial" w:asciiTheme="minorEastAsia" w:hAnsiTheme="minorEastAsia"/>
          <w:kern w:val="0"/>
          <w:sz w:val="24"/>
          <w:szCs w:val="24"/>
        </w:rPr>
        <w:t>中标人不能按本章第</w:t>
      </w:r>
      <w:r>
        <w:rPr>
          <w:rFonts w:cs="Arial" w:asciiTheme="minorEastAsia" w:hAnsiTheme="minorEastAsia"/>
          <w:kern w:val="0"/>
          <w:sz w:val="24"/>
          <w:szCs w:val="24"/>
        </w:rPr>
        <w:t>7.4.1</w:t>
      </w:r>
      <w:r>
        <w:rPr>
          <w:rFonts w:hint="eastAsia" w:cs="Arial" w:asciiTheme="minorEastAsia" w:hAnsiTheme="minorEastAsia"/>
          <w:kern w:val="0"/>
          <w:sz w:val="24"/>
          <w:szCs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7.5 </w:t>
      </w:r>
      <w:r>
        <w:rPr>
          <w:rFonts w:hint="eastAsia" w:cs="Arial" w:asciiTheme="minorEastAsia" w:hAnsiTheme="minorEastAsia"/>
          <w:kern w:val="0"/>
          <w:sz w:val="24"/>
          <w:szCs w:val="24"/>
        </w:rPr>
        <w:t>签订合同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7.5.1</w:t>
      </w:r>
      <w:r>
        <w:rPr>
          <w:rFonts w:hint="eastAsia" w:cs="Arial" w:asciiTheme="minorEastAsia" w:hAnsiTheme="minorEastAsia"/>
          <w:kern w:val="0"/>
          <w:sz w:val="24"/>
          <w:szCs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w:t>
      </w:r>
      <w:r>
        <w:rPr>
          <w:rFonts w:hint="eastAsia" w:cs="Arial" w:asciiTheme="minorEastAsia" w:hAnsiTheme="minorEastAsia"/>
          <w:kern w:val="0"/>
          <w:sz w:val="24"/>
          <w:szCs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41" w:name="_BookMark_11"/>
      <w:bookmarkEnd w:id="41"/>
      <w:bookmarkStart w:id="42" w:name="_Toc29083"/>
      <w:bookmarkStart w:id="43" w:name="_Toc16039"/>
      <w:r>
        <w:rPr>
          <w:rFonts w:cs="宋体" w:asciiTheme="minorEastAsia" w:hAnsiTheme="minorEastAsia"/>
          <w:b/>
          <w:sz w:val="24"/>
          <w:szCs w:val="24"/>
        </w:rPr>
        <w:t>8</w:t>
      </w:r>
      <w:r>
        <w:rPr>
          <w:rFonts w:hint="eastAsia" w:cs="宋体" w:asciiTheme="minorEastAsia" w:hAnsiTheme="minorEastAsia"/>
          <w:b/>
          <w:sz w:val="24"/>
          <w:szCs w:val="24"/>
        </w:rPr>
        <w:t>．纪律和监督</w:t>
      </w:r>
      <w:bookmarkEnd w:id="42"/>
      <w:bookmarkEnd w:id="43"/>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8.1 </w:t>
      </w:r>
      <w:r>
        <w:rPr>
          <w:rFonts w:hint="eastAsia" w:cs="Arial" w:asciiTheme="minorEastAsia" w:hAnsiTheme="minorEastAsia"/>
          <w:kern w:val="0"/>
          <w:sz w:val="24"/>
          <w:szCs w:val="24"/>
        </w:rPr>
        <w:t>对招标人的纪律要求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8.2 </w:t>
      </w:r>
      <w:r>
        <w:rPr>
          <w:rFonts w:hint="eastAsia" w:cs="Arial" w:asciiTheme="minorEastAsia" w:hAnsiTheme="minorEastAsia"/>
          <w:kern w:val="0"/>
          <w:sz w:val="24"/>
          <w:szCs w:val="24"/>
        </w:rPr>
        <w:t>对投标人的纪律要求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8.3 </w:t>
      </w:r>
      <w:r>
        <w:rPr>
          <w:rFonts w:hint="eastAsia" w:cs="Arial" w:asciiTheme="minorEastAsia" w:hAnsiTheme="minorEastAsia"/>
          <w:kern w:val="0"/>
          <w:sz w:val="24"/>
          <w:szCs w:val="24"/>
        </w:rPr>
        <w:t>对评标委员会成员的纪律要求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8.4 </w:t>
      </w:r>
      <w:r>
        <w:rPr>
          <w:rFonts w:hint="eastAsia" w:cs="Arial" w:asciiTheme="minorEastAsia" w:hAnsiTheme="minorEastAsia"/>
          <w:kern w:val="0"/>
          <w:sz w:val="24"/>
          <w:szCs w:val="24"/>
        </w:rPr>
        <w:t>对与评标活动有关的工作人员的纪律要求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8.5 </w:t>
      </w:r>
      <w:r>
        <w:rPr>
          <w:rFonts w:hint="eastAsia" w:cs="Arial" w:asciiTheme="minorEastAsia" w:hAnsiTheme="minorEastAsia"/>
          <w:kern w:val="0"/>
          <w:sz w:val="24"/>
          <w:szCs w:val="24"/>
        </w:rPr>
        <w:t>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本项目的招标投标活动及其相关当事人应当接受有管辖权的监督部门依法实施的监督。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p>
    <w:p>
      <w:pPr>
        <w:spacing w:line="440" w:lineRule="exact"/>
        <w:jc w:val="center"/>
        <w:outlineLvl w:val="0"/>
        <w:rPr>
          <w:rFonts w:cs="宋体" w:asciiTheme="minorEastAsia" w:hAnsiTheme="minorEastAsia"/>
          <w:b/>
          <w:sz w:val="24"/>
          <w:szCs w:val="24"/>
        </w:rPr>
      </w:pPr>
      <w:r>
        <w:rPr>
          <w:rFonts w:cs="Arial" w:asciiTheme="minorEastAsia" w:hAnsiTheme="minorEastAsia"/>
          <w:bCs/>
          <w:kern w:val="0"/>
          <w:sz w:val="24"/>
          <w:szCs w:val="24"/>
        </w:rPr>
        <w:br w:type="page"/>
      </w:r>
      <w:bookmarkStart w:id="44" w:name="_Toc25443"/>
      <w:r>
        <w:rPr>
          <w:rFonts w:hint="eastAsia" w:cs="宋体" w:asciiTheme="minorEastAsia" w:hAnsiTheme="minorEastAsia"/>
          <w:b/>
          <w:sz w:val="24"/>
          <w:szCs w:val="24"/>
        </w:rPr>
        <w:t>第二章评标办法</w:t>
      </w:r>
      <w:bookmarkEnd w:id="44"/>
    </w:p>
    <w:p>
      <w:pPr>
        <w:tabs>
          <w:tab w:val="center" w:pos="4832"/>
          <w:tab w:val="left" w:pos="7140"/>
        </w:tabs>
        <w:spacing w:line="360" w:lineRule="auto"/>
        <w:ind w:firstLine="482"/>
        <w:jc w:val="center"/>
        <w:outlineLvl w:val="1"/>
        <w:rPr>
          <w:rFonts w:cs="宋体" w:asciiTheme="minorEastAsia" w:hAnsiTheme="minorEastAsia"/>
          <w:b/>
          <w:sz w:val="24"/>
          <w:szCs w:val="24"/>
        </w:rPr>
      </w:pPr>
      <w:bookmarkStart w:id="45" w:name="_BookMark_1"/>
      <w:bookmarkEnd w:id="45"/>
      <w:bookmarkStart w:id="46" w:name="_Toc20529"/>
      <w:r>
        <w:rPr>
          <w:rFonts w:hint="eastAsia" w:cs="宋体" w:asciiTheme="minorEastAsia" w:hAnsiTheme="minorEastAsia"/>
          <w:b/>
          <w:sz w:val="24"/>
          <w:szCs w:val="24"/>
        </w:rPr>
        <w:t>第一节 综合评分法</w:t>
      </w:r>
      <w:bookmarkEnd w:id="46"/>
    </w:p>
    <w:p>
      <w:pPr>
        <w:tabs>
          <w:tab w:val="center" w:pos="4832"/>
          <w:tab w:val="left" w:pos="7140"/>
        </w:tabs>
        <w:spacing w:line="360" w:lineRule="auto"/>
        <w:ind w:firstLine="482"/>
        <w:jc w:val="center"/>
        <w:outlineLvl w:val="2"/>
        <w:rPr>
          <w:rFonts w:cs="宋体" w:asciiTheme="minorEastAsia" w:hAnsiTheme="minorEastAsia"/>
          <w:b/>
          <w:sz w:val="24"/>
          <w:szCs w:val="24"/>
        </w:rPr>
      </w:pPr>
      <w:bookmarkStart w:id="47" w:name="_Toc10658"/>
      <w:r>
        <w:rPr>
          <w:rFonts w:hint="eastAsia" w:cs="宋体" w:asciiTheme="minorEastAsia" w:hAnsiTheme="minorEastAsia"/>
          <w:b/>
          <w:sz w:val="24"/>
          <w:szCs w:val="24"/>
        </w:rPr>
        <w:t>评标办法前附表</w:t>
      </w:r>
      <w:bookmarkEnd w:id="47"/>
    </w:p>
    <w:tbl>
      <w:tblPr>
        <w:tblStyle w:val="34"/>
        <w:tblW w:w="0" w:type="auto"/>
        <w:jc w:val="center"/>
        <w:tblLayout w:type="autofit"/>
        <w:tblCellMar>
          <w:top w:w="0" w:type="dxa"/>
          <w:left w:w="0" w:type="dxa"/>
          <w:bottom w:w="0" w:type="dxa"/>
          <w:right w:w="0" w:type="dxa"/>
        </w:tblCellMar>
      </w:tblPr>
      <w:tblGrid>
        <w:gridCol w:w="610"/>
        <w:gridCol w:w="2771"/>
        <w:gridCol w:w="5745"/>
      </w:tblGrid>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条款内容</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编列内容</w:t>
            </w:r>
          </w:p>
        </w:tc>
      </w:tr>
      <w:tr>
        <w:tblPrEx>
          <w:tblCellMar>
            <w:top w:w="0" w:type="dxa"/>
            <w:left w:w="0" w:type="dxa"/>
            <w:bottom w:w="0" w:type="dxa"/>
            <w:right w:w="0" w:type="dxa"/>
          </w:tblCellMar>
        </w:tblPrEx>
        <w:trPr>
          <w:cantSplit/>
          <w:trHeight w:val="630"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1</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分值构成及权重</w:t>
            </w:r>
          </w:p>
          <w:p>
            <w:pPr>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总分</w:t>
            </w:r>
            <w:r>
              <w:rPr>
                <w:rFonts w:cs="Times New Roman" w:asciiTheme="minorEastAsia" w:hAnsiTheme="minorEastAsia"/>
                <w:sz w:val="24"/>
                <w:szCs w:val="24"/>
              </w:rPr>
              <w:t>100</w:t>
            </w:r>
            <w:r>
              <w:rPr>
                <w:rFonts w:hint="eastAsia" w:cs="Times New Roman" w:asciiTheme="minorEastAsia" w:hAnsiTheme="minorEastAsia"/>
                <w:sz w:val="24"/>
                <w:szCs w:val="24"/>
              </w:rPr>
              <w:t>分</w:t>
            </w:r>
            <w:r>
              <w:rPr>
                <w:rFonts w:cs="Times New Roman" w:asciiTheme="minorEastAsia" w:hAnsiTheme="minorEastAsia"/>
                <w:sz w:val="24"/>
                <w:szCs w:val="24"/>
              </w:rPr>
              <w:t>)</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详细评审部分权重</w:t>
            </w:r>
            <w:r>
              <w:rPr>
                <w:rFonts w:cs="Times New Roman" w:asciiTheme="minorEastAsia" w:hAnsiTheme="minorEastAsia"/>
                <w:sz w:val="24"/>
                <w:szCs w:val="24"/>
              </w:rPr>
              <w:t>Q1=</w:t>
            </w:r>
            <w:r>
              <w:rPr>
                <w:rFonts w:hint="eastAsia" w:cs="Times New Roman" w:asciiTheme="minorEastAsia" w:hAnsiTheme="minorEastAsia"/>
                <w:sz w:val="24"/>
                <w:szCs w:val="24"/>
              </w:rPr>
              <w:t>9</w:t>
            </w:r>
            <w:r>
              <w:rPr>
                <w:rFonts w:cs="Times New Roman" w:asciiTheme="minorEastAsia" w:hAnsiTheme="minorEastAsia"/>
                <w:sz w:val="24"/>
                <w:szCs w:val="24"/>
              </w:rPr>
              <w:t>0%</w:t>
            </w:r>
          </w:p>
          <w:p>
            <w:pP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投标报价权重</w:t>
            </w:r>
            <w:r>
              <w:rPr>
                <w:rFonts w:cs="Times New Roman" w:asciiTheme="minorEastAsia" w:hAnsiTheme="minorEastAsia"/>
                <w:sz w:val="24"/>
                <w:szCs w:val="24"/>
              </w:rPr>
              <w:t>Q2=</w:t>
            </w:r>
            <w:r>
              <w:rPr>
                <w:rFonts w:hint="eastAsia" w:cs="Times New Roman" w:asciiTheme="minorEastAsia" w:hAnsiTheme="minorEastAsia"/>
                <w:sz w:val="24"/>
                <w:szCs w:val="24"/>
              </w:rPr>
              <w:t>1</w:t>
            </w:r>
            <w:r>
              <w:rPr>
                <w:rFonts w:cs="Times New Roman" w:asciiTheme="minorEastAsia" w:hAnsiTheme="minorEastAsia"/>
                <w:sz w:val="24"/>
                <w:szCs w:val="24"/>
              </w:rPr>
              <w:t>0%</w:t>
            </w:r>
          </w:p>
        </w:tc>
      </w:tr>
      <w:tr>
        <w:tblPrEx>
          <w:tblCellMar>
            <w:top w:w="0" w:type="dxa"/>
            <w:left w:w="0" w:type="dxa"/>
            <w:bottom w:w="0" w:type="dxa"/>
            <w:right w:w="0" w:type="dxa"/>
          </w:tblCellMar>
        </w:tblPrEx>
        <w:trPr>
          <w:cantSplit/>
          <w:trHeight w:val="147"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资格审查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完备性及符合性审查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0"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2771"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详细评审</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详见《详细评审标准》及</w:t>
            </w:r>
            <w:r>
              <w:rPr>
                <w:rFonts w:hint="eastAsia" w:cs="Arial" w:asciiTheme="minorEastAsia" w:hAnsiTheme="minorEastAsia"/>
                <w:color w:val="auto"/>
                <w:kern w:val="0"/>
                <w:sz w:val="24"/>
                <w:szCs w:val="24"/>
              </w:rPr>
              <w:t>本节第3.7款</w:t>
            </w:r>
          </w:p>
        </w:tc>
      </w:tr>
      <w:tr>
        <w:tblPrEx>
          <w:tblCellMar>
            <w:top w:w="0" w:type="dxa"/>
            <w:left w:w="0" w:type="dxa"/>
            <w:bottom w:w="0" w:type="dxa"/>
            <w:right w:w="0" w:type="dxa"/>
          </w:tblCellMar>
        </w:tblPrEx>
        <w:trPr>
          <w:cantSplit/>
          <w:trHeight w:val="2577" w:hRule="atLeast"/>
          <w:jc w:val="center"/>
        </w:trPr>
        <w:tc>
          <w:tcPr>
            <w:tcW w:w="610"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p>
        </w:tc>
        <w:tc>
          <w:tcPr>
            <w:tcW w:w="2771"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投标报价得分计算方法：</w:t>
            </w:r>
          </w:p>
          <w:p>
            <w:pPr>
              <w:rPr>
                <w:rFonts w:cs="Times New Roman" w:asciiTheme="minorEastAsia" w:hAnsiTheme="minorEastAsia"/>
                <w:bCs/>
                <w:color w:val="auto"/>
                <w:sz w:val="24"/>
                <w:szCs w:val="24"/>
              </w:rPr>
            </w:pPr>
            <w:r>
              <w:rPr>
                <w:rFonts w:hint="eastAsia" w:cs="Times New Roman" w:asciiTheme="minorEastAsia" w:hAnsiTheme="minorEastAsia"/>
                <w:color w:val="auto"/>
                <w:sz w:val="24"/>
                <w:szCs w:val="24"/>
              </w:rPr>
              <w:t>1</w:t>
            </w:r>
            <w:r>
              <w:rPr>
                <w:rFonts w:hint="eastAsia" w:cs="Times New Roman" w:asciiTheme="minorEastAsia" w:hAnsiTheme="minorEastAsia"/>
                <w:bCs/>
                <w:color w:val="auto"/>
                <w:sz w:val="24"/>
                <w:szCs w:val="24"/>
              </w:rPr>
              <w:t>.投标报价的确定</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投标报价是指经评审的且不超过采购预算金额的投标价格</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2.评标基准价的确定</w:t>
            </w:r>
          </w:p>
          <w:p>
            <w:pPr>
              <w:rPr>
                <w:rFonts w:cs="Times New Roman" w:asciiTheme="minorEastAsia" w:hAnsiTheme="minorEastAsia"/>
                <w:bCs/>
                <w:color w:val="auto"/>
                <w:sz w:val="24"/>
                <w:szCs w:val="24"/>
              </w:rPr>
            </w:pPr>
            <w:r>
              <w:rPr>
                <w:rFonts w:cs="Times New Roman" w:asciiTheme="minorEastAsia" w:hAnsiTheme="minorEastAsia"/>
                <w:bCs/>
                <w:color w:val="auto"/>
                <w:sz w:val="24"/>
                <w:szCs w:val="24"/>
              </w:rPr>
              <w:t>满足招标文件要求且</w:t>
            </w:r>
            <w:r>
              <w:rPr>
                <w:rFonts w:hint="eastAsia" w:cs="Times New Roman" w:asciiTheme="minorEastAsia" w:hAnsiTheme="minorEastAsia"/>
                <w:bCs/>
                <w:color w:val="auto"/>
                <w:sz w:val="24"/>
                <w:szCs w:val="24"/>
              </w:rPr>
              <w:t>投标报价</w:t>
            </w:r>
            <w:r>
              <w:rPr>
                <w:rFonts w:cs="Times New Roman" w:asciiTheme="minorEastAsia" w:hAnsiTheme="minorEastAsia"/>
                <w:bCs/>
                <w:color w:val="auto"/>
                <w:sz w:val="24"/>
                <w:szCs w:val="24"/>
              </w:rPr>
              <w:t>最低的为评标基准价</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3.</w:t>
            </w:r>
            <w:r>
              <w:rPr>
                <w:rFonts w:cs="Times New Roman" w:asciiTheme="minorEastAsia" w:hAnsiTheme="minorEastAsia"/>
                <w:bCs/>
                <w:color w:val="auto"/>
                <w:sz w:val="24"/>
                <w:szCs w:val="24"/>
              </w:rPr>
              <w:t>投标报价得分=(评标基准价／投标报价)×100×</w:t>
            </w:r>
            <w:r>
              <w:rPr>
                <w:rFonts w:hint="eastAsia" w:cs="Times New Roman" w:asciiTheme="minorEastAsia" w:hAnsiTheme="minorEastAsia"/>
                <w:bCs/>
                <w:color w:val="auto"/>
                <w:sz w:val="24"/>
                <w:szCs w:val="24"/>
              </w:rPr>
              <w:t>Q2</w:t>
            </w:r>
          </w:p>
          <w:p>
            <w:pPr>
              <w:rPr>
                <w:rFonts w:cs="Times New Roman" w:asciiTheme="minorEastAsia" w:hAnsiTheme="minorEastAsia"/>
                <w:color w:val="auto"/>
                <w:sz w:val="24"/>
                <w:szCs w:val="24"/>
              </w:rPr>
            </w:pPr>
            <w:r>
              <w:rPr>
                <w:rFonts w:hint="eastAsia" w:cs="Times New Roman" w:asciiTheme="minorEastAsia" w:hAnsiTheme="minorEastAsia"/>
                <w:bCs/>
                <w:color w:val="auto"/>
                <w:sz w:val="24"/>
                <w:szCs w:val="24"/>
              </w:rPr>
              <w:t>4.</w:t>
            </w:r>
            <w:r>
              <w:rPr>
                <w:rFonts w:hint="eastAsia" w:cs="Times New Roman" w:asciiTheme="minorEastAsia" w:hAnsiTheme="minorEastAsia"/>
                <w:color w:val="auto"/>
                <w:sz w:val="24"/>
                <w:szCs w:val="24"/>
              </w:rPr>
              <w:t>评分分值计算保留小数点后两位，小数点后三位“四舍五入”。</w:t>
            </w:r>
          </w:p>
          <w:p>
            <w:pPr>
              <w:rPr>
                <w:rFonts w:cs="Times New Roman" w:asciiTheme="minorEastAsia" w:hAnsiTheme="minorEastAsia"/>
                <w:color w:val="auto"/>
                <w:sz w:val="24"/>
                <w:szCs w:val="24"/>
              </w:rPr>
            </w:pPr>
            <w:r>
              <w:rPr>
                <w:rFonts w:hint="eastAsia" w:asciiTheme="minorEastAsia" w:hAnsiTheme="minorEastAsia"/>
                <w:b/>
                <w:color w:val="auto"/>
                <w:szCs w:val="21"/>
              </w:rPr>
              <w:t>5. 本项目专门面对小微企业，不再执行价格评审优惠的扶持政策。本项目采购行业所属为其他未列明行业。</w:t>
            </w:r>
          </w:p>
        </w:tc>
      </w:tr>
    </w:tbl>
    <w:p>
      <w:pPr>
        <w:widowControl/>
        <w:shd w:val="clear" w:color="auto" w:fill="FFFFFF"/>
        <w:snapToGrid w:val="0"/>
        <w:ind w:firstLine="482"/>
        <w:jc w:val="center"/>
        <w:rPr>
          <w:rFonts w:cs="Arial" w:asciiTheme="minorEastAsia" w:hAnsiTheme="minorEastAsia"/>
          <w:b/>
          <w:kern w:val="0"/>
          <w:sz w:val="24"/>
          <w:szCs w:val="24"/>
        </w:rPr>
      </w:pPr>
      <w:bookmarkStart w:id="48" w:name="_Toc501719166"/>
      <w:r>
        <w:rPr>
          <w:rFonts w:hint="eastAsia" w:cs="Arial" w:asciiTheme="minorEastAsia" w:hAnsiTheme="minorEastAsia"/>
          <w:b/>
          <w:kern w:val="0"/>
          <w:sz w:val="24"/>
          <w:szCs w:val="24"/>
        </w:rPr>
        <w:t>《资格审查标准》</w:t>
      </w:r>
      <w:bookmarkEnd w:id="48"/>
    </w:p>
    <w:tbl>
      <w:tblPr>
        <w:tblStyle w:val="34"/>
        <w:tblW w:w="9090" w:type="dxa"/>
        <w:jc w:val="center"/>
        <w:tblLayout w:type="autofit"/>
        <w:tblCellMar>
          <w:top w:w="0" w:type="dxa"/>
          <w:left w:w="0" w:type="dxa"/>
          <w:bottom w:w="0" w:type="dxa"/>
          <w:right w:w="0" w:type="dxa"/>
        </w:tblCellMar>
      </w:tblPr>
      <w:tblGrid>
        <w:gridCol w:w="623"/>
        <w:gridCol w:w="8467"/>
      </w:tblGrid>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审查标准</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cs="Arial" w:asciiTheme="minorEastAsia" w:hAnsiTheme="minorEastAsia"/>
                <w:color w:val="auto"/>
                <w:kern w:val="0"/>
                <w:sz w:val="24"/>
                <w:szCs w:val="24"/>
              </w:rPr>
              <w:t>1</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w:t>
            </w:r>
            <w:r>
              <w:rPr>
                <w:rFonts w:cs="Arial" w:asciiTheme="minorEastAsia" w:hAnsiTheme="minorEastAsia"/>
                <w:color w:val="auto"/>
                <w:kern w:val="0"/>
                <w:sz w:val="24"/>
                <w:szCs w:val="24"/>
              </w:rPr>
              <w:t>满足《中华人民共和国政府采购法》第二十二条规定</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2</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投标人必须是中华人民共和国境内注册，具有有效的营业执照（或事业单位法人证书）；</w:t>
            </w:r>
          </w:p>
        </w:tc>
      </w:tr>
      <w:tr>
        <w:tblPrEx>
          <w:tblCellMar>
            <w:top w:w="0" w:type="dxa"/>
            <w:left w:w="0" w:type="dxa"/>
            <w:bottom w:w="0" w:type="dxa"/>
            <w:right w:w="0" w:type="dxa"/>
          </w:tblCellMar>
        </w:tblPrEx>
        <w:trPr>
          <w:cantSplit/>
          <w:trHeight w:val="409"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cs="Arial" w:asciiTheme="minorEastAsia" w:hAnsiTheme="minorEastAsia"/>
                <w:color w:val="auto"/>
                <w:kern w:val="0"/>
                <w:sz w:val="24"/>
                <w:szCs w:val="24"/>
              </w:rPr>
              <w:t>投标人须是在“信用中国”网站（WWW.creditchina.gov.cn）和中国政府采购网（www.ccgp.gov.cn）网站中未被列入失信被执行人、重大税收违法案件当事人名单以及政府采购严重违法失信行为记录名单（尚在处罚期内的）</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77"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4</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1"/>
              </w:rPr>
              <w:t>投标人须是小微企业并且出具《中小企业声明函》；</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5</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投标保证金是否按照招标文件要求缴纳。</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color w:val="auto"/>
                <w:kern w:val="0"/>
                <w:sz w:val="24"/>
                <w:szCs w:val="24"/>
                <w:lang w:val="en-US" w:eastAsia="zh-CN"/>
              </w:rPr>
            </w:pPr>
            <w:r>
              <w:rPr>
                <w:rFonts w:hint="eastAsia" w:cs="Arial" w:asciiTheme="minorEastAsia" w:hAnsiTheme="minorEastAsia"/>
                <w:color w:val="auto"/>
                <w:kern w:val="0"/>
                <w:sz w:val="24"/>
                <w:szCs w:val="24"/>
                <w:lang w:val="en-US" w:eastAsia="zh-CN"/>
              </w:rPr>
              <w:t>6</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cs="Arial" w:asciiTheme="minorEastAsia" w:hAnsiTheme="minorEastAsia"/>
                <w:color w:val="auto"/>
                <w:kern w:val="0"/>
                <w:sz w:val="24"/>
                <w:szCs w:val="24"/>
              </w:rPr>
            </w:pP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val="en-US" w:eastAsia="zh-CN"/>
              </w:rPr>
              <w:t>7</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本项目可兼投不可</w:t>
            </w:r>
            <w:r>
              <w:rPr>
                <w:rFonts w:hint="eastAsia" w:cs="Arial" w:asciiTheme="minorEastAsia" w:hAnsiTheme="minorEastAsia"/>
                <w:color w:val="000000" w:themeColor="text1"/>
                <w:kern w:val="0"/>
                <w:sz w:val="24"/>
                <w:szCs w:val="24"/>
                <w14:textFill>
                  <w14:solidFill>
                    <w14:schemeClr w14:val="tx1"/>
                  </w14:solidFill>
                </w14:textFill>
              </w:rPr>
              <w:t>兼中，开标顺序为2包→1包→3包→5包→4包→11包→6包→12包→10包→8包→9包→13包→16包→14包→15包→7包,本标段前排名第一的中标候选人不得参与本标段评审。</w:t>
            </w:r>
          </w:p>
        </w:tc>
      </w:tr>
      <w:tr>
        <w:tblPrEx>
          <w:tblCellMar>
            <w:top w:w="0" w:type="dxa"/>
            <w:left w:w="0" w:type="dxa"/>
            <w:bottom w:w="0" w:type="dxa"/>
            <w:right w:w="0" w:type="dxa"/>
          </w:tblCellMar>
        </w:tblPrEx>
        <w:trPr>
          <w:cantSplit/>
          <w:trHeight w:val="950" w:hRule="atLeast"/>
          <w:jc w:val="center"/>
        </w:trPr>
        <w:tc>
          <w:tcPr>
            <w:tcW w:w="909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ind w:firstLine="482"/>
        <w:jc w:val="center"/>
        <w:rPr>
          <w:rFonts w:cs="Arial" w:asciiTheme="minorEastAsia" w:hAnsiTheme="minorEastAsia"/>
          <w:b/>
          <w:kern w:val="0"/>
          <w:sz w:val="24"/>
          <w:szCs w:val="24"/>
        </w:rPr>
      </w:pPr>
      <w:bookmarkStart w:id="49" w:name="_Toc501719167"/>
      <w:r>
        <w:rPr>
          <w:rFonts w:hint="eastAsia" w:cs="Arial" w:asciiTheme="minorEastAsia" w:hAnsiTheme="minorEastAsia"/>
          <w:b/>
          <w:kern w:val="0"/>
          <w:sz w:val="24"/>
          <w:szCs w:val="24"/>
        </w:rPr>
        <w:t>《完备性及符合性审查标准》</w:t>
      </w:r>
      <w:bookmarkEnd w:id="49"/>
    </w:p>
    <w:tbl>
      <w:tblPr>
        <w:tblStyle w:val="34"/>
        <w:tblW w:w="9177" w:type="dxa"/>
        <w:jc w:val="center"/>
        <w:tblLayout w:type="fixed"/>
        <w:tblCellMar>
          <w:top w:w="0" w:type="dxa"/>
          <w:left w:w="0" w:type="dxa"/>
          <w:bottom w:w="0" w:type="dxa"/>
          <w:right w:w="0" w:type="dxa"/>
        </w:tblCellMar>
      </w:tblPr>
      <w:tblGrid>
        <w:gridCol w:w="621"/>
        <w:gridCol w:w="8556"/>
      </w:tblGrid>
      <w:tr>
        <w:tblPrEx>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投标文件要求加盖投标人章、法定代表人章处未加盖的；</w:t>
            </w:r>
          </w:p>
        </w:tc>
      </w:tr>
      <w:tr>
        <w:tblPrEx>
          <w:tblCellMar>
            <w:top w:w="0" w:type="dxa"/>
            <w:left w:w="0" w:type="dxa"/>
            <w:bottom w:w="0" w:type="dxa"/>
            <w:right w:w="0" w:type="dxa"/>
          </w:tblCellMar>
        </w:tblPrEx>
        <w:trPr>
          <w:cantSplit/>
          <w:trHeight w:val="295"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投标文件未按招标文件要求编制，内容不全或字迹模糊、辨认不清的；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服务标准不满足招标文件要求的；投标价格明细表未完整填写的；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投标价格不得超过投标人须知前附表中的最高限价及控制单价，暂估价不得更改；</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5</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投标文件不符合招标文件实质性要求的。</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ind w:firstLine="482"/>
        <w:jc w:val="center"/>
        <w:rPr>
          <w:rFonts w:cs="Arial" w:asciiTheme="minorEastAsia" w:hAnsiTheme="minorEastAsia"/>
          <w:b/>
          <w:kern w:val="0"/>
          <w:sz w:val="24"/>
          <w:szCs w:val="24"/>
        </w:rPr>
      </w:pPr>
      <w:r>
        <w:rPr>
          <w:rFonts w:hint="eastAsia" w:cs="Arial" w:asciiTheme="minorEastAsia" w:hAnsiTheme="minorEastAsia"/>
          <w:b/>
          <w:kern w:val="0"/>
          <w:sz w:val="24"/>
          <w:szCs w:val="24"/>
        </w:rPr>
        <w:t>《详细评审标准》</w:t>
      </w:r>
    </w:p>
    <w:tbl>
      <w:tblPr>
        <w:tblStyle w:val="34"/>
        <w:tblW w:w="5074" w:type="pct"/>
        <w:jc w:val="center"/>
        <w:tblLayout w:type="autofit"/>
        <w:tblCellMar>
          <w:top w:w="0" w:type="dxa"/>
          <w:left w:w="0" w:type="dxa"/>
          <w:bottom w:w="0" w:type="dxa"/>
          <w:right w:w="0" w:type="dxa"/>
        </w:tblCellMar>
      </w:tblPr>
      <w:tblGrid>
        <w:gridCol w:w="743"/>
        <w:gridCol w:w="1343"/>
        <w:gridCol w:w="1022"/>
        <w:gridCol w:w="6117"/>
      </w:tblGrid>
      <w:tr>
        <w:tblPrEx>
          <w:tblCellMar>
            <w:top w:w="0" w:type="dxa"/>
            <w:left w:w="0" w:type="dxa"/>
            <w:bottom w:w="0" w:type="dxa"/>
            <w:right w:w="0" w:type="dxa"/>
          </w:tblCellMar>
        </w:tblPrEx>
        <w:trPr>
          <w:trHeight w:val="90" w:hRule="atLeast"/>
          <w:jc w:val="center"/>
        </w:trPr>
        <w:tc>
          <w:tcPr>
            <w:tcW w:w="336"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50"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评审项目</w:t>
            </w:r>
          </w:p>
        </w:tc>
        <w:tc>
          <w:tcPr>
            <w:tcW w:w="57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标准分</w:t>
            </w:r>
          </w:p>
        </w:tc>
        <w:tc>
          <w:tcPr>
            <w:tcW w:w="333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评审标准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业绩</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rPr>
              <w:t>9</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投标人提供2020年1月1日至今（以合同签订时间为准）类似业绩，1个项目得3分，此项满分9分。提供业绩的合同复印件。</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机械设备保障</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投标人提供园林绿化适用作业车辆（水车、高空作业车、自卸车等车辆）证明，每提供一辆得2分，最高得12分。（作业车辆证明需提供自有发票或租赁合同、行驶证及车辆实物照（附牌照号）复印件）</w:t>
            </w:r>
          </w:p>
        </w:tc>
      </w:tr>
      <w:tr>
        <w:tblPrEx>
          <w:tblCellMar>
            <w:top w:w="0" w:type="dxa"/>
            <w:left w:w="0" w:type="dxa"/>
            <w:bottom w:w="0" w:type="dxa"/>
            <w:right w:w="0" w:type="dxa"/>
          </w:tblCellMar>
        </w:tblPrEx>
        <w:trPr>
          <w:trHeight w:val="79" w:hRule="atLeast"/>
          <w:jc w:val="center"/>
        </w:trPr>
        <w:tc>
          <w:tcPr>
            <w:tcW w:w="336" w:type="pct"/>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50" w:type="pct"/>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养护人员的配置满足养护项目实际规模，有专人在现场负责绿化养护工作。</w:t>
            </w:r>
          </w:p>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期间须安排不少于20人（含项目负责人，项目负责人不得为退休人员）。应附聘用合同、身份证复印件（退休人员应附聘用合同及退休证明）扫描件等，完全满足要求的得10分，每少一位岗位人员扣0.5分，扣完为止。</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lang w:val="zh-CN"/>
              </w:rPr>
              <w:t>合理化建议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每提一条，可加1分，最多可得2分。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养护作业方案</w:t>
            </w:r>
          </w:p>
          <w:p>
            <w:pPr>
              <w:pStyle w:val="189"/>
              <w:spacing w:before="0" w:after="0" w:line="360" w:lineRule="auto"/>
              <w:jc w:val="center"/>
              <w:rPr>
                <w:rFonts w:asciiTheme="minorEastAsia" w:hAnsiTheme="minorEastAsia" w:eastAsiaTheme="minorEastAsia" w:cstheme="minorEastAsia"/>
                <w:bCs/>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360" w:lineRule="auto"/>
              <w:ind w:firstLine="240" w:firstLineChars="100"/>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szCs w:val="24"/>
              </w:rPr>
              <w:t>15</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240" w:lineRule="auto"/>
              <w:jc w:val="left"/>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szCs w:val="24"/>
              </w:rPr>
              <w:t>横向对比各供应商提供的投标文件：养护作业方案，根据本项目现场实际情况结合米东区园林管理局绿化养护费等级标准，编制养护方案，齐全的养护作业方案内容必须包含但不仅限于：1.日常维护计划；2.抗旱计划；3.病虫害防治计划；4.植物整形计划；5.植物换补栽计划；6.施肥计划；7.松土除草计划8.草花养护计划；9.绿化设施维护及巡查反馈计划；10.粉尘污染防治；11.绿化带清扫保洁；12. 绿化垃圾收运；13. 安保巡查。</w:t>
            </w:r>
          </w:p>
          <w:p>
            <w:pPr>
              <w:pStyle w:val="189"/>
              <w:spacing w:before="0" w:after="0" w:line="24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养护方案详尽齐全，实施作业操作性强得15分；</w:t>
            </w:r>
          </w:p>
          <w:p>
            <w:pPr>
              <w:pStyle w:val="189"/>
              <w:spacing w:before="0" w:after="0" w:line="240" w:lineRule="auto"/>
              <w:jc w:val="left"/>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养护方案较明确、可行实施度一般10分，</w:t>
            </w:r>
          </w:p>
          <w:p>
            <w:pPr>
              <w:pStyle w:val="189"/>
              <w:spacing w:before="0" w:after="0" w:line="240" w:lineRule="auto"/>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kern w:val="0"/>
                <w:szCs w:val="24"/>
              </w:rPr>
              <w:t>养护方案模糊，实施强度低5分，不提供不得分；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ind w:left="89"/>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质量管理方案</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sz w:val="24"/>
                <w:szCs w:val="24"/>
                <w:lang w:val="en-US" w:bidi="ar-SA"/>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横向对比各供应商提供的投标文件：针对本项目拟采取的质量管理方案，包括但不限于管理方式、管理机制、质量管理目标；质量管理层级责任是否清晰、质量管理考核体系健全。</w:t>
            </w:r>
          </w:p>
          <w:p>
            <w:pPr>
              <w:jc w:val="left"/>
              <w:rPr>
                <w:rFonts w:asciiTheme="minorEastAsia" w:hAnsiTheme="minorEastAsia" w:cstheme="minorEastAsia"/>
                <w:kern w:val="0"/>
                <w:sz w:val="24"/>
                <w:szCs w:val="24"/>
              </w:rPr>
            </w:pPr>
            <w:r>
              <w:rPr>
                <w:rFonts w:hint="eastAsia" w:asciiTheme="minorEastAsia" w:hAnsiTheme="minorEastAsia" w:cstheme="minorEastAsia"/>
                <w:sz w:val="24"/>
                <w:szCs w:val="24"/>
              </w:rPr>
              <w:t>质量管理方案</w:t>
            </w:r>
            <w:r>
              <w:rPr>
                <w:rFonts w:hint="eastAsia" w:asciiTheme="minorEastAsia" w:hAnsiTheme="minorEastAsia" w:cstheme="minorEastAsia"/>
                <w:kern w:val="0"/>
                <w:sz w:val="24"/>
                <w:szCs w:val="24"/>
              </w:rPr>
              <w:t>方案清晰、可行度高得12分，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方案实施力度一般、任务分配较明确得9分，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方案可行性不高、任务及目标模糊不清晰的得6分，</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项目实施方案主要内容缺失或只有简单描述无实质性内容的得3，未提供方案不得分。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应急抢险方案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应急抢险方案（齐全的应急抢险方案内容必须包含但不限于：1.应急组织的建立与职责；2.应急人员配备；3.应急车辆和机具配置；4.应急抢险处置流程；5.各类自然灾害或极端天气应急抢险预案。）</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方案实施性强得10分，方案实施性可行性一般得7分，方案可行性弱、不能很好的操作得3分。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安全服务方案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安全服务方案，齐全的安全服务方案内容必须包含但不限于：1.安全制度；2.安全作业措施；3.森林防火及消防安全措施；4.机具配置；5.安全事故善后处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非常详实完整，针对性、可操作性强，完全满足项目需求得10分；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较为详实，针对性、可操作性较强，能满足项目需求得7分；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针对性、可操作性一般，基本满足项目需求得3分；</w:t>
            </w:r>
          </w:p>
          <w:p>
            <w:pPr>
              <w:rPr>
                <w:rFonts w:asciiTheme="minorEastAsia" w:hAnsiTheme="minorEastAsia" w:cstheme="minorEastAsia"/>
                <w:bCs/>
                <w:sz w:val="24"/>
                <w:szCs w:val="24"/>
              </w:rPr>
            </w:pPr>
            <w:r>
              <w:rPr>
                <w:rFonts w:hint="eastAsia" w:asciiTheme="minorEastAsia" w:hAnsiTheme="minorEastAsia" w:cstheme="minorEastAsia"/>
                <w:color w:val="000000"/>
                <w:kern w:val="0"/>
                <w:sz w:val="24"/>
                <w:szCs w:val="24"/>
              </w:rPr>
              <w:t>投标文件中未作针对性描述的不得分。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文明作业方案</w:t>
            </w:r>
          </w:p>
          <w:p>
            <w:pPr>
              <w:pStyle w:val="186"/>
              <w:spacing w:line="255" w:lineRule="exact"/>
              <w:ind w:left="89"/>
              <w:jc w:val="center"/>
              <w:rPr>
                <w:rFonts w:asciiTheme="minorEastAsia" w:hAnsiTheme="minorEastAsia" w:eastAsiaTheme="minorEastAsia" w:cstheme="minorEastAsia"/>
                <w:kern w:val="0"/>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72" w:beforeLines="30"/>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文明作业方案（齐全的文明作业方案内容必须包含但不限于：1.文明制度；2.文明作业措施；3.作业前的管理目标；4.作业中的管理目标；5.作业后的管理目标。）</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项目文明作业方案具体、合理、可行、针对性强，能够持续提供完整、优质后续作业方案，得</w:t>
            </w:r>
            <w:r>
              <w:rPr>
                <w:rFonts w:hint="eastAsia" w:asciiTheme="minorEastAsia" w:hAnsiTheme="minorEastAsia" w:cstheme="minorEastAsia"/>
                <w:sz w:val="24"/>
                <w:szCs w:val="24"/>
              </w:rPr>
              <w:t>10</w:t>
            </w:r>
            <w:r>
              <w:rPr>
                <w:rFonts w:hint="eastAsia" w:asciiTheme="minorEastAsia" w:hAnsiTheme="minorEastAsia" w:cstheme="minorEastAsia"/>
                <w:sz w:val="24"/>
                <w:szCs w:val="24"/>
                <w:lang w:val="zh-CN"/>
              </w:rPr>
              <w:t>分；</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文明作业方案安排基本满足任务要求，实施具体、可行、合理性得</w:t>
            </w:r>
            <w:r>
              <w:rPr>
                <w:rFonts w:hint="eastAsia" w:asciiTheme="minorEastAsia" w:hAnsiTheme="minorEastAsia" w:cstheme="minorEastAsia"/>
                <w:sz w:val="24"/>
                <w:szCs w:val="24"/>
              </w:rPr>
              <w:t>7</w:t>
            </w:r>
            <w:r>
              <w:rPr>
                <w:rFonts w:hint="eastAsia" w:asciiTheme="minorEastAsia" w:hAnsiTheme="minorEastAsia" w:cstheme="minorEastAsia"/>
                <w:sz w:val="24"/>
                <w:szCs w:val="24"/>
                <w:lang w:val="zh-CN"/>
              </w:rPr>
              <w:t>分；</w:t>
            </w:r>
          </w:p>
          <w:p>
            <w:pPr>
              <w:rPr>
                <w:rFonts w:asciiTheme="minorEastAsia" w:hAnsiTheme="minorEastAsia" w:cstheme="minorEastAsia"/>
                <w:kern w:val="0"/>
                <w:sz w:val="24"/>
                <w:szCs w:val="24"/>
              </w:rPr>
            </w:pPr>
            <w:r>
              <w:rPr>
                <w:rFonts w:hint="eastAsia" w:asciiTheme="minorEastAsia" w:hAnsiTheme="minorEastAsia" w:cstheme="minorEastAsia"/>
                <w:sz w:val="24"/>
                <w:szCs w:val="24"/>
                <w:lang w:val="zh-CN"/>
              </w:rPr>
              <w:t>文明作业方案安排不符合任务要求，进度安排不合理、可行度低薄弱得</w:t>
            </w:r>
            <w:r>
              <w:rPr>
                <w:rFonts w:hint="eastAsia" w:asciiTheme="minorEastAsia" w:hAnsiTheme="minorEastAsia" w:cstheme="minorEastAsia"/>
                <w:sz w:val="24"/>
                <w:szCs w:val="24"/>
              </w:rPr>
              <w:t>3</w:t>
            </w:r>
            <w:r>
              <w:rPr>
                <w:rFonts w:hint="eastAsia" w:asciiTheme="minorEastAsia" w:hAnsiTheme="minorEastAsia" w:cstheme="minorEastAsia"/>
                <w:sz w:val="24"/>
                <w:szCs w:val="24"/>
                <w:lang w:val="zh-CN"/>
              </w:rPr>
              <w:t>分。</w:t>
            </w:r>
          </w:p>
        </w:tc>
      </w:tr>
      <w:tr>
        <w:tblPrEx>
          <w:tblCellMar>
            <w:top w:w="0" w:type="dxa"/>
            <w:left w:w="0" w:type="dxa"/>
            <w:bottom w:w="0" w:type="dxa"/>
            <w:right w:w="0" w:type="dxa"/>
          </w:tblCellMar>
        </w:tblPrEx>
        <w:trPr>
          <w:trHeight w:val="112" w:hRule="atLeast"/>
          <w:jc w:val="center"/>
        </w:trPr>
        <w:tc>
          <w:tcPr>
            <w:tcW w:w="1086"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kern w:val="0"/>
                <w:sz w:val="24"/>
                <w:szCs w:val="24"/>
              </w:rPr>
            </w:pPr>
          </w:p>
        </w:tc>
      </w:tr>
    </w:tbl>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0" w:name="_Toc22050"/>
      <w:r>
        <w:rPr>
          <w:rFonts w:cs="宋体" w:asciiTheme="minorEastAsia" w:hAnsiTheme="minorEastAsia"/>
          <w:b/>
          <w:sz w:val="24"/>
          <w:szCs w:val="24"/>
        </w:rPr>
        <w:t xml:space="preserve">1. </w:t>
      </w:r>
      <w:r>
        <w:rPr>
          <w:rFonts w:hint="eastAsia" w:cs="宋体" w:asciiTheme="minorEastAsia" w:hAnsiTheme="minorEastAsia"/>
          <w:b/>
          <w:sz w:val="24"/>
          <w:szCs w:val="24"/>
        </w:rPr>
        <w:t>评标方法</w:t>
      </w:r>
      <w:bookmarkEnd w:id="5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1" w:name="_Toc5818"/>
      <w:r>
        <w:rPr>
          <w:rFonts w:cs="宋体" w:asciiTheme="minorEastAsia" w:hAnsiTheme="minorEastAsia"/>
          <w:b/>
          <w:sz w:val="24"/>
          <w:szCs w:val="24"/>
        </w:rPr>
        <w:t xml:space="preserve">2. </w:t>
      </w:r>
      <w:r>
        <w:rPr>
          <w:rFonts w:hint="eastAsia" w:cs="宋体" w:asciiTheme="minorEastAsia" w:hAnsiTheme="minorEastAsia"/>
          <w:b/>
          <w:sz w:val="24"/>
          <w:szCs w:val="24"/>
        </w:rPr>
        <w:t>评审标准</w:t>
      </w:r>
      <w:bookmarkEnd w:id="51"/>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1资格审查：评审因素和评审标准见《资格审查标准》。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2完备性及符合性审查：评审因素和评审标准见《完备性及符合性审查标准》。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3详细评审：</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2.3.1详细评审：评审因素和评审标准见《详细评审标准》及本节第3.5款。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投标报价评分标准：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）分值构成及权重：见评标办法前附表。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）评标基准价计算：见评标办法前附表。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2" w:name="_Toc24599"/>
      <w:r>
        <w:rPr>
          <w:rFonts w:cs="宋体" w:asciiTheme="minorEastAsia" w:hAnsiTheme="minorEastAsia"/>
          <w:b/>
          <w:sz w:val="24"/>
          <w:szCs w:val="24"/>
        </w:rPr>
        <w:t xml:space="preserve">3. </w:t>
      </w:r>
      <w:r>
        <w:rPr>
          <w:rFonts w:hint="eastAsia" w:cs="宋体" w:asciiTheme="minorEastAsia" w:hAnsiTheme="minorEastAsia"/>
          <w:b/>
          <w:sz w:val="24"/>
          <w:szCs w:val="24"/>
        </w:rPr>
        <w:t>评标程序</w:t>
      </w:r>
      <w:bookmarkEnd w:id="5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基本程序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评标活动将按以下步骤进行：</w:t>
      </w:r>
    </w:p>
    <w:p>
      <w:pPr>
        <w:pStyle w:val="57"/>
        <w:widowControl/>
        <w:numPr>
          <w:ilvl w:val="0"/>
          <w:numId w:val="1"/>
        </w:numPr>
        <w:shd w:val="clear" w:color="auto" w:fill="FFFFFF"/>
        <w:snapToGrid w:val="0"/>
        <w:spacing w:line="360" w:lineRule="auto"/>
        <w:ind w:firstLineChars="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（2）资格审查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（4）详细评审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（5）澄清、说明或补正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3.2.1</w:t>
      </w:r>
      <w:r>
        <w:rPr>
          <w:rFonts w:hint="eastAsia" w:cs="Arial" w:asciiTheme="minorEastAsia" w:hAnsiTheme="minorEastAsia"/>
          <w:kern w:val="0"/>
          <w:sz w:val="24"/>
          <w:szCs w:val="24"/>
        </w:rPr>
        <w:t>评标委员会成员签到</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 </w:t>
      </w:r>
      <w:r>
        <w:rPr>
          <w:rFonts w:hint="eastAsia" w:cs="Arial" w:asciiTheme="minorEastAsia" w:hAnsiTheme="minorEastAsia"/>
          <w:kern w:val="0"/>
          <w:sz w:val="24"/>
          <w:szCs w:val="24"/>
        </w:rPr>
        <w:t>评标委员会的分工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3.2.2.1</w:t>
      </w:r>
      <w:r>
        <w:rPr>
          <w:rFonts w:hint="eastAsia" w:cs="Arial" w:asciiTheme="minorEastAsia" w:hAnsiTheme="minorEastAsia"/>
          <w:color w:val="auto"/>
          <w:kern w:val="0"/>
          <w:sz w:val="24"/>
          <w:szCs w:val="24"/>
        </w:rPr>
        <w:t>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3.2.2.2 </w:t>
      </w:r>
      <w:r>
        <w:rPr>
          <w:rFonts w:hint="eastAsia" w:cs="Arial" w:asciiTheme="minorEastAsia" w:hAnsiTheme="minorEastAsia"/>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）组织评标委员会成员学习招标文件；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）汇总各评标委员会成员认为需要投标人澄清、说明或者补正的问题；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）组织评标委员会对投标人质询并对投标人的答复进行评审；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）对出现较大争议的事项进行书面记录；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）组织收回评标过程中使用的文件、表格和评标记录以及其他资料，并查验评标记录的完整性；</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）组织对评标结论进行复核确认；</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7</w:t>
      </w:r>
      <w:r>
        <w:rPr>
          <w:rFonts w:hint="eastAsia" w:cs="Arial" w:asciiTheme="minorEastAsia" w:hAnsiTheme="minorEastAsia"/>
          <w:kern w:val="0"/>
          <w:sz w:val="24"/>
          <w:szCs w:val="24"/>
        </w:rPr>
        <w:t>）组织编写评标报告。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 </w:t>
      </w:r>
      <w:r>
        <w:rPr>
          <w:rFonts w:hint="eastAsia" w:cs="Arial" w:asciiTheme="minorEastAsia" w:hAnsiTheme="minorEastAsia"/>
          <w:kern w:val="0"/>
          <w:sz w:val="24"/>
          <w:szCs w:val="24"/>
        </w:rPr>
        <w:t>熟悉文件资料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3.2.3.1 </w:t>
      </w:r>
      <w:r>
        <w:rPr>
          <w:rFonts w:hint="eastAsia" w:cs="Arial" w:asciiTheme="minorEastAsia" w:hAnsiTheme="minor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3.2.3.2 </w:t>
      </w:r>
      <w:r>
        <w:rPr>
          <w:rFonts w:hint="eastAsia" w:cs="Arial" w:asciiTheme="minorEastAsia" w:hAnsiTheme="minorEastAsia"/>
          <w:kern w:val="0"/>
          <w:sz w:val="24"/>
          <w:szCs w:val="24"/>
        </w:rPr>
        <w:t>采购人或采购代理机构应当向评标委员会提供评标所需的信息和数据，包括：</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）招标文件及其澄清修改等招标文件补充；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）未在开标会上当场拒绝的各投标文件；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）开标会记录；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）评标表格；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）其他信息和数据。</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3.3资格审查（适用于资格后审）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.3</w:t>
      </w:r>
      <w:r>
        <w:rPr>
          <w:rFonts w:hint="eastAsia" w:cs="Arial" w:asciiTheme="minorEastAsia" w:hAnsiTheme="minorEastAsia"/>
          <w:kern w:val="0"/>
          <w:sz w:val="24"/>
          <w:szCs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评标委员会可要求存在细微偏差的投标人予以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.1.</w:t>
      </w:r>
      <w:r>
        <w:rPr>
          <w:rFonts w:hint="eastAsia" w:cs="Arial" w:asciiTheme="minorEastAsia" w:hAnsiTheme="minorEastAsia"/>
          <w:kern w:val="0"/>
          <w:sz w:val="24"/>
          <w:szCs w:val="24"/>
        </w:rPr>
        <w:t>只有通过了资格审查、完备性及符合性审查且投标人不少于3个方可进入详细评审。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澄清、说明和补正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cs="Arial" w:asciiTheme="minorEastAsia" w:hAnsiTheme="minorEastAsia"/>
          <w:color w:val="FF0000"/>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hint="eastAsia" w:cs="Arial" w:asciiTheme="minorEastAsia" w:hAnsiTheme="minorEastAsia"/>
          <w:color w:val="000000" w:themeColor="text1"/>
          <w:kern w:val="0"/>
          <w:sz w:val="24"/>
          <w:szCs w:val="24"/>
          <w14:textFill>
            <w14:solidFill>
              <w14:schemeClr w14:val="tx1"/>
            </w14:solidFill>
          </w14:textFill>
        </w:rPr>
        <w:t>评标委员会</w:t>
      </w:r>
      <w:r>
        <w:rPr>
          <w:rFonts w:hint="eastAsia" w:cs="Arial" w:asciiTheme="minorEastAsia" w:hAnsiTheme="minorEastAsia"/>
          <w:kern w:val="0"/>
          <w:sz w:val="24"/>
          <w:szCs w:val="24"/>
        </w:rPr>
        <w:t>针对需要投标</w:t>
      </w:r>
      <w:r>
        <w:rPr>
          <w:rFonts w:hint="eastAsia" w:cs="Arial" w:asciiTheme="minorEastAsia" w:hAnsiTheme="minorEastAsia"/>
          <w:color w:val="000000" w:themeColor="text1"/>
          <w:kern w:val="0"/>
          <w:sz w:val="24"/>
          <w:szCs w:val="24"/>
          <w14:textFill>
            <w14:solidFill>
              <w14:schemeClr w14:val="tx1"/>
            </w14:solidFill>
          </w14:textFill>
        </w:rPr>
        <w:t>人对所提交投标文件中不明确的内容进行书面澄清、说明或补正。</w:t>
      </w:r>
      <w:r>
        <w:rPr>
          <w:rFonts w:hint="eastAsia" w:cs="Arial" w:asciiTheme="minorEastAsia" w:hAnsiTheme="minorEastAsia"/>
          <w:kern w:val="0"/>
          <w:sz w:val="24"/>
          <w:szCs w:val="24"/>
        </w:rPr>
        <w:t>澄清通知不得向投标人提出带有暗示性或诱导性问题，或向其明确投标文件中的遗漏和错误。</w:t>
      </w:r>
      <w:r>
        <w:rPr>
          <w:rFonts w:hint="eastAsia" w:cs="Arial" w:asciiTheme="minorEastAsia" w:hAnsiTheme="minorEastAsia"/>
          <w:color w:val="000000" w:themeColor="text1"/>
          <w:kern w:val="0"/>
          <w:sz w:val="24"/>
          <w:szCs w:val="24"/>
          <w14:textFill>
            <w14:solidFill>
              <w14:schemeClr w14:val="tx1"/>
            </w14:solidFill>
          </w14:textFill>
        </w:rPr>
        <w:t>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5</w:t>
      </w: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）投标文件中的大写金额与小写金额不一致的，以大写金额为准；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.7 </w:t>
      </w:r>
      <w:r>
        <w:rPr>
          <w:rFonts w:hint="eastAsia" w:cs="Arial" w:asciiTheme="minorEastAsia" w:hAnsiTheme="minorEastAsia"/>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.8 </w:t>
      </w:r>
      <w:r>
        <w:rPr>
          <w:rFonts w:hint="eastAsia" w:cs="Arial" w:asciiTheme="minorEastAsia" w:hAnsiTheme="minorEastAsia"/>
          <w:kern w:val="0"/>
          <w:sz w:val="24"/>
          <w:szCs w:val="24"/>
        </w:rPr>
        <w:t>详细评审工作全部结束后，投标人总得分排序按照以下原则进行。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3.5.8.1按照总得分由高到低顺序对投标人进行排序；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3.5.8.2总</w:t>
      </w:r>
      <w:r>
        <w:rPr>
          <w:rFonts w:cs="Arial" w:asciiTheme="minorEastAsia" w:hAnsiTheme="minorEastAsia"/>
          <w:kern w:val="0"/>
          <w:sz w:val="24"/>
          <w:szCs w:val="24"/>
        </w:rPr>
        <w:t>得分</w:t>
      </w:r>
      <w:r>
        <w:rPr>
          <w:rFonts w:hint="eastAsia" w:cs="Arial" w:asciiTheme="minorEastAsia" w:hAnsiTheme="minorEastAsia"/>
          <w:kern w:val="0"/>
          <w:sz w:val="24"/>
          <w:szCs w:val="24"/>
        </w:rPr>
        <w:t>相同时报价低的</w:t>
      </w:r>
      <w:r>
        <w:rPr>
          <w:rFonts w:cs="Arial" w:asciiTheme="minorEastAsia" w:hAnsiTheme="minorEastAsia"/>
          <w:kern w:val="0"/>
          <w:sz w:val="24"/>
          <w:szCs w:val="24"/>
        </w:rPr>
        <w:t>投标人</w:t>
      </w:r>
      <w:r>
        <w:rPr>
          <w:rFonts w:hint="eastAsia" w:cs="Arial" w:asciiTheme="minorEastAsia" w:hAnsiTheme="minorEastAsia"/>
          <w:kern w:val="0"/>
          <w:sz w:val="24"/>
          <w:szCs w:val="24"/>
        </w:rPr>
        <w:t>排序靠前；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3.5.8.3总</w:t>
      </w:r>
      <w:r>
        <w:rPr>
          <w:rFonts w:cs="Arial" w:asciiTheme="minorEastAsia" w:hAnsiTheme="minorEastAsia"/>
          <w:kern w:val="0"/>
          <w:sz w:val="24"/>
          <w:szCs w:val="24"/>
        </w:rPr>
        <w:t>得分相同</w:t>
      </w:r>
      <w:r>
        <w:rPr>
          <w:rFonts w:hint="eastAsia" w:cs="Arial" w:asciiTheme="minorEastAsia" w:hAnsiTheme="minorEastAsia"/>
          <w:kern w:val="0"/>
          <w:sz w:val="24"/>
          <w:szCs w:val="24"/>
        </w:rPr>
        <w:t>且报价相同的</w:t>
      </w:r>
      <w:r>
        <w:rPr>
          <w:rFonts w:cs="Arial" w:asciiTheme="minorEastAsia" w:hAnsiTheme="minorEastAsia"/>
          <w:kern w:val="0"/>
          <w:sz w:val="24"/>
          <w:szCs w:val="24"/>
        </w:rPr>
        <w:t>，</w:t>
      </w:r>
      <w:r>
        <w:rPr>
          <w:rFonts w:hint="eastAsia" w:cs="Arial" w:asciiTheme="minorEastAsia" w:hAnsiTheme="minorEastAsia"/>
          <w:kern w:val="0"/>
          <w:sz w:val="24"/>
          <w:szCs w:val="24"/>
        </w:rPr>
        <w:t>采取随机抽取方式</w:t>
      </w:r>
      <w:r>
        <w:rPr>
          <w:rFonts w:cs="Arial" w:asciiTheme="minorEastAsia" w:hAnsiTheme="minorEastAsia"/>
          <w:kern w:val="0"/>
          <w:sz w:val="24"/>
          <w:szCs w:val="24"/>
        </w:rPr>
        <w:t>确定</w:t>
      </w:r>
      <w:r>
        <w:rPr>
          <w:rFonts w:hint="eastAsia" w:cs="Arial" w:asciiTheme="minorEastAsia" w:hAnsiTheme="minorEastAsia"/>
          <w:kern w:val="0"/>
          <w:sz w:val="24"/>
          <w:szCs w:val="24"/>
        </w:rPr>
        <w:t>排序顺序。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.1</w:t>
      </w:r>
      <w:r>
        <w:rPr>
          <w:rFonts w:hint="eastAsia" w:cs="Arial" w:asciiTheme="minorEastAsia" w:hAnsiTheme="minorEastAsia"/>
          <w:kern w:val="0"/>
          <w:sz w:val="24"/>
          <w:szCs w:val="24"/>
        </w:rPr>
        <w:t>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.2</w:t>
      </w:r>
      <w:r>
        <w:rPr>
          <w:rFonts w:hint="eastAsia" w:cs="Arial" w:asciiTheme="minorEastAsia" w:hAnsiTheme="minorEastAsia"/>
          <w:kern w:val="0"/>
          <w:sz w:val="24"/>
          <w:szCs w:val="24"/>
        </w:rPr>
        <w:t>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评标委员会完成评标后，应当向采购人提交书面评标报告。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7特殊情况的处置程序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关于评标活动暂停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.2</w:t>
      </w:r>
      <w:r>
        <w:rPr>
          <w:rFonts w:hint="eastAsia" w:cs="Arial" w:asciiTheme="minorEastAsia" w:hAnsiTheme="minorEastAsia"/>
          <w:kern w:val="0"/>
          <w:sz w:val="24"/>
          <w:szCs w:val="24"/>
        </w:rPr>
        <w:t>关于评标中途更换评委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.2.1 </w:t>
      </w:r>
      <w:r>
        <w:rPr>
          <w:rFonts w:hint="eastAsia" w:cs="Arial" w:asciiTheme="minorEastAsia" w:hAnsiTheme="minorEastAsia"/>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.2.2 </w:t>
      </w:r>
      <w:r>
        <w:rPr>
          <w:rFonts w:hint="eastAsia" w:cs="Arial" w:asciiTheme="minorEastAsia" w:hAnsiTheme="minorEastAsia"/>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在评标环节中，需评标委员会就某项定性的评审结论做出表决的，由评标委员会全体成员按照少数服从多数的原则确定。</w:t>
      </w:r>
    </w:p>
    <w:p>
      <w:pPr>
        <w:widowControl/>
        <w:ind w:firstLine="482"/>
        <w:jc w:val="center"/>
        <w:rPr>
          <w:rFonts w:cs="宋体" w:asciiTheme="minorEastAsia" w:hAnsiTheme="minorEastAsia"/>
          <w:b/>
          <w:sz w:val="24"/>
          <w:szCs w:val="24"/>
        </w:rPr>
      </w:pPr>
      <w:r>
        <w:rPr>
          <w:rFonts w:cs="宋体" w:asciiTheme="minorEastAsia" w:hAnsiTheme="minorEastAsia"/>
          <w:b/>
          <w:sz w:val="24"/>
          <w:szCs w:val="24"/>
        </w:rPr>
        <w:br w:type="page"/>
      </w:r>
      <w:bookmarkStart w:id="53" w:name="_Toc485312286"/>
      <w:r>
        <w:rPr>
          <w:rFonts w:hint="eastAsia" w:cs="Times New Roman" w:asciiTheme="minorEastAsia" w:hAnsiTheme="minorEastAsia"/>
          <w:b/>
          <w:sz w:val="24"/>
          <w:szCs w:val="24"/>
        </w:rPr>
        <w:t>问题澄清通知</w:t>
      </w:r>
    </w:p>
    <w:p>
      <w:pPr>
        <w:rPr>
          <w:rFonts w:cs="Times New Roman" w:asciiTheme="minorEastAsia" w:hAnsiTheme="minorEastAsia"/>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（投标人名称）：</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（招标项目名称）招标的评标委员会，对你方的投标文件进行了仔细的审查，现需你方对本通知所附质疑问卷中的问题以书面形式予以澄清、说明或者补正。</w:t>
      </w:r>
    </w:p>
    <w:p>
      <w:pPr>
        <w:rPr>
          <w:rFonts w:cs="Arial" w:asciiTheme="minorEastAsia" w:hAnsiTheme="minorEastAsia"/>
          <w:kern w:val="0"/>
          <w:sz w:val="24"/>
          <w:szCs w:val="24"/>
        </w:rPr>
      </w:pPr>
      <w:r>
        <w:rPr>
          <w:rFonts w:hint="eastAsia" w:cs="Arial" w:asciiTheme="minorEastAsia" w:hAnsiTheme="minorEastAsia"/>
          <w:kern w:val="0"/>
          <w:sz w:val="24"/>
          <w:szCs w:val="24"/>
        </w:rPr>
        <w:t>质疑问题：</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评标委员会员（签字）：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jc w:val="center"/>
        <w:rPr>
          <w:rFonts w:cs="Times New Roman" w:asciiTheme="minorEastAsia" w:hAnsiTheme="minorEastAsia"/>
          <w:b/>
          <w:sz w:val="24"/>
          <w:szCs w:val="24"/>
        </w:rPr>
      </w:pPr>
      <w:r>
        <w:rPr>
          <w:rFonts w:cs="Arial" w:asciiTheme="minorEastAsia" w:hAnsiTheme="minorEastAsia"/>
          <w:kern w:val="0"/>
          <w:sz w:val="24"/>
          <w:szCs w:val="24"/>
        </w:rPr>
        <w:br w:type="page"/>
      </w:r>
      <w:r>
        <w:rPr>
          <w:rFonts w:hint="eastAsia" w:cs="Times New Roman" w:asciiTheme="minorEastAsia" w:hAnsiTheme="minorEastAsia"/>
          <w:b/>
          <w:sz w:val="24"/>
          <w:szCs w:val="24"/>
        </w:rPr>
        <w:t>问题的澄清、说明或补正</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（招标项目名称）的问题澄清通知已收悉，现澄清、说明或者补正如下：</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法定代表人或其授权委托人（签字）：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440" w:lineRule="exact"/>
        <w:jc w:val="center"/>
        <w:outlineLvl w:val="0"/>
        <w:rPr>
          <w:rFonts w:cs="宋体" w:asciiTheme="minorEastAsia" w:hAnsiTheme="minorEastAsia"/>
          <w:b/>
          <w:sz w:val="24"/>
          <w:szCs w:val="24"/>
        </w:rPr>
      </w:pPr>
      <w:r>
        <w:rPr>
          <w:rFonts w:cs="Arial" w:asciiTheme="minorEastAsia" w:hAnsiTheme="minorEastAsia"/>
          <w:kern w:val="0"/>
          <w:sz w:val="24"/>
          <w:szCs w:val="24"/>
        </w:rPr>
        <w:br w:type="page"/>
      </w:r>
      <w:r>
        <w:rPr>
          <w:rFonts w:hint="eastAsia" w:cs="Arial" w:asciiTheme="minorEastAsia" w:hAnsiTheme="minorEastAsia"/>
          <w:kern w:val="0"/>
          <w:sz w:val="24"/>
          <w:szCs w:val="24"/>
        </w:rPr>
        <w:t xml:space="preserve"> </w:t>
      </w:r>
      <w:bookmarkStart w:id="54" w:name="_Toc2622"/>
      <w:r>
        <w:rPr>
          <w:rFonts w:hint="eastAsia" w:cs="宋体" w:asciiTheme="minorEastAsia" w:hAnsiTheme="minorEastAsia"/>
          <w:b/>
          <w:sz w:val="24"/>
          <w:szCs w:val="24"/>
        </w:rPr>
        <w:t>第三章合同</w:t>
      </w:r>
      <w:bookmarkEnd w:id="53"/>
      <w:bookmarkEnd w:id="54"/>
    </w:p>
    <w:p>
      <w:pPr>
        <w:keepNext w:val="0"/>
        <w:keepLines w:val="0"/>
        <w:pageBreakBefore w:val="0"/>
        <w:widowControl/>
        <w:kinsoku/>
        <w:wordWrap/>
        <w:overflowPunct/>
        <w:topLinePunct w:val="0"/>
        <w:autoSpaceDE/>
        <w:autoSpaceDN/>
        <w:bidi w:val="0"/>
        <w:adjustRightInd/>
        <w:snapToGrid/>
        <w:spacing w:before="240" w:line="240" w:lineRule="auto"/>
        <w:jc w:val="center"/>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绿化养护承包合同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甲方：乌鲁木齐市米东区园林管理局</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乙方：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为了进一步提高米东区的绿化养护水平，确保各类树木花草的正常生长,甲方将辖区管理的绿地承包给乙方进行养护,经双方平等协商,签订本合同。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一、绿地养护的期限:</w:t>
      </w:r>
      <w:r>
        <w:rPr>
          <w:rFonts w:hint="eastAsia" w:asciiTheme="minorEastAsia" w:hAnsiTheme="minorEastAsia" w:cstheme="minorEastAsia"/>
          <w:color w:val="333333"/>
          <w:kern w:val="0"/>
          <w:sz w:val="24"/>
          <w:szCs w:val="24"/>
        </w:rPr>
        <w:t xml:space="preserve">   年  月  日 至   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二、绿地养护的面积：     平方米</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绿地养护地址、范围、标准详见清单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三、本年度养护费总金额：     元（其中绿化养护费：   元，设施维护费：   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四、绿化养护及设施维护</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绿化养护内容:</w:t>
      </w:r>
      <w:r>
        <w:rPr>
          <w:rFonts w:hint="eastAsia" w:asciiTheme="minorEastAsia" w:hAnsiTheme="minorEastAsia" w:cstheme="minorEastAsia"/>
          <w:color w:val="333333"/>
          <w:kern w:val="0"/>
          <w:sz w:val="24"/>
          <w:szCs w:val="24"/>
        </w:rPr>
        <w:t>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bCs/>
          <w:color w:val="333333"/>
          <w:kern w:val="0"/>
          <w:sz w:val="24"/>
          <w:szCs w:val="24"/>
        </w:rPr>
        <w:t>设施维护内容：</w:t>
      </w:r>
      <w:r>
        <w:rPr>
          <w:rFonts w:hint="eastAsia" w:asciiTheme="minorEastAsia" w:hAnsiTheme="minorEastAsia" w:cstheme="minorEastAsia"/>
          <w:color w:val="333333"/>
          <w:kern w:val="0"/>
          <w:sz w:val="24"/>
          <w:szCs w:val="24"/>
        </w:rPr>
        <w:t>园林建筑（厕所）、园林小品（园灯、导游牌、宣传牌、果皮箱、园桌椅、栏杆、健身器材等）、园路及铺装场地、园艺设施、园林电器设备（主要为广播、景观照明、配电箱、线路等）     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五、付款方式及金额：</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1、分季度付款。根据工作内容的不同，12—2月份每月支付养护金额的3.33%， 3—11月份每月支付养护总金额的10%。</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2、养护科每月按照养护考核标准考核一次，依据考核得分确定当月支付金额，每季度进行汇总，确定支付金额后由养护公司开具发票，甲方支付养护费；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3、考核得分的高低确定支付金额：</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96—100分：按合同支付，高于95分的分值，作为年终奖励依据，进行奖励。</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86—95分：按合同支付，不奖不罚；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60—85分：低于86分的分值，每分扣除当月养护金额的1%；</w:t>
      </w:r>
    </w:p>
    <w:p>
      <w:pPr>
        <w:keepNext w:val="0"/>
        <w:keepLines w:val="0"/>
        <w:pageBreakBefore w:val="0"/>
        <w:widowControl/>
        <w:kinsoku/>
        <w:wordWrap/>
        <w:overflowPunct/>
        <w:topLinePunct w:val="0"/>
        <w:autoSpaceDE/>
        <w:autoSpaceDN/>
        <w:bidi w:val="0"/>
        <w:adjustRightInd/>
        <w:snapToGrid/>
        <w:spacing w:line="240" w:lineRule="auto"/>
        <w:ind w:left="1"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59分以下：60--85分的分值，每分扣除当月养护金额的1%，低于60分的分值，每分扣除当月养护金额的2%；</w:t>
      </w:r>
    </w:p>
    <w:p>
      <w:pPr>
        <w:keepNext w:val="0"/>
        <w:keepLines w:val="0"/>
        <w:pageBreakBefore w:val="0"/>
        <w:widowControl/>
        <w:kinsoku/>
        <w:wordWrap/>
        <w:overflowPunct/>
        <w:topLinePunct w:val="0"/>
        <w:autoSpaceDE/>
        <w:autoSpaceDN/>
        <w:bidi w:val="0"/>
        <w:adjustRightInd/>
        <w:snapToGrid/>
        <w:spacing w:line="240" w:lineRule="auto"/>
        <w:ind w:left="1199" w:leftChars="228" w:hanging="720" w:hangingChars="3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第二次59分以下：60--85分的分值，每分扣除当月养护金额的1%，低于60分的分值，每分扣除当月养护金额的4%；</w:t>
      </w:r>
    </w:p>
    <w:p>
      <w:pPr>
        <w:keepNext w:val="0"/>
        <w:keepLines w:val="0"/>
        <w:pageBreakBefore w:val="0"/>
        <w:widowControl/>
        <w:kinsoku/>
        <w:wordWrap/>
        <w:overflowPunct/>
        <w:topLinePunct w:val="0"/>
        <w:autoSpaceDE/>
        <w:autoSpaceDN/>
        <w:bidi w:val="0"/>
        <w:adjustRightInd/>
        <w:snapToGrid/>
        <w:spacing w:line="240" w:lineRule="auto"/>
        <w:ind w:left="1079" w:leftChars="228" w:hanging="600" w:hangingChars="25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第三次59分以下：60--85分的分值，每分扣除当月养护金额的1%，低于60分的分值，每分扣除当月养护金额的8%；</w:t>
      </w:r>
    </w:p>
    <w:p>
      <w:pPr>
        <w:keepNext w:val="0"/>
        <w:keepLines w:val="0"/>
        <w:pageBreakBefore w:val="0"/>
        <w:widowControl/>
        <w:kinsoku/>
        <w:wordWrap/>
        <w:overflowPunct/>
        <w:topLinePunct w:val="0"/>
        <w:autoSpaceDE/>
        <w:autoSpaceDN/>
        <w:bidi w:val="0"/>
        <w:adjustRightInd/>
        <w:snapToGrid/>
        <w:spacing w:line="240" w:lineRule="auto"/>
        <w:ind w:left="1203" w:leftChars="286" w:hanging="602" w:hangingChars="250"/>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设施维护费支付方式：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设施维护费以实际发生审计结算价为准，年底一次性支付。</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六、甲方的权利和义务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1、制定各类绿地的检查考核标准，并根据实际情况调整标准；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2、检查养护公司的年、季、月工作计划并提出意见；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3、定期或不定期对养护公司的养护工作进行检查并考核打分；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4、定期或不定期对养护公司的养护工作进行检查，在检查中如发现养护工作存在重大问题，严重问题，一般问题的将进行罚款1-10万元。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5、苗木养护成活当年的保存率：（扣除交通事故，自然灾害因素）一级（含游园）：95%，二级：92%，三级：90%，四级（含防护林）：88%。</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因养护工作不到位造成苗木死亡且低于当年养护成活的保存率，由养护公司自行购置同品种，同规格，同数量的苗木。原则上当月补植完，因温度，成活率等其它因素可在本年度年底一次性栽植，如未完成补植工作将在年底一次性扣除同等价值的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7、年底将根据养护考核平均分进行年终评优活动，优秀单位将颁发荣誉证书，表彰先进个人。同时将在行业内通报落后单位。</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8、将各项检查结果以书面形式通知养护公司并监督其进行整改；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9、如遇以下情况，甲方有权与养护公司提前解除合同，并追究相应的经济和法律责任：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养护公司擅自将养护绿地全部或部分转包第三方；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养护公司在养护期内累计三次考核不合格（低于60分）；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因养护责任未尽职，造成植物大量死亡的；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因看管责任未尽职，导致绿地被人为严重破坏、损失的；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因养护公司工作期间出现重大安全事故，造成重大经济损失的；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10、核实因城市建设、绿地改造而变更的养护面积及养护费；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11、为养护公司绿化用水提供便利；</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12、依据考核结果及时准确支付养护费用；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13、定期举办形式多样的专业技术培训班，逐年提高养护公司的管养水平。</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七、乙方的权利和义务：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Cs/>
          <w:color w:val="333333"/>
          <w:kern w:val="0"/>
          <w:sz w:val="24"/>
          <w:szCs w:val="24"/>
        </w:rPr>
        <w:t>1、</w:t>
      </w:r>
      <w:r>
        <w:rPr>
          <w:rFonts w:hint="eastAsia" w:asciiTheme="minorEastAsia" w:hAnsiTheme="minorEastAsia" w:cstheme="minorEastAsia"/>
          <w:color w:val="333333"/>
          <w:kern w:val="0"/>
          <w:sz w:val="24"/>
          <w:szCs w:val="24"/>
        </w:rPr>
        <w:t xml:space="preserve">每月向甲方提供详细的月工作计划，主要工作人员的工作安排和工作区域以书面形式提供给甲方；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2、按工作计划及养护标准认真进行各类绿地的养护，对甲方提出的整改要求立即执行，保质保量完成各项养护任务；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3、因工作失误造成养护绿地减少和损毁的，乙方应及时补栽和修复，并自行承担所有费用；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4、因自然灾害、交通事故等不可抗因素造成养护绿地减少和损毁的，乙方应及时清点数量并上报甲方，甲方核实后提供主材，乙方负责补栽及修复，费用自理；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5、配合甲方完成临时性、突发性、紧急性工作任务；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6、自行负责养护管理过程中所产生的人员工资、社保、福利以及材料、工具、车辆等费用；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7、高度重视安全生产，确保全年无安全事故，由此产生的一切责任及损失由乙方负责。</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八、违约责任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1、甲方未及时按照考核结果办理支付程序，导致乙方养护费拖欠的（因区财政原因除外），甲方向乙方支付滞纳金，标准为养护费的1‰/日。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2、乙方未按合同进行正常养护，造成养护绿地大面积死亡、苗木生长缓慢、病虫害蔓延等现象的，甲方将扣除全年养护费用，同时，乙方赔偿甲方经济损失二倍的违约金。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3、合同生效后，乙方毁约不再进行养护，必须向甲方支付合同价款二倍的违约金。</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九、合同争议</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合同执行过程中发生争议的，双方协商解决，无法达成协议可申请劳动仲裁或向米东区人民法院起诉。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十、合同的生效、变更和终止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sz w:val="24"/>
          <w:szCs w:val="24"/>
        </w:rPr>
      </w:pPr>
      <w:r>
        <w:rPr>
          <w:rFonts w:hint="eastAsia" w:asciiTheme="minorEastAsia" w:hAnsiTheme="minorEastAsia" w:cstheme="minorEastAsia"/>
          <w:color w:val="333333"/>
          <w:kern w:val="0"/>
          <w:sz w:val="24"/>
          <w:szCs w:val="24"/>
        </w:rPr>
        <w:t>本合同双方签字盖章后生效；有效期满，双方结算完成，合同自行终止；未尽事宜，由双方另行签订补充协议。</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十一、本合同一式四份，甲乙双方各执两份。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甲方：（盖章）                    乙方：（盖章）</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法人代表：                        法人代表：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委托人：                          委托人：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日 期：                           日期：</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楷体_GB2312" w:asciiTheme="minorEastAsia" w:hAnsiTheme="minorEastAsia"/>
          <w:color w:val="333333"/>
          <w:sz w:val="24"/>
          <w:szCs w:val="24"/>
        </w:rPr>
      </w:pPr>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240" w:lineRule="auto"/>
        <w:ind w:firstLine="482"/>
        <w:textAlignment w:val="auto"/>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sectPr>
          <w:headerReference r:id="rId6" w:type="default"/>
          <w:footerReference r:id="rId7" w:type="default"/>
          <w:pgSz w:w="11906" w:h="16838"/>
          <w:pgMar w:top="1134" w:right="1418" w:bottom="1134" w:left="1418" w:header="851" w:footer="992" w:gutter="0"/>
          <w:pgNumType w:start="1"/>
          <w:cols w:space="425" w:num="1"/>
          <w:docGrid w:linePitch="312" w:charSpace="0"/>
        </w:sectPr>
      </w:pPr>
      <w:r>
        <w:rPr>
          <w:rFonts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3月4月米东区绿地养护考核评分表(公园级、游园一级）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米东区绿地养护考核评分表(公园级、游园一级）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01"/>
        <w:gridCol w:w="3070"/>
        <w:gridCol w:w="661"/>
        <w:gridCol w:w="807"/>
        <w:gridCol w:w="2659"/>
        <w:gridCol w:w="99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米东区绿地养护考核评分表(公园级、游园一级）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12月1月2月米东区绿地养护考核评分表(公园级、游园一级）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3月4月米东区绿地养护考核评分表(游园二级）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米东区绿地养护考核评分表(游园二级）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13"/>
        <w:gridCol w:w="3105"/>
        <w:gridCol w:w="664"/>
        <w:gridCol w:w="814"/>
        <w:gridCol w:w="2619"/>
        <w:gridCol w:w="973"/>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米东区绿地养护考核评分表(游园二级）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55"/>
        <w:gridCol w:w="2713"/>
        <w:gridCol w:w="720"/>
        <w:gridCol w:w="771"/>
        <w:gridCol w:w="3039"/>
        <w:gridCol w:w="1090"/>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12月1月2月米东区绿地养护考核评分表(游园二级）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74"/>
        <w:gridCol w:w="3301"/>
        <w:gridCol w:w="782"/>
        <w:gridCol w:w="786"/>
        <w:gridCol w:w="2376"/>
        <w:gridCol w:w="1069"/>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3月4月米东区绿地养护考核评分表(道路一级、游园三级)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3"/>
        <w:gridCol w:w="3286"/>
        <w:gridCol w:w="782"/>
        <w:gridCol w:w="782"/>
        <w:gridCol w:w="2402"/>
        <w:gridCol w:w="105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5月-9月米东区绿地养护考核评分表(道路一级、游园三级)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135"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c>
          <w:tcPr>
            <w:tcW w:w="566" w:type="pct"/>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301"/>
        <w:gridCol w:w="782"/>
        <w:gridCol w:w="799"/>
        <w:gridCol w:w="2402"/>
        <w:gridCol w:w="10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10月11月米东区绿地养护考核评分表(道路一级、游园三级)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5"/>
        <w:gridCol w:w="3284"/>
        <w:gridCol w:w="15"/>
        <w:gridCol w:w="749"/>
        <w:gridCol w:w="815"/>
        <w:gridCol w:w="2402"/>
        <w:gridCol w:w="1038"/>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12月1月2月米东区绿地养护考核评分表(道路一级、游园三级)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3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5"/>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60"/>
        <w:gridCol w:w="3242"/>
        <w:gridCol w:w="797"/>
        <w:gridCol w:w="775"/>
        <w:gridCol w:w="2422"/>
        <w:gridCol w:w="1092"/>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乔灌木修剪27分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绿地整理21分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5、保质保量完成各类灌溉设施到位，并且能正常使用。</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6、及时完成绿地绿地的整理及中耕除草工作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2、服从单位安排的应急事件要求，并保质保量完成处置处置。</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3、禁止车辆用高压水枪冲洗路面时产生的垃圾进入林带。</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2、绿地内的灌溉灌溉水井盖完好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48"/>
        <w:gridCol w:w="3253"/>
        <w:gridCol w:w="67"/>
        <w:gridCol w:w="749"/>
        <w:gridCol w:w="749"/>
        <w:gridCol w:w="2419"/>
        <w:gridCol w:w="1103"/>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5月-9月米东区绿地养护考核评分表(道路二级)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3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3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33"/>
        <w:gridCol w:w="3269"/>
        <w:gridCol w:w="67"/>
        <w:gridCol w:w="749"/>
        <w:gridCol w:w="765"/>
        <w:gridCol w:w="2402"/>
        <w:gridCol w:w="1103"/>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10月11月米东区绿地养护考核评分表(道路二级)</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乔灌木修剪23分</w:t>
            </w: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冬灌浇水23分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9"/>
        <w:gridCol w:w="3229"/>
        <w:gridCol w:w="50"/>
        <w:gridCol w:w="765"/>
        <w:gridCol w:w="749"/>
        <w:gridCol w:w="2456"/>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12月1月2月米东区绿地养护考核评分表(道路二级)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1、及时排查处理各种安全隐患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3、保质保量完成应急事件处置</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72"/>
        <w:gridCol w:w="3230"/>
        <w:gridCol w:w="67"/>
        <w:gridCol w:w="765"/>
        <w:gridCol w:w="749"/>
        <w:gridCol w:w="2452"/>
        <w:gridCol w:w="1053"/>
      </w:tblGrid>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3月4月米东区绿地养护考核评分表(道路三级)</w:t>
            </w:r>
          </w:p>
        </w:tc>
      </w:tr>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得分</w:t>
            </w:r>
          </w:p>
        </w:tc>
        <w:tc>
          <w:tcPr>
            <w:tcW w:w="1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7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234"/>
        <w:gridCol w:w="67"/>
        <w:gridCol w:w="765"/>
        <w:gridCol w:w="749"/>
        <w:gridCol w:w="2430"/>
        <w:gridCol w:w="1076"/>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5月-9月米东区绿地养护考核评分表(道路三级)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4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4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41"/>
        <w:gridCol w:w="2889"/>
        <w:gridCol w:w="338"/>
        <w:gridCol w:w="370"/>
        <w:gridCol w:w="765"/>
        <w:gridCol w:w="2824"/>
        <w:gridCol w:w="1061"/>
      </w:tblGrid>
      <w:tr>
        <w:tblPrEx>
          <w:tblCellMar>
            <w:top w:w="0" w:type="dxa"/>
            <w:left w:w="108" w:type="dxa"/>
            <w:bottom w:w="0" w:type="dxa"/>
            <w:right w:w="108" w:type="dxa"/>
          </w:tblCellMar>
        </w:tblPrEx>
        <w:trPr>
          <w:trHeight w:val="72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10月11月米东区绿地养护考核评分表(道路三级)</w:t>
            </w:r>
          </w:p>
        </w:tc>
      </w:tr>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3、按苗木生长习性修剪，灌木，绿篱、绿雕徒长枝不能高于10CM</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及时完成花卉种植区的整理、翻土及中耕除草工作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51"/>
        <w:gridCol w:w="2866"/>
        <w:gridCol w:w="351"/>
        <w:gridCol w:w="381"/>
        <w:gridCol w:w="749"/>
        <w:gridCol w:w="2840"/>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3696"/>
        <w:gridCol w:w="636"/>
        <w:gridCol w:w="936"/>
        <w:gridCol w:w="190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3月4月米东区绿地养护考核评分表(道路四级)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3、及时做好间苗，移植、定植工作。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4、苗木要按生长习性和出圃的标准进行修剪。</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5、及时保质地完成管线维修工作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4、未及时发现上报毁绿占绿现象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3"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202"/>
        <w:gridCol w:w="2916"/>
        <w:gridCol w:w="150"/>
        <w:gridCol w:w="600"/>
        <w:gridCol w:w="799"/>
        <w:gridCol w:w="2666"/>
        <w:gridCol w:w="955"/>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5月-9月米东区绿地养护考核评分表(道路四级)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3、在规定时间内完成乔木，灌木，绿篱修剪，确保株形完美、线条整齐、形态逼真。</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4、苗木要按生长习性和花期进行修剪</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7、及时清除林地内杂草</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95"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197"/>
        <w:gridCol w:w="3377"/>
        <w:gridCol w:w="604"/>
        <w:gridCol w:w="869"/>
        <w:gridCol w:w="2002"/>
        <w:gridCol w:w="1239"/>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10月11月米东区绿地养护考核评分表(道路四级)</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3、及时做好移植、定植工作。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4、苗木要按生长习性修剪，按规定时间完成修剪工作。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4、按时、按要求报工作计划、工作小结</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18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462"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537"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67"/>
        <w:gridCol w:w="3087"/>
        <w:gridCol w:w="581"/>
        <w:gridCol w:w="113"/>
        <w:gridCol w:w="854"/>
        <w:gridCol w:w="2627"/>
        <w:gridCol w:w="959"/>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12月1月2月米东区绿地养护考核评分表(道路四级)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autofit"/>
        <w:tblCellMar>
          <w:top w:w="0" w:type="dxa"/>
          <w:left w:w="108" w:type="dxa"/>
          <w:bottom w:w="0" w:type="dxa"/>
          <w:right w:w="108" w:type="dxa"/>
        </w:tblCellMar>
      </w:tblPr>
      <w:tblGrid>
        <w:gridCol w:w="993"/>
        <w:gridCol w:w="3033"/>
        <w:gridCol w:w="785"/>
        <w:gridCol w:w="799"/>
        <w:gridCol w:w="2601"/>
        <w:gridCol w:w="1077"/>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3月4月米东区防护林养护考核评分表</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乔灌木修剪32分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涂白工作8分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5、按照要求施肥，肥料需施在树穴并深翻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53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27"/>
        <w:gridCol w:w="3151"/>
        <w:gridCol w:w="719"/>
        <w:gridCol w:w="823"/>
        <w:gridCol w:w="2435"/>
        <w:gridCol w:w="103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5月-9月米东区防护林养护考核评分表</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60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3、灌木，绿篱、绿雕徒长枝不能高于15CM</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4、死树及时伐掉、倒树及时扶正</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6、及时清除林地内杂草</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5、按照要求肥料需施在树穴里深翻，并保质保量完成施肥工作。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1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4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fixed"/>
        <w:tblCellMar>
          <w:top w:w="0" w:type="dxa"/>
          <w:left w:w="108" w:type="dxa"/>
          <w:bottom w:w="0" w:type="dxa"/>
          <w:right w:w="108" w:type="dxa"/>
        </w:tblCellMar>
      </w:tblPr>
      <w:tblGrid>
        <w:gridCol w:w="1232"/>
        <w:gridCol w:w="2736"/>
        <w:gridCol w:w="832"/>
        <w:gridCol w:w="999"/>
        <w:gridCol w:w="2168"/>
        <w:gridCol w:w="13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10月11月米东区防护林绿化养护考核评分表</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3、按苗木生长习性修剪，灌木，绿篱、绿雕徒长枝不能高于15CM</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绿地整理13分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日常管理17分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12月1月2月米东区防护林养护考核评分表</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日期：年   月    日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bookmarkStart w:id="55" w:name="_Toc16899"/>
      <w:r>
        <w:rPr>
          <w:rFonts w:hint="eastAsia" w:cs="宋体" w:asciiTheme="minorEastAsia" w:hAnsiTheme="minorEastAsia"/>
          <w:b/>
          <w:sz w:val="24"/>
          <w:szCs w:val="24"/>
        </w:rPr>
        <w:t>第四章技术标准和要求</w:t>
      </w:r>
      <w:bookmarkEnd w:id="55"/>
      <w:bookmarkStart w:id="56" w:name="_Toc138638538"/>
      <w:bookmarkEnd w:id="56"/>
      <w:bookmarkStart w:id="57" w:name="_Toc138638534"/>
      <w:bookmarkEnd w:id="57"/>
      <w:bookmarkStart w:id="58" w:name="_Toc138638509"/>
      <w:bookmarkEnd w:id="58"/>
      <w:bookmarkStart w:id="59" w:name="_Toc138639090"/>
      <w:bookmarkEnd w:id="59"/>
      <w:bookmarkStart w:id="60" w:name="_Toc138638702"/>
      <w:bookmarkEnd w:id="60"/>
      <w:bookmarkStart w:id="61" w:name="_Toc138638910"/>
      <w:bookmarkEnd w:id="61"/>
      <w:bookmarkStart w:id="62" w:name="_Toc138638510"/>
      <w:bookmarkEnd w:id="62"/>
      <w:bookmarkStart w:id="63" w:name="_Toc138638907"/>
      <w:bookmarkEnd w:id="63"/>
      <w:bookmarkStart w:id="64" w:name="_Toc138639145"/>
      <w:bookmarkEnd w:id="64"/>
      <w:bookmarkStart w:id="65" w:name="_Toc138638718"/>
      <w:bookmarkEnd w:id="65"/>
      <w:bookmarkStart w:id="66" w:name="_Toc138639091"/>
      <w:bookmarkEnd w:id="66"/>
      <w:bookmarkStart w:id="67" w:name="_合同文件的组成及解释顺序"/>
      <w:bookmarkEnd w:id="67"/>
      <w:bookmarkStart w:id="68" w:name="_Toc138638906"/>
      <w:bookmarkEnd w:id="68"/>
      <w:bookmarkStart w:id="69" w:name="_Toc138639074"/>
      <w:bookmarkEnd w:id="69"/>
      <w:bookmarkStart w:id="70" w:name="_Toc138638883"/>
      <w:bookmarkEnd w:id="70"/>
      <w:bookmarkStart w:id="71" w:name="_Toc138638719"/>
      <w:bookmarkEnd w:id="71"/>
      <w:bookmarkStart w:id="72" w:name="_Toc138638535"/>
      <w:bookmarkEnd w:id="72"/>
      <w:bookmarkStart w:id="73" w:name="_Toc138638884"/>
      <w:bookmarkEnd w:id="73"/>
      <w:bookmarkStart w:id="74" w:name="_Toc138638773"/>
      <w:bookmarkEnd w:id="74"/>
    </w:p>
    <w:p>
      <w:pPr>
        <w:spacing w:line="440" w:lineRule="exact"/>
        <w:ind w:firstLine="542"/>
        <w:jc w:val="center"/>
        <w:rPr>
          <w:rFonts w:hint="eastAsia" w:cs="宋体" w:asciiTheme="minorEastAsia" w:hAnsiTheme="minorEastAsia" w:eastAsiaTheme="minorEastAsia"/>
          <w:b/>
          <w:kern w:val="0"/>
          <w:sz w:val="27"/>
          <w:szCs w:val="27"/>
          <w:lang w:eastAsia="zh-CN"/>
        </w:rPr>
      </w:pPr>
      <w:r>
        <w:rPr>
          <w:rFonts w:hint="eastAsia" w:cs="宋体" w:asciiTheme="minorEastAsia" w:hAnsiTheme="minorEastAsia"/>
          <w:b/>
          <w:kern w:val="0"/>
          <w:sz w:val="27"/>
          <w:szCs w:val="27"/>
          <w:lang w:eastAsia="zh-CN"/>
        </w:rPr>
        <w:t>2024年-2026年米东区公共绿地绿化养护项目第14包</w:t>
      </w:r>
    </w:p>
    <w:tbl>
      <w:tblPr>
        <w:tblStyle w:val="3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9"/>
        <w:gridCol w:w="1656"/>
        <w:gridCol w:w="1289"/>
        <w:gridCol w:w="1289"/>
        <w:gridCol w:w="1289"/>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4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13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3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民和路</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425</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592</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2387</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道路一级（石化）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82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中兴街步行街</w:t>
            </w:r>
          </w:p>
        </w:tc>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760</w:t>
            </w:r>
          </w:p>
        </w:tc>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760</w:t>
            </w:r>
          </w:p>
        </w:tc>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2017</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w:t>
            </w:r>
          </w:p>
        </w:tc>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苗圃</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193000</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5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197404</w:t>
            </w:r>
          </w:p>
        </w:tc>
        <w:tc>
          <w:tcPr>
            <w:tcW w:w="1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0" w:firstLineChars="200"/>
        <w:rPr>
          <w:rFonts w:asciiTheme="minorEastAsia" w:hAnsiTheme="minorEastAsia" w:cstheme="minorEastAsia"/>
          <w:sz w:val="24"/>
          <w:szCs w:val="24"/>
        </w:rPr>
      </w:pP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备注：</w:t>
      </w:r>
      <w:r>
        <w:rPr>
          <w:rFonts w:hint="eastAsia" w:cs="宋体" w:asciiTheme="minorEastAsia" w:hAnsiTheme="minorEastAsia"/>
          <w:color w:val="000000" w:themeColor="text1"/>
          <w:kern w:val="0"/>
          <w:sz w:val="24"/>
          <w:szCs w:val="24"/>
          <w14:textFill>
            <w14:solidFill>
              <w14:schemeClr w14:val="tx1"/>
            </w14:solidFill>
          </w14:textFill>
        </w:rPr>
        <w:t>1、绿化养护内容包括: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    2、设施维护内容包括：园林建筑（厕所）、园林小品（园灯、导游牌、宣传牌、果皮箱、圆桌椅、栏杆、健身器材）、园路及铺装场地、园艺设施、园林电器设备（主要为广播、景观照明、配电箱、线路）。</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剂检修等，不包括设施大修。此设施维护费标准不包含水电费。</w:t>
      </w:r>
    </w:p>
    <w:p>
      <w:pPr>
        <w:widowControl/>
        <w:spacing w:line="360" w:lineRule="auto"/>
        <w:ind w:firstLine="480" w:firstLineChars="200"/>
        <w:jc w:val="left"/>
        <w:rPr>
          <w:rFonts w:cs="宋体" w:asciiTheme="minorEastAsia" w:hAnsiTheme="minorEastAsia"/>
          <w:color w:val="000000" w:themeColor="text1"/>
          <w:kern w:val="0"/>
          <w:sz w:val="24"/>
          <w:szCs w:val="24"/>
          <w:highlight w:val="yellow"/>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费用的使用：养护企业根据中标的设施维护费用，及设施损坏的程度，上报养护科维修地点、项目、预算，经园林局领导审核同意后进行维修。维修时间为每年5月至9月之间，完工后经养护科验收合格，送第三方审计公司审核。园林管理局财务科根据审计价一次性付款97%，预留3%质保金。剩余设施维护费用上交国库。</w:t>
      </w: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rPr>
          <w:rFonts w:cs="宋体" w:asciiTheme="minorEastAsia" w:hAnsiTheme="minorEastAsia"/>
          <w:color w:val="FF0000"/>
          <w:kern w:val="0"/>
          <w:sz w:val="24"/>
          <w:szCs w:val="24"/>
          <w:highlight w:val="yellow"/>
        </w:rPr>
      </w:pPr>
      <w:r>
        <w:rPr>
          <w:rFonts w:hint="eastAsia" w:cs="宋体" w:asciiTheme="minorEastAsia" w:hAnsiTheme="minorEastAsia"/>
          <w:color w:val="FF0000"/>
          <w:kern w:val="0"/>
          <w:sz w:val="24"/>
          <w:szCs w:val="24"/>
          <w:highlight w:val="yellow"/>
        </w:rPr>
        <w:br w:type="page"/>
      </w:r>
    </w:p>
    <w:p>
      <w:pPr>
        <w:widowControl/>
        <w:spacing w:line="360" w:lineRule="auto"/>
        <w:ind w:firstLine="482"/>
        <w:rPr>
          <w:rFonts w:cs="宋体" w:asciiTheme="minorEastAsia" w:hAnsiTheme="minorEastAsia"/>
          <w:b/>
          <w:bCs/>
          <w:kern w:val="0"/>
          <w:sz w:val="24"/>
          <w:szCs w:val="24"/>
        </w:rPr>
      </w:pPr>
      <w:r>
        <w:rPr>
          <w:rFonts w:hint="eastAsia" w:cs="宋体" w:asciiTheme="minorEastAsia" w:hAnsiTheme="minorEastAsia"/>
          <w:b/>
          <w:bCs/>
          <w:kern w:val="0"/>
          <w:sz w:val="24"/>
          <w:szCs w:val="24"/>
        </w:rPr>
        <w:t>注：养护费组成如下</w:t>
      </w:r>
    </w:p>
    <w:tbl>
      <w:tblPr>
        <w:tblStyle w:val="34"/>
        <w:tblW w:w="5000" w:type="pct"/>
        <w:tblInd w:w="0" w:type="dxa"/>
        <w:tblLayout w:type="autofit"/>
        <w:tblCellMar>
          <w:top w:w="0" w:type="dxa"/>
          <w:left w:w="108" w:type="dxa"/>
          <w:bottom w:w="0" w:type="dxa"/>
          <w:right w:w="108" w:type="dxa"/>
        </w:tblCellMar>
      </w:tblPr>
      <w:tblGrid>
        <w:gridCol w:w="1008"/>
        <w:gridCol w:w="889"/>
        <w:gridCol w:w="889"/>
        <w:gridCol w:w="889"/>
        <w:gridCol w:w="889"/>
        <w:gridCol w:w="968"/>
        <w:gridCol w:w="968"/>
        <w:gridCol w:w="889"/>
        <w:gridCol w:w="890"/>
        <w:gridCol w:w="1009"/>
      </w:tblGrid>
      <w:tr>
        <w:tblPrEx>
          <w:tblCellMar>
            <w:top w:w="0" w:type="dxa"/>
            <w:left w:w="108" w:type="dxa"/>
            <w:bottom w:w="0" w:type="dxa"/>
            <w:right w:w="108" w:type="dxa"/>
          </w:tblCellMar>
        </w:tblPrEx>
        <w:trPr>
          <w:trHeight w:val="703" w:hRule="atLeast"/>
        </w:trPr>
        <w:tc>
          <w:tcPr>
            <w:tcW w:w="5000" w:type="pct"/>
            <w:gridSpan w:val="10"/>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bookmarkStart w:id="75" w:name="_Toc482628481"/>
            <w:bookmarkStart w:id="76" w:name="_Toc21888"/>
            <w:r>
              <w:rPr>
                <w:rFonts w:hint="eastAsia" w:asciiTheme="minorEastAsia" w:hAnsiTheme="minorEastAsia" w:cstheme="minorEastAsia"/>
                <w:b/>
                <w:bCs/>
                <w:color w:val="000000"/>
                <w:kern w:val="0"/>
                <w:sz w:val="24"/>
                <w:szCs w:val="24"/>
                <w:lang w:bidi="ar"/>
              </w:rPr>
              <w:t>米东区园林管理局绿化养护费等级标准</w:t>
            </w:r>
          </w:p>
        </w:tc>
      </w:tr>
      <w:tr>
        <w:tblPrEx>
          <w:tblCellMar>
            <w:top w:w="0" w:type="dxa"/>
            <w:left w:w="108" w:type="dxa"/>
            <w:bottom w:w="0" w:type="dxa"/>
            <w:right w:w="108" w:type="dxa"/>
          </w:tblCellMar>
        </w:tblPrEx>
        <w:trPr>
          <w:trHeight w:val="7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5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农区防护林</w:t>
            </w:r>
          </w:p>
        </w:tc>
      </w:tr>
      <w:tr>
        <w:tblPrEx>
          <w:tblCellMar>
            <w:top w:w="0" w:type="dxa"/>
            <w:left w:w="108" w:type="dxa"/>
            <w:bottom w:w="0" w:type="dxa"/>
            <w:right w:w="108" w:type="dxa"/>
          </w:tblCellMar>
        </w:tblPrEx>
        <w:trPr>
          <w:trHeight w:val="8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r>
        <w:tblPrEx>
          <w:tblCellMar>
            <w:top w:w="0" w:type="dxa"/>
            <w:left w:w="108" w:type="dxa"/>
            <w:bottom w:w="0" w:type="dxa"/>
            <w:right w:w="108" w:type="dxa"/>
          </w:tblCellMar>
        </w:tblPrEx>
        <w:trPr>
          <w:trHeight w:val="9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0.7元/m²</w:t>
            </w:r>
          </w:p>
        </w:tc>
      </w:tr>
      <w:tr>
        <w:tblPrEx>
          <w:tblCellMar>
            <w:top w:w="0" w:type="dxa"/>
            <w:left w:w="108" w:type="dxa"/>
            <w:bottom w:w="0" w:type="dxa"/>
            <w:right w:w="108" w:type="dxa"/>
          </w:tblCellMar>
        </w:tblPrEx>
        <w:trPr>
          <w:trHeight w:val="90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0.3元/m²</w:t>
            </w:r>
          </w:p>
        </w:tc>
      </w:tr>
      <w:tr>
        <w:tblPrEx>
          <w:tblCellMar>
            <w:top w:w="0" w:type="dxa"/>
            <w:left w:w="108" w:type="dxa"/>
            <w:bottom w:w="0" w:type="dxa"/>
            <w:right w:w="108" w:type="dxa"/>
          </w:tblCellMar>
        </w:tblPrEx>
        <w:trPr>
          <w:trHeight w:val="10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4.7元/m²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2.1元/m²</w:t>
            </w:r>
          </w:p>
        </w:tc>
      </w:tr>
    </w:tbl>
    <w:p>
      <w:pPr>
        <w:spacing w:line="440" w:lineRule="exact"/>
        <w:rPr>
          <w:rFonts w:cs="Arial" w:asciiTheme="minorEastAsia" w:hAnsiTheme="minorEastAsia"/>
          <w:szCs w:val="24"/>
        </w:rPr>
      </w:pPr>
    </w:p>
    <w:tbl>
      <w:tblPr>
        <w:tblStyle w:val="34"/>
        <w:tblW w:w="5000" w:type="pct"/>
        <w:tblInd w:w="0" w:type="dxa"/>
        <w:tblLayout w:type="autofit"/>
        <w:tblCellMar>
          <w:top w:w="0" w:type="dxa"/>
          <w:left w:w="108" w:type="dxa"/>
          <w:bottom w:w="0" w:type="dxa"/>
          <w:right w:w="108" w:type="dxa"/>
        </w:tblCellMar>
      </w:tblPr>
      <w:tblGrid>
        <w:gridCol w:w="1100"/>
        <w:gridCol w:w="967"/>
        <w:gridCol w:w="1057"/>
        <w:gridCol w:w="1057"/>
        <w:gridCol w:w="1057"/>
        <w:gridCol w:w="1057"/>
        <w:gridCol w:w="1057"/>
        <w:gridCol w:w="968"/>
        <w:gridCol w:w="968"/>
      </w:tblGrid>
      <w:tr>
        <w:tblPrEx>
          <w:tblCellMar>
            <w:top w:w="0" w:type="dxa"/>
            <w:left w:w="108" w:type="dxa"/>
            <w:bottom w:w="0" w:type="dxa"/>
            <w:right w:w="108" w:type="dxa"/>
          </w:tblCellMar>
        </w:tblPrEx>
        <w:trPr>
          <w:trHeight w:val="737" w:hRule="atLeast"/>
        </w:trPr>
        <w:tc>
          <w:tcPr>
            <w:tcW w:w="5000" w:type="pct"/>
            <w:gridSpan w:val="9"/>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石化片区绿化养护费等级标准</w:t>
            </w:r>
          </w:p>
        </w:tc>
      </w:tr>
      <w:tr>
        <w:tblPrEx>
          <w:tblCellMar>
            <w:top w:w="0" w:type="dxa"/>
            <w:left w:w="108" w:type="dxa"/>
            <w:bottom w:w="0" w:type="dxa"/>
            <w:right w:w="108" w:type="dxa"/>
          </w:tblCellMar>
        </w:tblPrEx>
        <w:trPr>
          <w:trHeight w:val="76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0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r>
      <w:tr>
        <w:tblPrEx>
          <w:tblCellMar>
            <w:top w:w="0" w:type="dxa"/>
            <w:left w:w="108" w:type="dxa"/>
            <w:bottom w:w="0" w:type="dxa"/>
            <w:right w:w="108" w:type="dxa"/>
          </w:tblCellMar>
        </w:tblPrEx>
        <w:trPr>
          <w:trHeight w:val="8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r>
      <w:tr>
        <w:tblPrEx>
          <w:tblCellMar>
            <w:top w:w="0" w:type="dxa"/>
            <w:left w:w="108" w:type="dxa"/>
            <w:bottom w:w="0" w:type="dxa"/>
            <w:right w:w="108"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r>
      <w:tr>
        <w:tblPrEx>
          <w:tblCellMar>
            <w:top w:w="0" w:type="dxa"/>
            <w:left w:w="108" w:type="dxa"/>
            <w:bottom w:w="0" w:type="dxa"/>
            <w:right w:w="108" w:type="dxa"/>
          </w:tblCellMar>
        </w:tblPrEx>
        <w:trPr>
          <w:trHeight w:val="9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r>
      <w:tr>
        <w:tblPrEx>
          <w:tblCellMar>
            <w:top w:w="0" w:type="dxa"/>
            <w:left w:w="108" w:type="dxa"/>
            <w:bottom w:w="0" w:type="dxa"/>
            <w:right w:w="108" w:type="dxa"/>
          </w:tblCellMar>
        </w:tblPrEx>
        <w:trPr>
          <w:trHeight w:val="10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8.86元/m²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6.78元/m²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bl>
    <w:p>
      <w:pPr>
        <w:spacing w:line="440" w:lineRule="exact"/>
        <w:outlineLvl w:val="0"/>
        <w:rPr>
          <w:rFonts w:cs="Arial" w:asciiTheme="minorEastAsia" w:hAnsiTheme="minorEastAsia"/>
          <w:szCs w:val="24"/>
        </w:rPr>
        <w:sectPr>
          <w:pgSz w:w="11906" w:h="16838"/>
          <w:pgMar w:top="1134" w:right="1417" w:bottom="1134" w:left="1417" w:header="851" w:footer="992" w:gutter="0"/>
          <w:cols w:space="0" w:num="1"/>
          <w:docGrid w:linePitch="312" w:charSpace="0"/>
        </w:sectPr>
      </w:pPr>
      <w:r>
        <w:rPr>
          <w:rFonts w:hint="eastAsia" w:cs="Arial" w:asciiTheme="minorEastAsia" w:hAnsiTheme="minorEastAsia"/>
          <w:szCs w:val="24"/>
        </w:rPr>
        <w:br w:type="page"/>
      </w:r>
      <w:bookmarkEnd w:id="75"/>
      <w:bookmarkEnd w:id="76"/>
    </w:p>
    <w:p>
      <w:pPr>
        <w:spacing w:line="440" w:lineRule="exact"/>
        <w:ind w:firstLine="482"/>
        <w:jc w:val="center"/>
        <w:outlineLvl w:val="0"/>
        <w:rPr>
          <w:rFonts w:cs="宋体" w:asciiTheme="minorEastAsia" w:hAnsiTheme="minorEastAsia"/>
          <w:b/>
          <w:sz w:val="24"/>
          <w:szCs w:val="24"/>
        </w:rPr>
      </w:pPr>
      <w:bookmarkStart w:id="77" w:name="_Toc23869"/>
      <w:r>
        <w:rPr>
          <w:rFonts w:hint="eastAsia" w:cs="宋体" w:asciiTheme="minorEastAsia" w:hAnsiTheme="minorEastAsia"/>
          <w:b/>
          <w:sz w:val="24"/>
          <w:szCs w:val="24"/>
        </w:rPr>
        <w:t>第五章投标文件格式</w:t>
      </w:r>
      <w:bookmarkEnd w:id="77"/>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rPr>
          <w:rFonts w:cs="宋体" w:asciiTheme="minorEastAsia" w:hAnsiTheme="minorEastAsia"/>
          <w:sz w:val="24"/>
          <w:szCs w:val="24"/>
          <w:u w:val="single"/>
        </w:rPr>
      </w:pPr>
      <w:r>
        <w:rPr>
          <w:rFonts w:hint="eastAsia" w:cs="宋体" w:asciiTheme="minorEastAsia" w:hAnsiTheme="minorEastAsia"/>
          <w:sz w:val="24"/>
          <w:szCs w:val="24"/>
          <w:u w:val="single"/>
        </w:rPr>
        <w:t>投标文件封面示例</w:t>
      </w:r>
    </w:p>
    <w:p>
      <w:pPr>
        <w:spacing w:line="720" w:lineRule="auto"/>
        <w:ind w:right="315" w:firstLine="482"/>
        <w:jc w:val="right"/>
        <w:rPr>
          <w:rFonts w:cs="宋体" w:asciiTheme="minorEastAsia" w:hAnsiTheme="minorEastAsia"/>
          <w:b/>
          <w:sz w:val="24"/>
          <w:szCs w:val="24"/>
          <w:bdr w:val="single" w:color="auto" w:sz="4" w:space="0"/>
        </w:rPr>
      </w:pPr>
      <w:r>
        <w:rPr>
          <w:rFonts w:hint="eastAsia" w:cs="宋体" w:asciiTheme="minorEastAsia" w:hAnsiTheme="minorEastAsia"/>
          <w:b/>
          <w:sz w:val="24"/>
          <w:szCs w:val="24"/>
          <w:bdr w:val="single" w:color="auto" w:sz="4" w:space="0"/>
        </w:rPr>
        <w:t>正本</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（项目名称）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（标项名称）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（标段编号）</w:t>
      </w: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r>
        <w:rPr>
          <w:rFonts w:hint="eastAsia" w:cs="宋体" w:asciiTheme="minorEastAsia" w:hAnsiTheme="minorEastAsia"/>
          <w:b/>
          <w:bCs/>
          <w:sz w:val="24"/>
          <w:szCs w:val="24"/>
        </w:rPr>
        <w:t>投标文件</w:t>
      </w:r>
    </w:p>
    <w:p>
      <w:pPr>
        <w:spacing w:line="720" w:lineRule="auto"/>
        <w:rPr>
          <w:rFonts w:cs="宋体" w:asciiTheme="minorEastAsia" w:hAnsiTheme="minorEastAsia"/>
          <w:sz w:val="24"/>
          <w:szCs w:val="24"/>
        </w:rPr>
      </w:pPr>
    </w:p>
    <w:p>
      <w:pPr>
        <w:spacing w:line="720" w:lineRule="auto"/>
        <w:rPr>
          <w:rFonts w:cs="宋体" w:asciiTheme="minorEastAsia" w:hAnsiTheme="minorEastAsia"/>
          <w:sz w:val="24"/>
          <w:szCs w:val="24"/>
        </w:rPr>
      </w:pPr>
      <w:r>
        <w:rPr>
          <w:rFonts w:hint="eastAsia" w:cs="宋体" w:asciiTheme="minorEastAsia" w:hAnsiTheme="minorEastAsia"/>
          <w:sz w:val="24"/>
          <w:szCs w:val="24"/>
        </w:rPr>
        <w:t>投标人：（盖章）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法定代表人：（盖章）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单位地址：</w:t>
      </w:r>
    </w:p>
    <w:p>
      <w:pPr>
        <w:spacing w:line="720" w:lineRule="auto"/>
        <w:rPr>
          <w:rFonts w:cs="宋体" w:asciiTheme="minorEastAsia" w:hAnsiTheme="minorEastAsia"/>
          <w:sz w:val="24"/>
          <w:szCs w:val="24"/>
        </w:rPr>
      </w:pPr>
      <w:r>
        <w:rPr>
          <w:rFonts w:hint="eastAsia" w:cs="宋体" w:asciiTheme="minorEastAsia" w:hAnsiTheme="minorEastAsia"/>
          <w:sz w:val="24"/>
          <w:szCs w:val="24"/>
        </w:rPr>
        <w:t>邮政编码：</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联系人：</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联系电话：</w:t>
      </w:r>
    </w:p>
    <w:p>
      <w:pPr>
        <w:spacing w:line="720" w:lineRule="auto"/>
        <w:rPr>
          <w:rFonts w:cs="宋体" w:asciiTheme="minorEastAsia" w:hAnsiTheme="minorEastAsia"/>
          <w:sz w:val="24"/>
          <w:szCs w:val="24"/>
        </w:rPr>
      </w:pPr>
    </w:p>
    <w:p>
      <w:pPr>
        <w:spacing w:line="720" w:lineRule="auto"/>
        <w:ind w:firstLine="2" w:firstLineChars="1"/>
        <w:jc w:val="center"/>
        <w:rPr>
          <w:rFonts w:cs="宋体" w:asciiTheme="minorEastAsia" w:hAnsiTheme="minorEastAsia"/>
          <w:sz w:val="24"/>
          <w:szCs w:val="24"/>
        </w:rPr>
      </w:pPr>
      <w:r>
        <w:rPr>
          <w:rFonts w:hint="eastAsia" w:cs="宋体" w:asciiTheme="minorEastAsia" w:hAnsiTheme="minorEastAsia"/>
          <w:sz w:val="24"/>
          <w:szCs w:val="24"/>
        </w:rPr>
        <w:t>年月日</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78" w:name="_Toc508295341"/>
      <w:bookmarkStart w:id="79" w:name="_Toc21602"/>
      <w:r>
        <w:rPr>
          <w:rFonts w:hint="eastAsia" w:cs="宋体" w:asciiTheme="minorEastAsia" w:hAnsiTheme="minorEastAsia"/>
          <w:b/>
          <w:sz w:val="24"/>
          <w:szCs w:val="24"/>
        </w:rPr>
        <w:t>目录</w:t>
      </w:r>
      <w:bookmarkEnd w:id="78"/>
      <w:bookmarkEnd w:id="79"/>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投标函</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开标一览表</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反商业贿赂承诺书</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技术条款偏离表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5、商务条款偏离表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6、法定代表人身份证明书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7、法定代表人授权委托书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8、投标人基本情况</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9、投标人近年类似项目情况表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10、拟投入本项目主要机械设备</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11、项目负责人简历表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12、拟投入人员配置表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13、合理化建议</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14、养护作业方案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15、质量管理方案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16、应急抢险方案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17、安全服务方案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18、文明作业方案</w:t>
      </w:r>
    </w:p>
    <w:p>
      <w:pPr>
        <w:spacing w:line="280" w:lineRule="exact"/>
        <w:rPr>
          <w:rFonts w:cs="Times New Roman" w:asciiTheme="minorEastAsia" w:hAnsiTheme="minorEastAsia"/>
          <w:bCs/>
          <w:sz w:val="24"/>
          <w:szCs w:val="24"/>
        </w:rPr>
      </w:pPr>
      <w:r>
        <w:rPr>
          <w:rFonts w:hint="eastAsia" w:ascii="宋体" w:hAnsi="宋体" w:eastAsia="宋体" w:cs="Times New Roman"/>
          <w:bCs/>
          <w:sz w:val="24"/>
          <w:szCs w:val="24"/>
        </w:rPr>
        <w:t>19、其他需要提交的资料（根据招标文件的要求和投标人认为需要提供的资料）</w:t>
      </w:r>
    </w:p>
    <w:p>
      <w:pPr>
        <w:spacing w:line="280" w:lineRule="exact"/>
        <w:rPr>
          <w:rFonts w:cs="Times New Roman" w:asciiTheme="minorEastAsia" w:hAnsiTheme="minorEastAsia"/>
          <w:bCs/>
          <w:sz w:val="24"/>
          <w:szCs w:val="24"/>
        </w:rPr>
      </w:pPr>
      <w:r>
        <w:rPr>
          <w:rFonts w:hint="eastAsia" w:cs="Times New Roman" w:asciiTheme="minorEastAsia" w:hAnsiTheme="minorEastAsia"/>
          <w:bCs/>
          <w:sz w:val="24"/>
          <w:szCs w:val="24"/>
        </w:rPr>
        <w:t>注：为了便于查找，请按上述顺序编制投标文件内容，并在目录中标明每项内容的起始页码。</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80" w:name="_Toc9000"/>
      <w:r>
        <w:rPr>
          <w:rFonts w:hint="eastAsia" w:cs="宋体" w:asciiTheme="minorEastAsia" w:hAnsiTheme="minorEastAsia"/>
          <w:b/>
          <w:sz w:val="24"/>
          <w:szCs w:val="24"/>
        </w:rPr>
        <w:t>一、投标函</w:t>
      </w:r>
      <w:bookmarkEnd w:id="80"/>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致：（采购人名称）</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根据已收到的项目的招标文件，遵照招标投标法律法规的规定，经考察现场和充分研究贵方的招标文件的全部内容后，我方郑重承诺如下：</w:t>
      </w:r>
    </w:p>
    <w:p>
      <w:pPr>
        <w:widowControl/>
        <w:shd w:val="clear" w:color="auto" w:fill="FFFFFF"/>
        <w:snapToGrid w:val="0"/>
        <w:spacing w:line="384" w:lineRule="auto"/>
        <w:ind w:firstLine="480"/>
        <w:jc w:val="left"/>
        <w:rPr>
          <w:rFonts w:cs="Arial" w:asciiTheme="minorEastAsia" w:hAnsiTheme="minorEastAsia"/>
          <w:color w:val="auto"/>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我方投标价格为</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人民币元/</w:t>
      </w:r>
      <w:r>
        <w:rPr>
          <w:rFonts w:hint="eastAsia" w:cs="Arial" w:asciiTheme="minorEastAsia" w:hAnsiTheme="minorEastAsia"/>
          <w:sz w:val="24"/>
          <w:szCs w:val="24"/>
        </w:rPr>
        <w:t>年</w:t>
      </w:r>
      <w:r>
        <w:rPr>
          <w:rFonts w:hint="eastAsia" w:cs="Arial" w:asciiTheme="minorEastAsia" w:hAnsiTheme="minorEastAsia"/>
          <w:kern w:val="0"/>
          <w:sz w:val="24"/>
          <w:szCs w:val="24"/>
        </w:rPr>
        <w:t>（大写</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），服务周期为</w:t>
      </w:r>
      <w:r>
        <w:rPr>
          <w:rFonts w:hint="eastAsia" w:cs="Arial" w:asciiTheme="minorEastAsia" w:hAnsiTheme="minorEastAsia"/>
          <w:kern w:val="0"/>
          <w:sz w:val="24"/>
          <w:szCs w:val="24"/>
          <w:lang w:eastAsia="zh-CN"/>
        </w:rPr>
        <w:t>：</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如果我方中标，我方将按规定履行合同责任义务。保证在合同约定的服务周期内提供服务，并确保我方提供相关服务满足招标文件的要求。</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w:t>
      </w:r>
      <w:r>
        <w:rPr>
          <w:rFonts w:hint="eastAsia" w:cs="Arial" w:asciiTheme="minorEastAsia" w:hAnsiTheme="minorEastAsia"/>
          <w:kern w:val="0"/>
          <w:sz w:val="24"/>
          <w:szCs w:val="24"/>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w:t>
      </w:r>
      <w:r>
        <w:rPr>
          <w:rFonts w:cs="Arial" w:asciiTheme="minorEastAsia" w:hAnsiTheme="minorEastAsia"/>
          <w:kern w:val="0"/>
          <w:sz w:val="24"/>
          <w:szCs w:val="24"/>
        </w:rPr>
        <w:t>.</w:t>
      </w:r>
      <w:r>
        <w:rPr>
          <w:rFonts w:hint="eastAsia" w:cs="Arial" w:asciiTheme="minorEastAsia" w:hAnsiTheme="minorEastAsia"/>
          <w:kern w:val="0"/>
          <w:sz w:val="24"/>
          <w:szCs w:val="24"/>
        </w:rPr>
        <w:t>我方已详细审查全部招标文件并完全理解并同意放弃对这方面有不明及误解的权力。</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w:t>
      </w:r>
      <w:r>
        <w:rPr>
          <w:rFonts w:hint="eastAsia" w:cs="Arial" w:asciiTheme="minorEastAsia" w:hAnsiTheme="minorEastAsia"/>
          <w:kern w:val="0"/>
          <w:sz w:val="24"/>
          <w:szCs w:val="24"/>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6</w:t>
      </w:r>
      <w:r>
        <w:rPr>
          <w:rFonts w:cs="Arial" w:asciiTheme="minorEastAsia" w:hAnsiTheme="minorEastAsia"/>
          <w:kern w:val="0"/>
          <w:sz w:val="24"/>
          <w:szCs w:val="24"/>
        </w:rPr>
        <w:t>.</w:t>
      </w:r>
      <w:r>
        <w:rPr>
          <w:rFonts w:hint="eastAsia" w:cs="Arial" w:asciiTheme="minorEastAsia" w:hAnsiTheme="minorEastAsia"/>
          <w:kern w:val="0"/>
          <w:sz w:val="24"/>
          <w:szCs w:val="24"/>
        </w:rPr>
        <w:t>我方派法定代表人或其授权委托人作为我方代表，负责按时参加开标会并签署与投标有关的相关文件等。</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7.如我方中标，在合同签订后3个工作日内向采购代理机构提供采购合同原件一份用于采购资料备案工作。</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rPr>
          <w:rFonts w:cs="Arial" w:asciiTheme="minorEastAsia" w:hAnsiTheme="minorEastAsia"/>
          <w:kern w:val="0"/>
          <w:sz w:val="24"/>
          <w:szCs w:val="24"/>
        </w:rPr>
      </w:pPr>
      <w:r>
        <w:rPr>
          <w:rFonts w:hint="eastAsia" w:cs="Arial" w:asciiTheme="minorEastAsia" w:hAnsiTheme="minorEastAsia"/>
          <w:kern w:val="0"/>
          <w:sz w:val="24"/>
          <w:szCs w:val="24"/>
        </w:rPr>
        <w:br w:type="page"/>
      </w:r>
    </w:p>
    <w:p>
      <w:pPr>
        <w:widowControl/>
        <w:shd w:val="clear" w:color="auto" w:fill="FFFFFF"/>
        <w:snapToGrid w:val="0"/>
        <w:spacing w:line="384" w:lineRule="auto"/>
        <w:ind w:firstLine="482"/>
        <w:jc w:val="center"/>
        <w:rPr>
          <w:rFonts w:cs="Arial" w:asciiTheme="minorEastAsia" w:hAnsiTheme="minorEastAsia"/>
          <w:b/>
          <w:kern w:val="0"/>
          <w:sz w:val="24"/>
          <w:szCs w:val="24"/>
        </w:rPr>
      </w:pPr>
      <w:r>
        <w:rPr>
          <w:rFonts w:hint="eastAsia" w:cs="宋体" w:asciiTheme="minorEastAsia" w:hAnsiTheme="minorEastAsia"/>
          <w:b/>
          <w:sz w:val="24"/>
          <w:szCs w:val="24"/>
        </w:rPr>
        <w:t>1.2</w:t>
      </w:r>
      <w:r>
        <w:rPr>
          <w:rFonts w:hint="eastAsia" w:cs="Arial" w:asciiTheme="minorEastAsia" w:hAnsiTheme="minorEastAsia"/>
          <w:b/>
          <w:kern w:val="0"/>
          <w:sz w:val="24"/>
          <w:szCs w:val="24"/>
        </w:rPr>
        <w:t>资格声明函</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招标人：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关于贵方组织的</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采购项目的招标，我方愿意参加投标响应，提供招标文件中规定的货物，并郑重声明如下：</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、我方具备履行合同所必需的设备和专业技术能力。</w:t>
      </w:r>
    </w:p>
    <w:p>
      <w:pPr>
        <w:autoSpaceDE w:val="0"/>
        <w:autoSpaceDN w:val="0"/>
        <w:adjustRightInd w:val="0"/>
        <w:spacing w:line="360" w:lineRule="auto"/>
        <w:jc w:val="left"/>
        <w:rPr>
          <w:rFonts w:cs="宋体" w:asciiTheme="minorEastAsia" w:hAnsiTheme="minorEastAsia"/>
          <w:kern w:val="0"/>
          <w:sz w:val="24"/>
          <w:szCs w:val="24"/>
        </w:rPr>
      </w:pPr>
      <w:r>
        <w:rPr>
          <w:rFonts w:hint="eastAsia" w:asciiTheme="minorEastAsia" w:hAnsiTheme="minorEastAsia"/>
          <w:sz w:val="24"/>
          <w:szCs w:val="24"/>
        </w:rPr>
        <w:t xml:space="preserve">2、 </w:t>
      </w:r>
      <w:r>
        <w:rPr>
          <w:rFonts w:hint="eastAsia" w:cs="宋体" w:asciiTheme="minorEastAsia" w:hAnsiTheme="minorEastAsia"/>
          <w:kern w:val="0"/>
          <w:sz w:val="24"/>
          <w:szCs w:val="24"/>
        </w:rPr>
        <w:t>我方</w:t>
      </w:r>
      <w:r>
        <w:rPr>
          <w:rFonts w:hint="eastAsia" w:asciiTheme="minorEastAsia" w:hAnsiTheme="minorEastAsia"/>
          <w:sz w:val="24"/>
          <w:szCs w:val="24"/>
        </w:rPr>
        <w:t>在“信用中国”（</w:t>
      </w:r>
      <w:r>
        <w:rPr>
          <w:rFonts w:asciiTheme="minorEastAsia" w:hAnsiTheme="minorEastAsia"/>
          <w:sz w:val="24"/>
          <w:szCs w:val="24"/>
        </w:rPr>
        <w:t>www.creditchina.gov.cn</w:t>
      </w:r>
      <w:r>
        <w:rPr>
          <w:rFonts w:hint="eastAsia" w:asciiTheme="minorEastAsia" w:hAnsiTheme="minorEastAsia"/>
          <w:sz w:val="24"/>
          <w:szCs w:val="24"/>
        </w:rPr>
        <w:t>）和中国政府采购网（</w:t>
      </w:r>
      <w:r>
        <w:rPr>
          <w:rFonts w:asciiTheme="minorEastAsia" w:hAnsiTheme="minorEastAsia"/>
          <w:sz w:val="24"/>
          <w:szCs w:val="24"/>
        </w:rPr>
        <w:t>www.ccgp.gov.cn</w:t>
      </w:r>
      <w:r>
        <w:rPr>
          <w:rFonts w:hint="eastAsia" w:asciiTheme="minorEastAsia" w:hAnsiTheme="minorEastAsia"/>
          <w:sz w:val="24"/>
          <w:szCs w:val="24"/>
        </w:rPr>
        <w:t>）网站上未被列入失信被执行人、重大税收违法案件当事人名单以及政府采购严重违法失信行为记录名单；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3、我方在参加本次采购活动前</w:t>
      </w:r>
      <w:r>
        <w:rPr>
          <w:rFonts w:cs="宋体" w:asciiTheme="minorEastAsia" w:hAnsiTheme="minorEastAsia"/>
          <w:kern w:val="0"/>
          <w:sz w:val="24"/>
          <w:szCs w:val="24"/>
        </w:rPr>
        <w:t>3</w:t>
      </w:r>
      <w:r>
        <w:rPr>
          <w:rFonts w:hint="eastAsia" w:cs="宋体" w:asciiTheme="minorEastAsia" w:hAnsiTheme="minorEastAsia"/>
          <w:kern w:val="0"/>
          <w:sz w:val="24"/>
          <w:szCs w:val="24"/>
        </w:rPr>
        <w:t>年内在经营活动中没有重大违法记录。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4、我方已按招标文件规定办理报名登记手续并购买了招标文件。</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5、我方是在法律、财务和运作上独立于招标人、招标代理机构的投标人。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6、我方在本次采购活动中，不存在单位负责人为同一人或者存在直接控股、管理关系的不同投标人，同时参加同一合同项下的采购活动之情形。</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7、我方不是为本项目提供食材供应、规范编制或者项目实施要求等服务的投标人及其附属机构。</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我方保证上述声明的事项都是真实的，如有虚假，我方承担相应的法律责任，并承担因此给贵公司以及本项目招标人所造成的一切损失。</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我方已经按照贵方招标文件的要求，提交了所要求提交的能够证明上述声明事项真实性的全部文件材料，并保证随时按照贵方的要求提供能够证明上述声明事项真实性的任何有效文件。</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1.3不参与围标串标承诺书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本人作为经授权投标人代表，清楚知晓我单位本项目投标活动，对以下事项作出承诺: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一、我单位和我本人遵循公开、公平、公正、诚实守信的原则，依法依规参与本项目竞标。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二、我单位和我本人在本项目采购活动中，未参与围标串标。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三、我单位如被查实在本项目采购活动中存在围标串标行为的，递交投标文件行为作为实施串通投标违法行为的关键环节，本人承担直接责任人员法律责任，接受相应行政处罚和失信惩戒。</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1" w:name="_Toc11816"/>
      <w:r>
        <w:rPr>
          <w:rFonts w:hint="eastAsia" w:cs="宋体" w:asciiTheme="minorEastAsia" w:hAnsiTheme="minorEastAsia"/>
          <w:b/>
          <w:sz w:val="24"/>
          <w:szCs w:val="24"/>
        </w:rPr>
        <w:t>二、开标一览表</w:t>
      </w:r>
      <w:bookmarkEnd w:id="81"/>
    </w:p>
    <w:p>
      <w:pPr>
        <w:spacing w:line="360" w:lineRule="auto"/>
        <w:ind w:left="424" w:leftChars="202"/>
        <w:rPr>
          <w:rFonts w:cs="宋体" w:asciiTheme="minorEastAsia" w:hAnsiTheme="minorEastAsia"/>
          <w:sz w:val="24"/>
          <w:szCs w:val="24"/>
        </w:rPr>
      </w:pPr>
    </w:p>
    <w:p>
      <w:pPr>
        <w:spacing w:line="360" w:lineRule="auto"/>
        <w:ind w:left="424" w:leftChars="202"/>
        <w:rPr>
          <w:rFonts w:cs="宋体" w:asciiTheme="minorEastAsia" w:hAnsiTheme="minorEastAsia"/>
          <w:sz w:val="24"/>
          <w:szCs w:val="24"/>
          <w:u w:val="single"/>
        </w:rPr>
      </w:pPr>
      <w:r>
        <w:rPr>
          <w:rFonts w:hint="eastAsia" w:cs="宋体" w:asciiTheme="minorEastAsia" w:hAnsiTheme="minorEastAsia"/>
          <w:sz w:val="24"/>
          <w:szCs w:val="24"/>
        </w:rPr>
        <w:t>项目名称：</w:t>
      </w:r>
    </w:p>
    <w:tbl>
      <w:tblPr>
        <w:tblStyle w:val="3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项目</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投标报价（元）</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小写：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u w:val="single"/>
              </w:rPr>
            </w:pPr>
            <w:r>
              <w:rPr>
                <w:rFonts w:hint="eastAsia" w:cs="Arial" w:asciiTheme="minorEastAsia" w:hAnsiTheme="minorEastAsia"/>
                <w:kern w:val="0"/>
                <w:sz w:val="24"/>
                <w:szCs w:val="24"/>
              </w:rPr>
              <w:t>服务周期：</w:t>
            </w:r>
            <w:r>
              <w:rPr>
                <w:rFonts w:hint="eastAsia" w:cs="仿宋" w:asciiTheme="minorEastAsia" w:hAnsiTheme="minorEastAsia"/>
                <w:color w:val="auto"/>
                <w:sz w:val="24"/>
                <w:szCs w:val="24"/>
                <w:u w:val="none"/>
              </w:rPr>
              <w:t>1年（服务开始时间2024年1月，绿化养护在年底考核，考核通过后，续签下一年合同，中标通知书有效期三年。）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备注：</w:t>
            </w:r>
          </w:p>
        </w:tc>
      </w:tr>
    </w:tbl>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w:t>
      </w:r>
      <w:r>
        <w:rPr>
          <w:rFonts w:cs="宋体" w:asciiTheme="minorEastAsia" w:hAnsiTheme="minorEastAsia"/>
          <w:kern w:val="0"/>
          <w:sz w:val="24"/>
          <w:szCs w:val="24"/>
        </w:rPr>
        <w:t>1.</w:t>
      </w:r>
      <w:r>
        <w:rPr>
          <w:rFonts w:hint="eastAsia" w:cs="宋体" w:asciiTheme="minorEastAsia" w:hAnsiTheme="minorEastAsia"/>
          <w:kern w:val="0"/>
          <w:sz w:val="24"/>
          <w:szCs w:val="24"/>
        </w:rPr>
        <w:t>表中大小写不一致时，以大写为准。</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w:t>
      </w:r>
      <w:r>
        <w:rPr>
          <w:rFonts w:hint="eastAsia" w:cs="宋体" w:asciiTheme="minorEastAsia" w:hAnsiTheme="minorEastAsia"/>
          <w:kern w:val="0"/>
          <w:sz w:val="24"/>
          <w:szCs w:val="24"/>
        </w:rPr>
        <w:t>投标报价为完成本次采购项目内的所有内容的一切相关费用。可根据需要附报价明细。</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bookmarkStart w:id="113" w:name="_GoBack"/>
      <w:bookmarkEnd w:id="113"/>
      <w:r>
        <w:rPr>
          <w:rFonts w:cs="宋体" w:asciiTheme="minorEastAsia" w:hAnsiTheme="minorEastAsia"/>
          <w:kern w:val="0"/>
          <w:sz w:val="24"/>
          <w:szCs w:val="24"/>
        </w:rPr>
        <w:t>.</w:t>
      </w:r>
      <w:r>
        <w:rPr>
          <w:rFonts w:hint="eastAsia" w:cs="宋体" w:asciiTheme="minorEastAsia" w:hAnsiTheme="minorEastAsia"/>
          <w:kern w:val="0"/>
          <w:sz w:val="24"/>
          <w:szCs w:val="24"/>
        </w:rPr>
        <w:t>本表中“投标总报价”必须与《投标函》中的“投标价格”均保持一致，如不一致，以《开标一览表》为准。</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360" w:lineRule="auto"/>
        <w:rPr>
          <w:rFonts w:cs="宋体" w:asciiTheme="minorEastAsia" w:hAnsiTheme="minorEastAsia"/>
          <w:kern w:val="0"/>
          <w:sz w:val="24"/>
          <w:szCs w:val="24"/>
        </w:rPr>
      </w:pPr>
    </w:p>
    <w:p>
      <w:pPr>
        <w:spacing w:line="360" w:lineRule="auto"/>
        <w:ind w:left="424" w:leftChars="202"/>
        <w:rPr>
          <w:rFonts w:cs="宋体" w:asciiTheme="minorEastAsia" w:hAnsiTheme="minorEastAsia"/>
          <w:sz w:val="24"/>
          <w:szCs w:val="24"/>
        </w:rPr>
      </w:pPr>
    </w:p>
    <w:p>
      <w:pPr>
        <w:widowControl/>
        <w:shd w:val="clear" w:color="auto" w:fill="FFFFFF"/>
        <w:snapToGrid w:val="0"/>
        <w:spacing w:line="360" w:lineRule="auto"/>
        <w:ind w:firstLine="480"/>
        <w:jc w:val="center"/>
        <w:rPr>
          <w:rFonts w:cs="Arial" w:asciiTheme="minorEastAsia" w:hAnsiTheme="minorEastAsia"/>
          <w:kern w:val="0"/>
          <w:sz w:val="24"/>
          <w:szCs w:val="24"/>
        </w:rPr>
      </w:pPr>
    </w:p>
    <w:p>
      <w:pPr>
        <w:widowControl/>
        <w:ind w:firstLine="482"/>
        <w:jc w:val="left"/>
        <w:rPr>
          <w:rFonts w:cs="宋体" w:asciiTheme="minorEastAsia" w:hAnsiTheme="minorEastAsia"/>
          <w:b/>
          <w:sz w:val="24"/>
          <w:szCs w:val="24"/>
        </w:rPr>
      </w:pPr>
    </w:p>
    <w:p>
      <w:pPr>
        <w:widowControl/>
        <w:ind w:firstLine="482"/>
        <w:jc w:val="left"/>
        <w:rPr>
          <w:rFonts w:cs="宋体" w:asciiTheme="minorEastAsia" w:hAnsiTheme="minorEastAsia"/>
          <w:b/>
          <w:sz w:val="24"/>
          <w:szCs w:val="24"/>
        </w:rPr>
      </w:pPr>
      <w:r>
        <w:rPr>
          <w:rFonts w:cs="宋体" w:asciiTheme="minorEastAsia" w:hAnsiTheme="minorEastAsia"/>
          <w:b/>
          <w:sz w:val="24"/>
          <w:szCs w:val="24"/>
        </w:rPr>
        <w:br w:type="page"/>
      </w:r>
    </w:p>
    <w:p>
      <w:pPr>
        <w:tabs>
          <w:tab w:val="center" w:pos="4832"/>
          <w:tab w:val="left" w:pos="7140"/>
        </w:tabs>
        <w:ind w:firstLine="482"/>
        <w:jc w:val="center"/>
        <w:rPr>
          <w:rFonts w:cs="宋体" w:asciiTheme="minorEastAsia" w:hAnsiTheme="minorEastAsia"/>
          <w:b/>
          <w:sz w:val="24"/>
          <w:szCs w:val="24"/>
        </w:rPr>
      </w:pPr>
      <w:r>
        <w:rPr>
          <w:rFonts w:hint="eastAsia" w:cs="宋体" w:asciiTheme="minorEastAsia" w:hAnsiTheme="minorEastAsia"/>
          <w:b/>
          <w:sz w:val="24"/>
          <w:szCs w:val="24"/>
        </w:rPr>
        <w:t>2.2、投标价格明细表</w:t>
      </w:r>
    </w:p>
    <w:tbl>
      <w:tblPr>
        <w:tblStyle w:val="3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6"/>
        <w:gridCol w:w="1602"/>
        <w:gridCol w:w="982"/>
        <w:gridCol w:w="968"/>
        <w:gridCol w:w="1037"/>
        <w:gridCol w:w="1281"/>
        <w:gridCol w:w="1240"/>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86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0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5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全费用综合单价（元/m²/年）</w:t>
            </w:r>
          </w:p>
        </w:tc>
        <w:tc>
          <w:tcPr>
            <w:tcW w:w="6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合价（元/年）</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3"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民和路</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425</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592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2387</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道路一级（石化）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862"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中兴街步行街</w:t>
            </w: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760</w:t>
            </w: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760</w:t>
            </w:r>
          </w:p>
        </w:tc>
        <w:tc>
          <w:tcPr>
            <w:tcW w:w="5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2017</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w:t>
            </w: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苗圃</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193000</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197404</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备注：</w:t>
      </w:r>
    </w:p>
    <w:p>
      <w:pPr>
        <w:spacing w:line="360" w:lineRule="auto"/>
        <w:jc w:val="left"/>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、名称和数量应按照第四章“技术标准和要求”内容填写。</w:t>
      </w:r>
    </w:p>
    <w:p>
      <w:pPr>
        <w:spacing w:line="360" w:lineRule="auto"/>
        <w:jc w:val="left"/>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、投标人填报价格合计应与投标函载明价格一致，若不一致，应按照第二章评标办法修正原则进行修正。</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3、绿化养护全费用综合单价包含但不限于：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设施维护全费用综合单价包含但不限于：园林建筑（厕所）、园林小品（园灯、导游牌、宣传牌、果皮箱、园桌椅、栏杆、健身器材等）、园路及铺装场地、园艺设施、园林电器设备（主要为广播、景观照明、配电箱、线路等）。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ind w:firstLine="482"/>
        <w:rPr>
          <w:rFonts w:cs="宋体" w:asciiTheme="minorEastAsia" w:hAnsiTheme="minorEastAsia"/>
          <w:b/>
          <w:sz w:val="24"/>
          <w:szCs w:val="24"/>
        </w:rPr>
      </w:pPr>
    </w:p>
    <w:p>
      <w:pPr>
        <w:widowControl/>
        <w:ind w:firstLine="482"/>
        <w:jc w:val="center"/>
        <w:outlineLvl w:val="1"/>
        <w:rPr>
          <w:rFonts w:cs="宋体" w:asciiTheme="minorEastAsia" w:hAnsiTheme="minorEastAsia"/>
          <w:b/>
          <w:kern w:val="0"/>
          <w:sz w:val="24"/>
          <w:szCs w:val="24"/>
        </w:rPr>
      </w:pPr>
      <w:bookmarkStart w:id="82" w:name="_Toc11916"/>
      <w:bookmarkStart w:id="83" w:name="_Toc11101"/>
      <w:r>
        <w:rPr>
          <w:rFonts w:hint="eastAsia" w:cs="宋体" w:asciiTheme="minorEastAsia" w:hAnsiTheme="minorEastAsia"/>
          <w:b/>
          <w:sz w:val="24"/>
          <w:szCs w:val="24"/>
        </w:rPr>
        <w:t>三、</w:t>
      </w:r>
      <w:r>
        <w:rPr>
          <w:rFonts w:hint="eastAsia" w:cs="宋体" w:asciiTheme="minorEastAsia" w:hAnsiTheme="minorEastAsia"/>
          <w:b/>
          <w:kern w:val="0"/>
          <w:sz w:val="24"/>
          <w:szCs w:val="24"/>
        </w:rPr>
        <w:t>反商业贿赂承诺书</w:t>
      </w:r>
      <w:bookmarkEnd w:id="82"/>
      <w:bookmarkEnd w:id="83"/>
    </w:p>
    <w:p>
      <w:pPr>
        <w:widowControl/>
        <w:rPr>
          <w:rFonts w:cs="宋体" w:asciiTheme="minorEastAsia" w:hAnsiTheme="minorEastAsia"/>
          <w:kern w:val="0"/>
          <w:sz w:val="24"/>
          <w:szCs w:val="24"/>
        </w:rPr>
      </w:pP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我公司承诺在</w:t>
      </w:r>
      <w:r>
        <w:rPr>
          <w:rFonts w:hint="eastAsia" w:cs="宋体" w:asciiTheme="minorEastAsia" w:hAnsiTheme="minorEastAsia"/>
          <w:kern w:val="0"/>
          <w:sz w:val="24"/>
          <w:szCs w:val="24"/>
          <w:u w:val="single"/>
        </w:rPr>
        <w:t>（标段编号、标段名称）</w:t>
      </w:r>
      <w:r>
        <w:rPr>
          <w:rFonts w:hint="eastAsia" w:cs="宋体" w:asciiTheme="minorEastAsia" w:hAnsiTheme="minorEastAsia"/>
          <w:kern w:val="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（全称）（盖章）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hint="eastAsia" w:asciiTheme="minorEastAsia" w:hAnsiTheme="minorEastAsia"/>
          <w:sz w:val="24"/>
          <w:szCs w:val="24"/>
          <w:u w:val="single"/>
        </w:rPr>
        <w:t xml:space="preserve">    </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tabs>
          <w:tab w:val="center" w:pos="4832"/>
          <w:tab w:val="left" w:pos="7140"/>
        </w:tabs>
        <w:jc w:val="left"/>
        <w:rPr>
          <w:rFonts w:cs="宋体" w:asciiTheme="minorEastAsia" w:hAnsiTheme="minorEastAsia"/>
          <w:kern w:val="0"/>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4" w:name="_Toc14696"/>
      <w:bookmarkStart w:id="85" w:name="_Toc3213"/>
      <w:r>
        <w:rPr>
          <w:rFonts w:hint="eastAsia" w:cs="宋体" w:asciiTheme="minorEastAsia" w:hAnsiTheme="minorEastAsia"/>
          <w:b/>
          <w:sz w:val="24"/>
          <w:szCs w:val="24"/>
        </w:rPr>
        <w:t>四、技术条款偏离表</w:t>
      </w:r>
      <w:bookmarkEnd w:id="84"/>
      <w:bookmarkEnd w:id="85"/>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135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货物名称</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招标文件要求规格</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投标规格</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偏离</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bl>
    <w:p>
      <w:pPr>
        <w:spacing w:line="360" w:lineRule="auto"/>
        <w:ind w:firstLine="475" w:firstLineChars="198"/>
        <w:jc w:val="left"/>
        <w:rPr>
          <w:rFonts w:cs="Times New Roman" w:asciiTheme="minorEastAsia" w:hAnsiTheme="minorEastAsia"/>
          <w:sz w:val="24"/>
          <w:szCs w:val="24"/>
        </w:rPr>
      </w:pPr>
      <w:r>
        <w:rPr>
          <w:rFonts w:hint="eastAsia" w:cs="Times New Roman" w:asciiTheme="minorEastAsia" w:hAnsiTheme="minorEastAsia"/>
          <w:sz w:val="24"/>
          <w:szCs w:val="24"/>
        </w:rPr>
        <w:t>备注：投标人应根据其提供的服务，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6" w:name="_Toc24010"/>
      <w:bookmarkStart w:id="87" w:name="_Toc1092"/>
      <w:r>
        <w:rPr>
          <w:rFonts w:hint="eastAsia" w:cs="宋体" w:asciiTheme="minorEastAsia" w:hAnsiTheme="minorEastAsia"/>
          <w:b/>
          <w:sz w:val="24"/>
          <w:szCs w:val="24"/>
        </w:rPr>
        <w:t>五、商务条款偏离表</w:t>
      </w:r>
      <w:bookmarkEnd w:id="86"/>
      <w:bookmarkEnd w:id="87"/>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2070"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2052"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招标文件的商务条款</w:t>
            </w:r>
          </w:p>
        </w:tc>
        <w:tc>
          <w:tcPr>
            <w:tcW w:w="21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投标文件的商务条款</w:t>
            </w:r>
          </w:p>
        </w:tc>
        <w:tc>
          <w:tcPr>
            <w:tcW w:w="198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bl>
    <w:p>
      <w:pPr>
        <w:spacing w:line="360" w:lineRule="auto"/>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备注：投标人商务条款有差异的，则在此表中列明实际响应的内容提要并加以说明，以便查对。无差异说明表示完全响应。</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8" w:name="_Toc9077"/>
      <w:bookmarkStart w:id="89" w:name="_Toc6713"/>
      <w:r>
        <w:rPr>
          <w:rFonts w:hint="eastAsia" w:cs="宋体" w:asciiTheme="minorEastAsia" w:hAnsiTheme="minorEastAsia"/>
          <w:b/>
          <w:sz w:val="24"/>
          <w:szCs w:val="24"/>
        </w:rPr>
        <w:t>六、法定代表人身份证明书</w:t>
      </w:r>
      <w:bookmarkEnd w:id="88"/>
      <w:bookmarkEnd w:id="89"/>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单位性质：</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地址：</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成立时间：年月日</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经营期限：</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姓名：性别：年龄：职务：系（投标人名称）的法定代表人。</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特此证明。</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附：法定代表人身份证明</w:t>
      </w:r>
    </w:p>
    <w:p>
      <w:pPr>
        <w:widowControl/>
        <w:shd w:val="clear" w:color="auto" w:fill="FFFFFF"/>
        <w:snapToGrid w:val="0"/>
        <w:spacing w:line="384" w:lineRule="auto"/>
        <w:jc w:val="left"/>
        <w:rPr>
          <w:rFonts w:cs="Arial" w:asciiTheme="minorEastAsia" w:hAnsiTheme="minorEastAsia"/>
          <w:kern w:val="0"/>
          <w:sz w:val="24"/>
          <w:szCs w:val="24"/>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身份证复印件（正面）</w:t>
            </w:r>
          </w:p>
        </w:tc>
      </w:tr>
    </w:tbl>
    <w:tbl>
      <w:tblPr>
        <w:tblStyle w:val="34"/>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wordWrap w:val="0"/>
        <w:snapToGrid w:val="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0"/>
          <w:sz w:val="24"/>
          <w:szCs w:val="24"/>
        </w:rPr>
        <w:br w:type="page"/>
      </w:r>
      <w:bookmarkStart w:id="90" w:name="_Toc29933"/>
      <w:bookmarkStart w:id="91" w:name="_Toc13371"/>
      <w:r>
        <w:rPr>
          <w:rFonts w:hint="eastAsia" w:cs="宋体" w:asciiTheme="minorEastAsia" w:hAnsiTheme="minorEastAsia"/>
          <w:b/>
          <w:sz w:val="24"/>
          <w:szCs w:val="24"/>
        </w:rPr>
        <w:t>七、法定代表人授权委托书</w:t>
      </w:r>
      <w:bookmarkEnd w:id="90"/>
      <w:bookmarkEnd w:id="91"/>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本人（姓名）系（投标人名称）的法定代表人，现拟派我单位（姓名）为我方委托代理人。委托代理人根据授权，就（招标标段名称）的投标，以本公司名义处理一切与之有关的事务，其法律后果由我方承担。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cs="Arial" w:asciiTheme="minorEastAsia" w:hAnsiTheme="minorEastAsia"/>
          <w:kern w:val="0"/>
          <w:sz w:val="24"/>
          <w:szCs w:val="24"/>
          <w:u w:val="single"/>
        </w:rPr>
      </w:pPr>
      <w:r>
        <w:rPr>
          <w:rFonts w:hint="eastAsia" w:cs="Arial" w:asciiTheme="minorEastAsia" w:hAnsiTheme="minorEastAsia"/>
          <w:kern w:val="0"/>
          <w:sz w:val="24"/>
          <w:szCs w:val="24"/>
        </w:rPr>
        <w:t>代理人：性别：年龄：</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单位：部门：职务：</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代理人无转委权，特此申明。</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p>
    <w:p>
      <w:pPr>
        <w:widowControl/>
        <w:shd w:val="clear" w:color="auto" w:fill="FFFFFF"/>
        <w:snapToGrid w:val="0"/>
        <w:spacing w:line="384" w:lineRule="auto"/>
        <w:rPr>
          <w:rFonts w:cs="Arial" w:asciiTheme="minorEastAsia" w:hAnsiTheme="minorEastAsia"/>
          <w:kern w:val="0"/>
          <w:sz w:val="24"/>
          <w:szCs w:val="24"/>
        </w:rPr>
      </w:pPr>
      <w:r>
        <w:rPr>
          <w:rFonts w:hint="eastAsia" w:cs="Arial" w:asciiTheme="minorEastAsia" w:hAnsiTheme="minorEastAsia"/>
          <w:kern w:val="0"/>
          <w:sz w:val="24"/>
          <w:szCs w:val="24"/>
        </w:rPr>
        <w:t>附：授权委托人身份证明。</w:t>
      </w:r>
    </w:p>
    <w:tbl>
      <w:tblPr>
        <w:tblStyle w:val="34"/>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代理人身份证复印件（正面）</w:t>
            </w:r>
          </w:p>
        </w:tc>
      </w:tr>
    </w:tbl>
    <w:tbl>
      <w:tblPr>
        <w:tblStyle w:val="34"/>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numPr>
          <w:ilvl w:val="0"/>
          <w:numId w:val="3"/>
        </w:numPr>
        <w:autoSpaceDE w:val="0"/>
        <w:autoSpaceDN w:val="0"/>
        <w:adjustRightInd w:val="0"/>
        <w:spacing w:line="360" w:lineRule="auto"/>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92" w:name="_Toc10311"/>
      <w:bookmarkStart w:id="93" w:name="_Toc6408"/>
      <w:bookmarkStart w:id="94" w:name="_Toc37592795"/>
      <w:r>
        <w:rPr>
          <w:rFonts w:hint="eastAsia" w:cs="宋体" w:asciiTheme="minorEastAsia" w:hAnsiTheme="minorEastAsia"/>
          <w:b/>
          <w:sz w:val="24"/>
          <w:szCs w:val="24"/>
        </w:rPr>
        <w:t>投标人基本情况</w:t>
      </w:r>
      <w:bookmarkEnd w:id="92"/>
      <w:bookmarkEnd w:id="93"/>
    </w:p>
    <w:p>
      <w:pPr>
        <w:pStyle w:val="10"/>
        <w:ind w:firstLine="482"/>
      </w:pPr>
      <w:r>
        <w:rPr>
          <w:rFonts w:hint="eastAsia"/>
        </w:rPr>
        <w:t>1、投标人基本情况表</w:t>
      </w:r>
    </w:p>
    <w:bookmarkEnd w:id="94"/>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投标人名称</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注册地址</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成立时间</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企业性质</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营业执照号</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注册资金</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法定代表人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联系人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传真</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网址</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开户银行</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银行帐号</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职工概况</w:t>
            </w:r>
          </w:p>
        </w:tc>
        <w:tc>
          <w:tcPr>
            <w:tcW w:w="103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职工总数</w:t>
            </w:r>
          </w:p>
        </w:tc>
        <w:tc>
          <w:tcPr>
            <w:tcW w:w="1139" w:type="dxa"/>
            <w:gridSpan w:val="2"/>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其</w:t>
            </w:r>
          </w:p>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w:t>
            </w: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高级职称人员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初级职称人员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姓名</w:t>
            </w: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733"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widowControl/>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经营范围</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bl>
    <w:p>
      <w:pPr>
        <w:pStyle w:val="190"/>
        <w:rPr>
          <w:rFonts w:asciiTheme="minorEastAsia" w:hAnsiTheme="minorEastAsia" w:eastAsiaTheme="minorEastAsia"/>
          <w:sz w:val="24"/>
          <w:szCs w:val="24"/>
        </w:rPr>
      </w:pPr>
      <w:r>
        <w:rPr>
          <w:rFonts w:hint="eastAsia" w:asciiTheme="minorEastAsia" w:hAnsiTheme="minorEastAsia" w:eastAsiaTheme="minorEastAsia"/>
          <w:sz w:val="24"/>
          <w:szCs w:val="24"/>
        </w:rPr>
        <w:t>附件 2-1法人或者其他组织的营业执照等证明文件，自然人的身份证明；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2-2 财务状况报告、依法缴纳税收和社会保障资金的相关证明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2-3具备履行合同所必需的设备和专业技术能力的证明材料(由投标人根据项目需求提供说明材料)</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备注：1）.投标人提供的财务状况报告，包括资产负债表等复印件。 (如投标人为新成立公司的，应提供公司成立之日后的财务报表) </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2）.提供依法缴纳税收和社会保障资金证明材料的复印件。</w:t>
      </w:r>
    </w:p>
    <w:p>
      <w:pPr>
        <w:spacing w:line="360" w:lineRule="auto"/>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2、中小微企业证明文件</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中小企业声明函</w:t>
      </w:r>
      <w:r>
        <w:rPr>
          <w:rFonts w:cs="宋体" w:asciiTheme="minorEastAsia" w:hAnsiTheme="minorEastAsia"/>
          <w:kern w:val="0"/>
          <w:sz w:val="24"/>
          <w:szCs w:val="24"/>
        </w:rPr>
        <w:t>（</w:t>
      </w:r>
      <w:r>
        <w:rPr>
          <w:rFonts w:hint="eastAsia" w:cs="宋体" w:asciiTheme="minorEastAsia" w:hAnsiTheme="minorEastAsia"/>
          <w:kern w:val="0"/>
          <w:sz w:val="24"/>
          <w:szCs w:val="24"/>
        </w:rPr>
        <w:t>工程、</w:t>
      </w:r>
      <w:r>
        <w:rPr>
          <w:rFonts w:cs="宋体" w:asciiTheme="minorEastAsia" w:hAnsiTheme="minorEastAsia"/>
          <w:kern w:val="0"/>
          <w:sz w:val="24"/>
          <w:szCs w:val="24"/>
        </w:rPr>
        <w:t>服务）</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郑重声明，根据《政府采购促进中小企业发展管理办法》（财库</w:t>
      </w:r>
      <w:r>
        <w:rPr>
          <w:rFonts w:hint="eastAsia" w:cs="宋体" w:asciiTheme="minorEastAsia" w:hAnsiTheme="minorEastAsia"/>
          <w:kern w:val="0"/>
          <w:sz w:val="24"/>
          <w:szCs w:val="24"/>
        </w:rPr>
        <w:t>﹝</w:t>
      </w:r>
      <w:r>
        <w:rPr>
          <w:rFonts w:cs="宋体" w:asciiTheme="minorEastAsia" w:hAnsiTheme="minorEastAsia"/>
          <w:kern w:val="0"/>
          <w:sz w:val="24"/>
          <w:szCs w:val="24"/>
        </w:rPr>
        <w:t>2020</w:t>
      </w:r>
      <w:r>
        <w:rPr>
          <w:rFonts w:hint="eastAsia" w:cs="宋体" w:asciiTheme="minorEastAsia" w:hAnsiTheme="minorEastAsia"/>
          <w:kern w:val="0"/>
          <w:sz w:val="24"/>
          <w:szCs w:val="24"/>
        </w:rPr>
        <w:t>﹞</w:t>
      </w:r>
      <w:r>
        <w:rPr>
          <w:rFonts w:cs="宋体" w:asciiTheme="minorEastAsia" w:hAnsiTheme="minorEastAsia"/>
          <w:kern w:val="0"/>
          <w:sz w:val="24"/>
          <w:szCs w:val="24"/>
        </w:rPr>
        <w:t>46 号）的规定，本公司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参加</w:t>
      </w:r>
      <w:r>
        <w:rPr>
          <w:rFonts w:cs="宋体" w:asciiTheme="minorEastAsia" w:hAnsiTheme="minorEastAsia"/>
          <w:kern w:val="0"/>
          <w:sz w:val="24"/>
          <w:szCs w:val="24"/>
          <w:u w:val="single"/>
        </w:rPr>
        <w:t>（单位名称）</w:t>
      </w:r>
      <w:r>
        <w:rPr>
          <w:rFonts w:cs="宋体" w:asciiTheme="minorEastAsia" w:hAnsiTheme="minorEastAsia"/>
          <w:kern w:val="0"/>
          <w:sz w:val="24"/>
          <w:szCs w:val="24"/>
        </w:rPr>
        <w:t>的</w:t>
      </w:r>
      <w:r>
        <w:rPr>
          <w:rFonts w:cs="宋体" w:asciiTheme="minorEastAsia" w:hAnsiTheme="minorEastAsia"/>
          <w:kern w:val="0"/>
          <w:sz w:val="24"/>
          <w:szCs w:val="24"/>
          <w:u w:val="single"/>
        </w:rPr>
        <w:t>（项目名称）</w:t>
      </w:r>
      <w:r>
        <w:rPr>
          <w:rFonts w:cs="宋体" w:asciiTheme="minorEastAsia" w:hAnsi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w:t>
      </w:r>
      <w:r>
        <w:rPr>
          <w:rFonts w:hint="eastAsia" w:cs="宋体" w:asciiTheme="minorEastAsia" w:hAnsiTheme="minorEastAsia"/>
          <w:kern w:val="0"/>
          <w:sz w:val="24"/>
          <w:szCs w:val="24"/>
          <w:u w:val="single"/>
        </w:rPr>
        <w:t>其他未列明行业</w:t>
      </w:r>
      <w:r>
        <w:rPr>
          <w:rFonts w:cs="宋体" w:asciiTheme="minorEastAsia" w:hAnsiTheme="minorEastAsia"/>
          <w:kern w:val="0"/>
          <w:sz w:val="24"/>
          <w:szCs w:val="24"/>
          <w:u w:val="single"/>
        </w:rPr>
        <w:t>）</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（采购文件中明确的所属行业）</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w:t>
      </w:r>
    </w:p>
    <w:p>
      <w:pPr>
        <w:spacing w:line="360" w:lineRule="auto"/>
        <w:rPr>
          <w:rFonts w:cs="宋体" w:asciiTheme="minorEastAsia" w:hAnsiTheme="minorEastAsia"/>
          <w:color w:val="FF0000"/>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color w:val="FF0000"/>
          <w:kern w:val="0"/>
          <w:sz w:val="24"/>
          <w:szCs w:val="24"/>
        </w:rPr>
        <w:t xml:space="preserve"> </w:t>
      </w:r>
    </w:p>
    <w:p>
      <w:pPr>
        <w:pStyle w:val="191"/>
        <w:ind w:firstLine="480"/>
        <w:rPr>
          <w:rFonts w:cs="宋体" w:asciiTheme="minorEastAsia" w:hAnsiTheme="minorEastAsia"/>
          <w:color w:val="FF0000"/>
          <w:kern w:val="0"/>
          <w:sz w:val="24"/>
          <w:szCs w:val="24"/>
        </w:rPr>
      </w:pPr>
    </w:p>
    <w:p>
      <w:pPr>
        <w:pStyle w:val="191"/>
        <w:ind w:firstLine="480"/>
        <w:rPr>
          <w:rFonts w:cs="宋体" w:asciiTheme="minorEastAsia" w:hAnsiTheme="minorEastAsia"/>
          <w:color w:val="FF0000"/>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本企业对上述声明内容的真实性负责。如有虚假，将依法承担相应责任。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供应商</w:t>
      </w:r>
      <w:r>
        <w:rPr>
          <w:rFonts w:cs="宋体" w:asciiTheme="minorEastAsia" w:hAnsiTheme="minorEastAsia"/>
          <w:kern w:val="0"/>
          <w:sz w:val="24"/>
          <w:szCs w:val="24"/>
        </w:rPr>
        <w:t>名称（盖章）：</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日期：</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、填写前请认真阅读《工业和信息化部、国家统计局、国家发展和改革委员会、财政部关于印发中小企业划型标准规定的通知》（工信部联企业</w:t>
      </w:r>
      <w:r>
        <w:rPr>
          <w:rFonts w:cs="宋体" w:asciiTheme="minorEastAsia" w:hAnsiTheme="minorEastAsia"/>
          <w:kern w:val="0"/>
          <w:sz w:val="24"/>
          <w:szCs w:val="24"/>
        </w:rPr>
        <w:t xml:space="preserve">[2011]300 </w:t>
      </w:r>
      <w:r>
        <w:rPr>
          <w:rFonts w:hint="eastAsia" w:cs="宋体" w:asciiTheme="minorEastAsia" w:hAnsiTheme="minorEastAsia"/>
          <w:kern w:val="0"/>
          <w:sz w:val="24"/>
          <w:szCs w:val="24"/>
        </w:rPr>
        <w:t>号）和《财政部工业和信息化部关于印发</w:t>
      </w:r>
      <w:r>
        <w:rPr>
          <w:rFonts w:cs="宋体" w:asciiTheme="minorEastAsia" w:hAnsiTheme="minorEastAsia"/>
          <w:kern w:val="0"/>
          <w:sz w:val="24"/>
          <w:szCs w:val="24"/>
        </w:rPr>
        <w:t>《政府采购促进中小企业发展管理办法》(</w:t>
      </w:r>
      <w:r>
        <w:rPr>
          <w:rFonts w:hint="eastAsia" w:cs="宋体" w:asciiTheme="minorEastAsia" w:hAnsiTheme="minorEastAsia"/>
          <w:kern w:val="0"/>
          <w:sz w:val="24"/>
          <w:szCs w:val="24"/>
        </w:rPr>
        <w:t>财库</w:t>
      </w:r>
      <w:r>
        <w:rPr>
          <w:rFonts w:cs="宋体" w:asciiTheme="minorEastAsia" w:hAnsiTheme="minorEastAsia"/>
          <w:kern w:val="0"/>
          <w:sz w:val="24"/>
          <w:szCs w:val="24"/>
        </w:rPr>
        <w:t>[20</w:t>
      </w:r>
      <w:r>
        <w:rPr>
          <w:rFonts w:hint="eastAsia" w:cs="宋体" w:asciiTheme="minorEastAsia" w:hAnsiTheme="minorEastAsia"/>
          <w:kern w:val="0"/>
          <w:sz w:val="24"/>
          <w:szCs w:val="24"/>
        </w:rPr>
        <w:t>20</w:t>
      </w:r>
      <w:r>
        <w:rPr>
          <w:rFonts w:cs="宋体" w:asciiTheme="minorEastAsia" w:hAnsiTheme="minorEastAsia"/>
          <w:kern w:val="0"/>
          <w:sz w:val="24"/>
          <w:szCs w:val="24"/>
        </w:rPr>
        <w:t>]</w:t>
      </w:r>
      <w:r>
        <w:rPr>
          <w:rFonts w:hint="eastAsia" w:cs="宋体" w:asciiTheme="minorEastAsia" w:hAnsiTheme="minorEastAsia"/>
          <w:kern w:val="0"/>
          <w:sz w:val="24"/>
          <w:szCs w:val="24"/>
        </w:rPr>
        <w:t>46号</w:t>
      </w:r>
      <w:r>
        <w:rPr>
          <w:rFonts w:cs="宋体" w:asciiTheme="minorEastAsia" w:hAnsiTheme="minorEastAsia"/>
          <w:kern w:val="0"/>
          <w:sz w:val="24"/>
          <w:szCs w:val="24"/>
        </w:rPr>
        <w:t>)</w:t>
      </w:r>
      <w:r>
        <w:rPr>
          <w:rFonts w:hint="eastAsia" w:cs="宋体" w:asciiTheme="minorEastAsia" w:hAnsiTheme="minorEastAsia"/>
          <w:kern w:val="0"/>
          <w:sz w:val="24"/>
          <w:szCs w:val="24"/>
        </w:rPr>
        <w:t>相关规定。</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、从业人员、营业收入、资产总额填报上一年度数据，无上一年度数据的新成立企业可不填报。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残疾人福利性单位声明函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本单位郑重声明，根据《财政部民政部中国残疾人联合会关于促进残疾人就业政府采购政策的通知》（财库〔</w:t>
      </w:r>
      <w:r>
        <w:rPr>
          <w:rFonts w:cs="宋体" w:asciiTheme="minorEastAsia" w:hAnsiTheme="minorEastAsia"/>
          <w:kern w:val="0"/>
          <w:sz w:val="24"/>
          <w:szCs w:val="24"/>
        </w:rPr>
        <w:t>2017</w:t>
      </w:r>
      <w:r>
        <w:rPr>
          <w:rFonts w:hint="eastAsia" w:cs="宋体" w:asciiTheme="minorEastAsia" w:hAnsiTheme="minorEastAsia"/>
          <w:kern w:val="0"/>
          <w:sz w:val="24"/>
          <w:szCs w:val="24"/>
        </w:rPr>
        <w:t>〕</w:t>
      </w:r>
      <w:r>
        <w:rPr>
          <w:rFonts w:cs="宋体" w:asciiTheme="minorEastAsia" w:hAnsiTheme="minorEastAsia"/>
          <w:kern w:val="0"/>
          <w:sz w:val="24"/>
          <w:szCs w:val="24"/>
        </w:rPr>
        <w:t>141</w:t>
      </w:r>
      <w:r>
        <w:rPr>
          <w:rFonts w:hint="eastAsia" w:cs="宋体" w:asciiTheme="minorEastAsia" w:hAnsiTheme="minorEastAsia"/>
          <w:kern w:val="0"/>
          <w:sz w:val="24"/>
          <w:szCs w:val="24"/>
        </w:rPr>
        <w:t>号）的规定，本单位为符合条件的残疾人福利性单位，且本单位参加</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单位的</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项目采购活动提供本单位制造的货物（由本单位承担工程</w:t>
      </w:r>
      <w:r>
        <w:rPr>
          <w:rFonts w:cs="宋体" w:asciiTheme="minorEastAsia" w:hAnsiTheme="minorEastAsia"/>
          <w:kern w:val="0"/>
          <w:sz w:val="24"/>
          <w:szCs w:val="24"/>
        </w:rPr>
        <w:t>/</w:t>
      </w:r>
      <w:r>
        <w:rPr>
          <w:rFonts w:hint="eastAsia" w:cs="宋体" w:asciiTheme="minorEastAsia" w:hAnsiTheme="minorEastAsia"/>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本单位对上述声明的真实性负责。如有虚假，将依法承担相应责任。</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spacing w:line="360" w:lineRule="auto"/>
        <w:ind w:firstLine="480" w:firstLineChars="200"/>
        <w:jc w:val="center"/>
        <w:rPr>
          <w:rFonts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asciiTheme="minorEastAsia" w:hAnsiTheme="minorEastAsia"/>
          <w:kern w:val="0"/>
          <w:sz w:val="24"/>
          <w:szCs w:val="24"/>
        </w:rPr>
        <w:t>监狱企业声明函</w:t>
      </w:r>
    </w:p>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（监狱企业适用）</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本公司郑重声明，根据《关于政府采购支持监狱企业发展有关问题的通知》（财库[2014]68号）的规定，本公司为监狱企业。</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本公司参加______单位的______项目采购活动，采购活动提供本企业（填写制造的货物，由本企业承担工程、提供服务）。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本条所称货物不包括使用大型企业注册商标的货物和服务。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本公司对上述声明的真实性负责。如有虚假，将依法承担相应责任。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3、投标保证金提交证明</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288" w:type="dxa"/>
            <w:vAlign w:val="center"/>
          </w:tcPr>
          <w:p>
            <w:pPr>
              <w:autoSpaceDE w:val="0"/>
              <w:autoSpaceDN w:val="0"/>
              <w:adjustRightInd w:val="0"/>
              <w:spacing w:line="360" w:lineRule="auto"/>
              <w:jc w:val="center"/>
              <w:rPr>
                <w:rFonts w:cs="宋体" w:asciiTheme="minorEastAsia" w:hAnsiTheme="minorEastAsia"/>
                <w:kern w:val="0"/>
                <w:sz w:val="24"/>
                <w:szCs w:val="24"/>
              </w:rPr>
            </w:pPr>
            <w:bookmarkStart w:id="95" w:name="OLE_LINK2"/>
            <w:bookmarkStart w:id="96" w:name="OLE_LINK1"/>
            <w:r>
              <w:rPr>
                <w:rFonts w:hint="eastAsia" w:cs="宋体" w:asciiTheme="minorEastAsia" w:hAnsiTheme="minorEastAsia"/>
                <w:kern w:val="0"/>
                <w:sz w:val="24"/>
                <w:szCs w:val="24"/>
              </w:rPr>
              <w:t>投标保证金电汇、网银缴纳凭证复印件</w:t>
            </w:r>
            <w:bookmarkEnd w:id="95"/>
            <w:bookmarkEnd w:id="96"/>
          </w:p>
        </w:tc>
      </w:tr>
    </w:tbl>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（投标人须将投标保证金电汇、网银缴纳凭证复印件附在此处）</w:t>
      </w:r>
    </w:p>
    <w:p>
      <w:pPr>
        <w:ind w:firstLine="482"/>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cs="宋体" w:asciiTheme="minorEastAsia" w:hAnsiTheme="minorEastAsia"/>
          <w:b/>
          <w:bCs/>
          <w:kern w:val="0"/>
          <w:sz w:val="24"/>
          <w:szCs w:val="24"/>
        </w:rPr>
        <w:t>4</w:t>
      </w:r>
      <w:r>
        <w:rPr>
          <w:rFonts w:hint="eastAsia" w:cs="宋体" w:asciiTheme="minorEastAsia" w:hAnsiTheme="minorEastAsia"/>
          <w:b/>
          <w:bCs/>
          <w:kern w:val="0"/>
          <w:sz w:val="24"/>
          <w:szCs w:val="24"/>
        </w:rPr>
        <w:t>、信用查询文件</w:t>
      </w:r>
    </w:p>
    <w:p>
      <w:pPr>
        <w:pStyle w:val="14"/>
        <w:spacing w:line="360" w:lineRule="auto"/>
        <w:ind w:firstLine="480" w:firstLineChars="2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4.1参加政府采购活动前三年内在经营活动中</w:t>
      </w:r>
    </w:p>
    <w:p>
      <w:pPr>
        <w:pStyle w:val="14"/>
        <w:spacing w:line="360" w:lineRule="auto"/>
        <w:ind w:firstLine="480" w:firstLineChars="200"/>
        <w:jc w:val="cente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没有重大违法记录</w:t>
      </w:r>
    </w:p>
    <w:p>
      <w:pPr>
        <w:pStyle w:val="14"/>
        <w:spacing w:line="360" w:lineRule="auto"/>
        <w:ind w:firstLine="480" w:firstLineChars="200"/>
        <w:rPr>
          <w:rFonts w:asciiTheme="minorEastAsia" w:hAnsiTheme="minorEastAsia" w:eastAsiaTheme="minorEastAsia"/>
          <w:sz w:val="24"/>
          <w:szCs w:val="24"/>
        </w:rPr>
      </w:pPr>
    </w:p>
    <w:p>
      <w:pPr>
        <w:pStyle w:val="14"/>
        <w:spacing w:line="360" w:lineRule="auto"/>
        <w:ind w:firstLine="400" w:firstLineChars="200"/>
        <w:rPr>
          <w:rFonts w:asciiTheme="minorEastAsia" w:hAnsiTheme="minorEastAsia" w:eastAsiaTheme="minorEastAsia"/>
          <w:sz w:val="20"/>
        </w:rPr>
      </w:pPr>
    </w:p>
    <w:p>
      <w:pPr>
        <w:pStyle w:val="14"/>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rPr>
        <w:t>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）。查询时间为自公告发布之日起至投标文件递交截止时间止（该时间段内任一时间）。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pStyle w:val="14"/>
        <w:ind w:firstLine="420" w:firstLineChars="200"/>
        <w:rPr>
          <w:rFonts w:asciiTheme="minorEastAsia" w:hAnsiTheme="minorEastAsia" w:eastAsiaTheme="minorEastAsia"/>
        </w:rPr>
      </w:pPr>
    </w:p>
    <w:p>
      <w:pPr>
        <w:pStyle w:val="14"/>
        <w:rPr>
          <w:rFonts w:asciiTheme="minorEastAsia" w:hAnsiTheme="minorEastAsia" w:eastAsiaTheme="minorEastAsia"/>
        </w:rPr>
      </w:pPr>
    </w:p>
    <w:p>
      <w:pPr>
        <w:pStyle w:val="14"/>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4.2无不良信用记录</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）查询时间为自公告发布之日起至投标文件递交截止时间止（该时间段内任一时间）。</w:t>
      </w: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4.3无行贿犯罪</w:t>
      </w:r>
    </w:p>
    <w:p>
      <w:pPr>
        <w:rPr>
          <w:rFonts w:cs="宋体" w:asciiTheme="minorEastAsia" w:hAnsiTheme="minorEastAsia"/>
          <w:color w:val="auto"/>
          <w:kern w:val="0"/>
          <w:sz w:val="24"/>
          <w:szCs w:val="24"/>
        </w:rPr>
      </w:pPr>
    </w:p>
    <w:p>
      <w:pPr>
        <w:pStyle w:val="10"/>
        <w:ind w:firstLine="482"/>
        <w:rPr>
          <w:color w:val="auto"/>
        </w:rPr>
      </w:pP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注：附网页查询后的截图证明</w:t>
      </w:r>
    </w:p>
    <w:p>
      <w:pPr>
        <w:pStyle w:val="10"/>
        <w:ind w:firstLine="482"/>
      </w:pPr>
      <w:r>
        <w:rPr>
          <w:rFonts w:hint="eastAsia"/>
        </w:rPr>
        <w:t>查询渠道为：</w:t>
      </w:r>
      <w:r>
        <w:rPr>
          <w:rFonts w:hint="eastAsia"/>
          <w:bCs/>
        </w:rPr>
        <w:t>“中国裁判文书网”</w:t>
      </w:r>
      <w:r>
        <w:rPr>
          <w:rFonts w:hint="eastAsia"/>
        </w:rPr>
        <w:t>（http://wenshu.court.gov.cn）查询时间为自公告发布之日起至投标文件递交截止时间止（该时间段内任一时间）。</w:t>
      </w:r>
    </w:p>
    <w:p>
      <w:pPr>
        <w:rPr>
          <w:rFonts w:cs="Arial" w:asciiTheme="minorEastAsia" w:hAnsiTheme="minorEastAsia"/>
          <w:kern w:val="0"/>
          <w:sz w:val="24"/>
          <w:szCs w:val="24"/>
        </w:rPr>
      </w:pPr>
    </w:p>
    <w:p>
      <w:pPr>
        <w:ind w:firstLine="482"/>
        <w:rPr>
          <w:rFonts w:cs="宋体" w:asciiTheme="minorEastAsia" w:hAnsiTheme="minorEastAsia"/>
          <w:b/>
          <w:sz w:val="24"/>
          <w:szCs w:val="24"/>
        </w:rPr>
      </w:pPr>
      <w:bookmarkStart w:id="97" w:name="_Toc504493189"/>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98" w:name="_Toc16085"/>
      <w:r>
        <w:rPr>
          <w:rFonts w:hint="eastAsia" w:cs="宋体" w:asciiTheme="minorEastAsia" w:hAnsiTheme="minorEastAsia"/>
          <w:b/>
          <w:sz w:val="24"/>
          <w:szCs w:val="24"/>
        </w:rPr>
        <w:t>九、</w:t>
      </w:r>
      <w:bookmarkEnd w:id="97"/>
      <w:r>
        <w:rPr>
          <w:rFonts w:hint="eastAsia" w:cs="宋体" w:asciiTheme="minorEastAsia" w:hAnsiTheme="minorEastAsia"/>
          <w:b/>
          <w:sz w:val="24"/>
          <w:szCs w:val="24"/>
        </w:rPr>
        <w:t>投标人近年类似项目情况表</w:t>
      </w:r>
      <w:bookmarkEnd w:id="98"/>
    </w:p>
    <w:tbl>
      <w:tblPr>
        <w:tblStyle w:val="34"/>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项目名称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采购人地址</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采购人联系人及电话</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绿化养护面积</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养护周期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签约日期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合同价格</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备注</w:t>
            </w:r>
          </w:p>
        </w:tc>
        <w:tc>
          <w:tcPr>
            <w:tcW w:w="6148" w:type="dxa"/>
            <w:vAlign w:val="center"/>
          </w:tcPr>
          <w:p>
            <w:pPr>
              <w:jc w:val="center"/>
              <w:rPr>
                <w:rFonts w:cs="Times New Roman" w:asciiTheme="minorEastAsia" w:hAnsiTheme="minorEastAsia"/>
                <w:sz w:val="24"/>
                <w:szCs w:val="24"/>
              </w:rPr>
            </w:pPr>
          </w:p>
        </w:tc>
      </w:tr>
    </w:tbl>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备注：</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1、本表后须附类似业绩的证明资料（中标通知书或合同复印件）</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2、具体年份要求： 2020年1月1日至今</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3、每张表格只填写一个项目的信息，并注明序号。</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br w:type="page"/>
      </w:r>
    </w:p>
    <w:p>
      <w:pPr>
        <w:widowControl/>
        <w:ind w:firstLine="482"/>
        <w:jc w:val="center"/>
        <w:outlineLvl w:val="1"/>
        <w:rPr>
          <w:rFonts w:cs="宋体" w:asciiTheme="minorEastAsia" w:hAnsiTheme="minorEastAsia"/>
          <w:color w:val="000000" w:themeColor="text1"/>
          <w:kern w:val="0"/>
          <w:sz w:val="24"/>
          <w:szCs w:val="24"/>
          <w14:textFill>
            <w14:solidFill>
              <w14:schemeClr w14:val="tx1"/>
            </w14:solidFill>
          </w14:textFill>
        </w:rPr>
      </w:pPr>
      <w:bookmarkStart w:id="99" w:name="_Toc24562"/>
      <w:bookmarkStart w:id="100" w:name="_Toc5810"/>
      <w:bookmarkStart w:id="101" w:name="_Toc19094"/>
      <w:bookmarkStart w:id="102" w:name="_Toc19134"/>
      <w:r>
        <w:rPr>
          <w:rFonts w:hint="eastAsia" w:cs="宋体" w:asciiTheme="minorEastAsia" w:hAnsiTheme="minorEastAsia"/>
          <w:b/>
          <w:bCs/>
          <w:color w:val="000000" w:themeColor="text1"/>
          <w:sz w:val="24"/>
          <w:szCs w:val="24"/>
          <w14:textFill>
            <w14:solidFill>
              <w14:schemeClr w14:val="tx1"/>
            </w14:solidFill>
          </w14:textFill>
        </w:rPr>
        <w:t>十、拟投入本项目主要</w:t>
      </w:r>
      <w:bookmarkEnd w:id="99"/>
      <w:bookmarkEnd w:id="100"/>
      <w:bookmarkEnd w:id="101"/>
      <w:r>
        <w:rPr>
          <w:rFonts w:hint="eastAsia" w:cs="宋体" w:asciiTheme="minorEastAsia" w:hAnsiTheme="minorEastAsia"/>
          <w:b/>
          <w:bCs/>
          <w:color w:val="000000" w:themeColor="text1"/>
          <w:sz w:val="24"/>
          <w:szCs w:val="24"/>
          <w14:textFill>
            <w14:solidFill>
              <w14:schemeClr w14:val="tx1"/>
            </w14:solidFill>
          </w14:textFill>
        </w:rPr>
        <w:t>机械设备</w:t>
      </w:r>
      <w:bookmarkEnd w:id="102"/>
    </w:p>
    <w:p>
      <w:pPr>
        <w:spacing w:line="440" w:lineRule="exact"/>
        <w:ind w:firstLine="482" w:firstLineChars="200"/>
        <w:rPr>
          <w:rFonts w:asciiTheme="minorEastAsia" w:hAnsiTheme="minorEastAsia"/>
          <w:b/>
          <w:bCs/>
          <w:sz w:val="24"/>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r>
              <w:rPr>
                <w:rFonts w:hint="eastAsia" w:asciiTheme="minorEastAsia" w:hAnsiTheme="minorEastAsia"/>
                <w:sz w:val="24"/>
              </w:rPr>
              <w:t>序号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机械/设备名称</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型号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数量</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t>备注：作业车辆证明需提供自有发票或租赁合同、行驶证及车辆实物照（附牌照号）复印件。</w:t>
      </w: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Arial" w:asciiTheme="minorEastAsia" w:hAnsiTheme="minorEastAsia"/>
          <w:kern w:val="0"/>
          <w:sz w:val="24"/>
          <w:szCs w:val="24"/>
        </w:rPr>
      </w:pPr>
      <w:bookmarkStart w:id="103" w:name="_Toc326"/>
      <w:r>
        <w:rPr>
          <w:rFonts w:hint="eastAsia" w:cs="宋体" w:asciiTheme="minorEastAsia" w:hAnsiTheme="minorEastAsia"/>
          <w:b/>
          <w:sz w:val="24"/>
          <w:szCs w:val="24"/>
        </w:rPr>
        <w:t>十一、项目负责人简历表</w:t>
      </w:r>
      <w:bookmarkEnd w:id="103"/>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姓名</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性别</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职称</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学历</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sz w:val="24"/>
                <w:szCs w:val="24"/>
              </w:rPr>
            </w:pPr>
            <w:r>
              <w:rPr>
                <w:rFonts w:hint="eastAsia" w:cs="宋体" w:asciiTheme="minorEastAsia" w:hAnsiTheme="minorEastAsia"/>
                <w:sz w:val="24"/>
                <w:szCs w:val="24"/>
              </w:rPr>
              <w:t>参加工作时间</w:t>
            </w:r>
          </w:p>
        </w:tc>
        <w:tc>
          <w:tcPr>
            <w:tcW w:w="2798" w:type="dxa"/>
            <w:gridSpan w:val="2"/>
            <w:vAlign w:val="center"/>
          </w:tcPr>
          <w:p>
            <w:pPr>
              <w:rPr>
                <w:rFonts w:cs="宋体" w:asciiTheme="minorEastAsia" w:hAnsiTheme="minorEastAsia"/>
                <w:sz w:val="24"/>
                <w:szCs w:val="24"/>
              </w:rPr>
            </w:pPr>
          </w:p>
        </w:tc>
        <w:tc>
          <w:tcPr>
            <w:tcW w:w="1935" w:type="dxa"/>
            <w:gridSpan w:val="2"/>
            <w:vAlign w:val="center"/>
          </w:tcPr>
          <w:p>
            <w:pPr>
              <w:rPr>
                <w:rFonts w:cs="宋体" w:asciiTheme="minorEastAsia" w:hAnsiTheme="minorEastAsia"/>
                <w:sz w:val="24"/>
                <w:szCs w:val="24"/>
              </w:rPr>
            </w:pPr>
            <w:r>
              <w:rPr>
                <w:rFonts w:hint="eastAsia" w:cs="宋体" w:asciiTheme="minorEastAsia" w:hAnsiTheme="minorEastAsia"/>
                <w:sz w:val="24"/>
                <w:szCs w:val="24"/>
              </w:rPr>
              <w:t>从事项目管理工作年限</w:t>
            </w:r>
          </w:p>
        </w:tc>
        <w:tc>
          <w:tcPr>
            <w:tcW w:w="2639" w:type="dxa"/>
            <w:gridSpan w:val="2"/>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专业</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毕业学校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身份证号码</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在公司担任职务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执业资格</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证书编号</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固定电话</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手机号码</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80" w:type="dxa"/>
            <w:vMerge w:val="restart"/>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近三年</w:t>
            </w:r>
            <w:r>
              <w:rPr>
                <w:rFonts w:hint="eastAsia" w:cs="宋体" w:asciiTheme="minorEastAsia" w:hAnsiTheme="minorEastAsia"/>
                <w:color w:val="000000"/>
                <w:sz w:val="24"/>
                <w:szCs w:val="24"/>
              </w:rPr>
              <w:t>类似业绩</w:t>
            </w:r>
          </w:p>
        </w:tc>
        <w:tc>
          <w:tcPr>
            <w:tcW w:w="1568"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业主单位</w:t>
            </w:r>
          </w:p>
        </w:tc>
        <w:tc>
          <w:tcPr>
            <w:tcW w:w="1583" w:type="dxa"/>
            <w:gridSpan w:val="2"/>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项目名称</w:t>
            </w:r>
          </w:p>
        </w:tc>
        <w:tc>
          <w:tcPr>
            <w:tcW w:w="1582"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项目规模</w:t>
            </w:r>
          </w:p>
        </w:tc>
        <w:tc>
          <w:tcPr>
            <w:tcW w:w="1583"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履约时间</w:t>
            </w:r>
          </w:p>
        </w:tc>
        <w:tc>
          <w:tcPr>
            <w:tcW w:w="105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bl>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w:t>
      </w:r>
      <w:r>
        <w:rPr>
          <w:rFonts w:hint="eastAsia" w:asciiTheme="minorEastAsia" w:hAnsiTheme="minorEastAsia"/>
          <w:bCs/>
          <w:sz w:val="24"/>
          <w:szCs w:val="24"/>
        </w:rPr>
        <w:t>项目负责人应附</w:t>
      </w:r>
      <w:r>
        <w:rPr>
          <w:rFonts w:hint="eastAsia" w:asciiTheme="minorEastAsia" w:hAnsiTheme="minorEastAsia" w:cstheme="minorEastAsia"/>
          <w:sz w:val="24"/>
          <w:szCs w:val="24"/>
        </w:rPr>
        <w:t>聘用合同、身份证复印件扫描件等</w:t>
      </w:r>
    </w:p>
    <w:p>
      <w:pPr>
        <w:widowControl/>
        <w:shd w:val="clear" w:color="auto" w:fill="FFFFFF"/>
        <w:snapToGrid w:val="0"/>
        <w:ind w:firstLine="480" w:firstLineChars="200"/>
        <w:jc w:val="left"/>
        <w:rPr>
          <w:rFonts w:cs="Arial" w:asciiTheme="minorEastAsia" w:hAnsiTheme="minorEastAsia"/>
          <w:kern w:val="0"/>
          <w:sz w:val="24"/>
          <w:szCs w:val="24"/>
        </w:rPr>
      </w:pPr>
      <w:r>
        <w:rPr>
          <w:rFonts w:hint="eastAsia" w:asciiTheme="minorEastAsia" w:hAnsiTheme="minorEastAsia"/>
          <w:color w:val="000000"/>
          <w:sz w:val="24"/>
          <w:szCs w:val="24"/>
        </w:rPr>
        <w:t>2、项目负责人近3年类似业绩应</w:t>
      </w:r>
      <w:r>
        <w:rPr>
          <w:rFonts w:hint="eastAsia" w:cs="宋体" w:asciiTheme="minorEastAsia" w:hAnsiTheme="minorEastAsia"/>
          <w:sz w:val="24"/>
          <w:szCs w:val="24"/>
        </w:rPr>
        <w:t>附</w:t>
      </w:r>
      <w:r>
        <w:rPr>
          <w:rFonts w:hint="eastAsia" w:asciiTheme="minorEastAsia" w:hAnsiTheme="minorEastAsia"/>
          <w:color w:val="000000"/>
          <w:sz w:val="24"/>
          <w:szCs w:val="24"/>
        </w:rPr>
        <w:t>中标通知书或合同复印件。</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Arial" w:asciiTheme="minorEastAsia" w:hAnsiTheme="minorEastAsia"/>
          <w:kern w:val="0"/>
          <w:sz w:val="24"/>
          <w:szCs w:val="24"/>
        </w:rPr>
      </w:pPr>
      <w:r>
        <w:rPr>
          <w:rFonts w:cs="Arial" w:asciiTheme="minorEastAsia" w:hAnsiTheme="minorEastAsia"/>
          <w:b/>
          <w:bCs/>
          <w:kern w:val="0"/>
          <w:sz w:val="24"/>
          <w:szCs w:val="24"/>
        </w:rPr>
        <w:br w:type="page"/>
      </w:r>
      <w:bookmarkStart w:id="104" w:name="_Toc6227"/>
      <w:r>
        <w:rPr>
          <w:rFonts w:hint="eastAsia" w:cs="Arial" w:asciiTheme="minorEastAsia" w:hAnsiTheme="minorEastAsia"/>
          <w:b/>
          <w:bCs/>
          <w:kern w:val="0"/>
          <w:sz w:val="24"/>
          <w:szCs w:val="24"/>
        </w:rPr>
        <w:t>十二</w:t>
      </w:r>
      <w:r>
        <w:rPr>
          <w:rFonts w:hint="eastAsia" w:cs="宋体" w:asciiTheme="minorEastAsia" w:hAnsiTheme="minorEastAsia"/>
          <w:b/>
          <w:sz w:val="24"/>
          <w:szCs w:val="24"/>
        </w:rPr>
        <w:t>、拟投入人员配置表</w:t>
      </w:r>
      <w:bookmarkEnd w:id="104"/>
    </w:p>
    <w:tbl>
      <w:tblPr>
        <w:tblStyle w:val="3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姓名</w:t>
            </w:r>
          </w:p>
        </w:tc>
        <w:tc>
          <w:tcPr>
            <w:tcW w:w="116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身份证号码</w:t>
            </w:r>
          </w:p>
        </w:tc>
        <w:tc>
          <w:tcPr>
            <w:tcW w:w="114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性别</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职称</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学历</w:t>
            </w:r>
          </w:p>
        </w:tc>
        <w:tc>
          <w:tcPr>
            <w:tcW w:w="114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专业</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从事该岗位年限</w:t>
            </w:r>
          </w:p>
        </w:tc>
        <w:tc>
          <w:tcPr>
            <w:tcW w:w="113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bl>
    <w:p>
      <w:pPr>
        <w:widowControl/>
        <w:shd w:val="clear" w:color="auto" w:fill="FFFFFF"/>
        <w:wordWrap w:val="0"/>
        <w:snapToGrid w:val="0"/>
        <w:spacing w:line="384" w:lineRule="auto"/>
        <w:ind w:firstLine="480"/>
        <w:jc w:val="left"/>
        <w:rPr>
          <w:rFonts w:cs="Arial" w:asciiTheme="minorEastAsia" w:hAnsiTheme="minorEastAsia"/>
          <w:kern w:val="0"/>
          <w:sz w:val="24"/>
          <w:szCs w:val="24"/>
        </w:rPr>
      </w:pPr>
      <w:r>
        <w:rPr>
          <w:rFonts w:hint="eastAsia" w:asciiTheme="minorEastAsia" w:hAnsiTheme="minorEastAsia"/>
          <w:sz w:val="24"/>
          <w:szCs w:val="24"/>
        </w:rPr>
        <w:t>注：</w:t>
      </w:r>
      <w:r>
        <w:rPr>
          <w:rFonts w:hint="eastAsia" w:cs="宋体" w:asciiTheme="minorEastAsia" w:hAnsiTheme="minorEastAsia"/>
          <w:sz w:val="24"/>
          <w:szCs w:val="24"/>
        </w:rPr>
        <w:t>上述人员应附聘用合同、身份证复印件（退休人员应附聘用合同及退休证明）扫描件等。</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tabs>
          <w:tab w:val="center" w:pos="4832"/>
          <w:tab w:val="left" w:pos="7140"/>
        </w:tabs>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105" w:name="_Toc1774"/>
      <w:r>
        <w:rPr>
          <w:rFonts w:hint="eastAsia" w:cs="宋体" w:asciiTheme="minorEastAsia" w:hAnsiTheme="minorEastAsia"/>
          <w:b/>
          <w:sz w:val="24"/>
          <w:szCs w:val="24"/>
        </w:rPr>
        <w:t>十三、合理化建议</w:t>
      </w:r>
      <w:bookmarkEnd w:id="105"/>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6" w:name="_Toc13516"/>
      <w:r>
        <w:rPr>
          <w:rFonts w:hint="eastAsia" w:cs="宋体" w:asciiTheme="minorEastAsia" w:hAnsiTheme="minorEastAsia"/>
          <w:b/>
          <w:sz w:val="24"/>
          <w:szCs w:val="24"/>
        </w:rPr>
        <w:t>十四、养护作业方案</w:t>
      </w:r>
      <w:bookmarkEnd w:id="106"/>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7" w:name="_Toc16213"/>
      <w:r>
        <w:rPr>
          <w:rFonts w:hint="eastAsia" w:cs="宋体" w:asciiTheme="minorEastAsia" w:hAnsiTheme="minorEastAsia"/>
          <w:b/>
          <w:sz w:val="24"/>
          <w:szCs w:val="24"/>
        </w:rPr>
        <w:t>十五、质量管理方案</w:t>
      </w:r>
      <w:bookmarkEnd w:id="107"/>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8" w:name="_Toc8126"/>
      <w:r>
        <w:rPr>
          <w:rFonts w:hint="eastAsia" w:cs="宋体" w:asciiTheme="minorEastAsia" w:hAnsiTheme="minorEastAsia"/>
          <w:b/>
          <w:sz w:val="24"/>
          <w:szCs w:val="24"/>
        </w:rPr>
        <w:t>十六、应急抢险方案</w:t>
      </w:r>
      <w:bookmarkEnd w:id="108"/>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9" w:name="_Toc2345"/>
      <w:r>
        <w:rPr>
          <w:rFonts w:hint="eastAsia" w:cs="宋体" w:asciiTheme="minorEastAsia" w:hAnsiTheme="minorEastAsia"/>
          <w:b/>
          <w:sz w:val="24"/>
          <w:szCs w:val="24"/>
        </w:rPr>
        <w:t>十七、安全服务方案</w:t>
      </w:r>
      <w:bookmarkEnd w:id="109"/>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10" w:name="_Toc19684"/>
      <w:r>
        <w:rPr>
          <w:rFonts w:hint="eastAsia" w:cs="宋体" w:asciiTheme="minorEastAsia" w:hAnsiTheme="minorEastAsia"/>
          <w:b/>
          <w:sz w:val="24"/>
          <w:szCs w:val="24"/>
        </w:rPr>
        <w:t>十八、文明作业方案</w:t>
      </w:r>
      <w:bookmarkEnd w:id="110"/>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widowControl/>
        <w:ind w:firstLine="482"/>
        <w:jc w:val="center"/>
        <w:outlineLvl w:val="1"/>
        <w:rPr>
          <w:rFonts w:cs="宋体" w:asciiTheme="minorEastAsia" w:hAnsiTheme="minorEastAsia"/>
          <w:b/>
          <w:sz w:val="24"/>
          <w:szCs w:val="24"/>
        </w:rPr>
      </w:pPr>
      <w:bookmarkStart w:id="111" w:name="_Toc25075"/>
      <w:r>
        <w:rPr>
          <w:rFonts w:hint="eastAsia" w:cs="宋体" w:asciiTheme="minorEastAsia" w:hAnsiTheme="minorEastAsia"/>
          <w:b/>
          <w:sz w:val="24"/>
          <w:szCs w:val="24"/>
        </w:rPr>
        <w:t>十九、其他需要提交的资料</w:t>
      </w:r>
      <w:bookmarkEnd w:id="111"/>
    </w:p>
    <w:p>
      <w:pPr>
        <w:spacing w:line="360" w:lineRule="auto"/>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根据招标文件的要求和投标人认为需要提供的资料</w:t>
      </w:r>
    </w:p>
    <w:p>
      <w:pPr>
        <w:spacing w:line="360" w:lineRule="auto"/>
        <w:ind w:firstLine="480" w:firstLineChars="200"/>
        <w:rPr>
          <w:rFonts w:cs="Times New Roman" w:asciiTheme="minorEastAsia" w:hAnsiTheme="minorEastAsia"/>
          <w:sz w:val="24"/>
          <w:szCs w:val="24"/>
        </w:rPr>
      </w:pPr>
    </w:p>
    <w:p>
      <w:pPr>
        <w:rPr>
          <w:rFonts w:cs="Times New Roman" w:asciiTheme="minorEastAsia" w:hAnsiTheme="minorEastAsia"/>
        </w:rPr>
      </w:pPr>
    </w:p>
    <w:p>
      <w:pPr>
        <w:spacing w:line="440" w:lineRule="exact"/>
        <w:jc w:val="center"/>
        <w:outlineLvl w:val="0"/>
        <w:rPr>
          <w:rFonts w:cs="宋体" w:asciiTheme="minorEastAsia" w:hAnsiTheme="minorEastAsia"/>
          <w:b/>
          <w:sz w:val="24"/>
          <w:szCs w:val="24"/>
        </w:rPr>
      </w:pPr>
      <w:r>
        <w:rPr>
          <w:rFonts w:cs="Times New Roman" w:asciiTheme="minorEastAsia" w:hAnsiTheme="minorEastAsia"/>
        </w:rPr>
        <w:br w:type="page"/>
      </w:r>
      <w:bookmarkStart w:id="112" w:name="_Toc8564"/>
      <w:r>
        <w:rPr>
          <w:rFonts w:hint="eastAsia" w:cs="宋体" w:asciiTheme="minorEastAsia" w:hAnsiTheme="minorEastAsia"/>
          <w:b/>
          <w:sz w:val="24"/>
          <w:szCs w:val="24"/>
        </w:rPr>
        <w:t>第六章补充条款</w:t>
      </w:r>
      <w:bookmarkEnd w:id="112"/>
    </w:p>
    <w:p>
      <w:pPr>
        <w:spacing w:line="440" w:lineRule="exact"/>
        <w:ind w:firstLine="482"/>
        <w:jc w:val="center"/>
        <w:outlineLvl w:val="0"/>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p>
    <w:p>
      <w:pPr>
        <w:rPr>
          <w:rFonts w:asciiTheme="minorEastAsia" w:hAnsiTheme="minorEastAsia"/>
        </w:rPr>
      </w:pPr>
    </w:p>
    <w:p>
      <w:pPr>
        <w:widowControl/>
        <w:jc w:val="left"/>
        <w:rPr>
          <w:rFonts w:asciiTheme="minorEastAsia" w:hAnsiTheme="minorEastAsia"/>
        </w:rPr>
      </w:pP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90"/>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68</w:t>
    </w:r>
    <w:r>
      <w:rPr>
        <w:rStyle w:val="38"/>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012019"/>
    </w:sdtPr>
    <w:sdtEndPr>
      <w:rPr>
        <w:rFonts w:asciiTheme="minorEastAsia" w:hAnsiTheme="minorEastAsia" w:eastAsiaTheme="minorEastAsia"/>
        <w:sz w:val="30"/>
        <w:szCs w:val="30"/>
      </w:rPr>
    </w:sdtEndPr>
    <w:sdtContent>
      <w:p>
        <w:pPr>
          <w:pStyle w:val="19"/>
          <w:jc w:val="right"/>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144</w:t>
        </w:r>
        <w:r>
          <w:rPr>
            <w:rFonts w:asciiTheme="minorEastAsia" w:hAnsiTheme="minorEastAsia" w:eastAsiaTheme="minorEastAsia"/>
            <w:sz w:val="30"/>
            <w:szCs w:val="30"/>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134B"/>
    <w:multiLevelType w:val="singleLevel"/>
    <w:tmpl w:val="C9FF134B"/>
    <w:lvl w:ilvl="0" w:tentative="0">
      <w:start w:val="8"/>
      <w:numFmt w:val="chineseCounting"/>
      <w:suff w:val="nothing"/>
      <w:lvlText w:val="%1、"/>
      <w:lvlJc w:val="left"/>
      <w:rPr>
        <w:rFonts w:hint="eastAsia"/>
      </w:rPr>
    </w:lvl>
  </w:abstractNum>
  <w:abstractNum w:abstractNumId="1">
    <w:nsid w:val="03C5D12A"/>
    <w:multiLevelType w:val="singleLevel"/>
    <w:tmpl w:val="03C5D12A"/>
    <w:lvl w:ilvl="0" w:tentative="0">
      <w:start w:val="1"/>
      <w:numFmt w:val="decimal"/>
      <w:suff w:val="nothing"/>
      <w:lvlText w:val="%1、"/>
      <w:lvlJc w:val="left"/>
    </w:lvl>
  </w:abstractNum>
  <w:abstractNum w:abstractNumId="2">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AzNTdiODgxMGNlZDYyOWVjNjExOWU2NGY1MDEifQ=="/>
  </w:docVars>
  <w:rsids>
    <w:rsidRoot w:val="00101AA4"/>
    <w:rsid w:val="00001340"/>
    <w:rsid w:val="000014B8"/>
    <w:rsid w:val="00004DAA"/>
    <w:rsid w:val="00006BD9"/>
    <w:rsid w:val="00007BA8"/>
    <w:rsid w:val="00014F7D"/>
    <w:rsid w:val="000162FE"/>
    <w:rsid w:val="000244CA"/>
    <w:rsid w:val="00030171"/>
    <w:rsid w:val="00033566"/>
    <w:rsid w:val="00036B12"/>
    <w:rsid w:val="000400E8"/>
    <w:rsid w:val="000406B4"/>
    <w:rsid w:val="00046152"/>
    <w:rsid w:val="0005003E"/>
    <w:rsid w:val="000604DE"/>
    <w:rsid w:val="000641A9"/>
    <w:rsid w:val="00070AF5"/>
    <w:rsid w:val="00073D96"/>
    <w:rsid w:val="000762D4"/>
    <w:rsid w:val="0008025F"/>
    <w:rsid w:val="00080E16"/>
    <w:rsid w:val="00082FC4"/>
    <w:rsid w:val="000904A3"/>
    <w:rsid w:val="000916AB"/>
    <w:rsid w:val="000923E8"/>
    <w:rsid w:val="00094989"/>
    <w:rsid w:val="000A02F9"/>
    <w:rsid w:val="000A32B9"/>
    <w:rsid w:val="000A3552"/>
    <w:rsid w:val="000B210F"/>
    <w:rsid w:val="000B331B"/>
    <w:rsid w:val="000D171A"/>
    <w:rsid w:val="000D7CE7"/>
    <w:rsid w:val="000E5B9C"/>
    <w:rsid w:val="000E7461"/>
    <w:rsid w:val="000F5328"/>
    <w:rsid w:val="00101AA4"/>
    <w:rsid w:val="001063D0"/>
    <w:rsid w:val="0010650C"/>
    <w:rsid w:val="00124517"/>
    <w:rsid w:val="00127B38"/>
    <w:rsid w:val="0013312B"/>
    <w:rsid w:val="00134F82"/>
    <w:rsid w:val="001355E3"/>
    <w:rsid w:val="0013743D"/>
    <w:rsid w:val="0014066A"/>
    <w:rsid w:val="00146E26"/>
    <w:rsid w:val="00147C03"/>
    <w:rsid w:val="00150F22"/>
    <w:rsid w:val="0015794E"/>
    <w:rsid w:val="0016517F"/>
    <w:rsid w:val="001733AF"/>
    <w:rsid w:val="00176FAD"/>
    <w:rsid w:val="0018505E"/>
    <w:rsid w:val="001A2117"/>
    <w:rsid w:val="001A45DD"/>
    <w:rsid w:val="001A4E5A"/>
    <w:rsid w:val="001B1748"/>
    <w:rsid w:val="001D50A5"/>
    <w:rsid w:val="001E33A7"/>
    <w:rsid w:val="001E3D69"/>
    <w:rsid w:val="001E4755"/>
    <w:rsid w:val="001E6E8F"/>
    <w:rsid w:val="001F3A08"/>
    <w:rsid w:val="001F610A"/>
    <w:rsid w:val="001F7556"/>
    <w:rsid w:val="00200BA8"/>
    <w:rsid w:val="002055DD"/>
    <w:rsid w:val="00205DF6"/>
    <w:rsid w:val="0022177D"/>
    <w:rsid w:val="00226DEC"/>
    <w:rsid w:val="00236D43"/>
    <w:rsid w:val="002472C0"/>
    <w:rsid w:val="002508FA"/>
    <w:rsid w:val="00253DC3"/>
    <w:rsid w:val="002541CE"/>
    <w:rsid w:val="00257F22"/>
    <w:rsid w:val="002604A7"/>
    <w:rsid w:val="00260910"/>
    <w:rsid w:val="00266F04"/>
    <w:rsid w:val="00267801"/>
    <w:rsid w:val="00276908"/>
    <w:rsid w:val="002831CB"/>
    <w:rsid w:val="00283732"/>
    <w:rsid w:val="002967DA"/>
    <w:rsid w:val="002A69CC"/>
    <w:rsid w:val="002B0041"/>
    <w:rsid w:val="002C2DD2"/>
    <w:rsid w:val="002C62E9"/>
    <w:rsid w:val="002D3439"/>
    <w:rsid w:val="002D6CF2"/>
    <w:rsid w:val="002E5AAD"/>
    <w:rsid w:val="002F10F5"/>
    <w:rsid w:val="002F2283"/>
    <w:rsid w:val="002F2528"/>
    <w:rsid w:val="00300C92"/>
    <w:rsid w:val="003011C0"/>
    <w:rsid w:val="00304D2D"/>
    <w:rsid w:val="00305A20"/>
    <w:rsid w:val="00313F13"/>
    <w:rsid w:val="00315623"/>
    <w:rsid w:val="00315D4B"/>
    <w:rsid w:val="00315D59"/>
    <w:rsid w:val="00316DBA"/>
    <w:rsid w:val="00331C14"/>
    <w:rsid w:val="00360D30"/>
    <w:rsid w:val="00361C9D"/>
    <w:rsid w:val="00363991"/>
    <w:rsid w:val="00364473"/>
    <w:rsid w:val="00370F25"/>
    <w:rsid w:val="00376E83"/>
    <w:rsid w:val="003915AF"/>
    <w:rsid w:val="003A5B50"/>
    <w:rsid w:val="003B70AD"/>
    <w:rsid w:val="003C0B9E"/>
    <w:rsid w:val="003D01BB"/>
    <w:rsid w:val="003D05EA"/>
    <w:rsid w:val="003D4211"/>
    <w:rsid w:val="003E4A7A"/>
    <w:rsid w:val="003E7EF1"/>
    <w:rsid w:val="0040310D"/>
    <w:rsid w:val="004052A4"/>
    <w:rsid w:val="004220B6"/>
    <w:rsid w:val="00432C0C"/>
    <w:rsid w:val="00433EED"/>
    <w:rsid w:val="00435B53"/>
    <w:rsid w:val="00444EE1"/>
    <w:rsid w:val="0044799D"/>
    <w:rsid w:val="0045091A"/>
    <w:rsid w:val="00452BB8"/>
    <w:rsid w:val="004640C1"/>
    <w:rsid w:val="004A010F"/>
    <w:rsid w:val="004A266D"/>
    <w:rsid w:val="004A4981"/>
    <w:rsid w:val="004A5376"/>
    <w:rsid w:val="004A6517"/>
    <w:rsid w:val="004A68AF"/>
    <w:rsid w:val="004A7D7E"/>
    <w:rsid w:val="004B0537"/>
    <w:rsid w:val="004B10F1"/>
    <w:rsid w:val="004C4F38"/>
    <w:rsid w:val="004D11B3"/>
    <w:rsid w:val="004D75D5"/>
    <w:rsid w:val="004E2088"/>
    <w:rsid w:val="004E419C"/>
    <w:rsid w:val="004E7786"/>
    <w:rsid w:val="004F0D23"/>
    <w:rsid w:val="00501303"/>
    <w:rsid w:val="00507DCF"/>
    <w:rsid w:val="00520FE8"/>
    <w:rsid w:val="00526F0E"/>
    <w:rsid w:val="005307A5"/>
    <w:rsid w:val="0053132A"/>
    <w:rsid w:val="00535245"/>
    <w:rsid w:val="0054181E"/>
    <w:rsid w:val="0055435D"/>
    <w:rsid w:val="00566F28"/>
    <w:rsid w:val="00577ECB"/>
    <w:rsid w:val="00577FFA"/>
    <w:rsid w:val="00582F95"/>
    <w:rsid w:val="005879D1"/>
    <w:rsid w:val="005A215C"/>
    <w:rsid w:val="005A3E3A"/>
    <w:rsid w:val="005A69CA"/>
    <w:rsid w:val="005C3710"/>
    <w:rsid w:val="005C53A8"/>
    <w:rsid w:val="005D651D"/>
    <w:rsid w:val="005E3C18"/>
    <w:rsid w:val="005E617A"/>
    <w:rsid w:val="005F41B4"/>
    <w:rsid w:val="005F6E39"/>
    <w:rsid w:val="0060072E"/>
    <w:rsid w:val="00600C9C"/>
    <w:rsid w:val="006046A9"/>
    <w:rsid w:val="00621EF9"/>
    <w:rsid w:val="00622699"/>
    <w:rsid w:val="00630AAC"/>
    <w:rsid w:val="006314C2"/>
    <w:rsid w:val="00631C5A"/>
    <w:rsid w:val="00632F36"/>
    <w:rsid w:val="00635EE6"/>
    <w:rsid w:val="0063610A"/>
    <w:rsid w:val="006367D4"/>
    <w:rsid w:val="00644CAA"/>
    <w:rsid w:val="0064722F"/>
    <w:rsid w:val="00647D58"/>
    <w:rsid w:val="00652A1B"/>
    <w:rsid w:val="00652A7E"/>
    <w:rsid w:val="00657AD0"/>
    <w:rsid w:val="00661E10"/>
    <w:rsid w:val="0066681E"/>
    <w:rsid w:val="006728AB"/>
    <w:rsid w:val="00674A1B"/>
    <w:rsid w:val="006804BB"/>
    <w:rsid w:val="00691151"/>
    <w:rsid w:val="0069486A"/>
    <w:rsid w:val="006A4AC4"/>
    <w:rsid w:val="006A5498"/>
    <w:rsid w:val="006A74F0"/>
    <w:rsid w:val="006B014A"/>
    <w:rsid w:val="006B2DDD"/>
    <w:rsid w:val="006B6739"/>
    <w:rsid w:val="006C06C9"/>
    <w:rsid w:val="006C08F0"/>
    <w:rsid w:val="006C214D"/>
    <w:rsid w:val="006C551A"/>
    <w:rsid w:val="006E10BD"/>
    <w:rsid w:val="006E249F"/>
    <w:rsid w:val="006E344D"/>
    <w:rsid w:val="006E51CF"/>
    <w:rsid w:val="006F2A4E"/>
    <w:rsid w:val="006F6DB0"/>
    <w:rsid w:val="006F7BBE"/>
    <w:rsid w:val="00704AEC"/>
    <w:rsid w:val="00711806"/>
    <w:rsid w:val="00711DFE"/>
    <w:rsid w:val="007137F1"/>
    <w:rsid w:val="007156D2"/>
    <w:rsid w:val="007165FF"/>
    <w:rsid w:val="0072037A"/>
    <w:rsid w:val="00734ABC"/>
    <w:rsid w:val="007404E3"/>
    <w:rsid w:val="0075151D"/>
    <w:rsid w:val="00754459"/>
    <w:rsid w:val="0075556E"/>
    <w:rsid w:val="00767044"/>
    <w:rsid w:val="00784173"/>
    <w:rsid w:val="00787D19"/>
    <w:rsid w:val="007920FE"/>
    <w:rsid w:val="00796034"/>
    <w:rsid w:val="007A0E43"/>
    <w:rsid w:val="007A5319"/>
    <w:rsid w:val="007A7EF1"/>
    <w:rsid w:val="007B2A84"/>
    <w:rsid w:val="007C66D2"/>
    <w:rsid w:val="007D2A30"/>
    <w:rsid w:val="007D45D4"/>
    <w:rsid w:val="007D68A5"/>
    <w:rsid w:val="007F2D7C"/>
    <w:rsid w:val="007F6C55"/>
    <w:rsid w:val="0080672E"/>
    <w:rsid w:val="008068DA"/>
    <w:rsid w:val="008068EC"/>
    <w:rsid w:val="00813D04"/>
    <w:rsid w:val="0081414C"/>
    <w:rsid w:val="00820914"/>
    <w:rsid w:val="008247D9"/>
    <w:rsid w:val="00826C3A"/>
    <w:rsid w:val="00843C8F"/>
    <w:rsid w:val="00846F1B"/>
    <w:rsid w:val="00857654"/>
    <w:rsid w:val="00857B62"/>
    <w:rsid w:val="00862EBB"/>
    <w:rsid w:val="008631DD"/>
    <w:rsid w:val="008703DB"/>
    <w:rsid w:val="00872CE4"/>
    <w:rsid w:val="00877E4D"/>
    <w:rsid w:val="00884BA6"/>
    <w:rsid w:val="008858F6"/>
    <w:rsid w:val="00892DE8"/>
    <w:rsid w:val="008A6628"/>
    <w:rsid w:val="008B044A"/>
    <w:rsid w:val="008B1D39"/>
    <w:rsid w:val="008B5573"/>
    <w:rsid w:val="008C6135"/>
    <w:rsid w:val="008D5387"/>
    <w:rsid w:val="008F1D6D"/>
    <w:rsid w:val="008F6AA2"/>
    <w:rsid w:val="00900116"/>
    <w:rsid w:val="00910B36"/>
    <w:rsid w:val="0091776B"/>
    <w:rsid w:val="00920867"/>
    <w:rsid w:val="00922592"/>
    <w:rsid w:val="00926EE7"/>
    <w:rsid w:val="009324FE"/>
    <w:rsid w:val="0094041C"/>
    <w:rsid w:val="0094055B"/>
    <w:rsid w:val="00941545"/>
    <w:rsid w:val="009437A7"/>
    <w:rsid w:val="00946789"/>
    <w:rsid w:val="00955047"/>
    <w:rsid w:val="009613A3"/>
    <w:rsid w:val="0096147D"/>
    <w:rsid w:val="00965552"/>
    <w:rsid w:val="0096574A"/>
    <w:rsid w:val="00965D93"/>
    <w:rsid w:val="0096617A"/>
    <w:rsid w:val="009700E7"/>
    <w:rsid w:val="00975775"/>
    <w:rsid w:val="00981749"/>
    <w:rsid w:val="009840B0"/>
    <w:rsid w:val="009869E5"/>
    <w:rsid w:val="009930AE"/>
    <w:rsid w:val="009A456E"/>
    <w:rsid w:val="009A6799"/>
    <w:rsid w:val="009A693B"/>
    <w:rsid w:val="009A7284"/>
    <w:rsid w:val="009B074B"/>
    <w:rsid w:val="009B0A3E"/>
    <w:rsid w:val="009B353F"/>
    <w:rsid w:val="009B5E2B"/>
    <w:rsid w:val="009C598B"/>
    <w:rsid w:val="009C7FD8"/>
    <w:rsid w:val="009D05BF"/>
    <w:rsid w:val="009D0D96"/>
    <w:rsid w:val="009D2432"/>
    <w:rsid w:val="009D5201"/>
    <w:rsid w:val="009E22E8"/>
    <w:rsid w:val="009F064F"/>
    <w:rsid w:val="009F15EF"/>
    <w:rsid w:val="009F24D1"/>
    <w:rsid w:val="00A01EFD"/>
    <w:rsid w:val="00A0318F"/>
    <w:rsid w:val="00A04B51"/>
    <w:rsid w:val="00A068B7"/>
    <w:rsid w:val="00A13FDE"/>
    <w:rsid w:val="00A17158"/>
    <w:rsid w:val="00A20856"/>
    <w:rsid w:val="00A320D2"/>
    <w:rsid w:val="00A33E52"/>
    <w:rsid w:val="00A377F1"/>
    <w:rsid w:val="00A41CA5"/>
    <w:rsid w:val="00A46BC3"/>
    <w:rsid w:val="00A56EFA"/>
    <w:rsid w:val="00A57C84"/>
    <w:rsid w:val="00A648D2"/>
    <w:rsid w:val="00A648FB"/>
    <w:rsid w:val="00A665B8"/>
    <w:rsid w:val="00A841E3"/>
    <w:rsid w:val="00A920ED"/>
    <w:rsid w:val="00A96813"/>
    <w:rsid w:val="00A97447"/>
    <w:rsid w:val="00AA0874"/>
    <w:rsid w:val="00AA0C7F"/>
    <w:rsid w:val="00AA1E25"/>
    <w:rsid w:val="00AA3DE1"/>
    <w:rsid w:val="00AA65EF"/>
    <w:rsid w:val="00AB07FC"/>
    <w:rsid w:val="00AB0BCB"/>
    <w:rsid w:val="00AB3FFC"/>
    <w:rsid w:val="00AB706C"/>
    <w:rsid w:val="00AB7635"/>
    <w:rsid w:val="00AB7D40"/>
    <w:rsid w:val="00AC169A"/>
    <w:rsid w:val="00AC17BD"/>
    <w:rsid w:val="00AD0858"/>
    <w:rsid w:val="00AD159E"/>
    <w:rsid w:val="00AD3FA3"/>
    <w:rsid w:val="00AE2F7F"/>
    <w:rsid w:val="00AF35AE"/>
    <w:rsid w:val="00B20979"/>
    <w:rsid w:val="00B3004A"/>
    <w:rsid w:val="00B3066F"/>
    <w:rsid w:val="00B32FDE"/>
    <w:rsid w:val="00B3485C"/>
    <w:rsid w:val="00B3551C"/>
    <w:rsid w:val="00B455A2"/>
    <w:rsid w:val="00B51751"/>
    <w:rsid w:val="00B55DD4"/>
    <w:rsid w:val="00B628A3"/>
    <w:rsid w:val="00B65DD7"/>
    <w:rsid w:val="00B66DAD"/>
    <w:rsid w:val="00B76B5B"/>
    <w:rsid w:val="00B836E8"/>
    <w:rsid w:val="00B841A4"/>
    <w:rsid w:val="00B871DD"/>
    <w:rsid w:val="00BA1954"/>
    <w:rsid w:val="00BB33FE"/>
    <w:rsid w:val="00BB5C5F"/>
    <w:rsid w:val="00BB612A"/>
    <w:rsid w:val="00BC4B9D"/>
    <w:rsid w:val="00BC6F1B"/>
    <w:rsid w:val="00BC7668"/>
    <w:rsid w:val="00BD1FA5"/>
    <w:rsid w:val="00BD2812"/>
    <w:rsid w:val="00BD6949"/>
    <w:rsid w:val="00BE121A"/>
    <w:rsid w:val="00BE4B8D"/>
    <w:rsid w:val="00BE5EB9"/>
    <w:rsid w:val="00BF28EC"/>
    <w:rsid w:val="00BF51F6"/>
    <w:rsid w:val="00C02D9A"/>
    <w:rsid w:val="00C12240"/>
    <w:rsid w:val="00C13F57"/>
    <w:rsid w:val="00C21672"/>
    <w:rsid w:val="00C32472"/>
    <w:rsid w:val="00C34FE2"/>
    <w:rsid w:val="00C41BF8"/>
    <w:rsid w:val="00C42211"/>
    <w:rsid w:val="00C466A2"/>
    <w:rsid w:val="00C479FE"/>
    <w:rsid w:val="00C47EB3"/>
    <w:rsid w:val="00C53ADD"/>
    <w:rsid w:val="00C62E07"/>
    <w:rsid w:val="00C70F4F"/>
    <w:rsid w:val="00C840F2"/>
    <w:rsid w:val="00C9122B"/>
    <w:rsid w:val="00C9683B"/>
    <w:rsid w:val="00CA0EF6"/>
    <w:rsid w:val="00CA31DB"/>
    <w:rsid w:val="00CB03C9"/>
    <w:rsid w:val="00CB7C96"/>
    <w:rsid w:val="00CD33AB"/>
    <w:rsid w:val="00CD5E71"/>
    <w:rsid w:val="00CF1C70"/>
    <w:rsid w:val="00CF291C"/>
    <w:rsid w:val="00CF4B54"/>
    <w:rsid w:val="00D060F5"/>
    <w:rsid w:val="00D06613"/>
    <w:rsid w:val="00D119E0"/>
    <w:rsid w:val="00D12679"/>
    <w:rsid w:val="00D13FCC"/>
    <w:rsid w:val="00D15B9A"/>
    <w:rsid w:val="00D15D80"/>
    <w:rsid w:val="00D17D8C"/>
    <w:rsid w:val="00D26793"/>
    <w:rsid w:val="00D27953"/>
    <w:rsid w:val="00D334C0"/>
    <w:rsid w:val="00D36619"/>
    <w:rsid w:val="00D450F4"/>
    <w:rsid w:val="00D45431"/>
    <w:rsid w:val="00D50E97"/>
    <w:rsid w:val="00D66F88"/>
    <w:rsid w:val="00D85475"/>
    <w:rsid w:val="00D87DC8"/>
    <w:rsid w:val="00D9044D"/>
    <w:rsid w:val="00DA2563"/>
    <w:rsid w:val="00DA380B"/>
    <w:rsid w:val="00DB133C"/>
    <w:rsid w:val="00DB7459"/>
    <w:rsid w:val="00DC499D"/>
    <w:rsid w:val="00DC7034"/>
    <w:rsid w:val="00DD5A57"/>
    <w:rsid w:val="00DF29E0"/>
    <w:rsid w:val="00DF7FC9"/>
    <w:rsid w:val="00E0297A"/>
    <w:rsid w:val="00E05CD7"/>
    <w:rsid w:val="00E121FC"/>
    <w:rsid w:val="00E311A1"/>
    <w:rsid w:val="00E31BBA"/>
    <w:rsid w:val="00E34833"/>
    <w:rsid w:val="00E34FF9"/>
    <w:rsid w:val="00E40272"/>
    <w:rsid w:val="00E41690"/>
    <w:rsid w:val="00E4229F"/>
    <w:rsid w:val="00E45AB6"/>
    <w:rsid w:val="00E50150"/>
    <w:rsid w:val="00E53FDA"/>
    <w:rsid w:val="00E56EAE"/>
    <w:rsid w:val="00E638D4"/>
    <w:rsid w:val="00E656AA"/>
    <w:rsid w:val="00E6785B"/>
    <w:rsid w:val="00E67BB4"/>
    <w:rsid w:val="00E705A5"/>
    <w:rsid w:val="00E715AA"/>
    <w:rsid w:val="00E75265"/>
    <w:rsid w:val="00E761CC"/>
    <w:rsid w:val="00E76A25"/>
    <w:rsid w:val="00E8351B"/>
    <w:rsid w:val="00E847F7"/>
    <w:rsid w:val="00E87230"/>
    <w:rsid w:val="00E872AD"/>
    <w:rsid w:val="00E87666"/>
    <w:rsid w:val="00E9078D"/>
    <w:rsid w:val="00E912E2"/>
    <w:rsid w:val="00E92B97"/>
    <w:rsid w:val="00E96D5C"/>
    <w:rsid w:val="00EC22AB"/>
    <w:rsid w:val="00ED7DB6"/>
    <w:rsid w:val="00EE1040"/>
    <w:rsid w:val="00EE2F7B"/>
    <w:rsid w:val="00EF7BEC"/>
    <w:rsid w:val="00F00A1D"/>
    <w:rsid w:val="00F02FAE"/>
    <w:rsid w:val="00F10359"/>
    <w:rsid w:val="00F141A0"/>
    <w:rsid w:val="00F1438C"/>
    <w:rsid w:val="00F2452B"/>
    <w:rsid w:val="00F26609"/>
    <w:rsid w:val="00F3403B"/>
    <w:rsid w:val="00F37DC2"/>
    <w:rsid w:val="00F41097"/>
    <w:rsid w:val="00F42B8A"/>
    <w:rsid w:val="00F5283D"/>
    <w:rsid w:val="00F61283"/>
    <w:rsid w:val="00F65CFD"/>
    <w:rsid w:val="00F9122C"/>
    <w:rsid w:val="00F94DA0"/>
    <w:rsid w:val="00FA6BE0"/>
    <w:rsid w:val="00FA72A6"/>
    <w:rsid w:val="00FB5939"/>
    <w:rsid w:val="00FD3CEF"/>
    <w:rsid w:val="00FF2520"/>
    <w:rsid w:val="00FF4215"/>
    <w:rsid w:val="00FF4C85"/>
    <w:rsid w:val="00FF7BA0"/>
    <w:rsid w:val="01AA53CD"/>
    <w:rsid w:val="027E4865"/>
    <w:rsid w:val="038061AD"/>
    <w:rsid w:val="04547320"/>
    <w:rsid w:val="05F76F31"/>
    <w:rsid w:val="07647851"/>
    <w:rsid w:val="0B14133A"/>
    <w:rsid w:val="0B526B23"/>
    <w:rsid w:val="0BB84DE3"/>
    <w:rsid w:val="0C7A56D7"/>
    <w:rsid w:val="0CD66DD1"/>
    <w:rsid w:val="0CE2480D"/>
    <w:rsid w:val="0CEF36E3"/>
    <w:rsid w:val="0E751200"/>
    <w:rsid w:val="10AB2B9D"/>
    <w:rsid w:val="117B0C7B"/>
    <w:rsid w:val="11B31184"/>
    <w:rsid w:val="12C375AC"/>
    <w:rsid w:val="12D6271E"/>
    <w:rsid w:val="143017A1"/>
    <w:rsid w:val="17321EED"/>
    <w:rsid w:val="17FA6EAF"/>
    <w:rsid w:val="18D563D0"/>
    <w:rsid w:val="1C0D6C7E"/>
    <w:rsid w:val="1C6320DF"/>
    <w:rsid w:val="1C6A484E"/>
    <w:rsid w:val="1CF2060C"/>
    <w:rsid w:val="1E805C34"/>
    <w:rsid w:val="21C4408A"/>
    <w:rsid w:val="21ED1832"/>
    <w:rsid w:val="226C09A9"/>
    <w:rsid w:val="23144B9D"/>
    <w:rsid w:val="24567E46"/>
    <w:rsid w:val="263C781B"/>
    <w:rsid w:val="264E038E"/>
    <w:rsid w:val="274F0899"/>
    <w:rsid w:val="2B773C5E"/>
    <w:rsid w:val="2BAA0794"/>
    <w:rsid w:val="2BC1541B"/>
    <w:rsid w:val="2E5D4C41"/>
    <w:rsid w:val="2E951288"/>
    <w:rsid w:val="2F503401"/>
    <w:rsid w:val="2FD32684"/>
    <w:rsid w:val="316B201F"/>
    <w:rsid w:val="31DE6AA2"/>
    <w:rsid w:val="32FD4461"/>
    <w:rsid w:val="33FA48FD"/>
    <w:rsid w:val="348C4EDB"/>
    <w:rsid w:val="358B3002"/>
    <w:rsid w:val="38740160"/>
    <w:rsid w:val="399F4FFA"/>
    <w:rsid w:val="39BD7A1D"/>
    <w:rsid w:val="39D13722"/>
    <w:rsid w:val="3A7A77C8"/>
    <w:rsid w:val="3AE72E6B"/>
    <w:rsid w:val="3B6958A3"/>
    <w:rsid w:val="3D9756A5"/>
    <w:rsid w:val="3DC93F58"/>
    <w:rsid w:val="3E580B9B"/>
    <w:rsid w:val="3E5B7AE8"/>
    <w:rsid w:val="3EB14E36"/>
    <w:rsid w:val="3F453ADA"/>
    <w:rsid w:val="413A2358"/>
    <w:rsid w:val="41BB3F1A"/>
    <w:rsid w:val="41E77C8C"/>
    <w:rsid w:val="4216154E"/>
    <w:rsid w:val="42FE2D71"/>
    <w:rsid w:val="43641D51"/>
    <w:rsid w:val="475F3D89"/>
    <w:rsid w:val="47FC1909"/>
    <w:rsid w:val="4828256E"/>
    <w:rsid w:val="48C8645F"/>
    <w:rsid w:val="4A737F1A"/>
    <w:rsid w:val="4C226976"/>
    <w:rsid w:val="4C465518"/>
    <w:rsid w:val="4D285982"/>
    <w:rsid w:val="4DF27E89"/>
    <w:rsid w:val="4E773F04"/>
    <w:rsid w:val="51A93339"/>
    <w:rsid w:val="530F7BB2"/>
    <w:rsid w:val="53D12B98"/>
    <w:rsid w:val="555F6A99"/>
    <w:rsid w:val="564035EA"/>
    <w:rsid w:val="564156CE"/>
    <w:rsid w:val="564D601C"/>
    <w:rsid w:val="56753913"/>
    <w:rsid w:val="5A422C67"/>
    <w:rsid w:val="5BF926C6"/>
    <w:rsid w:val="5C2A2760"/>
    <w:rsid w:val="5C3D4368"/>
    <w:rsid w:val="5C607E15"/>
    <w:rsid w:val="5C9A13C5"/>
    <w:rsid w:val="5DF9063C"/>
    <w:rsid w:val="60E53887"/>
    <w:rsid w:val="612358EA"/>
    <w:rsid w:val="61D62B3B"/>
    <w:rsid w:val="63A43008"/>
    <w:rsid w:val="653509E5"/>
    <w:rsid w:val="657874A5"/>
    <w:rsid w:val="657A6D97"/>
    <w:rsid w:val="6616058A"/>
    <w:rsid w:val="672B099B"/>
    <w:rsid w:val="67393F00"/>
    <w:rsid w:val="6751773B"/>
    <w:rsid w:val="6817003C"/>
    <w:rsid w:val="68234A97"/>
    <w:rsid w:val="682C4391"/>
    <w:rsid w:val="69160B2D"/>
    <w:rsid w:val="696C2B8A"/>
    <w:rsid w:val="69B30239"/>
    <w:rsid w:val="6B0317E1"/>
    <w:rsid w:val="6B3929BF"/>
    <w:rsid w:val="6C4A3A24"/>
    <w:rsid w:val="703D260A"/>
    <w:rsid w:val="7041132E"/>
    <w:rsid w:val="71033839"/>
    <w:rsid w:val="71E865AC"/>
    <w:rsid w:val="72842772"/>
    <w:rsid w:val="752F3921"/>
    <w:rsid w:val="76112389"/>
    <w:rsid w:val="7701121A"/>
    <w:rsid w:val="777074AF"/>
    <w:rsid w:val="77751065"/>
    <w:rsid w:val="78E00C84"/>
    <w:rsid w:val="79084367"/>
    <w:rsid w:val="7AAF2754"/>
    <w:rsid w:val="7B49061E"/>
    <w:rsid w:val="7CD40D8A"/>
    <w:rsid w:val="7D0502B1"/>
    <w:rsid w:val="7DBC5AFB"/>
    <w:rsid w:val="7EED05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autoRedefine/>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3">
    <w:name w:val="heading 2"/>
    <w:basedOn w:val="1"/>
    <w:next w:val="1"/>
    <w:link w:val="52"/>
    <w:autoRedefine/>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4">
    <w:name w:val="heading 3"/>
    <w:basedOn w:val="1"/>
    <w:next w:val="1"/>
    <w:link w:val="53"/>
    <w:autoRedefine/>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eastAsia="宋体" w:cs="Times New Roman"/>
      <w:szCs w:val="24"/>
    </w:rPr>
  </w:style>
  <w:style w:type="paragraph" w:styleId="6">
    <w:name w:val="List Number"/>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link w:val="104"/>
    <w:autoRedefine/>
    <w:qFormat/>
    <w:uiPriority w:val="99"/>
    <w:pPr>
      <w:ind w:firstLine="420" w:firstLineChars="200"/>
    </w:pPr>
    <w:rPr>
      <w:rFonts w:ascii="Times New Roman" w:hAnsi="Times New Roman" w:eastAsia="宋体" w:cs="Times New Roman"/>
      <w:kern w:val="0"/>
      <w:sz w:val="24"/>
      <w:szCs w:val="20"/>
    </w:rPr>
  </w:style>
  <w:style w:type="paragraph" w:styleId="8">
    <w:name w:val="Document Map"/>
    <w:basedOn w:val="1"/>
    <w:link w:val="122"/>
    <w:autoRedefine/>
    <w:qFormat/>
    <w:uiPriority w:val="0"/>
    <w:rPr>
      <w:rFonts w:ascii="宋体" w:hAnsi="Calibri" w:eastAsia="宋体" w:cs="Times New Roman"/>
      <w:kern w:val="0"/>
      <w:sz w:val="18"/>
      <w:szCs w:val="20"/>
    </w:rPr>
  </w:style>
  <w:style w:type="paragraph" w:styleId="9">
    <w:name w:val="annotation text"/>
    <w:basedOn w:val="1"/>
    <w:link w:val="150"/>
    <w:autoRedefine/>
    <w:qFormat/>
    <w:uiPriority w:val="0"/>
    <w:pPr>
      <w:jc w:val="left"/>
    </w:pPr>
  </w:style>
  <w:style w:type="paragraph" w:styleId="10">
    <w:name w:val="Body Text"/>
    <w:basedOn w:val="1"/>
    <w:link w:val="125"/>
    <w:autoRedefine/>
    <w:qFormat/>
    <w:uiPriority w:val="99"/>
    <w:pPr>
      <w:spacing w:after="120"/>
    </w:pPr>
    <w:rPr>
      <w:rFonts w:cs="Times New Roman" w:asciiTheme="minorEastAsia" w:hAnsiTheme="minorEastAsia"/>
      <w:b/>
      <w:kern w:val="0"/>
      <w:sz w:val="24"/>
      <w:szCs w:val="21"/>
    </w:rPr>
  </w:style>
  <w:style w:type="paragraph" w:styleId="11">
    <w:name w:val="Body Text Indent"/>
    <w:basedOn w:val="1"/>
    <w:link w:val="56"/>
    <w:autoRedefine/>
    <w:qFormat/>
    <w:uiPriority w:val="0"/>
    <w:pPr>
      <w:widowControl/>
      <w:spacing w:after="120"/>
      <w:ind w:left="420"/>
    </w:pPr>
    <w:rPr>
      <w:rFonts w:ascii="??" w:hAnsi="??" w:eastAsia="宋体" w:cs="Arial"/>
      <w:kern w:val="0"/>
      <w:sz w:val="24"/>
      <w:szCs w:val="24"/>
    </w:rPr>
  </w:style>
  <w:style w:type="paragraph" w:styleId="12">
    <w:name w:val="toc 5"/>
    <w:basedOn w:val="1"/>
    <w:next w:val="1"/>
    <w:autoRedefine/>
    <w:qFormat/>
    <w:uiPriority w:val="0"/>
    <w:pPr>
      <w:ind w:left="1680" w:leftChars="800"/>
    </w:pPr>
    <w:rPr>
      <w:rFonts w:ascii="Times New Roman" w:hAnsi="Times New Roman" w:eastAsia="宋体" w:cs="Times New Roman"/>
      <w:szCs w:val="24"/>
    </w:rPr>
  </w:style>
  <w:style w:type="paragraph" w:styleId="13">
    <w:name w:val="toc 3"/>
    <w:basedOn w:val="1"/>
    <w:next w:val="1"/>
    <w:autoRedefine/>
    <w:qFormat/>
    <w:uiPriority w:val="39"/>
    <w:pPr>
      <w:ind w:left="840" w:leftChars="400"/>
    </w:pPr>
    <w:rPr>
      <w:rFonts w:ascii="Times New Roman" w:hAnsi="Times New Roman" w:eastAsia="宋体" w:cs="Times New Roman"/>
      <w:szCs w:val="24"/>
    </w:rPr>
  </w:style>
  <w:style w:type="paragraph" w:styleId="14">
    <w:name w:val="Plain Text"/>
    <w:basedOn w:val="1"/>
    <w:link w:val="193"/>
    <w:autoRedefine/>
    <w:qFormat/>
    <w:uiPriority w:val="0"/>
    <w:rPr>
      <w:rFonts w:ascii="宋体" w:hAnsi="Courier New" w:eastAsia="宋体"/>
      <w:szCs w:val="21"/>
    </w:rPr>
  </w:style>
  <w:style w:type="paragraph" w:styleId="15">
    <w:name w:val="toc 8"/>
    <w:basedOn w:val="1"/>
    <w:next w:val="1"/>
    <w:autoRedefine/>
    <w:qFormat/>
    <w:uiPriority w:val="0"/>
    <w:pPr>
      <w:ind w:left="2940" w:leftChars="1400"/>
    </w:pPr>
    <w:rPr>
      <w:rFonts w:ascii="Times New Roman" w:hAnsi="Times New Roman" w:eastAsia="宋体" w:cs="Times New Roman"/>
      <w:szCs w:val="24"/>
    </w:rPr>
  </w:style>
  <w:style w:type="paragraph" w:styleId="16">
    <w:name w:val="Date"/>
    <w:basedOn w:val="1"/>
    <w:next w:val="1"/>
    <w:link w:val="145"/>
    <w:autoRedefine/>
    <w:qFormat/>
    <w:uiPriority w:val="0"/>
    <w:rPr>
      <w:szCs w:val="21"/>
    </w:rPr>
  </w:style>
  <w:style w:type="paragraph" w:styleId="17">
    <w:name w:val="Body Text Indent 2"/>
    <w:basedOn w:val="1"/>
    <w:link w:val="118"/>
    <w:autoRedefine/>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18">
    <w:name w:val="Balloon Text"/>
    <w:basedOn w:val="1"/>
    <w:link w:val="68"/>
    <w:autoRedefine/>
    <w:qFormat/>
    <w:uiPriority w:val="99"/>
    <w:rPr>
      <w:rFonts w:ascii="Calibri" w:hAnsi="Calibri" w:eastAsia="宋体" w:cs="Times New Roman"/>
      <w:sz w:val="18"/>
      <w:szCs w:val="18"/>
    </w:rPr>
  </w:style>
  <w:style w:type="paragraph" w:styleId="19">
    <w:name w:val="footer"/>
    <w:basedOn w:val="1"/>
    <w:link w:val="55"/>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20">
    <w:name w:val="header"/>
    <w:basedOn w:val="1"/>
    <w:link w:val="54"/>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1">
    <w:name w:val="toc 1"/>
    <w:basedOn w:val="1"/>
    <w:next w:val="1"/>
    <w:autoRedefine/>
    <w:qFormat/>
    <w:uiPriority w:val="39"/>
    <w:rPr>
      <w:rFonts w:ascii="Times New Roman" w:hAnsi="Times New Roman" w:eastAsia="宋体" w:cs="Times New Roman"/>
      <w:szCs w:val="24"/>
    </w:rPr>
  </w:style>
  <w:style w:type="paragraph" w:styleId="22">
    <w:name w:val="toc 4"/>
    <w:basedOn w:val="1"/>
    <w:next w:val="1"/>
    <w:autoRedefine/>
    <w:qFormat/>
    <w:uiPriority w:val="0"/>
    <w:pPr>
      <w:ind w:left="1260" w:leftChars="600"/>
    </w:pPr>
    <w:rPr>
      <w:rFonts w:ascii="Times New Roman" w:hAnsi="Times New Roman" w:eastAsia="宋体" w:cs="Times New Roman"/>
      <w:szCs w:val="24"/>
    </w:rPr>
  </w:style>
  <w:style w:type="paragraph" w:styleId="23">
    <w:name w:val="footnote text"/>
    <w:basedOn w:val="1"/>
    <w:link w:val="162"/>
    <w:autoRedefine/>
    <w:semiHidden/>
    <w:qFormat/>
    <w:uiPriority w:val="0"/>
    <w:pPr>
      <w:snapToGrid w:val="0"/>
      <w:jc w:val="left"/>
    </w:pPr>
    <w:rPr>
      <w:rFonts w:ascii="Times New Roman" w:hAnsi="Times New Roman" w:eastAsia="宋体" w:cs="Times New Roman"/>
      <w:sz w:val="18"/>
      <w:szCs w:val="18"/>
    </w:rPr>
  </w:style>
  <w:style w:type="paragraph" w:styleId="24">
    <w:name w:val="toc 6"/>
    <w:basedOn w:val="1"/>
    <w:next w:val="1"/>
    <w:autoRedefine/>
    <w:qFormat/>
    <w:uiPriority w:val="0"/>
    <w:pPr>
      <w:ind w:left="2100" w:leftChars="1000"/>
    </w:pPr>
    <w:rPr>
      <w:rFonts w:ascii="Times New Roman" w:hAnsi="Times New Roman" w:eastAsia="宋体" w:cs="Times New Roman"/>
      <w:szCs w:val="24"/>
    </w:rPr>
  </w:style>
  <w:style w:type="paragraph" w:styleId="25">
    <w:name w:val="Body Text Indent 3"/>
    <w:basedOn w:val="1"/>
    <w:link w:val="120"/>
    <w:autoRedefine/>
    <w:qFormat/>
    <w:uiPriority w:val="99"/>
    <w:pPr>
      <w:spacing w:line="440" w:lineRule="exact"/>
      <w:ind w:firstLine="412" w:firstLineChars="200"/>
    </w:pPr>
    <w:rPr>
      <w:rFonts w:ascii="宋体" w:hAnsi="Calibri" w:eastAsia="宋体" w:cs="Times New Roman"/>
      <w:kern w:val="0"/>
      <w:sz w:val="20"/>
      <w:szCs w:val="20"/>
    </w:rPr>
  </w:style>
  <w:style w:type="paragraph" w:styleId="26">
    <w:name w:val="table of figures"/>
    <w:basedOn w:val="1"/>
    <w:next w:val="1"/>
    <w:autoRedefine/>
    <w:qFormat/>
    <w:uiPriority w:val="0"/>
    <w:pPr>
      <w:ind w:left="200" w:leftChars="200" w:hanging="200" w:hangingChars="200"/>
    </w:pPr>
    <w:rPr>
      <w:rFonts w:ascii="Times New Roman" w:hAnsi="Times New Roman" w:eastAsia="宋体" w:cs="Times New Roman"/>
      <w:szCs w:val="20"/>
    </w:rPr>
  </w:style>
  <w:style w:type="paragraph" w:styleId="27">
    <w:name w:val="toc 2"/>
    <w:basedOn w:val="1"/>
    <w:next w:val="1"/>
    <w:autoRedefine/>
    <w:qFormat/>
    <w:uiPriority w:val="39"/>
    <w:pPr>
      <w:ind w:left="420" w:leftChars="200"/>
    </w:pPr>
    <w:rPr>
      <w:rFonts w:ascii="Times New Roman" w:hAnsi="Times New Roman" w:eastAsia="宋体" w:cs="Times New Roman"/>
      <w:szCs w:val="24"/>
    </w:rPr>
  </w:style>
  <w:style w:type="paragraph" w:styleId="28">
    <w:name w:val="toc 9"/>
    <w:basedOn w:val="1"/>
    <w:next w:val="1"/>
    <w:autoRedefine/>
    <w:qFormat/>
    <w:uiPriority w:val="0"/>
    <w:pPr>
      <w:ind w:left="3360" w:leftChars="1600"/>
    </w:pPr>
    <w:rPr>
      <w:rFonts w:ascii="Times New Roman" w:hAnsi="Times New Roman" w:eastAsia="宋体" w:cs="Times New Roman"/>
      <w:szCs w:val="24"/>
    </w:rPr>
  </w:style>
  <w:style w:type="paragraph" w:styleId="29">
    <w:name w:val="List Continue 2"/>
    <w:basedOn w:val="1"/>
    <w:autoRedefine/>
    <w:qFormat/>
    <w:uiPriority w:val="99"/>
    <w:pPr>
      <w:spacing w:after="120"/>
      <w:ind w:left="840" w:leftChars="400"/>
    </w:pPr>
    <w:rPr>
      <w:rFonts w:ascii="Times New Roman" w:hAnsi="Times New Roman" w:eastAsia="宋体" w:cs="Times New Roman"/>
      <w:szCs w:val="24"/>
    </w:rPr>
  </w:style>
  <w:style w:type="paragraph" w:styleId="3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1"/>
    <w:basedOn w:val="1"/>
    <w:next w:val="1"/>
    <w:autoRedefine/>
    <w:semiHidden/>
    <w:qFormat/>
    <w:uiPriority w:val="0"/>
    <w:pPr>
      <w:adjustRightInd w:val="0"/>
      <w:snapToGrid w:val="0"/>
      <w:spacing w:line="300" w:lineRule="exact"/>
    </w:pPr>
    <w:rPr>
      <w:rFonts w:ascii="宋体" w:hAnsi="宋体" w:eastAsia="宋体" w:cs="Times New Roman"/>
      <w:bCs/>
      <w:sz w:val="20"/>
      <w:szCs w:val="21"/>
    </w:rPr>
  </w:style>
  <w:style w:type="paragraph" w:styleId="32">
    <w:name w:val="Title"/>
    <w:basedOn w:val="1"/>
    <w:next w:val="1"/>
    <w:link w:val="148"/>
    <w:autoRedefine/>
    <w:qFormat/>
    <w:uiPriority w:val="0"/>
    <w:pPr>
      <w:spacing w:before="240" w:after="60"/>
      <w:jc w:val="center"/>
      <w:outlineLvl w:val="0"/>
    </w:pPr>
    <w:rPr>
      <w:rFonts w:ascii="Cambria" w:hAnsi="Cambria" w:cs="Times New Roman"/>
      <w:b/>
      <w:bCs/>
      <w:sz w:val="32"/>
      <w:szCs w:val="32"/>
    </w:rPr>
  </w:style>
  <w:style w:type="paragraph" w:styleId="33">
    <w:name w:val="annotation subject"/>
    <w:basedOn w:val="9"/>
    <w:next w:val="9"/>
    <w:link w:val="155"/>
    <w:autoRedefine/>
    <w:qFormat/>
    <w:uiPriority w:val="0"/>
    <w:rPr>
      <w:b/>
      <w:bCs/>
    </w:rPr>
  </w:style>
  <w:style w:type="table" w:styleId="35">
    <w:name w:val="Table Grid"/>
    <w:basedOn w:val="34"/>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22"/>
    <w:rPr>
      <w:rFonts w:cs="Times New Roman"/>
      <w:b/>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99"/>
    <w:rPr>
      <w:rFonts w:cs="Times New Roman"/>
      <w:color w:val="555555"/>
      <w:u w:val="none"/>
    </w:rPr>
  </w:style>
  <w:style w:type="character" w:styleId="40">
    <w:name w:val="Emphasis"/>
    <w:basedOn w:val="36"/>
    <w:autoRedefine/>
    <w:qFormat/>
    <w:uiPriority w:val="0"/>
    <w:rPr>
      <w:rFonts w:cs="Times New Roman"/>
      <w:i/>
    </w:rPr>
  </w:style>
  <w:style w:type="character" w:styleId="41">
    <w:name w:val="HTML Definition"/>
    <w:basedOn w:val="36"/>
    <w:autoRedefine/>
    <w:qFormat/>
    <w:uiPriority w:val="99"/>
    <w:rPr>
      <w:rFonts w:cs="Times New Roman"/>
    </w:rPr>
  </w:style>
  <w:style w:type="character" w:styleId="42">
    <w:name w:val="HTML Acronym"/>
    <w:basedOn w:val="36"/>
    <w:autoRedefine/>
    <w:qFormat/>
    <w:uiPriority w:val="99"/>
    <w:rPr>
      <w:rFonts w:cs="Times New Roman"/>
    </w:rPr>
  </w:style>
  <w:style w:type="character" w:styleId="43">
    <w:name w:val="HTML Variable"/>
    <w:basedOn w:val="36"/>
    <w:autoRedefine/>
    <w:qFormat/>
    <w:uiPriority w:val="99"/>
    <w:rPr>
      <w:rFonts w:cs="Times New Roman"/>
    </w:rPr>
  </w:style>
  <w:style w:type="character" w:styleId="44">
    <w:name w:val="Hyperlink"/>
    <w:basedOn w:val="36"/>
    <w:autoRedefine/>
    <w:qFormat/>
    <w:uiPriority w:val="99"/>
    <w:rPr>
      <w:rFonts w:cs="Times New Roman"/>
      <w:color w:val="555555"/>
      <w:u w:val="none"/>
    </w:rPr>
  </w:style>
  <w:style w:type="character" w:styleId="45">
    <w:name w:val="HTML Code"/>
    <w:basedOn w:val="36"/>
    <w:autoRedefine/>
    <w:qFormat/>
    <w:uiPriority w:val="99"/>
    <w:rPr>
      <w:rFonts w:ascii="monospace" w:hAnsi="monospace" w:cs="Times New Roman"/>
      <w:sz w:val="24"/>
    </w:rPr>
  </w:style>
  <w:style w:type="character" w:styleId="46">
    <w:name w:val="annotation reference"/>
    <w:autoRedefine/>
    <w:qFormat/>
    <w:uiPriority w:val="0"/>
    <w:rPr>
      <w:sz w:val="21"/>
      <w:szCs w:val="21"/>
    </w:rPr>
  </w:style>
  <w:style w:type="character" w:styleId="47">
    <w:name w:val="HTML Cite"/>
    <w:basedOn w:val="36"/>
    <w:autoRedefine/>
    <w:qFormat/>
    <w:uiPriority w:val="99"/>
    <w:rPr>
      <w:rFonts w:cs="Times New Roman"/>
    </w:rPr>
  </w:style>
  <w:style w:type="character" w:styleId="48">
    <w:name w:val="footnote reference"/>
    <w:autoRedefine/>
    <w:semiHidden/>
    <w:qFormat/>
    <w:uiPriority w:val="0"/>
    <w:rPr>
      <w:vertAlign w:val="superscript"/>
    </w:rPr>
  </w:style>
  <w:style w:type="character" w:styleId="49">
    <w:name w:val="HTML Keyboard"/>
    <w:basedOn w:val="36"/>
    <w:autoRedefine/>
    <w:qFormat/>
    <w:uiPriority w:val="99"/>
    <w:rPr>
      <w:rFonts w:ascii="monospace" w:hAnsi="monospace" w:cs="Times New Roman"/>
      <w:sz w:val="24"/>
    </w:rPr>
  </w:style>
  <w:style w:type="character" w:styleId="50">
    <w:name w:val="HTML Sample"/>
    <w:basedOn w:val="36"/>
    <w:autoRedefine/>
    <w:qFormat/>
    <w:uiPriority w:val="99"/>
    <w:rPr>
      <w:rFonts w:ascii="monospace" w:hAnsi="monospace" w:cs="Times New Roman"/>
      <w:sz w:val="24"/>
    </w:rPr>
  </w:style>
  <w:style w:type="character" w:customStyle="1" w:styleId="51">
    <w:name w:val="标题 1 Char"/>
    <w:basedOn w:val="36"/>
    <w:link w:val="2"/>
    <w:autoRedefine/>
    <w:qFormat/>
    <w:uiPriority w:val="9"/>
    <w:rPr>
      <w:rFonts w:ascii="???" w:hAnsi="???" w:eastAsia="宋体" w:cs="Arial"/>
      <w:b/>
      <w:bCs/>
      <w:color w:val="020000"/>
      <w:kern w:val="36"/>
      <w:sz w:val="44"/>
      <w:szCs w:val="44"/>
    </w:rPr>
  </w:style>
  <w:style w:type="character" w:customStyle="1" w:styleId="52">
    <w:name w:val="标题 2 Char"/>
    <w:basedOn w:val="36"/>
    <w:link w:val="3"/>
    <w:autoRedefine/>
    <w:qFormat/>
    <w:uiPriority w:val="99"/>
    <w:rPr>
      <w:rFonts w:ascii="???" w:hAnsi="???" w:eastAsia="宋体" w:cs="Arial"/>
      <w:b/>
      <w:bCs/>
      <w:color w:val="020000"/>
      <w:kern w:val="0"/>
      <w:sz w:val="32"/>
      <w:szCs w:val="32"/>
    </w:rPr>
  </w:style>
  <w:style w:type="character" w:customStyle="1" w:styleId="53">
    <w:name w:val="标题 3 Char"/>
    <w:basedOn w:val="36"/>
    <w:link w:val="4"/>
    <w:autoRedefine/>
    <w:qFormat/>
    <w:uiPriority w:val="99"/>
    <w:rPr>
      <w:rFonts w:ascii="??" w:hAnsi="??" w:eastAsia="宋体" w:cs="Arial"/>
      <w:b/>
      <w:bCs/>
      <w:color w:val="000000"/>
      <w:kern w:val="0"/>
      <w:sz w:val="32"/>
      <w:szCs w:val="32"/>
    </w:rPr>
  </w:style>
  <w:style w:type="character" w:customStyle="1" w:styleId="54">
    <w:name w:val="页眉 Char"/>
    <w:basedOn w:val="36"/>
    <w:link w:val="20"/>
    <w:autoRedefine/>
    <w:qFormat/>
    <w:uiPriority w:val="99"/>
    <w:rPr>
      <w:rFonts w:ascii="Calibri" w:hAnsi="Calibri" w:eastAsia="宋体" w:cs="Times New Roman"/>
      <w:sz w:val="18"/>
      <w:szCs w:val="18"/>
    </w:rPr>
  </w:style>
  <w:style w:type="character" w:customStyle="1" w:styleId="55">
    <w:name w:val="页脚 Char"/>
    <w:basedOn w:val="36"/>
    <w:link w:val="19"/>
    <w:autoRedefine/>
    <w:qFormat/>
    <w:uiPriority w:val="99"/>
    <w:rPr>
      <w:rFonts w:ascii="Calibri" w:hAnsi="Calibri" w:eastAsia="宋体" w:cs="Times New Roman"/>
      <w:sz w:val="18"/>
      <w:szCs w:val="18"/>
    </w:rPr>
  </w:style>
  <w:style w:type="character" w:customStyle="1" w:styleId="56">
    <w:name w:val="正文文本缩进 Char"/>
    <w:basedOn w:val="36"/>
    <w:link w:val="11"/>
    <w:autoRedefine/>
    <w:qFormat/>
    <w:uiPriority w:val="0"/>
    <w:rPr>
      <w:rFonts w:ascii="??" w:hAnsi="??" w:eastAsia="宋体" w:cs="Arial"/>
      <w:kern w:val="0"/>
      <w:sz w:val="24"/>
      <w:szCs w:val="24"/>
    </w:rPr>
  </w:style>
  <w:style w:type="paragraph" w:styleId="57">
    <w:name w:val="List Paragraph"/>
    <w:basedOn w:val="1"/>
    <w:autoRedefine/>
    <w:qFormat/>
    <w:uiPriority w:val="34"/>
    <w:pPr>
      <w:ind w:firstLine="420" w:firstLineChars="200"/>
    </w:pPr>
    <w:rPr>
      <w:rFonts w:ascii="Calibri" w:hAnsi="Calibri" w:eastAsia="宋体" w:cs="Times New Roman"/>
    </w:rPr>
  </w:style>
  <w:style w:type="character" w:customStyle="1" w:styleId="58">
    <w:name w:val="标题 2 Char Char"/>
    <w:autoRedefine/>
    <w:qFormat/>
    <w:uiPriority w:val="99"/>
    <w:rPr>
      <w:rFonts w:ascii="Arial" w:hAnsi="Arial" w:eastAsia="黑体"/>
      <w:b/>
      <w:kern w:val="2"/>
      <w:sz w:val="32"/>
      <w:lang w:val="en-US" w:eastAsia="zh-CN"/>
    </w:rPr>
  </w:style>
  <w:style w:type="character" w:customStyle="1" w:styleId="59">
    <w:name w:val="2charchar"/>
    <w:basedOn w:val="36"/>
    <w:autoRedefine/>
    <w:qFormat/>
    <w:uiPriority w:val="99"/>
    <w:rPr>
      <w:rFonts w:cs="Times New Roman"/>
    </w:rPr>
  </w:style>
  <w:style w:type="paragraph" w:customStyle="1" w:styleId="60">
    <w:name w:val="表格文字"/>
    <w:basedOn w:val="1"/>
    <w:autoRedefine/>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1">
    <w:name w:val="z-窗体顶端1"/>
    <w:basedOn w:val="1"/>
    <w:next w:val="1"/>
    <w:link w:val="62"/>
    <w:autoRedefine/>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2">
    <w:name w:val="z-窗体顶端 Char"/>
    <w:basedOn w:val="36"/>
    <w:link w:val="61"/>
    <w:autoRedefine/>
    <w:semiHidden/>
    <w:qFormat/>
    <w:uiPriority w:val="99"/>
    <w:rPr>
      <w:rFonts w:ascii="Arial" w:hAnsi="Arial" w:eastAsia="宋体" w:cs="Arial"/>
      <w:vanish/>
      <w:kern w:val="0"/>
      <w:sz w:val="16"/>
      <w:szCs w:val="16"/>
    </w:rPr>
  </w:style>
  <w:style w:type="paragraph" w:customStyle="1" w:styleId="63">
    <w:name w:val="z-窗体底端1"/>
    <w:basedOn w:val="1"/>
    <w:next w:val="1"/>
    <w:link w:val="64"/>
    <w:autoRedefine/>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4">
    <w:name w:val="z-窗体底端 Char"/>
    <w:basedOn w:val="36"/>
    <w:link w:val="63"/>
    <w:autoRedefine/>
    <w:semiHidden/>
    <w:qFormat/>
    <w:uiPriority w:val="99"/>
    <w:rPr>
      <w:rFonts w:ascii="Arial" w:hAnsi="Arial" w:eastAsia="宋体" w:cs="Arial"/>
      <w:vanish/>
      <w:kern w:val="0"/>
      <w:sz w:val="16"/>
      <w:szCs w:val="16"/>
    </w:rPr>
  </w:style>
  <w:style w:type="paragraph" w:customStyle="1" w:styleId="65">
    <w:name w:val="hu正文"/>
    <w:basedOn w:val="1"/>
    <w:link w:val="66"/>
    <w:autoRedefine/>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6">
    <w:name w:val="hu正文 Char"/>
    <w:link w:val="65"/>
    <w:autoRedefine/>
    <w:qFormat/>
    <w:locked/>
    <w:uiPriority w:val="99"/>
    <w:rPr>
      <w:rFonts w:ascii="Times New Roman" w:hAnsi="Times New Roman" w:eastAsia="宋体" w:cs="Times New Roman"/>
      <w:kern w:val="0"/>
      <w:sz w:val="24"/>
      <w:szCs w:val="20"/>
    </w:rPr>
  </w:style>
  <w:style w:type="paragraph" w:styleId="67">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8">
    <w:name w:val="批注框文本 Char"/>
    <w:basedOn w:val="36"/>
    <w:link w:val="18"/>
    <w:autoRedefine/>
    <w:qFormat/>
    <w:uiPriority w:val="99"/>
    <w:rPr>
      <w:rFonts w:ascii="Calibri" w:hAnsi="Calibri" w:eastAsia="宋体" w:cs="Times New Roman"/>
      <w:sz w:val="18"/>
      <w:szCs w:val="18"/>
    </w:rPr>
  </w:style>
  <w:style w:type="character" w:customStyle="1" w:styleId="69">
    <w:name w:val="ui-bz-bg-hover1"/>
    <w:basedOn w:val="36"/>
    <w:autoRedefine/>
    <w:qFormat/>
    <w:uiPriority w:val="99"/>
    <w:rPr>
      <w:rFonts w:cs="Times New Roman"/>
    </w:rPr>
  </w:style>
  <w:style w:type="character" w:customStyle="1" w:styleId="70">
    <w:name w:val="批注框文本 Char1"/>
    <w:autoRedefine/>
    <w:qFormat/>
    <w:uiPriority w:val="99"/>
    <w:rPr>
      <w:rFonts w:ascii="Times New Roman" w:hAnsi="Times New Roman" w:eastAsia="宋体"/>
      <w:sz w:val="18"/>
    </w:rPr>
  </w:style>
  <w:style w:type="character" w:customStyle="1" w:styleId="71">
    <w:name w:val="bds_nopic"/>
    <w:basedOn w:val="36"/>
    <w:autoRedefine/>
    <w:qFormat/>
    <w:uiPriority w:val="99"/>
    <w:rPr>
      <w:rFonts w:cs="Times New Roman"/>
    </w:rPr>
  </w:style>
  <w:style w:type="character" w:customStyle="1" w:styleId="72">
    <w:name w:val="tip12"/>
    <w:autoRedefine/>
    <w:qFormat/>
    <w:uiPriority w:val="99"/>
    <w:rPr>
      <w:vanish/>
      <w:color w:val="FF0000"/>
      <w:sz w:val="18"/>
    </w:rPr>
  </w:style>
  <w:style w:type="character" w:customStyle="1" w:styleId="73">
    <w:name w:val="Body Text Indent 3 Char"/>
    <w:autoRedefine/>
    <w:qFormat/>
    <w:locked/>
    <w:uiPriority w:val="99"/>
    <w:rPr>
      <w:rFonts w:ascii="宋体" w:eastAsia="宋体"/>
    </w:rPr>
  </w:style>
  <w:style w:type="character" w:customStyle="1" w:styleId="74">
    <w:name w:val="HTML Markup"/>
    <w:autoRedefine/>
    <w:qFormat/>
    <w:uiPriority w:val="99"/>
    <w:rPr>
      <w:vanish/>
      <w:color w:val="FF0000"/>
    </w:rPr>
  </w:style>
  <w:style w:type="character" w:customStyle="1" w:styleId="75">
    <w:name w:val="tip7"/>
    <w:autoRedefine/>
    <w:qFormat/>
    <w:uiPriority w:val="99"/>
    <w:rPr>
      <w:vanish/>
      <w:color w:val="FF0000"/>
      <w:sz w:val="18"/>
    </w:rPr>
  </w:style>
  <w:style w:type="character" w:customStyle="1" w:styleId="76">
    <w:name w:val="f-star"/>
    <w:autoRedefine/>
    <w:qFormat/>
    <w:uiPriority w:val="99"/>
    <w:rPr>
      <w:color w:val="999999"/>
      <w:sz w:val="21"/>
    </w:rPr>
  </w:style>
  <w:style w:type="character" w:customStyle="1" w:styleId="77">
    <w:name w:val="Document Map Char1"/>
    <w:autoRedefine/>
    <w:qFormat/>
    <w:uiPriority w:val="99"/>
    <w:rPr>
      <w:rFonts w:ascii="Times New Roman" w:hAnsi="Times New Roman"/>
      <w:kern w:val="2"/>
      <w:sz w:val="2"/>
    </w:rPr>
  </w:style>
  <w:style w:type="character" w:customStyle="1" w:styleId="78">
    <w:name w:val="my-class2"/>
    <w:basedOn w:val="36"/>
    <w:autoRedefine/>
    <w:qFormat/>
    <w:uiPriority w:val="99"/>
    <w:rPr>
      <w:rFonts w:cs="Times New Roman"/>
    </w:rPr>
  </w:style>
  <w:style w:type="character" w:customStyle="1" w:styleId="79">
    <w:name w:val="no52"/>
    <w:basedOn w:val="36"/>
    <w:autoRedefine/>
    <w:qFormat/>
    <w:uiPriority w:val="99"/>
    <w:rPr>
      <w:rFonts w:cs="Times New Roman"/>
    </w:rPr>
  </w:style>
  <w:style w:type="character" w:customStyle="1" w:styleId="80">
    <w:name w:val="no4"/>
    <w:basedOn w:val="36"/>
    <w:autoRedefine/>
    <w:qFormat/>
    <w:uiPriority w:val="99"/>
    <w:rPr>
      <w:rFonts w:cs="Times New Roman"/>
    </w:rPr>
  </w:style>
  <w:style w:type="character" w:customStyle="1" w:styleId="81">
    <w:name w:val="my-notice"/>
    <w:basedOn w:val="36"/>
    <w:autoRedefine/>
    <w:qFormat/>
    <w:uiPriority w:val="99"/>
    <w:rPr>
      <w:rFonts w:cs="Times New Roman"/>
    </w:rPr>
  </w:style>
  <w:style w:type="character" w:customStyle="1" w:styleId="82">
    <w:name w:val="ico-jiang"/>
    <w:basedOn w:val="36"/>
    <w:autoRedefine/>
    <w:qFormat/>
    <w:uiPriority w:val="99"/>
    <w:rPr>
      <w:rFonts w:cs="Times New Roman"/>
    </w:rPr>
  </w:style>
  <w:style w:type="character" w:customStyle="1" w:styleId="83">
    <w:name w:val="ico-jiang2"/>
    <w:basedOn w:val="36"/>
    <w:autoRedefine/>
    <w:qFormat/>
    <w:uiPriority w:val="99"/>
    <w:rPr>
      <w:rFonts w:cs="Times New Roman"/>
    </w:rPr>
  </w:style>
  <w:style w:type="character" w:customStyle="1" w:styleId="84">
    <w:name w:val="bds_more1"/>
    <w:autoRedefine/>
    <w:qFormat/>
    <w:uiPriority w:val="99"/>
    <w:rPr>
      <w:rFonts w:ascii="宋体" w:hAnsi="宋体" w:eastAsia="宋体"/>
    </w:rPr>
  </w:style>
  <w:style w:type="character" w:customStyle="1" w:styleId="85">
    <w:name w:val="Body Text Indent 2 Char"/>
    <w:autoRedefine/>
    <w:qFormat/>
    <w:locked/>
    <w:uiPriority w:val="99"/>
    <w:rPr>
      <w:rFonts w:ascii="宋体" w:eastAsia="宋体"/>
      <w:sz w:val="24"/>
    </w:rPr>
  </w:style>
  <w:style w:type="character" w:customStyle="1" w:styleId="86">
    <w:name w:val="org_name"/>
    <w:basedOn w:val="36"/>
    <w:autoRedefine/>
    <w:qFormat/>
    <w:uiPriority w:val="99"/>
    <w:rPr>
      <w:rFonts w:cs="Times New Roman"/>
    </w:rPr>
  </w:style>
  <w:style w:type="character" w:customStyle="1" w:styleId="87">
    <w:name w:val="org_name2"/>
    <w:basedOn w:val="36"/>
    <w:autoRedefine/>
    <w:qFormat/>
    <w:uiPriority w:val="99"/>
    <w:rPr>
      <w:rFonts w:cs="Times New Roman"/>
    </w:rPr>
  </w:style>
  <w:style w:type="character" w:customStyle="1" w:styleId="88">
    <w:name w:val="tip10"/>
    <w:autoRedefine/>
    <w:qFormat/>
    <w:uiPriority w:val="99"/>
    <w:rPr>
      <w:vanish/>
      <w:color w:val="FF0000"/>
      <w:sz w:val="18"/>
    </w:rPr>
  </w:style>
  <w:style w:type="character" w:customStyle="1" w:styleId="89">
    <w:name w:val="orange"/>
    <w:autoRedefine/>
    <w:qFormat/>
    <w:uiPriority w:val="99"/>
    <w:rPr>
      <w:color w:val="3FB58F"/>
    </w:rPr>
  </w:style>
  <w:style w:type="character" w:customStyle="1" w:styleId="90">
    <w:name w:val="bds_more"/>
    <w:basedOn w:val="36"/>
    <w:autoRedefine/>
    <w:qFormat/>
    <w:uiPriority w:val="99"/>
    <w:rPr>
      <w:rFonts w:cs="Times New Roman"/>
    </w:rPr>
  </w:style>
  <w:style w:type="character" w:customStyle="1" w:styleId="91">
    <w:name w:val="t-tag"/>
    <w:autoRedefine/>
    <w:qFormat/>
    <w:uiPriority w:val="99"/>
    <w:rPr>
      <w:color w:val="FFFFFF"/>
      <w:sz w:val="18"/>
      <w:shd w:val="clear" w:color="auto" w:fill="FE8833"/>
    </w:rPr>
  </w:style>
  <w:style w:type="character" w:customStyle="1" w:styleId="92">
    <w:name w:val="top-icon"/>
    <w:basedOn w:val="36"/>
    <w:autoRedefine/>
    <w:qFormat/>
    <w:uiPriority w:val="99"/>
    <w:rPr>
      <w:rFonts w:cs="Times New Roman"/>
    </w:rPr>
  </w:style>
  <w:style w:type="character" w:customStyle="1" w:styleId="93">
    <w:name w:val="Body Text Char"/>
    <w:autoRedefine/>
    <w:qFormat/>
    <w:locked/>
    <w:uiPriority w:val="99"/>
    <w:rPr>
      <w:sz w:val="24"/>
    </w:rPr>
  </w:style>
  <w:style w:type="character" w:customStyle="1" w:styleId="94">
    <w:name w:val="no72"/>
    <w:basedOn w:val="36"/>
    <w:autoRedefine/>
    <w:qFormat/>
    <w:uiPriority w:val="99"/>
    <w:rPr>
      <w:rFonts w:cs="Times New Roman"/>
    </w:rPr>
  </w:style>
  <w:style w:type="character" w:customStyle="1" w:styleId="95">
    <w:name w:val="bds_nopic2"/>
    <w:basedOn w:val="36"/>
    <w:autoRedefine/>
    <w:qFormat/>
    <w:uiPriority w:val="99"/>
    <w:rPr>
      <w:rFonts w:cs="Times New Roman"/>
    </w:rPr>
  </w:style>
  <w:style w:type="character" w:customStyle="1" w:styleId="96">
    <w:name w:val="Document Map Char"/>
    <w:autoRedefine/>
    <w:qFormat/>
    <w:uiPriority w:val="99"/>
    <w:rPr>
      <w:rFonts w:ascii="宋体"/>
      <w:sz w:val="18"/>
    </w:rPr>
  </w:style>
  <w:style w:type="character" w:customStyle="1" w:styleId="97">
    <w:name w:val="no6"/>
    <w:basedOn w:val="36"/>
    <w:autoRedefine/>
    <w:qFormat/>
    <w:uiPriority w:val="99"/>
    <w:rPr>
      <w:rFonts w:cs="Times New Roman"/>
    </w:rPr>
  </w:style>
  <w:style w:type="character" w:customStyle="1" w:styleId="98">
    <w:name w:val="tip"/>
    <w:autoRedefine/>
    <w:qFormat/>
    <w:uiPriority w:val="99"/>
    <w:rPr>
      <w:vanish/>
      <w:color w:val="FF0000"/>
      <w:sz w:val="18"/>
    </w:rPr>
  </w:style>
  <w:style w:type="character" w:customStyle="1" w:styleId="99">
    <w:name w:val="apple-converted-space"/>
    <w:basedOn w:val="36"/>
    <w:autoRedefine/>
    <w:qFormat/>
    <w:uiPriority w:val="99"/>
    <w:rPr>
      <w:rFonts w:cs="Times New Roman"/>
    </w:rPr>
  </w:style>
  <w:style w:type="character" w:customStyle="1" w:styleId="100">
    <w:name w:val="bds_more2"/>
    <w:basedOn w:val="36"/>
    <w:autoRedefine/>
    <w:qFormat/>
    <w:uiPriority w:val="99"/>
    <w:rPr>
      <w:rFonts w:cs="Times New Roman"/>
    </w:rPr>
  </w:style>
  <w:style w:type="character" w:customStyle="1" w:styleId="101">
    <w:name w:val="my-class"/>
    <w:basedOn w:val="36"/>
    <w:autoRedefine/>
    <w:qFormat/>
    <w:uiPriority w:val="99"/>
    <w:rPr>
      <w:rFonts w:cs="Times New Roman"/>
    </w:rPr>
  </w:style>
  <w:style w:type="character" w:customStyle="1" w:styleId="102">
    <w:name w:val="ui-bz-bg-hover"/>
    <w:autoRedefine/>
    <w:qFormat/>
    <w:uiPriority w:val="99"/>
    <w:rPr>
      <w:shd w:val="clear" w:color="auto" w:fill="000000"/>
    </w:rPr>
  </w:style>
  <w:style w:type="character" w:customStyle="1" w:styleId="103">
    <w:name w:val="no7"/>
    <w:basedOn w:val="36"/>
    <w:autoRedefine/>
    <w:qFormat/>
    <w:uiPriority w:val="99"/>
    <w:rPr>
      <w:rFonts w:cs="Times New Roman"/>
    </w:rPr>
  </w:style>
  <w:style w:type="character" w:customStyle="1" w:styleId="104">
    <w:name w:val="正文缩进 Char"/>
    <w:link w:val="7"/>
    <w:autoRedefine/>
    <w:qFormat/>
    <w:locked/>
    <w:uiPriority w:val="99"/>
    <w:rPr>
      <w:rFonts w:ascii="Times New Roman" w:hAnsi="Times New Roman" w:eastAsia="宋体" w:cs="Times New Roman"/>
      <w:kern w:val="0"/>
      <w:sz w:val="24"/>
      <w:szCs w:val="20"/>
    </w:rPr>
  </w:style>
  <w:style w:type="character" w:customStyle="1" w:styleId="105">
    <w:name w:val="ico-jiang1"/>
    <w:basedOn w:val="36"/>
    <w:autoRedefine/>
    <w:qFormat/>
    <w:uiPriority w:val="99"/>
    <w:rPr>
      <w:rFonts w:cs="Times New Roman"/>
    </w:rPr>
  </w:style>
  <w:style w:type="character" w:customStyle="1" w:styleId="106">
    <w:name w:val="no62"/>
    <w:basedOn w:val="36"/>
    <w:autoRedefine/>
    <w:qFormat/>
    <w:uiPriority w:val="99"/>
    <w:rPr>
      <w:rFonts w:cs="Times New Roman"/>
    </w:rPr>
  </w:style>
  <w:style w:type="character" w:customStyle="1" w:styleId="107">
    <w:name w:val="orange5"/>
    <w:autoRedefine/>
    <w:qFormat/>
    <w:uiPriority w:val="99"/>
    <w:rPr>
      <w:color w:val="3FB58F"/>
    </w:rPr>
  </w:style>
  <w:style w:type="character" w:customStyle="1" w:styleId="108">
    <w:name w:val="bds_more4"/>
    <w:basedOn w:val="36"/>
    <w:autoRedefine/>
    <w:qFormat/>
    <w:uiPriority w:val="99"/>
    <w:rPr>
      <w:rFonts w:cs="Times New Roman"/>
    </w:rPr>
  </w:style>
  <w:style w:type="character" w:customStyle="1" w:styleId="109">
    <w:name w:val="no5"/>
    <w:basedOn w:val="36"/>
    <w:autoRedefine/>
    <w:qFormat/>
    <w:uiPriority w:val="99"/>
    <w:rPr>
      <w:rFonts w:cs="Times New Roman"/>
    </w:rPr>
  </w:style>
  <w:style w:type="character" w:customStyle="1" w:styleId="110">
    <w:name w:val="bds_more3"/>
    <w:basedOn w:val="36"/>
    <w:autoRedefine/>
    <w:qFormat/>
    <w:uiPriority w:val="99"/>
    <w:rPr>
      <w:rFonts w:cs="Times New Roman"/>
    </w:rPr>
  </w:style>
  <w:style w:type="character" w:customStyle="1" w:styleId="111">
    <w:name w:val="no42"/>
    <w:basedOn w:val="36"/>
    <w:autoRedefine/>
    <w:qFormat/>
    <w:uiPriority w:val="99"/>
    <w:rPr>
      <w:rFonts w:cs="Times New Roman"/>
    </w:rPr>
  </w:style>
  <w:style w:type="character" w:customStyle="1" w:styleId="112">
    <w:name w:val="bds_nopic1"/>
    <w:basedOn w:val="36"/>
    <w:autoRedefine/>
    <w:qFormat/>
    <w:uiPriority w:val="99"/>
    <w:rPr>
      <w:rFonts w:cs="Times New Roman"/>
    </w:rPr>
  </w:style>
  <w:style w:type="character" w:customStyle="1" w:styleId="113">
    <w:name w:val="my-notice1"/>
    <w:basedOn w:val="36"/>
    <w:autoRedefine/>
    <w:qFormat/>
    <w:uiPriority w:val="99"/>
    <w:rPr>
      <w:rFonts w:cs="Times New Roman"/>
    </w:rPr>
  </w:style>
  <w:style w:type="character" w:customStyle="1" w:styleId="114">
    <w:name w:val="orange6"/>
    <w:autoRedefine/>
    <w:qFormat/>
    <w:uiPriority w:val="99"/>
    <w:rPr>
      <w:color w:val="3FB58F"/>
    </w:rPr>
  </w:style>
  <w:style w:type="character" w:customStyle="1" w:styleId="115">
    <w:name w:val="Document Map Char2"/>
    <w:autoRedefine/>
    <w:qFormat/>
    <w:locked/>
    <w:uiPriority w:val="99"/>
    <w:rPr>
      <w:rFonts w:ascii="宋体"/>
      <w:sz w:val="18"/>
    </w:rPr>
  </w:style>
  <w:style w:type="character" w:customStyle="1" w:styleId="116">
    <w:name w:val="ico-jiang3"/>
    <w:basedOn w:val="36"/>
    <w:autoRedefine/>
    <w:qFormat/>
    <w:uiPriority w:val="99"/>
    <w:rPr>
      <w:rFonts w:cs="Times New Roman"/>
    </w:rPr>
  </w:style>
  <w:style w:type="character" w:customStyle="1" w:styleId="117">
    <w:name w:val="tip13"/>
    <w:autoRedefine/>
    <w:qFormat/>
    <w:uiPriority w:val="99"/>
    <w:rPr>
      <w:vanish/>
      <w:color w:val="FF0000"/>
      <w:sz w:val="18"/>
    </w:rPr>
  </w:style>
  <w:style w:type="character" w:customStyle="1" w:styleId="118">
    <w:name w:val="正文文本缩进 2 Char"/>
    <w:basedOn w:val="36"/>
    <w:link w:val="17"/>
    <w:autoRedefine/>
    <w:qFormat/>
    <w:uiPriority w:val="99"/>
    <w:rPr>
      <w:rFonts w:ascii="宋体" w:hAnsi="Calibri" w:eastAsia="宋体" w:cs="Times New Roman"/>
      <w:kern w:val="0"/>
      <w:sz w:val="24"/>
      <w:szCs w:val="20"/>
    </w:rPr>
  </w:style>
  <w:style w:type="character" w:customStyle="1" w:styleId="119">
    <w:name w:val="Body Text Indent 2 Char1"/>
    <w:basedOn w:val="36"/>
    <w:autoRedefine/>
    <w:semiHidden/>
    <w:qFormat/>
    <w:locked/>
    <w:uiPriority w:val="99"/>
    <w:rPr>
      <w:rFonts w:cs="Times New Roman"/>
    </w:rPr>
  </w:style>
  <w:style w:type="character" w:customStyle="1" w:styleId="120">
    <w:name w:val="正文文本缩进 3 Char"/>
    <w:basedOn w:val="36"/>
    <w:link w:val="25"/>
    <w:autoRedefine/>
    <w:qFormat/>
    <w:uiPriority w:val="99"/>
    <w:rPr>
      <w:rFonts w:ascii="宋体" w:hAnsi="Calibri" w:eastAsia="宋体" w:cs="Times New Roman"/>
      <w:kern w:val="0"/>
      <w:sz w:val="20"/>
      <w:szCs w:val="20"/>
    </w:rPr>
  </w:style>
  <w:style w:type="character" w:customStyle="1" w:styleId="121">
    <w:name w:val="Body Text Indent 3 Char1"/>
    <w:basedOn w:val="36"/>
    <w:autoRedefine/>
    <w:semiHidden/>
    <w:qFormat/>
    <w:locked/>
    <w:uiPriority w:val="99"/>
    <w:rPr>
      <w:rFonts w:cs="Times New Roman"/>
      <w:sz w:val="16"/>
      <w:szCs w:val="16"/>
    </w:rPr>
  </w:style>
  <w:style w:type="character" w:customStyle="1" w:styleId="122">
    <w:name w:val="文档结构图 Char"/>
    <w:basedOn w:val="36"/>
    <w:link w:val="8"/>
    <w:autoRedefine/>
    <w:qFormat/>
    <w:uiPriority w:val="99"/>
    <w:rPr>
      <w:rFonts w:ascii="宋体" w:hAnsi="Calibri" w:eastAsia="宋体" w:cs="Times New Roman"/>
      <w:kern w:val="0"/>
      <w:sz w:val="18"/>
      <w:szCs w:val="20"/>
    </w:rPr>
  </w:style>
  <w:style w:type="character" w:customStyle="1" w:styleId="123">
    <w:name w:val="Document Map Char3"/>
    <w:basedOn w:val="36"/>
    <w:autoRedefine/>
    <w:semiHidden/>
    <w:qFormat/>
    <w:locked/>
    <w:uiPriority w:val="99"/>
    <w:rPr>
      <w:rFonts w:ascii="Times New Roman" w:hAnsi="Times New Roman" w:cs="Times New Roman"/>
      <w:sz w:val="2"/>
    </w:rPr>
  </w:style>
  <w:style w:type="paragraph" w:customStyle="1" w:styleId="124">
    <w:name w:val="_Style 1"/>
    <w:basedOn w:val="1"/>
    <w:autoRedefine/>
    <w:qFormat/>
    <w:uiPriority w:val="99"/>
    <w:pPr>
      <w:ind w:firstLine="420" w:firstLineChars="200"/>
    </w:pPr>
    <w:rPr>
      <w:rFonts w:ascii="Times New Roman" w:hAnsi="Times New Roman" w:eastAsia="宋体" w:cs="Times New Roman"/>
      <w:szCs w:val="24"/>
    </w:rPr>
  </w:style>
  <w:style w:type="character" w:customStyle="1" w:styleId="125">
    <w:name w:val="正文文本 Char"/>
    <w:basedOn w:val="36"/>
    <w:link w:val="10"/>
    <w:autoRedefine/>
    <w:qFormat/>
    <w:uiPriority w:val="99"/>
    <w:rPr>
      <w:rFonts w:asciiTheme="minorEastAsia" w:hAnsiTheme="minorEastAsia" w:eastAsiaTheme="minorEastAsia"/>
      <w:b/>
      <w:sz w:val="24"/>
      <w:szCs w:val="21"/>
    </w:rPr>
  </w:style>
  <w:style w:type="character" w:customStyle="1" w:styleId="126">
    <w:name w:val="Body Text Char1"/>
    <w:basedOn w:val="36"/>
    <w:autoRedefine/>
    <w:semiHidden/>
    <w:qFormat/>
    <w:locked/>
    <w:uiPriority w:val="99"/>
    <w:rPr>
      <w:rFonts w:cs="Times New Roman"/>
    </w:rPr>
  </w:style>
  <w:style w:type="paragraph" w:customStyle="1" w:styleId="127">
    <w:name w:val="_Style 21"/>
    <w:basedOn w:val="1"/>
    <w:autoRedefine/>
    <w:qFormat/>
    <w:uiPriority w:val="99"/>
    <w:rPr>
      <w:rFonts w:ascii="Times New Roman" w:hAnsi="Times New Roman" w:eastAsia="宋体" w:cs="Times New Roman"/>
      <w:szCs w:val="20"/>
    </w:rPr>
  </w:style>
  <w:style w:type="paragraph" w:customStyle="1" w:styleId="128">
    <w:name w:val="p0"/>
    <w:basedOn w:val="1"/>
    <w:autoRedefine/>
    <w:qFormat/>
    <w:uiPriority w:val="99"/>
    <w:pPr>
      <w:widowControl/>
    </w:pPr>
    <w:rPr>
      <w:rFonts w:ascii="Times New Roman" w:hAnsi="Times New Roman" w:eastAsia="宋体" w:cs="Times New Roman"/>
      <w:kern w:val="0"/>
      <w:szCs w:val="21"/>
    </w:rPr>
  </w:style>
  <w:style w:type="paragraph" w:customStyle="1" w:styleId="129">
    <w:name w:val="xl37"/>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0">
    <w:name w:val="xl25"/>
    <w:basedOn w:val="1"/>
    <w:autoRedefine/>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1">
    <w:name w:val="样式 样式 样式 样式 内容 + 首行缩进:  2 字符18 + 首行缩进:  5.71 厘米 + 首行缩进:  8.04 厘米..."/>
    <w:basedOn w:val="1"/>
    <w:autoRedefine/>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2">
    <w:name w:val="无间隔1"/>
    <w:autoRedefine/>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3">
    <w:name w:val="列出段落11"/>
    <w:basedOn w:val="1"/>
    <w:autoRedefine/>
    <w:qFormat/>
    <w:uiPriority w:val="99"/>
    <w:pPr>
      <w:ind w:firstLine="420" w:firstLineChars="200"/>
    </w:pPr>
    <w:rPr>
      <w:rFonts w:ascii="Times New Roman" w:hAnsi="Times New Roman" w:eastAsia="宋体" w:cs="Times New Roman"/>
      <w:szCs w:val="24"/>
    </w:rPr>
  </w:style>
  <w:style w:type="paragraph" w:customStyle="1" w:styleId="134">
    <w:name w:val="_Style 2"/>
    <w:basedOn w:val="1"/>
    <w:autoRedefine/>
    <w:qFormat/>
    <w:uiPriority w:val="99"/>
    <w:pPr>
      <w:ind w:firstLine="420" w:firstLineChars="200"/>
    </w:pPr>
    <w:rPr>
      <w:rFonts w:ascii="Calibri" w:hAnsi="Calibri" w:eastAsia="宋体" w:cs="Times New Roman"/>
    </w:rPr>
  </w:style>
  <w:style w:type="paragraph" w:customStyle="1" w:styleId="135">
    <w:name w:val="txt14"/>
    <w:basedOn w:val="1"/>
    <w:autoRedefine/>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6">
    <w:name w:val="_Style 11"/>
    <w:basedOn w:val="1"/>
    <w:autoRedefine/>
    <w:qFormat/>
    <w:uiPriority w:val="99"/>
    <w:rPr>
      <w:rFonts w:ascii="Times New Roman" w:hAnsi="Times New Roman" w:eastAsia="宋体" w:cs="Times New Roman"/>
      <w:szCs w:val="24"/>
    </w:rPr>
  </w:style>
  <w:style w:type="paragraph" w:customStyle="1" w:styleId="137">
    <w:name w:val="Char"/>
    <w:basedOn w:val="1"/>
    <w:autoRedefine/>
    <w:qFormat/>
    <w:uiPriority w:val="99"/>
    <w:rPr>
      <w:rFonts w:ascii="Times New Roman" w:hAnsi="Times New Roman" w:eastAsia="宋体" w:cs="Times New Roman"/>
      <w:szCs w:val="21"/>
    </w:rPr>
  </w:style>
  <w:style w:type="paragraph" w:customStyle="1" w:styleId="138">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139">
    <w:name w:val="列出段落2"/>
    <w:basedOn w:val="1"/>
    <w:autoRedefine/>
    <w:qFormat/>
    <w:uiPriority w:val="99"/>
    <w:pPr>
      <w:ind w:firstLine="420" w:firstLineChars="200"/>
    </w:pPr>
    <w:rPr>
      <w:rFonts w:ascii="Times New Roman" w:hAnsi="Times New Roman" w:eastAsia="宋体" w:cs="Times New Roman"/>
      <w:szCs w:val="24"/>
    </w:rPr>
  </w:style>
  <w:style w:type="paragraph" w:customStyle="1" w:styleId="140">
    <w:name w:val="TOC 标题1"/>
    <w:basedOn w:val="2"/>
    <w:next w:val="1"/>
    <w:autoRedefine/>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1">
    <w:name w:val="正文文本缩进 31"/>
    <w:basedOn w:val="1"/>
    <w:autoRedefine/>
    <w:qFormat/>
    <w:uiPriority w:val="99"/>
    <w:pPr>
      <w:spacing w:line="440" w:lineRule="exact"/>
      <w:ind w:firstLine="412" w:firstLineChars="200"/>
    </w:pPr>
    <w:rPr>
      <w:rFonts w:ascii="宋体" w:hAnsi="宋体" w:eastAsia="宋体" w:cs="Times New Roman"/>
      <w:kern w:val="0"/>
      <w:sz w:val="20"/>
      <w:szCs w:val="20"/>
    </w:rPr>
  </w:style>
  <w:style w:type="character" w:customStyle="1" w:styleId="142">
    <w:name w:val="font41"/>
    <w:autoRedefine/>
    <w:qFormat/>
    <w:uiPriority w:val="99"/>
    <w:rPr>
      <w:rFonts w:hint="eastAsia" w:ascii="宋体" w:hAnsi="宋体" w:eastAsia="宋体" w:cs="宋体"/>
      <w:b/>
      <w:color w:val="000000"/>
      <w:sz w:val="22"/>
      <w:szCs w:val="22"/>
      <w:u w:val="none"/>
    </w:rPr>
  </w:style>
  <w:style w:type="character" w:customStyle="1" w:styleId="143">
    <w:name w:val="font81"/>
    <w:autoRedefine/>
    <w:qFormat/>
    <w:uiPriority w:val="99"/>
    <w:rPr>
      <w:rFonts w:hint="eastAsia" w:ascii="宋体" w:hAnsi="宋体" w:eastAsia="宋体" w:cs="宋体"/>
      <w:b/>
      <w:color w:val="000000"/>
      <w:sz w:val="22"/>
      <w:szCs w:val="22"/>
      <w:u w:val="none"/>
    </w:rPr>
  </w:style>
  <w:style w:type="character" w:customStyle="1" w:styleId="144">
    <w:name w:val="font21"/>
    <w:autoRedefine/>
    <w:qFormat/>
    <w:uiPriority w:val="0"/>
    <w:rPr>
      <w:rFonts w:hint="eastAsia" w:ascii="宋体" w:hAnsi="宋体" w:eastAsia="宋体" w:cs="宋体"/>
      <w:color w:val="000000"/>
      <w:sz w:val="18"/>
      <w:szCs w:val="18"/>
      <w:u w:val="none"/>
    </w:rPr>
  </w:style>
  <w:style w:type="character" w:customStyle="1" w:styleId="145">
    <w:name w:val="日期 Char"/>
    <w:link w:val="16"/>
    <w:autoRedefine/>
    <w:qFormat/>
    <w:uiPriority w:val="0"/>
    <w:rPr>
      <w:szCs w:val="21"/>
    </w:rPr>
  </w:style>
  <w:style w:type="character" w:customStyle="1" w:styleId="146">
    <w:name w:val="font01"/>
    <w:autoRedefine/>
    <w:qFormat/>
    <w:uiPriority w:val="99"/>
    <w:rPr>
      <w:rFonts w:hint="eastAsia" w:ascii="宋体" w:hAnsi="宋体" w:eastAsia="宋体" w:cs="宋体"/>
      <w:color w:val="000000"/>
      <w:sz w:val="22"/>
      <w:szCs w:val="22"/>
      <w:u w:val="none"/>
    </w:rPr>
  </w:style>
  <w:style w:type="character" w:customStyle="1" w:styleId="147">
    <w:name w:val="Char Char1"/>
    <w:autoRedefine/>
    <w:qFormat/>
    <w:uiPriority w:val="0"/>
    <w:rPr>
      <w:rFonts w:eastAsia="宋体"/>
      <w:kern w:val="2"/>
      <w:sz w:val="18"/>
      <w:szCs w:val="18"/>
      <w:lang w:val="en-US" w:eastAsia="zh-CN" w:bidi="ar-SA"/>
    </w:rPr>
  </w:style>
  <w:style w:type="character" w:customStyle="1" w:styleId="148">
    <w:name w:val="标题 Char"/>
    <w:link w:val="32"/>
    <w:autoRedefine/>
    <w:qFormat/>
    <w:uiPriority w:val="0"/>
    <w:rPr>
      <w:rFonts w:ascii="Cambria" w:hAnsi="Cambria" w:cs="Times New Roman"/>
      <w:b/>
      <w:bCs/>
      <w:sz w:val="32"/>
      <w:szCs w:val="32"/>
    </w:rPr>
  </w:style>
  <w:style w:type="character" w:customStyle="1" w:styleId="149">
    <w:name w:val="hei141"/>
    <w:autoRedefine/>
    <w:qFormat/>
    <w:uiPriority w:val="0"/>
    <w:rPr>
      <w:rFonts w:hint="eastAsia" w:ascii="宋体" w:hAnsi="宋体" w:eastAsia="宋体"/>
      <w:color w:val="000000"/>
      <w:sz w:val="19"/>
      <w:szCs w:val="19"/>
      <w:u w:val="none"/>
    </w:rPr>
  </w:style>
  <w:style w:type="character" w:customStyle="1" w:styleId="150">
    <w:name w:val="批注文字 Char"/>
    <w:link w:val="9"/>
    <w:autoRedefine/>
    <w:qFormat/>
    <w:uiPriority w:val="0"/>
  </w:style>
  <w:style w:type="character" w:customStyle="1" w:styleId="151">
    <w:name w:val="apple-style-span"/>
    <w:basedOn w:val="36"/>
    <w:autoRedefine/>
    <w:qFormat/>
    <w:uiPriority w:val="0"/>
  </w:style>
  <w:style w:type="character" w:customStyle="1" w:styleId="152">
    <w:name w:val="param-value"/>
    <w:autoRedefine/>
    <w:qFormat/>
    <w:uiPriority w:val="99"/>
    <w:rPr>
      <w:rFonts w:cs="Times New Roman"/>
    </w:rPr>
  </w:style>
  <w:style w:type="character" w:customStyle="1" w:styleId="153">
    <w:name w:val="font61"/>
    <w:autoRedefine/>
    <w:qFormat/>
    <w:uiPriority w:val="0"/>
    <w:rPr>
      <w:rFonts w:hint="eastAsia" w:ascii="宋体" w:hAnsi="宋体" w:eastAsia="宋体" w:cs="宋体"/>
      <w:color w:val="000000"/>
      <w:sz w:val="22"/>
      <w:szCs w:val="22"/>
      <w:u w:val="none"/>
    </w:rPr>
  </w:style>
  <w:style w:type="character" w:customStyle="1" w:styleId="154">
    <w:name w:val="font11"/>
    <w:autoRedefine/>
    <w:qFormat/>
    <w:uiPriority w:val="0"/>
    <w:rPr>
      <w:rFonts w:hint="eastAsia" w:ascii="宋体" w:hAnsi="宋体" w:eastAsia="宋体" w:cs="宋体"/>
      <w:color w:val="FF0000"/>
      <w:sz w:val="22"/>
      <w:szCs w:val="22"/>
      <w:u w:val="none"/>
    </w:rPr>
  </w:style>
  <w:style w:type="character" w:customStyle="1" w:styleId="155">
    <w:name w:val="批注主题 Char"/>
    <w:link w:val="33"/>
    <w:autoRedefine/>
    <w:qFormat/>
    <w:uiPriority w:val="0"/>
    <w:rPr>
      <w:b/>
      <w:bCs/>
    </w:rPr>
  </w:style>
  <w:style w:type="character" w:customStyle="1" w:styleId="156">
    <w:name w:val="批注文字 Char1"/>
    <w:basedOn w:val="36"/>
    <w:autoRedefine/>
    <w:semiHidden/>
    <w:qFormat/>
    <w:uiPriority w:val="99"/>
  </w:style>
  <w:style w:type="paragraph" w:customStyle="1" w:styleId="157">
    <w:name w:val="内文"/>
    <w:basedOn w:val="1"/>
    <w:autoRedefine/>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58">
    <w:name w:val="批注主题 Char1"/>
    <w:basedOn w:val="156"/>
    <w:autoRedefine/>
    <w:semiHidden/>
    <w:qFormat/>
    <w:uiPriority w:val="99"/>
    <w:rPr>
      <w:b/>
      <w:bCs/>
    </w:rPr>
  </w:style>
  <w:style w:type="paragraph" w:customStyle="1" w:styleId="159">
    <w:name w:val="reader-word-layer reader-word-s1-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0">
    <w:name w:val="日期 Char1"/>
    <w:basedOn w:val="36"/>
    <w:autoRedefine/>
    <w:semiHidden/>
    <w:qFormat/>
    <w:uiPriority w:val="99"/>
  </w:style>
  <w:style w:type="paragraph" w:customStyle="1" w:styleId="161">
    <w:name w:val="reader-word-layer reader-word-s1-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2">
    <w:name w:val="脚注文本 Char"/>
    <w:basedOn w:val="36"/>
    <w:link w:val="23"/>
    <w:autoRedefine/>
    <w:semiHidden/>
    <w:qFormat/>
    <w:uiPriority w:val="0"/>
    <w:rPr>
      <w:rFonts w:ascii="Times New Roman" w:hAnsi="Times New Roman" w:eastAsia="宋体" w:cs="Times New Roman"/>
      <w:sz w:val="18"/>
      <w:szCs w:val="18"/>
    </w:rPr>
  </w:style>
  <w:style w:type="paragraph" w:customStyle="1" w:styleId="163">
    <w:name w:val="reader-word-layer reader-word-s1-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reader-word-layer reader-word-s1-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标题 Char1"/>
    <w:basedOn w:val="36"/>
    <w:autoRedefine/>
    <w:qFormat/>
    <w:uiPriority w:val="10"/>
    <w:rPr>
      <w:rFonts w:eastAsia="宋体" w:asciiTheme="majorHAnsi" w:hAnsiTheme="majorHAnsi" w:cstheme="majorBidi"/>
      <w:b/>
      <w:bCs/>
      <w:sz w:val="32"/>
      <w:szCs w:val="32"/>
    </w:rPr>
  </w:style>
  <w:style w:type="paragraph" w:customStyle="1" w:styleId="166">
    <w:name w:val="本文正文"/>
    <w:basedOn w:val="1"/>
    <w:autoRedefine/>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67">
    <w:name w:val="reader-word-layer reader-word-s1-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Char Char Char1 Char Char Char Char"/>
    <w:basedOn w:val="1"/>
    <w:autoRedefine/>
    <w:qFormat/>
    <w:uiPriority w:val="99"/>
    <w:pPr>
      <w:spacing w:line="300" w:lineRule="auto"/>
    </w:pPr>
    <w:rPr>
      <w:rFonts w:ascii="Tahoma" w:hAnsi="Tahoma" w:eastAsia="宋体" w:cs="Times New Roman"/>
      <w:sz w:val="24"/>
      <w:szCs w:val="24"/>
    </w:rPr>
  </w:style>
  <w:style w:type="paragraph" w:customStyle="1" w:styleId="169">
    <w:name w:val="Default"/>
    <w:autoRedefine/>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0">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71">
    <w:name w:val="reader-word-layer reader-word-s1-1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reader-word-layer reader-word-s1-19"/>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reader-word-layer reader-word-s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Char Char4"/>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5">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7">
    <w:name w:val="列出段落3"/>
    <w:basedOn w:val="1"/>
    <w:autoRedefine/>
    <w:qFormat/>
    <w:uiPriority w:val="0"/>
    <w:pPr>
      <w:ind w:firstLine="420" w:firstLineChars="200"/>
    </w:pPr>
    <w:rPr>
      <w:rFonts w:ascii="Times New Roman" w:hAnsi="Times New Roman" w:eastAsia="宋体" w:cs="Times New Roman"/>
      <w:szCs w:val="24"/>
    </w:rPr>
  </w:style>
  <w:style w:type="character" w:customStyle="1" w:styleId="178">
    <w:name w:val="Char Char12"/>
    <w:autoRedefine/>
    <w:qFormat/>
    <w:uiPriority w:val="0"/>
    <w:rPr>
      <w:rFonts w:eastAsia="宋体"/>
      <w:kern w:val="2"/>
      <w:sz w:val="18"/>
      <w:szCs w:val="18"/>
      <w:lang w:val="en-US" w:eastAsia="zh-CN" w:bidi="ar-SA"/>
    </w:rPr>
  </w:style>
  <w:style w:type="paragraph" w:customStyle="1" w:styleId="179">
    <w:name w:val="Char Char4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Char Char4 Char Char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1">
    <w:name w:val="列出段落4"/>
    <w:basedOn w:val="1"/>
    <w:autoRedefine/>
    <w:qFormat/>
    <w:uiPriority w:val="0"/>
    <w:pPr>
      <w:ind w:firstLine="420" w:firstLineChars="200"/>
    </w:pPr>
    <w:rPr>
      <w:rFonts w:ascii="Times New Roman" w:hAnsi="Times New Roman" w:eastAsia="宋体" w:cs="Times New Roman"/>
      <w:szCs w:val="24"/>
    </w:rPr>
  </w:style>
  <w:style w:type="character" w:customStyle="1" w:styleId="182">
    <w:name w:val="Char Char11"/>
    <w:autoRedefine/>
    <w:qFormat/>
    <w:uiPriority w:val="0"/>
    <w:rPr>
      <w:rFonts w:eastAsia="宋体"/>
      <w:kern w:val="2"/>
      <w:sz w:val="18"/>
      <w:szCs w:val="18"/>
      <w:lang w:val="en-US" w:eastAsia="zh-CN" w:bidi="ar-SA"/>
    </w:rPr>
  </w:style>
  <w:style w:type="paragraph" w:customStyle="1" w:styleId="183">
    <w:name w:val="Char Char4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Char Char4 Char Char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5">
    <w:name w:val="列出段落5"/>
    <w:basedOn w:val="1"/>
    <w:autoRedefine/>
    <w:qFormat/>
    <w:uiPriority w:val="0"/>
    <w:pPr>
      <w:ind w:firstLine="420" w:firstLineChars="200"/>
    </w:pPr>
    <w:rPr>
      <w:rFonts w:ascii="Times New Roman" w:hAnsi="Times New Roman" w:eastAsia="宋体" w:cs="Times New Roman"/>
      <w:szCs w:val="24"/>
    </w:rPr>
  </w:style>
  <w:style w:type="paragraph" w:customStyle="1" w:styleId="186">
    <w:name w:val="Table Paragraph"/>
    <w:basedOn w:val="1"/>
    <w:autoRedefine/>
    <w:qFormat/>
    <w:uiPriority w:val="1"/>
    <w:rPr>
      <w:rFonts w:ascii="宋体" w:hAnsi="宋体" w:eastAsia="宋体" w:cs="宋体"/>
      <w:lang w:val="zh-CN" w:bidi="zh-CN"/>
    </w:rPr>
  </w:style>
  <w:style w:type="character" w:customStyle="1" w:styleId="187">
    <w:name w:val="font51"/>
    <w:basedOn w:val="36"/>
    <w:autoRedefine/>
    <w:qFormat/>
    <w:uiPriority w:val="0"/>
    <w:rPr>
      <w:rFonts w:hint="eastAsia" w:ascii="宋体" w:hAnsi="宋体" w:eastAsia="宋体" w:cs="宋体"/>
      <w:b/>
      <w:color w:val="000000"/>
      <w:sz w:val="21"/>
      <w:szCs w:val="21"/>
      <w:u w:val="none"/>
    </w:rPr>
  </w:style>
  <w:style w:type="character" w:customStyle="1" w:styleId="188">
    <w:name w:val="bookmark-item"/>
    <w:basedOn w:val="36"/>
    <w:autoRedefine/>
    <w:qFormat/>
    <w:uiPriority w:val="0"/>
  </w:style>
  <w:style w:type="paragraph" w:customStyle="1" w:styleId="189">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eastAsia="宋体" w:cs="Times New Roman"/>
      <w:sz w:val="24"/>
    </w:rPr>
  </w:style>
  <w:style w:type="paragraph" w:customStyle="1" w:styleId="19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91">
    <w:name w:val="样式 首行缩进:  2 字符"/>
    <w:basedOn w:val="1"/>
    <w:autoRedefine/>
    <w:qFormat/>
    <w:uiPriority w:val="99"/>
    <w:pPr>
      <w:ind w:firstLine="560"/>
    </w:pPr>
    <w:rPr>
      <w:szCs w:val="21"/>
    </w:rPr>
  </w:style>
  <w:style w:type="character" w:customStyle="1" w:styleId="192">
    <w:name w:val="font31"/>
    <w:basedOn w:val="36"/>
    <w:autoRedefine/>
    <w:qFormat/>
    <w:uiPriority w:val="0"/>
    <w:rPr>
      <w:rFonts w:hint="eastAsia" w:ascii="仿宋" w:hAnsi="仿宋" w:eastAsia="仿宋" w:cs="仿宋"/>
      <w:color w:val="FF0000"/>
      <w:sz w:val="22"/>
      <w:szCs w:val="22"/>
      <w:u w:val="none"/>
    </w:rPr>
  </w:style>
  <w:style w:type="character" w:customStyle="1" w:styleId="193">
    <w:name w:val="纯文本 Char"/>
    <w:link w:val="14"/>
    <w:autoRedefine/>
    <w:qFormat/>
    <w:uiPriority w:val="0"/>
    <w:rPr>
      <w:rFonts w:ascii="宋体" w:hAnsi="Courier New"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22E-E6CB-4C5C-8B85-AFF40580E6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10996</Words>
  <Characters>62679</Characters>
  <Lines>522</Lines>
  <Paragraphs>147</Paragraphs>
  <TotalTime>1</TotalTime>
  <ScaleCrop>false</ScaleCrop>
  <LinksUpToDate>false</LinksUpToDate>
  <CharactersWithSpaces>73528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2023-12-22T07:19:00Z</dcterms:created>
  <dc:creator>WHB</dc:creator>
  <cp:lastModifiedBy>大大大朵朵</cp:lastModifiedBy>
  <cp:lastPrinted>2023-12-15T04:33:00Z</cp:lastPrinted>
  <dcterms:modified xsi:type="dcterms:W3CDTF">2023-12-23T10:33:29Z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FDD335A205C34588A386809874453AC4_13</vt:lpwstr>
  </property>
</Properties>
</file>