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pPr>
        <w:pStyle w:val="13"/>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rPr>
      </w:pPr>
      <w:r>
        <w:rPr>
          <w:rFonts w:hint="eastAsia" w:asciiTheme="minorEastAsia" w:hAnsiTheme="minorEastAsia" w:eastAsiaTheme="minorEastAsia" w:cstheme="minorEastAsia"/>
          <w:b/>
          <w:bCs/>
          <w:color w:val="auto"/>
          <w:spacing w:val="0"/>
          <w:position w:val="0"/>
          <w:sz w:val="96"/>
          <w:szCs w:val="96"/>
          <w:highlight w:val="none"/>
          <w:lang w:eastAsia="zh-CN"/>
        </w:rPr>
        <w:t>公开招标</w:t>
      </w:r>
      <w:r>
        <w:rPr>
          <w:rFonts w:hint="eastAsia" w:asciiTheme="minorEastAsia" w:hAnsiTheme="minorEastAsia" w:eastAsiaTheme="minorEastAsia" w:cstheme="minorEastAsia"/>
          <w:b/>
          <w:bCs/>
          <w:color w:val="auto"/>
          <w:spacing w:val="0"/>
          <w:position w:val="0"/>
          <w:sz w:val="96"/>
          <w:szCs w:val="96"/>
          <w:highlight w:val="none"/>
        </w:rPr>
        <w:t>文件</w:t>
      </w:r>
    </w:p>
    <w:p>
      <w:pPr>
        <w:pageBreakBefore w:val="0"/>
        <w:tabs>
          <w:tab w:val="left" w:pos="1134"/>
          <w:tab w:val="left" w:pos="5160"/>
        </w:tabs>
        <w:kinsoku/>
        <w:wordWrap/>
        <w:overflowPunct/>
        <w:topLinePunct w:val="0"/>
        <w:bidi w:val="0"/>
        <w:jc w:val="center"/>
        <w:rPr>
          <w:rFonts w:hint="eastAsia" w:asciiTheme="minorEastAsia" w:hAnsiTheme="minorEastAsia" w:eastAsiaTheme="minorEastAsia" w:cstheme="minorEastAsia"/>
          <w:b/>
          <w:bCs/>
          <w:color w:val="auto"/>
          <w:spacing w:val="0"/>
          <w:position w:val="0"/>
          <w:sz w:val="48"/>
          <w:szCs w:val="48"/>
          <w:highlight w:val="none"/>
          <w:lang w:val="en-US" w:eastAsia="zh-CN"/>
        </w:rPr>
      </w:pPr>
    </w:p>
    <w:p>
      <w:pPr>
        <w:pageBreakBefore w:val="0"/>
        <w:tabs>
          <w:tab w:val="left" w:pos="1134"/>
          <w:tab w:val="left" w:pos="5160"/>
        </w:tabs>
        <w:kinsoku/>
        <w:wordWrap/>
        <w:overflowPunct/>
        <w:topLinePunct w:val="0"/>
        <w:bidi w:val="0"/>
        <w:jc w:val="center"/>
        <w:rPr>
          <w:rFonts w:hint="eastAsia" w:asciiTheme="minorEastAsia" w:hAnsiTheme="minorEastAsia" w:eastAsiaTheme="minorEastAsia" w:cstheme="minorEastAsia"/>
          <w:b/>
          <w:bCs/>
          <w:color w:val="auto"/>
          <w:spacing w:val="0"/>
          <w:position w:val="0"/>
          <w:sz w:val="48"/>
          <w:szCs w:val="48"/>
          <w:highlight w:val="none"/>
          <w:lang w:val="en-US" w:eastAsia="zh-CN"/>
        </w:rPr>
      </w:pPr>
      <w:r>
        <w:rPr>
          <w:rFonts w:hint="eastAsia" w:asciiTheme="minorEastAsia" w:hAnsiTheme="minorEastAsia" w:eastAsiaTheme="minorEastAsia" w:cstheme="minorEastAsia"/>
          <w:b/>
          <w:bCs/>
          <w:color w:val="auto"/>
          <w:spacing w:val="0"/>
          <w:position w:val="0"/>
          <w:sz w:val="48"/>
          <w:szCs w:val="48"/>
          <w:highlight w:val="none"/>
          <w:lang w:val="en-US" w:eastAsia="zh-CN"/>
        </w:rPr>
        <w:t>(服务类)</w:t>
      </w:r>
    </w:p>
    <w:p>
      <w:pPr>
        <w:pStyle w:val="27"/>
        <w:pageBreakBefore w:val="0"/>
        <w:kinsoku/>
        <w:wordWrap/>
        <w:overflowPunct/>
        <w:topLinePunct w:val="0"/>
        <w:bidi w:val="0"/>
        <w:spacing w:line="480" w:lineRule="auto"/>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1746250</wp:posOffset>
            </wp:positionH>
            <wp:positionV relativeFrom="paragraph">
              <wp:posOffset>76835</wp:posOffset>
            </wp:positionV>
            <wp:extent cx="2305050" cy="1809750"/>
            <wp:effectExtent l="0" t="0" r="1143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pPr>
        <w:pStyle w:val="20"/>
        <w:pageBreakBefore w:val="0"/>
        <w:kinsoku/>
        <w:wordWrap/>
        <w:overflowPunct/>
        <w:topLinePunct w:val="0"/>
        <w:bidi w:val="0"/>
        <w:spacing w:line="360" w:lineRule="auto"/>
        <w:ind w:firstLine="723" w:firstLineChars="300"/>
        <w:rPr>
          <w:rFonts w:hint="eastAsia" w:asciiTheme="minorEastAsia" w:hAnsiTheme="minorEastAsia" w:eastAsiaTheme="minorEastAsia" w:cstheme="minorEastAsia"/>
          <w:b/>
          <w:bCs/>
          <w:color w:val="auto"/>
          <w:spacing w:val="0"/>
          <w:position w:val="0"/>
          <w:highlight w:val="none"/>
        </w:rPr>
      </w:pPr>
    </w:p>
    <w:p>
      <w:pPr>
        <w:pStyle w:val="20"/>
        <w:pageBreakBefore w:val="0"/>
        <w:kinsoku/>
        <w:wordWrap/>
        <w:overflowPunct/>
        <w:topLinePunct w:val="0"/>
        <w:bidi w:val="0"/>
        <w:spacing w:line="360" w:lineRule="auto"/>
        <w:ind w:firstLine="723" w:firstLineChars="300"/>
        <w:rPr>
          <w:rFonts w:hint="eastAsia" w:asciiTheme="minorEastAsia" w:hAnsiTheme="minorEastAsia" w:eastAsiaTheme="minorEastAsia" w:cstheme="minorEastAsia"/>
          <w:b/>
          <w:bCs/>
          <w:color w:val="auto"/>
          <w:spacing w:val="0"/>
          <w:position w:val="0"/>
          <w:highlight w:val="none"/>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项目名称：</w:t>
      </w:r>
      <w:r>
        <w:rPr>
          <w:rFonts w:hint="eastAsia" w:asciiTheme="minorEastAsia" w:hAnsiTheme="minorEastAsia" w:eastAsiaTheme="minorEastAsia" w:cstheme="minorEastAsia"/>
          <w:b/>
          <w:color w:val="auto"/>
          <w:spacing w:val="0"/>
          <w:position w:val="0"/>
          <w:sz w:val="28"/>
          <w:szCs w:val="28"/>
          <w:highlight w:val="none"/>
          <w:lang w:val="en-US" w:eastAsia="zh-CN"/>
        </w:rPr>
        <w:t>“你好乌鲁木齐”图文短视频大赛</w:t>
      </w: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招标编号：</w:t>
      </w:r>
      <w:r>
        <w:rPr>
          <w:rStyle w:val="45"/>
          <w:rFonts w:hint="eastAsia" w:asciiTheme="minorEastAsia" w:hAnsiTheme="minorEastAsia" w:eastAsiaTheme="minorEastAsia" w:cstheme="minorEastAsia"/>
          <w:b/>
          <w:bCs/>
          <w:i w:val="0"/>
          <w:caps w:val="0"/>
          <w:color w:val="auto"/>
          <w:spacing w:val="0"/>
          <w:w w:val="100"/>
          <w:kern w:val="2"/>
          <w:position w:val="0"/>
          <w:sz w:val="32"/>
          <w:szCs w:val="22"/>
          <w:highlight w:val="none"/>
          <w:lang w:val="en-US" w:eastAsia="zh-CN" w:bidi="ar-SA"/>
        </w:rPr>
        <w:t>XJCC-ZB-2024-058</w:t>
      </w: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rPr>
        <w:t>采购人</w:t>
      </w:r>
      <w:r>
        <w:rPr>
          <w:rFonts w:hint="eastAsia" w:asciiTheme="minorEastAsia" w:hAnsiTheme="minorEastAsia" w:eastAsiaTheme="minorEastAsia" w:cstheme="minorEastAsia"/>
          <w:b/>
          <w:bCs/>
          <w:color w:val="auto"/>
          <w:spacing w:val="0"/>
          <w:position w:val="0"/>
          <w:sz w:val="28"/>
          <w:szCs w:val="28"/>
          <w:highlight w:val="none"/>
          <w:lang w:eastAsia="zh-CN"/>
        </w:rPr>
        <w:t>（盖章）</w:t>
      </w:r>
      <w:r>
        <w:rPr>
          <w:rFonts w:hint="eastAsia" w:asciiTheme="minorEastAsia" w:hAnsiTheme="minorEastAsia" w:eastAsiaTheme="minorEastAsia" w:cstheme="minorEastAsia"/>
          <w:b/>
          <w:bCs/>
          <w:color w:val="auto"/>
          <w:spacing w:val="0"/>
          <w:position w:val="0"/>
          <w:sz w:val="28"/>
          <w:szCs w:val="28"/>
          <w:highlight w:val="none"/>
        </w:rPr>
        <w:t>：</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r>
        <w:rPr>
          <w:rStyle w:val="45"/>
          <w:rFonts w:hint="eastAsia" w:asciiTheme="minorEastAsia" w:hAnsiTheme="minorEastAsia" w:eastAsiaTheme="minorEastAsia" w:cstheme="minorEastAsia"/>
          <w:b/>
          <w:color w:val="auto"/>
          <w:spacing w:val="0"/>
          <w:position w:val="0"/>
          <w:sz w:val="28"/>
          <w:szCs w:val="28"/>
          <w:highlight w:val="none"/>
          <w:lang w:eastAsia="zh-CN"/>
        </w:rPr>
        <w:t>中共乌鲁木齐市委员会网络安全和信息化委员会办公室</w:t>
      </w: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p>
    <w:p>
      <w:pPr>
        <w:pStyle w:val="20"/>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u w:val="single"/>
          <w:lang w:eastAsia="zh-CN"/>
        </w:rPr>
      </w:pPr>
      <w:r>
        <w:rPr>
          <w:rFonts w:hint="eastAsia" w:asciiTheme="minorEastAsia" w:hAnsiTheme="minorEastAsia" w:eastAsiaTheme="minorEastAsia" w:cstheme="minorEastAsia"/>
          <w:b/>
          <w:bCs/>
          <w:color w:val="auto"/>
          <w:spacing w:val="0"/>
          <w:position w:val="0"/>
          <w:sz w:val="28"/>
          <w:szCs w:val="28"/>
          <w:highlight w:val="none"/>
        </w:rPr>
        <w:t>采购代理机构</w:t>
      </w:r>
      <w:r>
        <w:rPr>
          <w:rFonts w:hint="eastAsia" w:asciiTheme="minorEastAsia" w:hAnsiTheme="minorEastAsia" w:eastAsiaTheme="minorEastAsia" w:cstheme="minorEastAsia"/>
          <w:b/>
          <w:bCs/>
          <w:color w:val="auto"/>
          <w:spacing w:val="0"/>
          <w:position w:val="0"/>
          <w:sz w:val="28"/>
          <w:szCs w:val="28"/>
          <w:highlight w:val="none"/>
          <w:lang w:eastAsia="zh-CN"/>
        </w:rPr>
        <w:t>（盖章）</w:t>
      </w:r>
      <w:r>
        <w:rPr>
          <w:rFonts w:hint="eastAsia" w:asciiTheme="minorEastAsia" w:hAnsiTheme="minorEastAsia" w:eastAsiaTheme="minorEastAsia" w:cstheme="minorEastAsia"/>
          <w:b/>
          <w:bCs/>
          <w:color w:val="auto"/>
          <w:spacing w:val="0"/>
          <w:position w:val="0"/>
          <w:sz w:val="28"/>
          <w:szCs w:val="28"/>
          <w:highlight w:val="none"/>
        </w:rPr>
        <w:t>：</w:t>
      </w:r>
      <w:r>
        <w:rPr>
          <w:rFonts w:hint="eastAsia" w:asciiTheme="minorEastAsia" w:hAnsiTheme="minorEastAsia" w:eastAsiaTheme="minorEastAsia" w:cstheme="minorEastAsia"/>
          <w:b/>
          <w:bCs/>
          <w:color w:val="auto"/>
          <w:spacing w:val="0"/>
          <w:position w:val="0"/>
          <w:sz w:val="28"/>
          <w:szCs w:val="28"/>
          <w:highlight w:val="none"/>
          <w:lang w:eastAsia="zh-CN"/>
        </w:rPr>
        <w:t>新疆诚成工程项目管理有限公司</w:t>
      </w:r>
    </w:p>
    <w:p>
      <w:pPr>
        <w:pStyle w:val="20"/>
        <w:pageBreakBefore w:val="0"/>
        <w:kinsoku/>
        <w:overflowPunct/>
        <w:topLinePunct w:val="0"/>
        <w:bidi w:val="0"/>
        <w:spacing w:line="240" w:lineRule="auto"/>
        <w:ind w:left="0" w:lef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p>
    <w:p>
      <w:pPr>
        <w:pStyle w:val="20"/>
        <w:pageBreakBefore w:val="0"/>
        <w:kinsoku/>
        <w:overflowPunct/>
        <w:topLinePunct w:val="0"/>
        <w:bidi w:val="0"/>
        <w:spacing w:line="240" w:lineRule="auto"/>
        <w:ind w:left="0" w:lef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p>
    <w:p>
      <w:pPr>
        <w:pStyle w:val="20"/>
        <w:pageBreakBefore w:val="0"/>
        <w:kinsoku/>
        <w:overflowPunct/>
        <w:topLinePunct w:val="0"/>
        <w:bidi w:val="0"/>
        <w:spacing w:line="240" w:lineRule="auto"/>
        <w:ind w:left="0" w:lef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28"/>
          <w:szCs w:val="28"/>
          <w:highlight w:val="none"/>
        </w:rPr>
        <w:t>202</w:t>
      </w:r>
      <w:r>
        <w:rPr>
          <w:rFonts w:hint="eastAsia" w:asciiTheme="minorEastAsia" w:hAnsiTheme="minorEastAsia" w:eastAsiaTheme="minorEastAsia" w:cstheme="minorEastAsia"/>
          <w:b/>
          <w:bCs/>
          <w:color w:val="auto"/>
          <w:spacing w:val="0"/>
          <w:position w:val="0"/>
          <w:sz w:val="28"/>
          <w:szCs w:val="28"/>
          <w:highlight w:val="none"/>
          <w:lang w:val="en-US" w:eastAsia="zh-CN"/>
        </w:rPr>
        <w:t>4</w:t>
      </w:r>
      <w:r>
        <w:rPr>
          <w:rFonts w:hint="eastAsia" w:asciiTheme="minorEastAsia" w:hAnsiTheme="minorEastAsia" w:eastAsiaTheme="minorEastAsia" w:cstheme="minorEastAsia"/>
          <w:b/>
          <w:bCs/>
          <w:color w:val="auto"/>
          <w:spacing w:val="0"/>
          <w:position w:val="0"/>
          <w:sz w:val="28"/>
          <w:szCs w:val="28"/>
          <w:highlight w:val="none"/>
        </w:rPr>
        <w:t>年</w:t>
      </w:r>
      <w:r>
        <w:rPr>
          <w:rFonts w:hint="eastAsia" w:asciiTheme="minorEastAsia" w:hAnsiTheme="minorEastAsia" w:eastAsiaTheme="minorEastAsia" w:cstheme="minorEastAsia"/>
          <w:b/>
          <w:bCs/>
          <w:color w:val="auto"/>
          <w:spacing w:val="0"/>
          <w:position w:val="0"/>
          <w:sz w:val="28"/>
          <w:szCs w:val="28"/>
          <w:highlight w:val="none"/>
          <w:lang w:val="en-US" w:eastAsia="zh-CN"/>
        </w:rPr>
        <w:t>04</w:t>
      </w:r>
      <w:r>
        <w:rPr>
          <w:rFonts w:hint="eastAsia" w:asciiTheme="minorEastAsia" w:hAnsiTheme="minorEastAsia" w:eastAsiaTheme="minorEastAsia" w:cstheme="minorEastAsia"/>
          <w:b/>
          <w:bCs/>
          <w:color w:val="auto"/>
          <w:spacing w:val="0"/>
          <w:position w:val="0"/>
          <w:sz w:val="28"/>
          <w:szCs w:val="28"/>
          <w:highlight w:val="none"/>
        </w:rPr>
        <w:t>月</w:t>
      </w:r>
      <w:bookmarkEnd w:id="0"/>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32"/>
          <w:szCs w:val="32"/>
          <w:highlight w:val="none"/>
          <w:lang w:val="zh-CN"/>
        </w:rPr>
        <w:sectPr>
          <w:headerReference r:id="rId3" w:type="default"/>
          <w:footerReference r:id="rId4" w:type="default"/>
          <w:pgSz w:w="11907" w:h="16840"/>
          <w:pgMar w:top="1474" w:right="1814" w:bottom="1474" w:left="1814" w:header="851" w:footer="851" w:gutter="0"/>
          <w:cols w:space="720" w:num="1"/>
          <w:docGrid w:linePitch="462" w:charSpace="0"/>
        </w:sect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zh-CN"/>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32"/>
          <w:szCs w:val="32"/>
          <w:highlight w:val="none"/>
        </w:rPr>
      </w:pPr>
      <w:r>
        <w:rPr>
          <w:rFonts w:hint="eastAsia" w:asciiTheme="minorEastAsia" w:hAnsiTheme="minorEastAsia" w:eastAsiaTheme="minorEastAsia" w:cstheme="minorEastAsia"/>
          <w:b/>
          <w:color w:val="auto"/>
          <w:spacing w:val="0"/>
          <w:position w:val="0"/>
          <w:sz w:val="32"/>
          <w:szCs w:val="32"/>
          <w:highlight w:val="none"/>
          <w:lang w:val="zh-CN"/>
        </w:rPr>
        <w:t>目 录</w:t>
      </w:r>
    </w:p>
    <w:p>
      <w:pPr>
        <w:pStyle w:val="29"/>
        <w:pageBreakBefore w:val="0"/>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color w:val="auto"/>
          <w:spacing w:val="0"/>
          <w:position w:val="0"/>
          <w:highlight w:val="none"/>
        </w:rPr>
        <w:instrText xml:space="preserve"> TOC \o "1-3" \h \z \u </w:instrText>
      </w:r>
      <w:r>
        <w:rPr>
          <w:rFonts w:hint="eastAsia" w:asciiTheme="minorEastAsia" w:hAnsiTheme="minorEastAsia" w:eastAsiaTheme="minorEastAsia" w:cstheme="minorEastAsia"/>
          <w:color w:val="auto"/>
          <w:spacing w:val="0"/>
          <w:position w:val="0"/>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HYPERLINK \l _Toc30367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第一部分 招标公告</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_Toc30367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2</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color w:val="auto"/>
          <w:spacing w:val="0"/>
          <w:position w:val="0"/>
          <w:sz w:val="28"/>
          <w:szCs w:val="28"/>
          <w:highlight w:val="none"/>
        </w:rPr>
        <w:fldChar w:fldCharType="end"/>
      </w:r>
    </w:p>
    <w:p>
      <w:pPr>
        <w:pStyle w:val="29"/>
        <w:pageBreakBefore w:val="0"/>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_Toc31169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第二部分  投标人须知</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_Toc31169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3</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pPr>
        <w:pStyle w:val="29"/>
        <w:pageBreakBefore w:val="0"/>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_Toc22471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第三部分   项目说明</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_Toc22471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27</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pPr>
        <w:pStyle w:val="29"/>
        <w:pageBreakBefore w:val="0"/>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_Toc21631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第四部分   评审方法（综合评分法）</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_Toc21631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28</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pPr>
        <w:pStyle w:val="29"/>
        <w:pageBreakBefore w:val="0"/>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_Toc4589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第五部分   政府采购合同</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_Toc4589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30</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pPr>
        <w:pStyle w:val="29"/>
        <w:pageBreakBefore w:val="0"/>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_Toc6542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第六部分   投标文件格式</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_Toc6542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36</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pPr>
        <w:pStyle w:val="31"/>
        <w:pageBreakBefore w:val="0"/>
        <w:tabs>
          <w:tab w:val="right" w:leader="dot" w:pos="9520"/>
        </w:tabs>
        <w:kinsoku/>
        <w:overflowPunct/>
        <w:topLinePunct w:val="0"/>
        <w:bidi w:val="0"/>
        <w:rPr>
          <w:rFonts w:hint="eastAsia" w:asciiTheme="minorEastAsia" w:hAnsiTheme="minorEastAsia" w:eastAsiaTheme="minorEastAsia" w:cstheme="minorEastAsia"/>
          <w:bCs/>
          <w:color w:val="auto"/>
          <w:spacing w:val="0"/>
          <w:position w:val="0"/>
          <w:sz w:val="28"/>
          <w:szCs w:val="28"/>
          <w:highlight w:val="none"/>
          <w:lang w:val="zh-CN"/>
        </w:rPr>
      </w:pPr>
    </w:p>
    <w:p>
      <w:pPr>
        <w:pageBreakBefore w:val="0"/>
        <w:kinsoku/>
        <w:overflowPunct/>
        <w:topLinePunct w:val="0"/>
        <w:bidi w:val="0"/>
        <w:rPr>
          <w:rFonts w:hint="eastAsia" w:asciiTheme="minorEastAsia" w:hAnsiTheme="minorEastAsia" w:eastAsiaTheme="minorEastAsia" w:cstheme="minorEastAsia"/>
          <w:bCs/>
          <w:color w:val="auto"/>
          <w:spacing w:val="0"/>
          <w:position w:val="0"/>
          <w:sz w:val="28"/>
          <w:szCs w:val="28"/>
          <w:highlight w:val="none"/>
          <w:lang w:val="zh-CN"/>
        </w:rPr>
      </w:pPr>
    </w:p>
    <w:p>
      <w:pPr>
        <w:pStyle w:val="35"/>
        <w:pageBreakBefore w:val="0"/>
        <w:kinsoku/>
        <w:overflowPunct/>
        <w:topLinePunct w:val="0"/>
        <w:bidi w:val="0"/>
        <w:rPr>
          <w:rFonts w:hint="eastAsia" w:asciiTheme="minorEastAsia" w:hAnsiTheme="minorEastAsia" w:eastAsiaTheme="minorEastAsia" w:cstheme="minorEastAsia"/>
          <w:bCs/>
          <w:color w:val="auto"/>
          <w:spacing w:val="0"/>
          <w:position w:val="0"/>
          <w:sz w:val="28"/>
          <w:szCs w:val="28"/>
          <w:highlight w:val="none"/>
          <w:lang w:val="zh-CN"/>
        </w:rPr>
      </w:pPr>
    </w:p>
    <w:p>
      <w:pPr>
        <w:pageBreakBefore w:val="0"/>
        <w:kinsoku/>
        <w:overflowPunct/>
        <w:topLinePunct w:val="0"/>
        <w:bidi w:val="0"/>
        <w:rPr>
          <w:rFonts w:hint="eastAsia" w:asciiTheme="minorEastAsia" w:hAnsiTheme="minorEastAsia" w:eastAsiaTheme="minorEastAsia" w:cstheme="minorEastAsia"/>
          <w:bCs/>
          <w:color w:val="auto"/>
          <w:spacing w:val="0"/>
          <w:position w:val="0"/>
          <w:sz w:val="24"/>
          <w:szCs w:val="24"/>
          <w:highlight w:val="none"/>
          <w:lang w:val="zh-CN"/>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Style w:val="1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ageBreakBefore w:val="0"/>
        <w:kinsoku/>
        <w:overflowPunct/>
        <w:topLinePunct w:val="0"/>
        <w:bidi w:val="0"/>
        <w:rPr>
          <w:rFonts w:hint="eastAsia" w:asciiTheme="minorEastAsia" w:hAnsiTheme="minorEastAsia" w:eastAsiaTheme="minorEastAsia" w:cstheme="minorEastAsia"/>
          <w:b/>
          <w:bCs/>
          <w:color w:val="auto"/>
          <w:spacing w:val="0"/>
          <w:position w:val="0"/>
          <w:highlight w:val="none"/>
          <w:lang w:val="zh-CN"/>
        </w:rPr>
      </w:pPr>
      <w:r>
        <w:rPr>
          <w:rFonts w:hint="eastAsia" w:asciiTheme="minorEastAsia" w:hAnsiTheme="minorEastAsia" w:eastAsiaTheme="minorEastAsia" w:cstheme="minorEastAsia"/>
          <w:bCs/>
          <w:color w:val="auto"/>
          <w:spacing w:val="0"/>
          <w:position w:val="0"/>
          <w:highlight w:val="none"/>
          <w:lang w:val="zh-CN"/>
        </w:rPr>
        <w:fldChar w:fldCharType="end"/>
      </w:r>
      <w:bookmarkStart w:id="1" w:name="_Toc480368397"/>
    </w:p>
    <w:bookmarkEnd w:id="1"/>
    <w:p>
      <w:pPr>
        <w:pageBreakBefore w:val="0"/>
        <w:kinsoku/>
        <w:overflowPunct/>
        <w:topLinePunct w:val="0"/>
        <w:bidi w:val="0"/>
        <w:ind w:firstLine="1320" w:firstLineChars="550"/>
        <w:rPr>
          <w:rFonts w:hint="eastAsia" w:asciiTheme="minorEastAsia" w:hAnsiTheme="minorEastAsia" w:eastAsiaTheme="minorEastAsia" w:cstheme="minorEastAsia"/>
          <w:color w:val="auto"/>
          <w:spacing w:val="0"/>
          <w:kern w:val="0"/>
          <w:position w:val="0"/>
          <w:sz w:val="24"/>
          <w:highlight w:val="none"/>
          <w:u w:val="singl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u w:val="singl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u w:val="singl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Style w:val="2"/>
        <w:keepNext/>
        <w:keepLines/>
        <w:pageBreakBefore w:val="0"/>
        <w:widowControl w:val="0"/>
        <w:numPr>
          <w:ilvl w:val="0"/>
          <w:numId w:val="0"/>
        </w:numPr>
        <w:kinsoku/>
        <w:wordWrap/>
        <w:overflowPunct/>
        <w:topLinePunct w:val="0"/>
        <w:autoSpaceDE/>
        <w:autoSpaceDN/>
        <w:bidi w:val="0"/>
        <w:spacing w:before="0" w:after="0" w:line="360" w:lineRule="auto"/>
        <w:jc w:val="center"/>
        <w:textAlignment w:val="auto"/>
        <w:rPr>
          <w:rFonts w:hint="eastAsia" w:asciiTheme="minorEastAsia" w:hAnsiTheme="minorEastAsia" w:eastAsiaTheme="minorEastAsia" w:cstheme="minorEastAsia"/>
          <w:b/>
          <w:bCs w:val="0"/>
          <w:color w:val="auto"/>
          <w:spacing w:val="0"/>
          <w:position w:val="0"/>
          <w:sz w:val="28"/>
          <w:szCs w:val="28"/>
          <w:highlight w:val="none"/>
          <w:lang w:val="en-US" w:eastAsia="zh-CN"/>
        </w:rPr>
        <w:sectPr>
          <w:footerReference r:id="rId5" w:type="default"/>
          <w:pgSz w:w="11907" w:h="16840"/>
          <w:pgMar w:top="1474" w:right="1814" w:bottom="1474" w:left="1814" w:header="851" w:footer="851" w:gutter="0"/>
          <w:pgNumType w:start="1"/>
          <w:cols w:space="720" w:num="1"/>
          <w:docGrid w:linePitch="462" w:charSpace="0"/>
        </w:sectPr>
      </w:pPr>
      <w:bookmarkStart w:id="2" w:name="_Toc27086"/>
    </w:p>
    <w:p>
      <w:pPr>
        <w:pStyle w:val="2"/>
        <w:keepNext/>
        <w:keepLines/>
        <w:pageBreakBefore w:val="0"/>
        <w:widowControl w:val="0"/>
        <w:numPr>
          <w:ilvl w:val="0"/>
          <w:numId w:val="0"/>
        </w:numPr>
        <w:kinsoku/>
        <w:wordWrap/>
        <w:overflowPunct/>
        <w:topLinePunct w:val="0"/>
        <w:autoSpaceDE/>
        <w:autoSpaceDN/>
        <w:bidi w:val="0"/>
        <w:spacing w:before="0" w:after="0" w:line="360" w:lineRule="auto"/>
        <w:jc w:val="center"/>
        <w:textAlignment w:val="auto"/>
        <w:rPr>
          <w:rFonts w:hint="eastAsia" w:asciiTheme="minorEastAsia" w:hAnsiTheme="minorEastAsia" w:eastAsiaTheme="minorEastAsia" w:cstheme="minorEastAsia"/>
          <w:b/>
          <w:bCs w:val="0"/>
          <w:color w:val="auto"/>
          <w:spacing w:val="0"/>
          <w:position w:val="0"/>
          <w:sz w:val="28"/>
          <w:szCs w:val="28"/>
          <w:highlight w:val="none"/>
          <w:lang w:eastAsia="zh-CN"/>
        </w:rPr>
      </w:pPr>
      <w:r>
        <w:rPr>
          <w:rFonts w:hint="eastAsia" w:asciiTheme="minorEastAsia" w:hAnsiTheme="minorEastAsia" w:eastAsiaTheme="minorEastAsia" w:cstheme="minorEastAsia"/>
          <w:b/>
          <w:bCs w:val="0"/>
          <w:color w:val="auto"/>
          <w:spacing w:val="0"/>
          <w:position w:val="0"/>
          <w:sz w:val="28"/>
          <w:szCs w:val="28"/>
          <w:highlight w:val="none"/>
          <w:lang w:val="en-US" w:eastAsia="zh-CN"/>
        </w:rPr>
        <w:t xml:space="preserve">第一章  </w:t>
      </w:r>
      <w:bookmarkEnd w:id="2"/>
      <w:r>
        <w:rPr>
          <w:rFonts w:hint="eastAsia" w:asciiTheme="minorEastAsia" w:hAnsiTheme="minorEastAsia" w:eastAsiaTheme="minorEastAsia" w:cstheme="minorEastAsia"/>
          <w:b/>
          <w:bCs w:val="0"/>
          <w:color w:val="auto"/>
          <w:spacing w:val="0"/>
          <w:position w:val="0"/>
          <w:sz w:val="28"/>
          <w:szCs w:val="28"/>
          <w:highlight w:val="none"/>
          <w:lang w:eastAsia="zh-CN"/>
        </w:rPr>
        <w:t>公开招标公告</w:t>
      </w:r>
    </w:p>
    <w:p>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kern w:val="0"/>
          <w:position w:val="0"/>
          <w:sz w:val="28"/>
          <w:szCs w:val="28"/>
          <w:highlight w:val="none"/>
          <w:lang w:eastAsia="zh-CN"/>
        </w:rPr>
        <w:t>“你好乌鲁木齐”图文短视频大赛</w:t>
      </w:r>
      <w:r>
        <w:rPr>
          <w:rFonts w:hint="eastAsia" w:asciiTheme="minorEastAsia" w:hAnsiTheme="minorEastAsia" w:eastAsiaTheme="minorEastAsia" w:cstheme="minorEastAsia"/>
          <w:b/>
          <w:color w:val="auto"/>
          <w:spacing w:val="0"/>
          <w:kern w:val="0"/>
          <w:position w:val="0"/>
          <w:sz w:val="28"/>
          <w:szCs w:val="28"/>
          <w:highlight w:val="none"/>
        </w:rPr>
        <w:t>招标公告</w:t>
      </w:r>
    </w:p>
    <w:tbl>
      <w:tblPr>
        <w:tblStyle w:val="3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项目概况</w:t>
            </w:r>
          </w:p>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w:t>
            </w:r>
            <w:r>
              <w:rPr>
                <w:rFonts w:hint="eastAsia" w:asciiTheme="minorEastAsia" w:hAnsiTheme="minorEastAsia" w:eastAsiaTheme="minorEastAsia" w:cstheme="minorEastAsia"/>
                <w:color w:val="auto"/>
                <w:spacing w:val="0"/>
                <w:position w:val="0"/>
                <w:sz w:val="24"/>
                <w:szCs w:val="24"/>
                <w:highlight w:val="none"/>
                <w:u w:val="single"/>
                <w:lang w:eastAsia="zh-CN"/>
              </w:rPr>
              <w:t>“你好乌鲁木齐”图文短视频大赛</w:t>
            </w:r>
            <w:r>
              <w:rPr>
                <w:rFonts w:hint="eastAsia" w:asciiTheme="minorEastAsia" w:hAnsiTheme="minorEastAsia" w:eastAsiaTheme="minorEastAsia" w:cstheme="minorEastAsia"/>
                <w:color w:val="auto"/>
                <w:spacing w:val="0"/>
                <w:position w:val="0"/>
                <w:sz w:val="24"/>
                <w:szCs w:val="24"/>
                <w:highlight w:val="none"/>
              </w:rPr>
              <w:t>招标项目的潜在投标人应在</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Fonts w:hint="eastAsia" w:asciiTheme="minorEastAsia" w:hAnsiTheme="minorEastAsia" w:eastAsiaTheme="minorEastAsia" w:cstheme="minorEastAsia"/>
                <w:color w:val="auto"/>
                <w:spacing w:val="0"/>
                <w:position w:val="0"/>
                <w:sz w:val="24"/>
                <w:szCs w:val="24"/>
                <w:highlight w:val="none"/>
              </w:rPr>
              <w:t>获取招标文件，并于</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2024年05月20日16：00</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w:t>
            </w:r>
            <w:r>
              <w:rPr>
                <w:rFonts w:hint="eastAsia" w:asciiTheme="minorEastAsia" w:hAnsiTheme="minorEastAsia" w:eastAsiaTheme="minorEastAsia" w:cstheme="minorEastAsia"/>
                <w:color w:val="auto"/>
                <w:spacing w:val="0"/>
                <w:position w:val="0"/>
                <w:sz w:val="24"/>
                <w:szCs w:val="24"/>
                <w:highlight w:val="none"/>
              </w:rPr>
              <w:t>递交投标文件。</w:t>
            </w:r>
          </w:p>
        </w:tc>
      </w:tr>
    </w:tbl>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Style w:val="40"/>
          <w:rFonts w:hint="eastAsia" w:asciiTheme="minorEastAsia" w:hAnsiTheme="minorEastAsia" w:eastAsiaTheme="minorEastAsia" w:cstheme="minorEastAsia"/>
          <w:b/>
          <w:bCs/>
          <w:color w:val="auto"/>
          <w:spacing w:val="0"/>
          <w:position w:val="0"/>
          <w:sz w:val="24"/>
          <w:szCs w:val="24"/>
          <w:highlight w:val="none"/>
        </w:rPr>
      </w:pPr>
      <w:r>
        <w:rPr>
          <w:rStyle w:val="40"/>
          <w:rFonts w:hint="eastAsia" w:asciiTheme="minorEastAsia" w:hAnsiTheme="minorEastAsia" w:eastAsiaTheme="minorEastAsia" w:cstheme="minorEastAsia"/>
          <w:b/>
          <w:bCs/>
          <w:color w:val="auto"/>
          <w:spacing w:val="0"/>
          <w:position w:val="0"/>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项目编号：</w:t>
      </w:r>
      <w:r>
        <w:rPr>
          <w:rFonts w:hint="eastAsia" w:asciiTheme="minorEastAsia" w:hAnsiTheme="minorEastAsia" w:eastAsiaTheme="minorEastAsia" w:cstheme="minorEastAsia"/>
          <w:color w:val="auto"/>
          <w:spacing w:val="0"/>
          <w:position w:val="0"/>
          <w:sz w:val="24"/>
          <w:szCs w:val="24"/>
          <w:highlight w:val="none"/>
          <w:lang w:eastAsia="zh-CN"/>
        </w:rPr>
        <w:t>XJCC-ZB-2024-058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r>
        <w:rPr>
          <w:rFonts w:hint="eastAsia" w:asciiTheme="minorEastAsia" w:hAnsiTheme="minorEastAsia" w:eastAsiaTheme="minorEastAsia" w:cstheme="minorEastAsia"/>
          <w:color w:val="auto"/>
          <w:spacing w:val="0"/>
          <w:position w:val="0"/>
          <w:sz w:val="24"/>
          <w:szCs w:val="24"/>
          <w:highlight w:val="none"/>
          <w:lang w:eastAsia="zh-CN"/>
        </w:rPr>
        <w:t>“你好乌鲁木齐”图文短视频大赛</w:t>
      </w:r>
      <w:r>
        <w:rPr>
          <w:rFonts w:hint="eastAsia" w:asciiTheme="minorEastAsia" w:hAnsiTheme="minorEastAsia" w:eastAsiaTheme="minorEastAsia" w:cstheme="minorEastAsia"/>
          <w:color w:val="auto"/>
          <w:spacing w:val="0"/>
          <w:positio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采购方式：</w:t>
      </w:r>
      <w:r>
        <w:rPr>
          <w:rFonts w:hint="eastAsia" w:asciiTheme="minorEastAsia" w:hAnsiTheme="minorEastAsia" w:eastAsiaTheme="minorEastAsia" w:cstheme="minorEastAsia"/>
          <w:color w:val="auto"/>
          <w:spacing w:val="0"/>
          <w:position w:val="0"/>
          <w:sz w:val="24"/>
          <w:szCs w:val="24"/>
          <w:highlight w:val="none"/>
          <w:lang w:eastAsia="zh-CN"/>
        </w:rPr>
        <w:t>公开招标</w:t>
      </w:r>
      <w:r>
        <w:rPr>
          <w:rFonts w:hint="eastAsia" w:asciiTheme="minorEastAsia" w:hAnsiTheme="minorEastAsia" w:eastAsiaTheme="minorEastAsia" w:cstheme="minorEastAsia"/>
          <w:color w:val="auto"/>
          <w:spacing w:val="0"/>
          <w:positio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val="en-US" w:eastAsia="zh-CN"/>
        </w:rPr>
        <w:t>1000000.00元</w:t>
      </w:r>
      <w:r>
        <w:rPr>
          <w:rFonts w:hint="eastAsia" w:asciiTheme="minorEastAsia" w:hAnsiTheme="minorEastAsia" w:eastAsiaTheme="minorEastAsia" w:cstheme="minorEastAsia"/>
          <w:color w:val="auto"/>
          <w:spacing w:val="0"/>
          <w:positio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最高限价（元）：1000000.00元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采购需求：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val="en-US" w:eastAsia="zh-CN"/>
        </w:rPr>
        <w:t>1000000.00元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单位：</w:t>
      </w:r>
      <w:r>
        <w:rPr>
          <w:rFonts w:hint="eastAsia" w:asciiTheme="minorEastAsia" w:hAnsiTheme="minorEastAsia" w:eastAsiaTheme="minorEastAsia" w:cstheme="minorEastAsia"/>
          <w:color w:val="auto"/>
          <w:spacing w:val="0"/>
          <w:position w:val="0"/>
          <w:sz w:val="24"/>
          <w:szCs w:val="24"/>
          <w:highlight w:val="none"/>
          <w:lang w:val="en-US" w:eastAsia="zh-CN"/>
        </w:rPr>
        <w:t>项</w:t>
      </w:r>
      <w:r>
        <w:rPr>
          <w:rFonts w:hint="eastAsia" w:asciiTheme="minorEastAsia" w:hAnsiTheme="minorEastAsia" w:eastAsiaTheme="minorEastAsia" w:cstheme="minorEastAsia"/>
          <w:color w:val="auto"/>
          <w:spacing w:val="0"/>
          <w:positio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简要规格描述：具体参数要求详见招标文件</w:t>
      </w:r>
      <w:r>
        <w:rPr>
          <w:rFonts w:hint="eastAsia" w:asciiTheme="minorEastAsia" w:hAnsiTheme="minorEastAsia" w:eastAsiaTheme="minorEastAsia" w:cstheme="minorEastAsia"/>
          <w:color w:val="auto"/>
          <w:spacing w:val="0"/>
          <w:positio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备注：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合同履约期限：</w:t>
      </w:r>
      <w:r>
        <w:rPr>
          <w:rFonts w:hint="eastAsia" w:asciiTheme="minorEastAsia" w:hAnsiTheme="minorEastAsia" w:eastAsiaTheme="minorEastAsia" w:cstheme="minorEastAsia"/>
          <w:color w:val="auto"/>
          <w:spacing w:val="0"/>
          <w:position w:val="0"/>
          <w:sz w:val="24"/>
          <w:szCs w:val="24"/>
          <w:highlight w:val="none"/>
          <w:lang w:eastAsia="zh-CN"/>
        </w:rPr>
        <w:t>按合同约定执行</w:t>
      </w:r>
    </w:p>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本项目（否）接受联合体投标。 </w:t>
      </w:r>
    </w:p>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Style w:val="40"/>
          <w:rFonts w:hint="eastAsia" w:asciiTheme="minorEastAsia" w:hAnsiTheme="minorEastAsia" w:eastAsiaTheme="minorEastAsia" w:cstheme="minorEastAsia"/>
          <w:b/>
          <w:bCs/>
          <w:color w:val="auto"/>
          <w:spacing w:val="0"/>
          <w:position w:val="0"/>
          <w:sz w:val="24"/>
          <w:szCs w:val="24"/>
          <w:highlight w:val="none"/>
        </w:rPr>
      </w:pPr>
      <w:r>
        <w:rPr>
          <w:rStyle w:val="40"/>
          <w:rFonts w:hint="eastAsia" w:asciiTheme="minorEastAsia" w:hAnsiTheme="minorEastAsia" w:eastAsiaTheme="minorEastAsia" w:cstheme="minorEastAsia"/>
          <w:b/>
          <w:bCs/>
          <w:color w:val="auto"/>
          <w:spacing w:val="0"/>
          <w:position w:val="0"/>
          <w:sz w:val="24"/>
          <w:szCs w:val="24"/>
          <w:highlight w:val="none"/>
        </w:rPr>
        <w:t>二、申请人的资格要求：</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小微</w:t>
      </w:r>
      <w:r>
        <w:rPr>
          <w:rFonts w:hint="eastAsia" w:asciiTheme="minorEastAsia" w:hAnsiTheme="minorEastAsia" w:eastAsiaTheme="minorEastAsia" w:cstheme="minorEastAsia"/>
          <w:color w:val="auto"/>
          <w:spacing w:val="0"/>
          <w:position w:val="0"/>
          <w:sz w:val="24"/>
          <w:szCs w:val="24"/>
          <w:highlight w:val="none"/>
          <w:lang w:eastAsia="zh-CN"/>
        </w:rPr>
        <w:t>企业</w:t>
      </w:r>
      <w:r>
        <w:rPr>
          <w:rFonts w:hint="eastAsia" w:asciiTheme="minorEastAsia" w:hAnsiTheme="minorEastAsia" w:eastAsiaTheme="minorEastAsia" w:cstheme="minorEastAsia"/>
          <w:color w:val="auto"/>
          <w:spacing w:val="0"/>
          <w:position w:val="0"/>
          <w:sz w:val="24"/>
          <w:szCs w:val="24"/>
          <w:highlight w:val="none"/>
        </w:rPr>
        <w:t xml:space="preserve"> </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eastAsia="zh-CN"/>
        </w:rPr>
        <w:t>无</w:t>
      </w:r>
    </w:p>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b/>
          <w:bCs/>
          <w:color w:val="auto"/>
          <w:spacing w:val="0"/>
          <w:position w:val="0"/>
          <w:sz w:val="24"/>
          <w:szCs w:val="24"/>
          <w:highlight w:val="none"/>
        </w:rPr>
      </w:pPr>
      <w:r>
        <w:rPr>
          <w:rStyle w:val="40"/>
          <w:rFonts w:hint="eastAsia" w:asciiTheme="minorEastAsia" w:hAnsiTheme="minorEastAsia" w:eastAsiaTheme="minorEastAsia" w:cstheme="minorEastAsia"/>
          <w:b/>
          <w:bCs/>
          <w:color w:val="auto"/>
          <w:spacing w:val="0"/>
          <w:position w:val="0"/>
          <w:sz w:val="24"/>
          <w:szCs w:val="24"/>
          <w:highlight w:val="none"/>
        </w:rPr>
        <w:t>三、获取招标文件</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时间：2024年04月30日至2024年05月10日，每天上午00:00至12:00，下午12:00至23:59（北京时间，法定节假日除外）</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5"/>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45"/>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政采云平台https://www.zcygov.cn/</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b/>
          <w:bCs/>
          <w:color w:val="auto"/>
          <w:spacing w:val="0"/>
          <w:position w:val="0"/>
          <w:sz w:val="24"/>
          <w:szCs w:val="24"/>
          <w:highlight w:val="none"/>
        </w:rPr>
      </w:pPr>
      <w:bookmarkStart w:id="3" w:name="_Toc25999"/>
      <w:r>
        <w:rPr>
          <w:rStyle w:val="40"/>
          <w:rFonts w:hint="eastAsia" w:asciiTheme="minorEastAsia" w:hAnsiTheme="minorEastAsia" w:eastAsiaTheme="minorEastAsia" w:cstheme="minorEastAsia"/>
          <w:b/>
          <w:bCs/>
          <w:color w:val="auto"/>
          <w:spacing w:val="0"/>
          <w:position w:val="0"/>
          <w:sz w:val="24"/>
          <w:szCs w:val="24"/>
          <w:highlight w:val="none"/>
        </w:rPr>
        <w:t>四、提交投标文件截止时间、开标时间和地点</w:t>
      </w:r>
      <w:bookmarkEnd w:id="3"/>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提交投标文件截止时间：2024年05月20日16:00（北京时间）</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开标时间：2024年05月20日16:00（北京时间）</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pPr>
        <w:pStyle w:val="11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pPr>
        <w:pStyle w:val="11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pPr>
        <w:pStyle w:val="11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pPr>
        <w:pStyle w:val="11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3、本项目实行电子招投标，供应商须登录政采云平台申请获取招标文件，并通过政采云电子投标客户端制作投标文件，同时自行承担与投标有关的一切费用。</w:t>
      </w:r>
    </w:p>
    <w:p>
      <w:pPr>
        <w:pStyle w:val="11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pPr>
        <w:pStyle w:val="11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pPr>
        <w:pStyle w:val="11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pPr>
        <w:pStyle w:val="11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11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40"/>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  </w:t>
      </w:r>
      <w:r>
        <w:rPr>
          <w:rStyle w:val="40"/>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color w:val="auto"/>
          <w:spacing w:val="0"/>
          <w:position w:val="0"/>
          <w:sz w:val="24"/>
          <w:szCs w:val="24"/>
          <w:highlight w:val="none"/>
        </w:rPr>
      </w:pPr>
      <w:bookmarkStart w:id="4" w:name="_Toc4893"/>
      <w:r>
        <w:rPr>
          <w:rStyle w:val="40"/>
          <w:rFonts w:hint="eastAsia" w:asciiTheme="minorEastAsia" w:hAnsiTheme="minorEastAsia" w:eastAsiaTheme="minorEastAsia" w:cstheme="minorEastAsia"/>
          <w:b/>
          <w:bCs/>
          <w:i w:val="0"/>
          <w:caps w:val="0"/>
          <w:color w:val="auto"/>
          <w:spacing w:val="0"/>
          <w:w w:val="100"/>
          <w:position w:val="0"/>
          <w:sz w:val="24"/>
          <w:szCs w:val="24"/>
          <w:highlight w:val="none"/>
        </w:rPr>
        <w:t>七、对本次招标提出询问，请按以下方式联系。</w:t>
      </w:r>
      <w:bookmarkEnd w:id="4"/>
      <w:r>
        <w:rPr>
          <w:rStyle w:val="40"/>
          <w:rFonts w:hint="eastAsia" w:asciiTheme="minorEastAsia" w:hAnsiTheme="minorEastAsia" w:eastAsiaTheme="minorEastAsia" w:cstheme="minorEastAsia"/>
          <w:b/>
          <w:bCs/>
          <w:i w:val="0"/>
          <w:caps w:val="0"/>
          <w:color w:val="auto"/>
          <w:spacing w:val="0"/>
          <w:w w:val="100"/>
          <w:position w:val="0"/>
          <w:sz w:val="24"/>
          <w:szCs w:val="24"/>
          <w:highlight w:val="none"/>
        </w:rPr>
        <w:t>　</w:t>
      </w:r>
      <w:r>
        <w:rPr>
          <w:rFonts w:hint="eastAsia" w:asciiTheme="minorEastAsia" w:hAnsiTheme="minorEastAsia" w:eastAsiaTheme="minorEastAsia" w:cstheme="minorEastAsia"/>
          <w:color w:val="auto"/>
          <w:spacing w:val="0"/>
          <w:position w:val="0"/>
          <w:sz w:val="24"/>
          <w:szCs w:val="24"/>
          <w:highlight w:val="none"/>
        </w:rPr>
        <w:t>　　　　　　　　　　　</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名称：中共乌鲁木齐市委员会网络安全和信息化委员会办公室</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地址：乌鲁木齐市水磨沟区南湖南路西一巷3号</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联系方式：15099333898</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联系方式：13199858738、18690136275</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项目联系人：马琴、李颖 </w:t>
      </w:r>
    </w:p>
    <w:p>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联系电话：13199858738、18690136275</w:t>
      </w: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position w:val="0"/>
          <w:szCs w:val="21"/>
          <w:highlight w:val="none"/>
        </w:rPr>
      </w:pPr>
    </w:p>
    <w:p>
      <w:pPr>
        <w:pageBreakBefore w:val="0"/>
        <w:kinsoku/>
        <w:overflowPunct/>
        <w:topLinePunct w:val="0"/>
        <w:bidi w:val="0"/>
        <w:spacing w:line="500" w:lineRule="exact"/>
        <w:jc w:val="center"/>
        <w:outlineLvl w:val="0"/>
        <w:rPr>
          <w:rFonts w:hint="eastAsia" w:asciiTheme="minorEastAsia" w:hAnsiTheme="minorEastAsia" w:eastAsiaTheme="minorEastAsia" w:cstheme="minorEastAsia"/>
          <w:b/>
          <w:color w:val="auto"/>
          <w:spacing w:val="0"/>
          <w:position w:val="0"/>
          <w:sz w:val="32"/>
          <w:szCs w:val="32"/>
          <w:highlight w:val="none"/>
        </w:rPr>
      </w:pPr>
      <w:bookmarkStart w:id="5" w:name="_Toc480368398"/>
      <w:bookmarkStart w:id="6" w:name="_Toc31169"/>
      <w:bookmarkStart w:id="7" w:name="_Toc467246830"/>
      <w:bookmarkStart w:id="8" w:name="_Toc467246734"/>
      <w:bookmarkStart w:id="9" w:name="_Toc467248735"/>
      <w:r>
        <w:rPr>
          <w:rFonts w:hint="eastAsia" w:asciiTheme="minorEastAsia" w:hAnsiTheme="minorEastAsia" w:eastAsiaTheme="minorEastAsia" w:cstheme="minorEastAsia"/>
          <w:b/>
          <w:color w:val="auto"/>
          <w:spacing w:val="0"/>
          <w:position w:val="0"/>
          <w:sz w:val="32"/>
          <w:szCs w:val="32"/>
          <w:highlight w:val="none"/>
        </w:rPr>
        <w:t>第二部分  投标人须知</w:t>
      </w:r>
      <w:bookmarkEnd w:id="5"/>
      <w:bookmarkEnd w:id="6"/>
      <w:bookmarkEnd w:id="7"/>
      <w:bookmarkEnd w:id="8"/>
      <w:bookmarkEnd w:id="9"/>
    </w:p>
    <w:p>
      <w:pPr>
        <w:pageBreakBefore w:val="0"/>
        <w:kinsoku/>
        <w:overflowPunct/>
        <w:topLinePunct w:val="0"/>
        <w:bidi w:val="0"/>
        <w:spacing w:line="500" w:lineRule="exact"/>
        <w:jc w:val="center"/>
        <w:outlineLvl w:val="1"/>
        <w:rPr>
          <w:rFonts w:hint="eastAsia" w:asciiTheme="minorEastAsia" w:hAnsiTheme="minorEastAsia" w:eastAsiaTheme="minorEastAsia" w:cstheme="minorEastAsia"/>
          <w:b/>
          <w:color w:val="auto"/>
          <w:spacing w:val="0"/>
          <w:position w:val="0"/>
          <w:sz w:val="28"/>
          <w:szCs w:val="28"/>
          <w:highlight w:val="none"/>
        </w:rPr>
      </w:pPr>
      <w:bookmarkStart w:id="10" w:name="_Toc480368399"/>
      <w:bookmarkStart w:id="11" w:name="_Toc467248736"/>
      <w:bookmarkStart w:id="12" w:name="_Toc467246735"/>
      <w:bookmarkStart w:id="13" w:name="_Toc31683"/>
      <w:bookmarkStart w:id="14" w:name="_Toc467246831"/>
      <w:r>
        <w:rPr>
          <w:rFonts w:hint="eastAsia" w:asciiTheme="minorEastAsia" w:hAnsiTheme="minorEastAsia" w:eastAsiaTheme="minorEastAsia" w:cstheme="minorEastAsia"/>
          <w:b/>
          <w:color w:val="auto"/>
          <w:spacing w:val="0"/>
          <w:position w:val="0"/>
          <w:sz w:val="28"/>
          <w:szCs w:val="28"/>
          <w:highlight w:val="none"/>
        </w:rPr>
        <w:t>投标人须知前附表</w:t>
      </w:r>
      <w:bookmarkEnd w:id="10"/>
      <w:bookmarkEnd w:id="11"/>
      <w:bookmarkEnd w:id="12"/>
      <w:bookmarkEnd w:id="13"/>
      <w:bookmarkEnd w:id="14"/>
    </w:p>
    <w:tbl>
      <w:tblPr>
        <w:tblStyle w:val="37"/>
        <w:tblW w:w="1059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717"/>
        <w:gridCol w:w="6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“你好乌鲁木齐”图文短视频大赛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名称：中共乌鲁木齐市委员会网络安全和信息化委员会办公室</w:t>
            </w:r>
          </w:p>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地址：乌鲁木齐市水磨沟区南湖南路西一巷3号</w:t>
            </w:r>
          </w:p>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15099333898</w:t>
            </w:r>
          </w:p>
          <w:p>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吕建忠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6756" w:type="dxa"/>
            <w:vAlign w:val="center"/>
          </w:tcPr>
          <w:p>
            <w:pPr>
              <w:keepNext w:val="0"/>
              <w:keepLines w:val="0"/>
              <w:pageBreakBefore w:val="0"/>
              <w:widowControl/>
              <w:kinsoku/>
              <w:wordWrap/>
              <w:overflowPunct/>
              <w:topLinePunct w:val="0"/>
              <w:bidi w:val="0"/>
              <w:adjustRightInd w:val="0"/>
              <w:snapToGrid w:val="0"/>
              <w:spacing w:line="440" w:lineRule="exact"/>
              <w:ind w:left="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pPr>
              <w:keepNext w:val="0"/>
              <w:keepLines w:val="0"/>
              <w:pageBreakBefore w:val="0"/>
              <w:widowControl/>
              <w:kinsoku/>
              <w:wordWrap/>
              <w:overflowPunct/>
              <w:topLinePunct w:val="0"/>
              <w:bidi w:val="0"/>
              <w:adjustRightInd w:val="0"/>
              <w:snapToGrid w:val="0"/>
              <w:spacing w:line="440" w:lineRule="exact"/>
              <w:ind w:left="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联系人：马琴、李颖 </w:t>
            </w:r>
          </w:p>
          <w:p>
            <w:pPr>
              <w:keepNext w:val="0"/>
              <w:keepLines w:val="0"/>
              <w:pageBreakBefore w:val="0"/>
              <w:widowControl/>
              <w:kinsoku/>
              <w:wordWrap/>
              <w:overflowPunct/>
              <w:topLinePunct w:val="0"/>
              <w:bidi w:val="0"/>
              <w:adjustRightInd w:val="0"/>
              <w:snapToGrid w:val="0"/>
              <w:spacing w:line="440" w:lineRule="exact"/>
              <w:ind w:left="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联系电话：13199858738、18690136275</w:t>
            </w:r>
          </w:p>
          <w:p>
            <w:pPr>
              <w:keepNext w:val="0"/>
              <w:keepLines w:val="0"/>
              <w:pageBreakBefore w:val="0"/>
              <w:widowControl/>
              <w:kinsoku/>
              <w:wordWrap/>
              <w:overflowPunct/>
              <w:topLinePunct w:val="0"/>
              <w:bidi w:val="0"/>
              <w:adjustRightInd w:val="0"/>
              <w:snapToGrid w:val="0"/>
              <w:spacing w:line="440" w:lineRule="exact"/>
              <w:ind w:left="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监管部门</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lang w:eastAsia="zh-CN"/>
              </w:rPr>
              <w:t>乌鲁木齐市政府采购办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本项目预算为</w:t>
            </w:r>
            <w:r>
              <w:rPr>
                <w:rFonts w:hint="eastAsia" w:asciiTheme="minorEastAsia" w:hAnsiTheme="minorEastAsia" w:eastAsiaTheme="minorEastAsia" w:cstheme="minorEastAsia"/>
                <w:color w:val="auto"/>
                <w:spacing w:val="0"/>
                <w:position w:val="0"/>
                <w:sz w:val="24"/>
                <w:szCs w:val="24"/>
                <w:highlight w:val="none"/>
                <w:lang w:val="en-US" w:eastAsia="zh-CN"/>
              </w:rPr>
              <w:t>1000000</w:t>
            </w:r>
            <w:r>
              <w:rPr>
                <w:rFonts w:hint="eastAsia" w:asciiTheme="minorEastAsia" w:hAnsiTheme="minorEastAsia" w:eastAsiaTheme="minorEastAsia" w:cstheme="minorEastAsia"/>
                <w:color w:val="auto"/>
                <w:spacing w:val="0"/>
                <w:position w:val="0"/>
                <w:sz w:val="24"/>
                <w:szCs w:val="24"/>
                <w:highlight w:val="none"/>
              </w:rPr>
              <w:t>.00元，供应商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6756" w:type="dxa"/>
            <w:vAlign w:val="center"/>
          </w:tcPr>
          <w:p>
            <w:pPr>
              <w:keepNext w:val="0"/>
              <w:keepLines w:val="0"/>
              <w:pageBreakBefore w:val="0"/>
              <w:widowControl/>
              <w:kinsoku/>
              <w:overflowPunct/>
              <w:topLinePunct w:val="0"/>
              <w:autoSpaceDE/>
              <w:autoSpaceDN/>
              <w:bidi w:val="0"/>
              <w:spacing w:line="440" w:lineRule="exact"/>
              <w:ind w:left="0" w:firstLine="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pPr>
              <w:keepNext w:val="0"/>
              <w:keepLines w:val="0"/>
              <w:pageBreakBefore w:val="0"/>
              <w:widowControl/>
              <w:kinsoku/>
              <w:overflowPunct/>
              <w:topLinePunct w:val="0"/>
              <w:autoSpaceDE/>
              <w:autoSpaceDN/>
              <w:bidi w:val="0"/>
              <w:spacing w:line="440" w:lineRule="exact"/>
              <w:ind w:left="0" w:firstLine="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小微</w:t>
            </w:r>
            <w:r>
              <w:rPr>
                <w:rFonts w:hint="eastAsia" w:asciiTheme="minorEastAsia" w:hAnsiTheme="minorEastAsia" w:eastAsiaTheme="minorEastAsia" w:cstheme="minorEastAsia"/>
                <w:color w:val="auto"/>
                <w:spacing w:val="0"/>
                <w:position w:val="0"/>
                <w:sz w:val="24"/>
                <w:szCs w:val="24"/>
                <w:highlight w:val="none"/>
                <w:lang w:eastAsia="zh-CN"/>
              </w:rPr>
              <w:t>企业</w:t>
            </w:r>
          </w:p>
          <w:p>
            <w:pPr>
              <w:keepNext w:val="0"/>
              <w:keepLines w:val="0"/>
              <w:pageBreakBefore w:val="0"/>
              <w:widowControl/>
              <w:kinsoku/>
              <w:wordWrap/>
              <w:overflowPunct/>
              <w:topLinePunct w:val="0"/>
              <w:bidi w:val="0"/>
              <w:adjustRightInd w:val="0"/>
              <w:snapToGrid w:val="0"/>
              <w:spacing w:line="440" w:lineRule="exact"/>
              <w:ind w:left="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新疆政府采购网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投标文件</w:t>
            </w:r>
            <w:r>
              <w:rPr>
                <w:rFonts w:hint="eastAsia" w:asciiTheme="minorEastAsia" w:hAnsiTheme="minorEastAsia" w:eastAsiaTheme="minorEastAsia" w:cstheme="minorEastAsia"/>
                <w:b/>
                <w:bCs/>
                <w:color w:val="auto"/>
                <w:spacing w:val="0"/>
                <w:position w:val="0"/>
                <w:sz w:val="24"/>
                <w:szCs w:val="24"/>
                <w:highlight w:val="none"/>
              </w:rPr>
              <w:t>递交截止时间</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2024年05月20日16:00（北京时间）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eastAsia="zh-CN"/>
              </w:rPr>
              <w:t>开标时间</w:t>
            </w:r>
            <w:r>
              <w:rPr>
                <w:rFonts w:hint="eastAsia" w:asciiTheme="minorEastAsia" w:hAnsiTheme="minorEastAsia" w:eastAsiaTheme="minorEastAsia" w:cstheme="minorEastAsia"/>
                <w:b/>
                <w:bCs/>
                <w:color w:val="auto"/>
                <w:spacing w:val="0"/>
                <w:position w:val="0"/>
                <w:sz w:val="24"/>
                <w:szCs w:val="24"/>
                <w:highlight w:val="none"/>
              </w:rPr>
              <w:t>、地点</w:t>
            </w:r>
          </w:p>
        </w:tc>
        <w:tc>
          <w:tcPr>
            <w:tcW w:w="6756" w:type="dxa"/>
            <w:vAlign w:val="center"/>
          </w:tcPr>
          <w:p>
            <w:pPr>
              <w:pStyle w:val="73"/>
              <w:keepNext w:val="0"/>
              <w:keepLines w:val="0"/>
              <w:pageBreakBefore w:val="0"/>
              <w:kinsoku/>
              <w:overflowPunct/>
              <w:topLinePunct w:val="0"/>
              <w:bidi w:val="0"/>
              <w:spacing w:line="440" w:lineRule="exact"/>
              <w:ind w:left="0" w:firstLine="0" w:firstLineChars="0"/>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开标时间：</w:t>
            </w: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2024年05月20日16:00（北京时间）</w:t>
            </w:r>
          </w:p>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地点：本项目采用不见面开标，供应商需要递交加密的电子投标文件，在投标截止时间前通过新疆政府采购云平台https://www.zcygov.cn/开标系统上传到指定位置。逾期未上传的或不符合规定的投标文件将被拒绝接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eastAsia="zh-CN"/>
              </w:rPr>
              <w:t>评标委员会</w:t>
            </w:r>
            <w:r>
              <w:rPr>
                <w:rFonts w:hint="eastAsia" w:asciiTheme="minorEastAsia" w:hAnsiTheme="minorEastAsia" w:eastAsiaTheme="minorEastAsia" w:cstheme="minorEastAsia"/>
                <w:b/>
                <w:bCs/>
                <w:color w:val="auto"/>
                <w:spacing w:val="0"/>
                <w:position w:val="0"/>
                <w:sz w:val="24"/>
                <w:szCs w:val="24"/>
                <w:highlight w:val="none"/>
              </w:rPr>
              <w:t>的组建及评审专家的确定方式</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评标委员会</w:t>
            </w:r>
            <w:r>
              <w:rPr>
                <w:rFonts w:hint="eastAsia" w:asciiTheme="minorEastAsia" w:hAnsiTheme="minorEastAsia" w:eastAsiaTheme="minorEastAsia" w:cstheme="minorEastAsia"/>
                <w:color w:val="auto"/>
                <w:spacing w:val="0"/>
                <w:position w:val="0"/>
                <w:sz w:val="24"/>
                <w:szCs w:val="24"/>
                <w:highlight w:val="none"/>
              </w:rPr>
              <w:t>由采购人代表和评审专家共</w:t>
            </w:r>
            <w:r>
              <w:rPr>
                <w:rFonts w:hint="eastAsia" w:asciiTheme="minorEastAsia" w:hAnsiTheme="minorEastAsia" w:eastAsia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rPr>
              <w:t>人以上单数组成，其中评审专家人数不得少于</w:t>
            </w:r>
            <w:r>
              <w:rPr>
                <w:rFonts w:hint="eastAsia" w:asciiTheme="minorEastAsia" w:hAnsiTheme="minorEastAsia" w:eastAsiaTheme="minorEastAsia" w:cstheme="minorEastAsia"/>
                <w:color w:val="auto"/>
                <w:spacing w:val="0"/>
                <w:position w:val="0"/>
                <w:sz w:val="24"/>
                <w:szCs w:val="24"/>
                <w:highlight w:val="none"/>
                <w:lang w:eastAsia="zh-CN"/>
              </w:rPr>
              <w:t>评标委员会</w:t>
            </w:r>
            <w:r>
              <w:rPr>
                <w:rFonts w:hint="eastAsia" w:asciiTheme="minorEastAsia" w:hAnsiTheme="minorEastAsia" w:eastAsiaTheme="minorEastAsia" w:cstheme="minorEastAsia"/>
                <w:color w:val="auto"/>
                <w:spacing w:val="0"/>
                <w:position w:val="0"/>
                <w:sz w:val="24"/>
                <w:szCs w:val="24"/>
                <w:highlight w:val="none"/>
              </w:rPr>
              <w:t>成员总数的2/3。</w:t>
            </w:r>
          </w:p>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投标保证金</w:t>
            </w:r>
          </w:p>
        </w:tc>
        <w:tc>
          <w:tcPr>
            <w:tcW w:w="6756" w:type="dxa"/>
            <w:vAlign w:val="center"/>
          </w:tcPr>
          <w:p>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45"/>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投标保证金额为：10000.00元</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4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2024年05月20日16:00（北京时间）</w:t>
            </w: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注：供应商向银行办理投标保证金汇（转）款时，应在用途栏（备注栏）准确注明"本项目招标编号（例如：XJCC-ZB-2024-</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（2）电子保函须在招标文件规定的投标截止时间前办理完成。</w:t>
            </w:r>
          </w:p>
          <w:p>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b/>
                <w:color w:val="auto"/>
                <w:spacing w:val="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518" w:leftChars="0" w:hanging="518" w:hangingChars="216"/>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投标有效期</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投标文件</w:t>
            </w:r>
          </w:p>
        </w:tc>
        <w:tc>
          <w:tcPr>
            <w:tcW w:w="6756" w:type="dxa"/>
            <w:vAlign w:val="center"/>
          </w:tcPr>
          <w:p>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keepNext w:val="0"/>
              <w:keepLines w:val="0"/>
              <w:pageBreakBefore w:val="0"/>
              <w:widowControl w:val="0"/>
              <w:kinsoku/>
              <w:overflowPunct/>
              <w:topLinePunct w:val="0"/>
              <w:bidi w:val="0"/>
              <w:adjustRightInd w:val="0"/>
              <w:snapToGrid w:val="0"/>
              <w:spacing w:line="440" w:lineRule="exact"/>
              <w:ind w:left="518" w:leftChars="0" w:hanging="518" w:hangingChars="216"/>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6756" w:type="dxa"/>
            <w:vAlign w:val="center"/>
          </w:tcPr>
          <w:p>
            <w:pPr>
              <w:keepNext w:val="0"/>
              <w:keepLines w:val="0"/>
              <w:pageBreakBefore w:val="0"/>
              <w:widowControl w:val="0"/>
              <w:kinsoku/>
              <w:overflowPunct/>
              <w:topLinePunct w:val="0"/>
              <w:autoSpaceDE w:val="0"/>
              <w:autoSpaceDN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6756" w:type="dxa"/>
            <w:vAlign w:val="center"/>
          </w:tcPr>
          <w:p>
            <w:pPr>
              <w:keepNext w:val="0"/>
              <w:keepLines w:val="0"/>
              <w:pageBreakBefore w:val="0"/>
              <w:widowControl w:val="0"/>
              <w:kinsoku/>
              <w:overflowPunct/>
              <w:topLinePunct w:val="0"/>
              <w:autoSpaceDE w:val="0"/>
              <w:autoSpaceDN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依据《招标代理服务收费管理暂行办法》（计价格[2002]1980号）、《关于招标代理服务费收费有关问题的通知》（发改办价格[2003]857号文）、《国家发展改革委关于进一步放开建设项目专业服务价格的通知（发改价格【2015】299号）》下浮60%，本工程招标代理服务费由中标人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717" w:type="dxa"/>
            <w:vAlign w:val="center"/>
          </w:tcPr>
          <w:p>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6756" w:type="dxa"/>
            <w:vAlign w:val="center"/>
          </w:tcPr>
          <w:p>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19.1本项目专门面向小微企业，各供应商须提供《中小企业申明函》。</w:t>
            </w:r>
          </w:p>
          <w:p>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19.2根据工信部等部委发布的《关于印发中小企业划型标准规定的通知》（工信部联企业〔2011〕300号）、财政部、工业和信息化部《政府采购促进中小企业发展管理办法》（财库[2020]46号文）规定，本次采购标的所属行业为</w:t>
            </w:r>
            <w:r>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其他未列明行业</w:t>
            </w: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符合以下条件的小微型企业应按照招标文件格式要求提供《中小企业声明函》。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6756" w:type="dxa"/>
            <w:vAlign w:val="center"/>
          </w:tcPr>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2024年4月至2025年3月，其中季赛时间分别为：2024年4月至6月、7月至9月、10月至12月、2025年1月至3月。（具体以合同实际签订日期为准）</w:t>
            </w:r>
          </w:p>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每季度展播期：每次季赛的最后一个月</w:t>
            </w:r>
          </w:p>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集中展播期：2025年3月</w:t>
            </w:r>
          </w:p>
          <w:p>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专家评审期：2025年3月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tabs>
                <w:tab w:val="left" w:pos="265"/>
              </w:tabs>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付款方式</w:t>
            </w:r>
          </w:p>
        </w:tc>
        <w:tc>
          <w:tcPr>
            <w:tcW w:w="6756" w:type="dxa"/>
            <w:vAlign w:val="center"/>
          </w:tcPr>
          <w:p>
            <w:pPr>
              <w:keepNext w:val="0"/>
              <w:keepLines w:val="0"/>
              <w:pageBreakBefore w:val="0"/>
              <w:widowControl w:val="0"/>
              <w:kinsoku/>
              <w:wordWrap w:val="0"/>
              <w:overflowPunct/>
              <w:topLinePunct w:val="0"/>
              <w:bidi w:val="0"/>
              <w:adjustRightInd w:val="0"/>
              <w:snapToGrid w:val="0"/>
              <w:spacing w:line="440" w:lineRule="exact"/>
              <w:ind w:left="0" w:left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eastAsia="zh-CN"/>
              </w:rPr>
              <w:t>按甲方要求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717" w:type="dxa"/>
            <w:vAlign w:val="center"/>
          </w:tcPr>
          <w:p>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采购人认为应该补充的其他内容</w:t>
            </w:r>
          </w:p>
        </w:tc>
        <w:tc>
          <w:tcPr>
            <w:tcW w:w="6756" w:type="dxa"/>
            <w:vAlign w:val="center"/>
          </w:tcPr>
          <w:p>
            <w:pPr>
              <w:keepNext w:val="0"/>
              <w:keepLines w:val="0"/>
              <w:pageBreakBefore w:val="0"/>
              <w:widowControl w:val="0"/>
              <w:kinsoku/>
              <w:wordWrap w:val="0"/>
              <w:overflowPunct/>
              <w:topLinePunct w:val="0"/>
              <w:bidi w:val="0"/>
              <w:adjustRightInd w:val="0"/>
              <w:snapToGrid w:val="0"/>
              <w:spacing w:line="440" w:lineRule="exact"/>
              <w:ind w:left="0" w:left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pPr>
              <w:pStyle w:val="12"/>
              <w:keepNext w:val="0"/>
              <w:keepLines w:val="0"/>
              <w:pageBreakBefore w:val="0"/>
              <w:widowControl w:val="0"/>
              <w:kinsoku/>
              <w:overflowPunct/>
              <w:topLinePunct w:val="0"/>
              <w:bidi w:val="0"/>
              <w:adjustRightInd w:val="0"/>
              <w:snapToGrid w:val="0"/>
              <w:spacing w:line="440" w:lineRule="exact"/>
              <w:ind w:left="482" w:leftChars="0" w:hanging="482" w:hangingChars="20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pPr>
              <w:pStyle w:val="12"/>
              <w:keepNext w:val="0"/>
              <w:keepLines w:val="0"/>
              <w:pageBreakBefore w:val="0"/>
              <w:widowControl w:val="0"/>
              <w:kinsoku/>
              <w:overflowPunct/>
              <w:topLinePunct w:val="0"/>
              <w:bidi w:val="0"/>
              <w:adjustRightInd w:val="0"/>
              <w:snapToGrid w:val="0"/>
              <w:spacing w:line="440" w:lineRule="exact"/>
              <w:ind w:left="482" w:leftChars="0" w:hanging="482" w:hangingChars="20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473" w:type="dxa"/>
            <w:gridSpan w:val="2"/>
            <w:vAlign w:val="center"/>
          </w:tcPr>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1、本项目实行网上投标，采用电子投标文件。</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12"/>
              <w:keepNext w:val="0"/>
              <w:keepLines w:val="0"/>
              <w:pageBreakBefore w:val="0"/>
              <w:widowControl w:val="0"/>
              <w:kinsoku/>
              <w:overflowPunct/>
              <w:topLinePunct w:val="0"/>
              <w:bidi w:val="0"/>
              <w:adjustRightInd w:val="0"/>
              <w:snapToGrid w:val="0"/>
              <w:spacing w:line="440" w:lineRule="exact"/>
              <w:ind w:left="0" w:leftChars="0" w:firstLine="410" w:firstLineChars="171"/>
              <w:contextualSpacing/>
              <w:textAlignment w:val="auto"/>
              <w:rPr>
                <w:rFonts w:hint="eastAsia" w:asciiTheme="minorEastAsia" w:hAnsiTheme="minorEastAsia" w:eastAsiaTheme="minorEastAsia" w:cstheme="minorEastAsia"/>
                <w:color w:val="auto"/>
                <w:spacing w:val="0"/>
                <w:position w:val="0"/>
                <w:sz w:val="24"/>
                <w:szCs w:val="24"/>
                <w:highlight w:val="none"/>
              </w:rPr>
            </w:pPr>
            <w:r>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4、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tc>
      </w:tr>
    </w:tbl>
    <w:p>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highlight w:val="none"/>
        </w:rPr>
      </w:pPr>
    </w:p>
    <w:p>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t>注：1、本表中加☆项目若有缺失或无效，将导致投标无效且不允许在开标后补正；2、本表内容与招标文件其它内容不一致的，应当以本表内容为准。3、本表中“</w:t>
      </w:r>
      <w:r>
        <w:rPr>
          <w:rFonts w:hint="eastAsia" w:asciiTheme="minorEastAsia" w:hAnsiTheme="minorEastAsia" w:eastAsiaTheme="minorEastAsia" w:cstheme="minorEastAsia"/>
          <w:color w:val="auto"/>
          <w:spacing w:val="0"/>
          <w:kern w:val="0"/>
          <w:position w:val="0"/>
          <w:sz w:val="24"/>
          <w:highlight w:val="none"/>
        </w:rPr>
        <w:fldChar w:fldCharType="begin"/>
      </w:r>
      <w:r>
        <w:rPr>
          <w:rFonts w:hint="eastAsia" w:asciiTheme="minorEastAsia" w:hAnsiTheme="minorEastAsia" w:eastAsiaTheme="minorEastAsia" w:cstheme="minorEastAsia"/>
          <w:color w:val="auto"/>
          <w:spacing w:val="0"/>
          <w:kern w:val="0"/>
          <w:position w:val="0"/>
          <w:sz w:val="24"/>
          <w:highlight w:val="none"/>
        </w:rPr>
        <w:instrText xml:space="preserve"> eq \o\ac(□,√)</w:instrText>
      </w:r>
      <w:r>
        <w:rPr>
          <w:rFonts w:hint="eastAsia" w:asciiTheme="minorEastAsia" w:hAnsiTheme="minorEastAsia" w:eastAsiaTheme="minorEastAsia" w:cstheme="minorEastAsia"/>
          <w:color w:val="auto"/>
          <w:spacing w:val="0"/>
          <w:kern w:val="0"/>
          <w:position w:val="0"/>
          <w:sz w:val="24"/>
          <w:highlight w:val="none"/>
        </w:rPr>
        <w:fldChar w:fldCharType="end"/>
      </w:r>
      <w:r>
        <w:rPr>
          <w:rFonts w:hint="eastAsia" w:asciiTheme="minorEastAsia" w:hAnsiTheme="minorEastAsia" w:eastAsiaTheme="minorEastAsia" w:cstheme="minorEastAsia"/>
          <w:color w:val="auto"/>
          <w:spacing w:val="0"/>
          <w:kern w:val="0"/>
          <w:position w:val="0"/>
          <w:sz w:val="24"/>
          <w:highlight w:val="none"/>
        </w:rPr>
        <w:t>”标示选择使用该项，“□”标示不选择使用该项。</w:t>
      </w:r>
    </w:p>
    <w:p>
      <w:pPr>
        <w:pStyle w:val="35"/>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44"/>
        <w:pageBreakBefore w:val="0"/>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pPr>
        <w:pStyle w:val="35"/>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kern w:val="0"/>
          <w:position w:val="0"/>
          <w:sz w:val="24"/>
          <w:highlight w:val="none"/>
        </w:rPr>
      </w:pPr>
    </w:p>
    <w:p>
      <w:pPr>
        <w:rPr>
          <w:rFonts w:hint="eastAsia" w:asciiTheme="minorEastAsia" w:hAnsiTheme="minorEastAsia" w:eastAsiaTheme="minorEastAsia" w:cstheme="minorEastAsia"/>
          <w:color w:val="auto"/>
          <w:spacing w:val="0"/>
          <w:kern w:val="0"/>
          <w:position w:val="0"/>
          <w:sz w:val="24"/>
          <w:highlight w:val="none"/>
        </w:rPr>
      </w:pPr>
    </w:p>
    <w:p>
      <w:pPr>
        <w:rPr>
          <w:rFonts w:hint="eastAsia" w:asciiTheme="minorEastAsia" w:hAnsiTheme="minorEastAsia" w:eastAsiaTheme="minorEastAsia" w:cstheme="minorEastAsia"/>
          <w:color w:val="auto"/>
          <w:spacing w:val="0"/>
          <w:kern w:val="0"/>
          <w:position w:val="0"/>
          <w:sz w:val="24"/>
          <w:highlight w:val="none"/>
        </w:rPr>
      </w:pPr>
    </w:p>
    <w:p>
      <w:pPr>
        <w:pageBreakBefore w:val="0"/>
        <w:kinsoku/>
        <w:overflowPunct/>
        <w:topLinePunct w:val="0"/>
        <w:bidi w:val="0"/>
        <w:spacing w:line="500" w:lineRule="exact"/>
        <w:jc w:val="center"/>
        <w:outlineLvl w:val="1"/>
        <w:rPr>
          <w:rFonts w:hint="eastAsia" w:asciiTheme="minorEastAsia" w:hAnsiTheme="minorEastAsia" w:eastAsiaTheme="minorEastAsia" w:cstheme="minorEastAsia"/>
          <w:b/>
          <w:color w:val="auto"/>
          <w:spacing w:val="0"/>
          <w:position w:val="0"/>
          <w:sz w:val="32"/>
          <w:szCs w:val="32"/>
          <w:highlight w:val="none"/>
        </w:rPr>
      </w:pPr>
      <w:bookmarkStart w:id="15" w:name="_Toc256000003"/>
      <w:bookmarkStart w:id="16" w:name="_Toc12854"/>
      <w:r>
        <w:rPr>
          <w:rFonts w:hint="eastAsia" w:asciiTheme="minorEastAsia" w:hAnsiTheme="minorEastAsia" w:eastAsiaTheme="minorEastAsia" w:cstheme="minorEastAsia"/>
          <w:b/>
          <w:color w:val="auto"/>
          <w:spacing w:val="0"/>
          <w:position w:val="0"/>
          <w:sz w:val="32"/>
          <w:szCs w:val="32"/>
          <w:highlight w:val="none"/>
        </w:rPr>
        <w:t>投标人须知正文部分</w:t>
      </w:r>
      <w:bookmarkEnd w:id="15"/>
      <w:bookmarkEnd w:id="16"/>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szCs w:val="24"/>
          <w:highlight w:val="none"/>
        </w:rPr>
      </w:pPr>
      <w:bookmarkStart w:id="17" w:name="_Toc32102"/>
      <w:bookmarkStart w:id="18" w:name="_Toc256000004"/>
      <w:r>
        <w:rPr>
          <w:rFonts w:hint="eastAsia" w:asciiTheme="minorEastAsia" w:hAnsiTheme="minorEastAsia" w:eastAsiaTheme="minorEastAsia" w:cstheme="minorEastAsia"/>
          <w:color w:val="auto"/>
          <w:spacing w:val="0"/>
          <w:position w:val="0"/>
          <w:sz w:val="24"/>
          <w:szCs w:val="24"/>
          <w:highlight w:val="none"/>
        </w:rPr>
        <w:t>一、总则</w:t>
      </w:r>
      <w:bookmarkEnd w:id="17"/>
      <w:bookmarkEnd w:id="18"/>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1.说明</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 本招标文件适用于本次招标采购项目的招标投标。</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2.定义</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 “采购人”名称见本招标文件第二部分“投标人须知前附表”。</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2.2 “采购代理机构”名称见本招标文件第二部分“投标人须知前附表”。</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 “服务”指招标文件第三部分所述投标人应该履行的承诺和义务。</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 “潜在投标人”指符合招标文件各项规定的供应商。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 “投标人”指符合招标文件规定并参加投标的供应商。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 “投标人公章”在投标文件中指与投标人标准公章一致的投标人电子签章。</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3.合格投标人的条件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3.1 具有本项目实施能力，符合、承认并承诺履行本文件各项规定的国内法人、其他组织或自然人均可参加投标。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 遵守有关的国家法律、法规和条例，具备《中华人民共和国政府采购法》和本文件中规定的条件：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1)具有独立承担民事责任的能力； </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2)具有良好的商业信誉和健全的财务会计制度；</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3)具有履行合同所必需的设备和专业技术能力；</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4)具有依法缴纳税收和社会保障资金的良好记录；</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5)参加政府采购活动前三年内，在经营活动中没有重大违法记录；</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6)法律、行政法规规定的其他条件；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7)具有本招标文件第二部分“投标人须知前附表”中第5项规定的资格条件。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 投标人之间如果存在下列情形之一的，不得同时参加同一包（标段）或者不分包（标段）的同一项目投标：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法定代表人为同一个人的两个及两个以上法人；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母公司、全资子公司及其控股公司；</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参加投标的其他组织之间存在特殊的利害关系的；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法律和行政法规规定的其他情形。</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3.4 投标人须持有《法定代表人授权委托书》。</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 供应商在政采云交易平台内针对本项目报名并下载了电子采购文件。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3.6 投标人按时足额交纳投标保证金。</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 本次招标是否允许由两个以上投标人组成一个联合体以一个投标人身份共同投标，按照招标文件第二部分“投标人须知前附表”中第5项的规定。如果允许，除均应符合上述规定外，还应符合下列要求：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pPr>
        <w:pStyle w:val="22"/>
        <w:pageBreakBefore w:val="0"/>
        <w:tabs>
          <w:tab w:val="left" w:pos="1146"/>
        </w:tabs>
        <w:kinsoku/>
        <w:wordWrap/>
        <w:overflowPunct/>
        <w:topLinePunct w:val="0"/>
        <w:autoSpaceDE/>
        <w:autoSpaceDN/>
        <w:bidi w:val="0"/>
        <w:spacing w:line="440" w:lineRule="exact"/>
        <w:ind w:left="0" w:leftChars="0"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 投标人不得与采购人、采购代理机构等有利害关系。</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4.投标费用</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4.1 投标人应承担所有与准备和参加投标有关的费用。</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5.纪律</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5.1 投标人的投标行为应遵守中国的有关法律、法规和规章。</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 有下列情形之一的，属于投标人相互串通投标：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5.2.1.1 投标人之间协商投标报价等投标文件的实质性内容；</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5.2.1.2 投标人之间约定中标人；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5.2.1.3 投标人之间约定部分投标人放弃投标或者中标；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5.2.1.4 属于同一集团、协会、商会等组织成员的投标人按照该组织要求协同投标；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5.2.1.5 投标人之间为谋取中标或者排斥特定投标人而采取的其他联合行动。</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 有下列情形之一的，视为投标人相互串通投标：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5.2.2.1 不同投标人的投标文件由同一单位或者个人编制；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5.2.2.3 不同投标人的投标文件载明的项目管理成员为同一人；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5.2.2.4 不同投标人的投标文件异常一致或者投标报价呈规律性差异；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5.2.2.5 不同投标人的投标文件相互混装；</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5.2.2.6 不同投标人的投标保证金从同一单位或者个人的账户转出。</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6.通知</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szCs w:val="24"/>
          <w:highlight w:val="none"/>
        </w:rPr>
      </w:pPr>
      <w:bookmarkStart w:id="19" w:name="_Toc9328"/>
      <w:bookmarkStart w:id="20" w:name="_Toc256000005"/>
      <w:r>
        <w:rPr>
          <w:rFonts w:hint="eastAsia" w:asciiTheme="minorEastAsia" w:hAnsiTheme="minorEastAsia" w:eastAsiaTheme="minorEastAsia" w:cstheme="minorEastAsia"/>
          <w:color w:val="auto"/>
          <w:spacing w:val="0"/>
          <w:position w:val="0"/>
          <w:sz w:val="24"/>
          <w:szCs w:val="24"/>
          <w:highlight w:val="none"/>
        </w:rPr>
        <w:t>二、招标文件</w:t>
      </w:r>
      <w:bookmarkEnd w:id="19"/>
      <w:bookmarkEnd w:id="20"/>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7.招标文件组成</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7.1 招标文件由招标文件目录所列内容组成。</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8.踏勘现场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8.3 除非有特殊要求，招标文件不单独提供供货使用地的自然环境、气候条件、公用设施等情况，投标人被视为熟悉上述与履行合同有关的一切情况。</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8.4 除采购人原因外，投标人自行负责在踏勘现场中所发生的人员伤亡和财产损失。</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9.知识产权</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10.答疑及招标文件的澄清和修改</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特殊情况下，采购代理机构发布澄清、修改文件后，征得投标人同意，可不改变投标截止时间和开标时间。</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10.4 采购代理机构对招标文件作出的澄清、修改在</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Fonts w:hint="eastAsia" w:asciiTheme="minorEastAsia" w:hAnsiTheme="minorEastAsia" w:eastAsiaTheme="minorEastAsia" w:cstheme="minorEastAsia"/>
          <w:color w:val="auto"/>
          <w:spacing w:val="0"/>
          <w:position w:val="0"/>
          <w:highlight w:val="none"/>
        </w:rPr>
      </w:pPr>
      <w:r>
        <w:rPr>
          <w:rStyle w:val="45"/>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10.5澄清、修改文件发出后，供应商必须使用最新的答疑、澄清文件制作电子投标文件，未按最终版本招标文件制作的投标文件造成的后果由投标人自行承担。</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21" w:name="_Toc22770"/>
      <w:bookmarkStart w:id="22" w:name="_Toc256000006"/>
      <w:r>
        <w:rPr>
          <w:rFonts w:hint="eastAsia" w:asciiTheme="minorEastAsia" w:hAnsiTheme="minorEastAsia" w:eastAsiaTheme="minorEastAsia" w:cstheme="minorEastAsia"/>
          <w:color w:val="auto"/>
          <w:spacing w:val="0"/>
          <w:position w:val="0"/>
          <w:sz w:val="24"/>
          <w:highlight w:val="none"/>
        </w:rPr>
        <w:t>三、投标文件</w:t>
      </w:r>
      <w:bookmarkEnd w:id="21"/>
      <w:bookmarkEnd w:id="22"/>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11.投标文件的语言及计量单位</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11.1 投标人提交的投标文件（包括技术文件和资料、图纸中的说明）以及投标人与采购代理机构就有关投标的所有来往函电均应使用中文简体字。</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11.3 除非招标文件另有规定，投标文件所使用的计量单位，应使用国家法定计量单位。</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11.4 对违反上述规定情形的，评标委员会有权要求投标人限期提供相应文件或决定对其投标予以拒绝。</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11.5 电报、电话、传真形式的投标概不接受。投标人的投标文件一律不予退还。</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12.投标文件组成及编制</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12.1投标文件分为资格审查、商务文件、技术文件和服务文件。</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 电子投标文件的编制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12.2.1.2电子投标文件须使用供应商公章的电子签章以及法定代表人的电子签章。若无电子签章，则视为无效投标。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12.2.1.4电子投标文件制作工具在生成加密投标文件时，同时生成非加密投标文件一份。 </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13.投标报价</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13.2 投标人投报多包的，须对每包分别制作投标文件并报价</w:t>
      </w:r>
      <w:r>
        <w:rPr>
          <w:rFonts w:hint="eastAsia" w:asciiTheme="minorEastAsia" w:hAnsiTheme="minorEastAsia" w:eastAsiaTheme="minorEastAsia" w:cstheme="minorEastAsia"/>
          <w:b/>
          <w:color w:val="auto"/>
          <w:spacing w:val="0"/>
          <w:position w:val="0"/>
          <w:sz w:val="24"/>
          <w:highlight w:val="none"/>
        </w:rPr>
        <w:t>。</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13.4 本项目是否接受进口产品按照招标文件第二部分“投标人须知前附表中”中第6项的规定。</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13.6 投标人须严格按照报价明细表规定的内容填写货物单价以及其他事项。</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13.7 投标人对投标报价若有说明应在投标文件中显著处注明。</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除政策性文件规定以外，投标人所报价格在合同实施期间不因市场变化因素而变动。</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13.9 最低报价不能作为中标的保证。</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14.投标有效期</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15.投标内容填写说明</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Theme="minorEastAsia" w:hAnsiTheme="minorEastAsia" w:eastAsiaTheme="minorEastAsia" w:cstheme="minorEastAsia"/>
          <w:b/>
          <w:color w:val="auto"/>
          <w:spacing w:val="0"/>
          <w:position w:val="0"/>
          <w:sz w:val="24"/>
          <w:highlight w:val="none"/>
        </w:rPr>
        <w:t>。</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15.3 开标一览表为在开标仪式上唱标的内容，要求按格式统一填写，不得自行增减内容。</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15.5 投标人必须保证投标文件所提供的全部资料真实可靠，并接受采购代理机构或评标委员会对其中任何资料进一步审查的要求。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23" w:name="_Toc256000007"/>
      <w:bookmarkStart w:id="24" w:name="_Toc13369"/>
      <w:r>
        <w:rPr>
          <w:rFonts w:hint="eastAsia" w:asciiTheme="minorEastAsia" w:hAnsiTheme="minorEastAsia" w:eastAsiaTheme="minorEastAsia" w:cstheme="minorEastAsia"/>
          <w:color w:val="auto"/>
          <w:spacing w:val="0"/>
          <w:position w:val="0"/>
          <w:sz w:val="24"/>
          <w:highlight w:val="none"/>
        </w:rPr>
        <w:t>四、投标保证金</w:t>
      </w:r>
      <w:bookmarkEnd w:id="23"/>
      <w:bookmarkEnd w:id="24"/>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16.投标保证金 </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25" w:name="_Toc5875"/>
      <w:bookmarkStart w:id="26" w:name="_Toc256000008"/>
      <w:r>
        <w:rPr>
          <w:rFonts w:hint="eastAsia" w:asciiTheme="minorEastAsia" w:hAnsiTheme="minorEastAsia" w:eastAsiaTheme="minorEastAsia" w:cstheme="minorEastAsia"/>
          <w:color w:val="auto"/>
          <w:spacing w:val="0"/>
          <w:position w:val="0"/>
          <w:sz w:val="24"/>
          <w:highlight w:val="none"/>
        </w:rPr>
        <w:t>五、投标文件的递交</w:t>
      </w:r>
      <w:bookmarkEnd w:id="25"/>
      <w:bookmarkEnd w:id="26"/>
    </w:p>
    <w:p>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19.投标文件的修改和撤回</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bookmarkStart w:id="27" w:name="EBdea484bda35746a2b5fd314ad05e57a5"/>
      <w:r>
        <w:rPr>
          <w:rFonts w:hint="eastAsia" w:asciiTheme="minorEastAsia" w:hAnsiTheme="minorEastAsia" w:eastAsiaTheme="minorEastAsia" w:cstheme="minorEastAsia"/>
          <w:color w:val="auto"/>
          <w:spacing w:val="0"/>
          <w:position w:val="0"/>
          <w:sz w:val="20"/>
          <w:highlight w:val="none"/>
        </w:rPr>
        <w:t xml:space="preserve"> </w:t>
      </w:r>
      <w:bookmarkEnd w:id="27"/>
      <w:bookmarkStart w:id="28" w:name="EB81ee8525ba154877a375e0453dfebe72"/>
      <w:r>
        <w:rPr>
          <w:rFonts w:hint="eastAsia" w:asciiTheme="minorEastAsia" w:hAnsiTheme="minorEastAsia" w:eastAsiaTheme="minorEastAsia" w:cstheme="minorEastAsia"/>
          <w:color w:val="auto"/>
          <w:spacing w:val="0"/>
          <w:position w:val="0"/>
          <w:sz w:val="20"/>
          <w:highlight w:val="none"/>
        </w:rPr>
        <w:t xml:space="preserve"> </w:t>
      </w:r>
      <w:bookmarkEnd w:id="28"/>
      <w:bookmarkStart w:id="29" w:name="EB59f3b3240a8b4b64960eecad995cd524"/>
      <w:r>
        <w:rPr>
          <w:rFonts w:hint="eastAsia" w:asciiTheme="minorEastAsia" w:hAnsiTheme="minorEastAsia" w:eastAsiaTheme="minorEastAsia" w:cstheme="minorEastAsia"/>
          <w:color w:val="auto"/>
          <w:spacing w:val="0"/>
          <w:position w:val="0"/>
          <w:sz w:val="20"/>
          <w:highlight w:val="none"/>
        </w:rPr>
        <w:t xml:space="preserve"> </w:t>
      </w:r>
      <w:bookmarkEnd w:id="29"/>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0" w:name="_Toc256000009"/>
      <w:bookmarkStart w:id="31" w:name="_Toc13383"/>
      <w:r>
        <w:rPr>
          <w:rFonts w:hint="eastAsia" w:asciiTheme="minorEastAsia" w:hAnsiTheme="minorEastAsia" w:eastAsiaTheme="minorEastAsia" w:cstheme="minorEastAsia"/>
          <w:color w:val="auto"/>
          <w:spacing w:val="0"/>
          <w:position w:val="0"/>
          <w:sz w:val="24"/>
          <w:highlight w:val="none"/>
        </w:rPr>
        <w:t>六、开标</w:t>
      </w:r>
      <w:bookmarkEnd w:id="30"/>
      <w:bookmarkEnd w:id="31"/>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20.开标</w:t>
      </w:r>
    </w:p>
    <w:p>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2" w:name="_Toc256000010"/>
      <w:bookmarkStart w:id="33" w:name="_Toc25139"/>
      <w:r>
        <w:rPr>
          <w:rFonts w:hint="eastAsia" w:asciiTheme="minorEastAsia" w:hAnsiTheme="minorEastAsia" w:eastAsiaTheme="minorEastAsia" w:cstheme="minorEastAsia"/>
          <w:color w:val="auto"/>
          <w:spacing w:val="0"/>
          <w:position w:val="0"/>
          <w:sz w:val="24"/>
          <w:highlight w:val="none"/>
        </w:rPr>
        <w:t>七、评标步骤和要求</w:t>
      </w:r>
      <w:bookmarkEnd w:id="32"/>
      <w:bookmarkEnd w:id="33"/>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21.组建评标委员会</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21.2 参与过本项目的论证专家不得作为评标专家参加评标，采购人不得以专家身份参与评标。</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22、资格审查</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rPr>
        <w:t>22.1公开招标采购项目开标结束后，采购人或者采购代理机构应当依法对投标人的资格进行审查。合格投标人不足3家的，不得评标。</w:t>
      </w:r>
      <w:r>
        <w:rPr>
          <w:rFonts w:hint="eastAsia" w:asciiTheme="minorEastAsia" w:hAnsiTheme="minorEastAsia" w:eastAsiaTheme="minorEastAsia" w:cstheme="minorEastAsia"/>
          <w:color w:val="auto"/>
          <w:spacing w:val="0"/>
          <w:position w:val="0"/>
          <w:sz w:val="24"/>
          <w:highlight w:val="none"/>
          <w:lang w:val="en-US" w:eastAsia="zh-CN"/>
        </w:rPr>
        <w:t>资格审查内容见下表：</w:t>
      </w:r>
    </w:p>
    <w:tbl>
      <w:tblPr>
        <w:tblStyle w:val="37"/>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434"/>
        <w:gridCol w:w="605"/>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评分点</w:t>
            </w:r>
          </w:p>
        </w:tc>
        <w:tc>
          <w:tcPr>
            <w:tcW w:w="643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643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652" w:type="dxa"/>
            <w:vMerge w:val="continue"/>
            <w:tcBorders>
              <w:left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r>
              <w:rPr>
                <w:rStyle w:val="45"/>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45"/>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2" w:type="dxa"/>
            <w:vMerge w:val="continue"/>
            <w:tcBorders>
              <w:left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45"/>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45"/>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pStyle w:val="78"/>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中小企业声明函</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pStyle w:val="78"/>
              <w:keepNext w:val="0"/>
              <w:keepLines w:val="0"/>
              <w:pageBreakBefore w:val="0"/>
              <w:widowControl/>
              <w:kinsoku/>
              <w:wordWrap/>
              <w:overflowPunct/>
              <w:topLinePunct w:val="0"/>
              <w:autoSpaceDE/>
              <w:autoSpaceDN/>
              <w:bidi w:val="0"/>
              <w:adjustRightInd/>
              <w:snapToGrid/>
              <w:spacing w:line="440" w:lineRule="exact"/>
              <w:ind w:firstLine="0" w:firstLineChars="0"/>
              <w:rPr>
                <w:rFonts w:hint="default"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本项目专门面向</w:t>
            </w:r>
            <w:r>
              <w:rPr>
                <w:rFonts w:hint="eastAsia" w:cs="宋体"/>
                <w:color w:val="auto"/>
                <w:spacing w:val="0"/>
                <w:position w:val="0"/>
                <w:sz w:val="24"/>
                <w:szCs w:val="24"/>
                <w:highlight w:val="none"/>
                <w:lang w:val="en-US" w:eastAsia="zh-CN"/>
              </w:rPr>
              <w:t>小微</w:t>
            </w:r>
            <w:r>
              <w:rPr>
                <w:rFonts w:hint="eastAsia" w:ascii="宋体" w:hAnsi="宋体" w:eastAsia="宋体" w:cs="宋体"/>
                <w:color w:val="auto"/>
                <w:spacing w:val="0"/>
                <w:position w:val="0"/>
                <w:sz w:val="24"/>
                <w:szCs w:val="24"/>
                <w:highlight w:val="none"/>
                <w:lang w:eastAsia="zh-CN"/>
              </w:rPr>
              <w:t>企业，</w:t>
            </w:r>
            <w:r>
              <w:rPr>
                <w:rFonts w:hint="eastAsia" w:ascii="宋体" w:hAnsi="宋体" w:eastAsia="宋体" w:cs="宋体"/>
                <w:color w:val="auto"/>
                <w:spacing w:val="0"/>
                <w:position w:val="0"/>
                <w:sz w:val="24"/>
                <w:szCs w:val="24"/>
                <w:highlight w:val="none"/>
                <w:lang w:val="en-US" w:eastAsia="zh-CN" w:bidi="ar-SA"/>
              </w:rPr>
              <w:t>请根据要求单独上传《中小企业声明函》。格式以采购文件要求为准。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pStyle w:val="78"/>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投标保证金</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pStyle w:val="78"/>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供应商是否按要求提交投标保证金</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5"/>
                <w:rFonts w:hint="eastAsia" w:ascii="宋体" w:hAnsi="宋体" w:eastAsia="宋体" w:cs="宋体"/>
                <w:b w:val="0"/>
                <w:bCs/>
                <w:i w:val="0"/>
                <w:caps w:val="0"/>
                <w:color w:val="auto"/>
                <w:spacing w:val="0"/>
                <w:w w:val="100"/>
                <w:position w:val="0"/>
                <w:sz w:val="24"/>
                <w:szCs w:val="24"/>
                <w:highlight w:val="none"/>
                <w:lang w:bidi="ar-SA"/>
              </w:rPr>
            </w:pPr>
          </w:p>
        </w:tc>
      </w:tr>
    </w:tbl>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23.初步评审</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23.2 评标委员会审查投标文件是否实质上响应招标文件的要求。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1）实质上响应的投标是指与招标文件上的条款、条件和规格相符，没有重大偏离或保留，否则将视为无效投标。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A、招标文件第二部分“投标人须知前附表”第6条“投标文件组成”部分中，带“☆”号部分的证明文件不全或无效的；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B、投标文件未按招标文件的规定签章的；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C、未按投标文件份数要求提交投标文件的；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D、招标文件带“☆”号部分任意一款不满足要求的；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E、报价超过项目预算或经评标委员会认定低于成本的；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F、投标有效期不足的；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G、联合体投标文件未附联合体投标协议书的；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H、不符合招标文件中有关分包规定的；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I、有串通投标或弄虚作假或有其他违法行为的；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J、投标人递交的电子投标文件无法满足正常开标、评标使用功能的；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K、投标人名称或组织结构与报名时不一致且无有效变更证明的；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L、不符合招标文件中规定的其他实质性要求。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23.4 初步评审中，对明显的文字和计算错误按下述原则处理，若出现相互矛盾之处，应以排列在先的原则为准优先处理：        </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1）投标文件中的开标一览表与明细表内容不一致的，以开标一览表为准。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2）如果以文字表示的数据与数字表示的有差别，以文字为准修正数字。如果大写金额和小写金额不一致的，以大写金额为准；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4）调整后的数据对投标人具有约束力，投标人不同意以上修正，其投标将被拒绝。</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23.5 评标委员会对投标文件的判定，只依据投标文件内容本身，不依据其他外来证明。</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24.投标的澄清</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25.详细评审</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26.确定中标人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26.2 评标委员会根据评审结果及招标文件的规定确定中标人。</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27.评标过程要求</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27.1 开标之后，直到签订合同止，凡是属于审查、澄清、评价和比较投标的有关资料以及定标意向等，均不向投标人或者其他与评标无关的人员透露。</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 电子招投标的应急措施</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27.3.1 电子开标、评标如出现下列原因，导致系统无法正常运行或无法正常评标时，应采取应急措施。</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（1）系统服务器发生故障，无法访问或无法使用系统；</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（2）系统的软件或数据库出现错误，不能进行正常操作；</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（3）系统发现有安全漏洞，有潜在的泄密危险；</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（4）病毒发作或受到外来病毒的攻击；</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（5）出现其他不可抗拒的客观原因造成开评标系统无法正常使用。</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出现上述情况时，应对未开标的暂停开标。已在系统内开标、评标的立即停止。采取应急措施时，必须对原有资料及信息作出妥善保密处理。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28.投标人瑕疵滞后发现的处理规则</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29.采购项目废标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29.1 在评标过程中，评标委员会发现有下列情形之一的，应对采购项目予以废标：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1）符合专业条件的供应商或者对招标文件作实质响应的供应商数量不足，导致进入详细评审、打分阶段的供应商不足3家的； </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2）投标人的报价均超过了采购预算；</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3）出现影响采购公正的违法、违规行为的；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4）因重大变故，采购任务取消的。</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除前款第四项规定的情形外，项目废标后，如未变更采购方式，采购代理机构将依法重新组织招标。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供应商应当按照采购文件的变动情况和评标委员会的要求重新提交</w:t>
      </w:r>
      <w:r>
        <w:rPr>
          <w:rFonts w:hint="eastAsia" w:asciiTheme="minorEastAsia" w:hAnsiTheme="minorEastAsia" w:eastAsiaTheme="minorEastAsia" w:cstheme="minorEastAsia"/>
          <w:color w:val="auto"/>
          <w:spacing w:val="0"/>
          <w:position w:val="0"/>
          <w:sz w:val="24"/>
          <w:highlight w:val="none"/>
          <w:lang w:eastAsia="zh-CN"/>
        </w:rPr>
        <w:t>投标文件</w:t>
      </w:r>
      <w:r>
        <w:rPr>
          <w:rFonts w:hint="eastAsia" w:asciiTheme="minorEastAsia" w:hAnsiTheme="minorEastAsia" w:eastAsiaTheme="minorEastAsia" w:cstheme="minorEastAsia"/>
          <w:color w:val="auto"/>
          <w:spacing w:val="0"/>
          <w:position w:val="0"/>
          <w:sz w:val="24"/>
          <w:highlight w:val="none"/>
        </w:rPr>
        <w:t>，并由其法定代表人或授权代表签字或者加盖公章。</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29.2.4 在谈判内容不作实质性变更及重大调整的前提下，供应商次轮报价不得高于上一轮报价，否则将视为重大偏离并导致报价被拒绝。</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4" w:name="_Toc256000011"/>
      <w:bookmarkStart w:id="35" w:name="_Toc871"/>
      <w:r>
        <w:rPr>
          <w:rFonts w:hint="eastAsia" w:asciiTheme="minorEastAsia" w:hAnsiTheme="minorEastAsia" w:eastAsiaTheme="minorEastAsia" w:cstheme="minorEastAsia"/>
          <w:color w:val="auto"/>
          <w:spacing w:val="0"/>
          <w:position w:val="0"/>
          <w:sz w:val="24"/>
          <w:highlight w:val="none"/>
        </w:rPr>
        <w:t>八、履约保证金</w:t>
      </w:r>
      <w:bookmarkEnd w:id="34"/>
      <w:bookmarkEnd w:id="35"/>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30.履约保证金</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30.1 履约保证金按照招标文件第二部分“投标人须知前附表”中第21项规定，在签订合同前交纳。</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30.2 中标人在中标公告发布后及时足额交纳履约保证金。</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6" w:name="_Toc10446"/>
      <w:bookmarkStart w:id="37" w:name="_Toc256000012"/>
      <w:r>
        <w:rPr>
          <w:rFonts w:hint="eastAsia" w:asciiTheme="minorEastAsia" w:hAnsiTheme="minorEastAsia" w:eastAsiaTheme="minorEastAsia" w:cstheme="minorEastAsia"/>
          <w:color w:val="auto"/>
          <w:spacing w:val="0"/>
          <w:position w:val="0"/>
          <w:sz w:val="24"/>
          <w:highlight w:val="none"/>
        </w:rPr>
        <w:t>九、代理服务费、公证费</w:t>
      </w:r>
      <w:bookmarkEnd w:id="36"/>
      <w:bookmarkEnd w:id="37"/>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31.代理服务费、公证费</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31.1 代理服务费、公证费按照招标文件第二部分“投标人须知前附表”中的规定由中标人交纳，请投标人在测算投标报价时充分考虑这一因素。</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8" w:name="_Toc256000013"/>
      <w:bookmarkStart w:id="39" w:name="_Toc16321"/>
      <w:r>
        <w:rPr>
          <w:rFonts w:hint="eastAsia" w:asciiTheme="minorEastAsia" w:hAnsiTheme="minorEastAsia" w:eastAsiaTheme="minorEastAsia" w:cstheme="minorEastAsia"/>
          <w:color w:val="auto"/>
          <w:spacing w:val="0"/>
          <w:position w:val="0"/>
          <w:sz w:val="24"/>
          <w:highlight w:val="none"/>
        </w:rPr>
        <w:t>十、签订、审核合同</w:t>
      </w:r>
      <w:bookmarkEnd w:id="38"/>
      <w:bookmarkEnd w:id="39"/>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32.中标通知</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32.2 采购代理机构对未中标的投标人不作未中标原因的解释，但中标结果的有效性不以未中标的投标人是否收到相应的通知为前提。</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32.3 中标通知书是合同的组成部分。</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33.签订合同</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中标人须在中标通知书发出之日起</w:t>
      </w:r>
      <w:r>
        <w:rPr>
          <w:rFonts w:hint="eastAsia" w:asciiTheme="minorEastAsia" w:hAnsiTheme="minorEastAsia" w:eastAsiaTheme="minorEastAsia" w:cstheme="minorEastAsia"/>
          <w:color w:val="auto"/>
          <w:spacing w:val="0"/>
          <w:position w:val="0"/>
          <w:sz w:val="24"/>
          <w:highlight w:val="none"/>
          <w:lang w:val="en-US" w:eastAsia="zh-CN"/>
        </w:rPr>
        <w:t>30</w:t>
      </w:r>
      <w:r>
        <w:rPr>
          <w:rFonts w:hint="eastAsia" w:asciiTheme="minorEastAsia" w:hAnsiTheme="minorEastAsia" w:eastAsiaTheme="minorEastAsia" w:cstheme="minorEastAsia"/>
          <w:color w:val="auto"/>
          <w:spacing w:val="0"/>
          <w:position w:val="0"/>
          <w:sz w:val="24"/>
          <w:highlight w:val="none"/>
        </w:rPr>
        <w:t>日内与采购人签订采购合同。</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中标人一旦中标及签订合同后，不得转包，亦不得将合同全部及任何权利、义务向第三方转让。</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33.6 违反32.1条、32.2条的规定，给对方造成损失的，应承担赔偿责任。</w:t>
      </w:r>
    </w:p>
    <w:p>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40" w:name="_Toc16099"/>
      <w:bookmarkStart w:id="41" w:name="_Toc256000014"/>
      <w:r>
        <w:rPr>
          <w:rFonts w:hint="eastAsia" w:asciiTheme="minorEastAsia" w:hAnsiTheme="minorEastAsia" w:eastAsiaTheme="minorEastAsia" w:cstheme="minorEastAsia"/>
          <w:color w:val="auto"/>
          <w:spacing w:val="0"/>
          <w:position w:val="0"/>
          <w:sz w:val="24"/>
          <w:highlight w:val="none"/>
        </w:rPr>
        <w:t>十一、处罚、询问和质疑</w:t>
      </w:r>
      <w:bookmarkEnd w:id="40"/>
      <w:bookmarkEnd w:id="41"/>
      <w:r>
        <w:rPr>
          <w:rFonts w:hint="eastAsia" w:asciiTheme="minorEastAsia" w:hAnsiTheme="minorEastAsia" w:eastAsiaTheme="minorEastAsia" w:cstheme="minorEastAsia"/>
          <w:color w:val="auto"/>
          <w:spacing w:val="0"/>
          <w:position w:val="0"/>
          <w:sz w:val="24"/>
          <w:highlight w:val="none"/>
        </w:rPr>
        <w:t xml:space="preserve"> </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35.处罚</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35.1 发生下列情况之一，投标人的保证金不予退还；情节严重的将其列入不良记录名单。</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1）开标后在投标有效期内，投标人撤回其投标；</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2）中标后无正当理由不与采购人签订合同的；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3）中标人与采购人订立背离合同实质性内容的其他协议；</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4）将中标项目转让给他人，或者在投标文件中未说明，且未经采购代理机构同意，将中标项目分包给他人的；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5）存在串通投标行为的；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6）存在弄虚作假或提供虚假材料谋取中标的；</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7）投标人其他未按招标文件规定和合同约定履行义务的行为。</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36.询问</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36.1 投标人对采购事项有疑问的，可以向采购人或采购代理机构提出询问。</w:t>
      </w:r>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37.投标人有权就招标事宜提出质疑</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37.7 质疑人对答复不满意以及采购代理机构未在规定的时间内作出答复的，可以在答复期满后15个工作日内向财政部门投拆。</w:t>
      </w:r>
    </w:p>
    <w:p>
      <w:pPr>
        <w:pStyle w:val="3"/>
        <w:pageBreakBefore w:val="0"/>
        <w:numPr>
          <w:ilvl w:val="0"/>
          <w:numId w:val="0"/>
        </w:numP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42" w:name="_Toc10562"/>
      <w:bookmarkStart w:id="43" w:name="_Toc256000015"/>
      <w:r>
        <w:rPr>
          <w:rFonts w:hint="eastAsia" w:asciiTheme="minorEastAsia" w:hAnsiTheme="minorEastAsia" w:eastAsiaTheme="minorEastAsia" w:cstheme="minorEastAsia"/>
          <w:color w:val="auto"/>
          <w:spacing w:val="0"/>
          <w:position w:val="0"/>
          <w:sz w:val="24"/>
          <w:highlight w:val="none"/>
        </w:rPr>
        <w:t>十二、保密和披露</w:t>
      </w:r>
      <w:bookmarkEnd w:id="42"/>
      <w:bookmarkEnd w:id="43"/>
    </w:p>
    <w:p>
      <w:pPr>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38.保密和披露</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38.2 采购代理机构有权将投标人提供的所有资料向有关政府部门或评审标书的有关人员披露。</w:t>
      </w:r>
    </w:p>
    <w:p>
      <w:pPr>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0"/>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color w:val="auto"/>
          <w:spacing w:val="0"/>
          <w:position w:val="0"/>
          <w:highlight w:val="none"/>
        </w:rPr>
        <w:br w:type="page"/>
      </w:r>
      <w:bookmarkStart w:id="44" w:name="_Toc480368413"/>
      <w:bookmarkStart w:id="45" w:name="_Toc22471"/>
      <w:r>
        <w:rPr>
          <w:rFonts w:hint="eastAsia" w:asciiTheme="minorEastAsia" w:hAnsiTheme="minorEastAsia" w:eastAsiaTheme="minorEastAsia" w:cstheme="minorEastAsia"/>
          <w:b/>
          <w:color w:val="auto"/>
          <w:spacing w:val="0"/>
          <w:position w:val="0"/>
          <w:sz w:val="36"/>
          <w:highlight w:val="none"/>
        </w:rPr>
        <w:t>第三部分   项目</w:t>
      </w:r>
      <w:bookmarkEnd w:id="44"/>
      <w:r>
        <w:rPr>
          <w:rFonts w:hint="eastAsia" w:asciiTheme="minorEastAsia" w:hAnsiTheme="minorEastAsia" w:eastAsiaTheme="minorEastAsia" w:cstheme="minorEastAsia"/>
          <w:b/>
          <w:color w:val="auto"/>
          <w:spacing w:val="0"/>
          <w:position w:val="0"/>
          <w:sz w:val="36"/>
          <w:highlight w:val="none"/>
        </w:rPr>
        <w:t>说明</w:t>
      </w:r>
      <w:bookmarkEnd w:id="45"/>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一、项目名称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“你好乌鲁木齐”图文短视频大赛项目</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二、活动主题</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本次活动鼓励参赛者通过自己的镜头，向世界展示乌鲁木齐的多元文化、自然风光、城市发展和居民生活等多样风貌。打造“你好乌鲁木齐”图文短视频大赛视觉盛宴、形成品牌效应、树立城市名片。</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三、活动时间</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2024年4月至2025年3月，其中季赛时间分别为：2024年4月至6月、7月至9月、10月至12月、2025年1月至3月。（具体以合同实际签订日期为准）</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每季度展播期：每次季赛的最后一个月</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集中展播期：2025年3月</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专家评审期：2025年3月</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四、活动需求</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1. </w:t>
      </w:r>
      <w:r>
        <w:rPr>
          <w:rFonts w:hint="eastAsia" w:asciiTheme="minorEastAsia" w:hAnsiTheme="minorEastAsia" w:eastAsiaTheme="minorEastAsia" w:cstheme="minorEastAsia"/>
          <w:b/>
          <w:bCs/>
          <w:color w:val="auto"/>
          <w:kern w:val="2"/>
          <w:sz w:val="24"/>
          <w:szCs w:val="24"/>
          <w:highlight w:val="none"/>
          <w:lang w:val="en-US" w:eastAsia="zh-CN" w:bidi="ar-SA"/>
        </w:rPr>
        <w:t>活动仪式：</w:t>
      </w:r>
      <w:r>
        <w:rPr>
          <w:rFonts w:hint="eastAsia" w:asciiTheme="minorEastAsia" w:hAnsiTheme="minorEastAsia" w:eastAsiaTheme="minorEastAsia" w:cstheme="minorEastAsia"/>
          <w:b w:val="0"/>
          <w:bCs w:val="0"/>
          <w:color w:val="auto"/>
          <w:kern w:val="2"/>
          <w:sz w:val="24"/>
          <w:szCs w:val="24"/>
          <w:highlight w:val="none"/>
          <w:lang w:val="en-US" w:eastAsia="zh-CN" w:bidi="ar-SA"/>
        </w:rPr>
        <w:t>举办“你好乌鲁木齐”图文短视频大赛2023年颁奖暨2024年启动仪式，邀请媒体、网络名人参加，做好线上线下宣传；本次活动获奖作品评选结束后的15天内，举办“你好乌鲁木齐”图文短视频大赛颁奖典礼；仪式的策划案在投标时附于相关材料内。</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2. </w:t>
      </w:r>
      <w:r>
        <w:rPr>
          <w:rFonts w:hint="eastAsia" w:asciiTheme="minorEastAsia" w:hAnsiTheme="minorEastAsia" w:eastAsiaTheme="minorEastAsia" w:cstheme="minorEastAsia"/>
          <w:b/>
          <w:bCs/>
          <w:color w:val="auto"/>
          <w:kern w:val="2"/>
          <w:sz w:val="24"/>
          <w:szCs w:val="24"/>
          <w:highlight w:val="none"/>
          <w:lang w:val="en-US" w:eastAsia="zh-CN" w:bidi="ar-SA"/>
        </w:rPr>
        <w:t>赛事策划：</w:t>
      </w:r>
      <w:r>
        <w:rPr>
          <w:rFonts w:hint="eastAsia" w:asciiTheme="minorEastAsia" w:hAnsiTheme="minorEastAsia" w:eastAsiaTheme="minorEastAsia" w:cstheme="minorEastAsia"/>
          <w:b w:val="0"/>
          <w:bCs w:val="0"/>
          <w:color w:val="auto"/>
          <w:kern w:val="2"/>
          <w:sz w:val="24"/>
          <w:szCs w:val="24"/>
          <w:highlight w:val="none"/>
          <w:lang w:val="en-US" w:eastAsia="zh-CN" w:bidi="ar-SA"/>
        </w:rPr>
        <w:t>设计符合“你好乌鲁木齐”品牌形象的大赛主题，包括但不限于城市风光、民俗文化、市民生活、经济发展等多元视角。制定完整且具有吸引力的大赛章程，包括参赛作品类别、规格、版权限定、参赛方式、日程安排等。</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3. </w:t>
      </w:r>
      <w:r>
        <w:rPr>
          <w:rFonts w:hint="eastAsia" w:asciiTheme="minorEastAsia" w:hAnsiTheme="minorEastAsia" w:eastAsiaTheme="minorEastAsia" w:cstheme="minorEastAsia"/>
          <w:b/>
          <w:bCs/>
          <w:color w:val="auto"/>
          <w:kern w:val="2"/>
          <w:sz w:val="24"/>
          <w:szCs w:val="24"/>
          <w:highlight w:val="none"/>
          <w:lang w:val="en-US" w:eastAsia="zh-CN" w:bidi="ar-SA"/>
        </w:rPr>
        <w:t>赛程及作品展播：</w:t>
      </w:r>
      <w:r>
        <w:rPr>
          <w:rFonts w:hint="eastAsia" w:asciiTheme="minorEastAsia" w:hAnsiTheme="minorEastAsia" w:eastAsiaTheme="minorEastAsia" w:cstheme="minorEastAsia"/>
          <w:b w:val="0"/>
          <w:bCs w:val="0"/>
          <w:color w:val="auto"/>
          <w:kern w:val="2"/>
          <w:sz w:val="24"/>
          <w:szCs w:val="24"/>
          <w:highlight w:val="none"/>
          <w:lang w:val="en-US" w:eastAsia="zh-CN" w:bidi="ar-SA"/>
        </w:rPr>
        <w:t>每季度举行一次季赛，评委会在最近三个月产生的作品中，从</w:t>
      </w:r>
      <w:r>
        <w:rPr>
          <w:rFonts w:hint="eastAsia" w:asciiTheme="minorEastAsia" w:hAnsiTheme="minorEastAsia" w:eastAsiaTheme="minorEastAsia" w:cstheme="minorEastAsia"/>
          <w:b w:val="0"/>
          <w:bCs w:val="0"/>
          <w:sz w:val="24"/>
          <w:szCs w:val="24"/>
          <w:highlight w:val="none"/>
          <w:lang w:val="en-US" w:eastAsia="zh-CN"/>
        </w:rPr>
        <w:t>点击量、点赞量、转发量等量化指标，依据思想性、创新性、艺术性、认可度等方面</w:t>
      </w:r>
      <w:r>
        <w:rPr>
          <w:rFonts w:hint="eastAsia" w:asciiTheme="minorEastAsia" w:hAnsiTheme="minorEastAsia" w:eastAsiaTheme="minorEastAsia" w:cstheme="minorEastAsia"/>
          <w:b w:val="0"/>
          <w:bCs w:val="0"/>
          <w:color w:val="auto"/>
          <w:kern w:val="2"/>
          <w:sz w:val="24"/>
          <w:szCs w:val="24"/>
          <w:highlight w:val="none"/>
          <w:lang w:val="en-US" w:eastAsia="zh-CN" w:bidi="ar-SA"/>
        </w:rPr>
        <w:t>评选出10部摄影作品，20部摄像作品作为季度优秀获奖作品，并在赛事专题页面及抖音“Hello乌鲁木齐”账号进行展示，累计获奖作品共计124部；在活动最后一个月举行决赛，评委会在所有季度一等奖作品中，从</w:t>
      </w:r>
      <w:r>
        <w:rPr>
          <w:rFonts w:hint="eastAsia" w:asciiTheme="minorEastAsia" w:hAnsiTheme="minorEastAsia" w:eastAsiaTheme="minorEastAsia" w:cstheme="minorEastAsia"/>
          <w:b w:val="0"/>
          <w:bCs w:val="0"/>
          <w:sz w:val="24"/>
          <w:szCs w:val="24"/>
          <w:highlight w:val="none"/>
          <w:lang w:val="en-US" w:eastAsia="zh-CN"/>
        </w:rPr>
        <w:t>点击量、点赞量、转发量等量化指标，依据国际传播效果、作品故事性、拍摄及剪辑技巧、立意等方面</w:t>
      </w:r>
      <w:r>
        <w:rPr>
          <w:rFonts w:hint="eastAsia" w:asciiTheme="minorEastAsia" w:hAnsiTheme="minorEastAsia" w:eastAsiaTheme="minorEastAsia" w:cstheme="minorEastAsia"/>
          <w:b w:val="0"/>
          <w:bCs w:val="0"/>
          <w:color w:val="auto"/>
          <w:kern w:val="2"/>
          <w:sz w:val="24"/>
          <w:szCs w:val="24"/>
          <w:highlight w:val="none"/>
          <w:lang w:val="en-US" w:eastAsia="zh-CN" w:bidi="ar-SA"/>
        </w:rPr>
        <w:t>评选出1部摄影作品，2部摄像作品作为年度优秀奖作品，并在赛事专题页面及抖音“Hello乌鲁木齐”账号进行展示。</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4. </w:t>
      </w:r>
      <w:r>
        <w:rPr>
          <w:rFonts w:hint="eastAsia" w:asciiTheme="minorEastAsia" w:hAnsiTheme="minorEastAsia" w:eastAsiaTheme="minorEastAsia" w:cstheme="minorEastAsia"/>
          <w:b/>
          <w:bCs/>
          <w:color w:val="auto"/>
          <w:kern w:val="2"/>
          <w:sz w:val="24"/>
          <w:szCs w:val="24"/>
          <w:highlight w:val="none"/>
          <w:lang w:val="en-US" w:eastAsia="zh-CN" w:bidi="ar-SA"/>
        </w:rPr>
        <w:t>作品要求：</w:t>
      </w:r>
      <w:r>
        <w:rPr>
          <w:rFonts w:hint="eastAsia" w:asciiTheme="minorEastAsia" w:hAnsiTheme="minorEastAsia" w:eastAsiaTheme="minorEastAsia" w:cstheme="minorEastAsia"/>
          <w:b w:val="0"/>
          <w:bCs w:val="0"/>
          <w:color w:val="auto"/>
          <w:kern w:val="2"/>
          <w:sz w:val="24"/>
          <w:szCs w:val="24"/>
          <w:highlight w:val="none"/>
          <w:lang w:val="en-US" w:eastAsia="zh-CN" w:bidi="ar-SA"/>
        </w:rPr>
        <w:t>作品要求为原创图文短视频作品，内容健康向上，符合社会主义核心价值观。作品需充分展现乌鲁木齐特色和魅力，具有较高艺术性和观赏性，内容侧重于人物、风景、故事相结合。故事性强，真人真事作品优先考虑。图文短视频作品分辨率不小于1920*1080，摄影作品时长不超过5分钟，不少于30秒，可根据作品质量适度放宽限制。</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w:t>
      </w:r>
      <w:r>
        <w:rPr>
          <w:rFonts w:hint="eastAsia" w:asciiTheme="minorEastAsia" w:hAnsiTheme="minorEastAsia" w:eastAsiaTheme="minorEastAsia" w:cstheme="minorEastAsia"/>
          <w:b/>
          <w:bCs/>
          <w:color w:val="auto"/>
          <w:kern w:val="2"/>
          <w:sz w:val="24"/>
          <w:szCs w:val="24"/>
          <w:highlight w:val="none"/>
          <w:lang w:val="en-US" w:eastAsia="zh-CN" w:bidi="ar-SA"/>
        </w:rPr>
        <w:t xml:space="preserve"> 作品征集：</w:t>
      </w:r>
      <w:r>
        <w:rPr>
          <w:rFonts w:hint="eastAsia" w:asciiTheme="minorEastAsia" w:hAnsiTheme="minorEastAsia" w:eastAsiaTheme="minorEastAsia" w:cstheme="minorEastAsia"/>
          <w:b w:val="0"/>
          <w:bCs w:val="0"/>
          <w:color w:val="auto"/>
          <w:kern w:val="2"/>
          <w:sz w:val="24"/>
          <w:szCs w:val="24"/>
          <w:highlight w:val="none"/>
          <w:lang w:val="en-US" w:eastAsia="zh-CN" w:bidi="ar-SA"/>
        </w:rPr>
        <w:t>做好活动全程作品征集、筛选工作。方式包括但不限于：在</w:t>
      </w:r>
      <w:r>
        <w:rPr>
          <w:rFonts w:hint="eastAsia" w:asciiTheme="minorEastAsia" w:hAnsiTheme="minorEastAsia" w:eastAsiaTheme="minorEastAsia" w:cstheme="minorEastAsia"/>
          <w:b w:val="0"/>
          <w:bCs w:val="0"/>
          <w:sz w:val="24"/>
          <w:szCs w:val="24"/>
          <w:lang w:val="en-US" w:eastAsia="zh-CN"/>
        </w:rPr>
        <w:t>今日头条、抖音、快手、新浪微博、小红书、哔哩哔哩、微信视频号等平台开设“你好乌鲁木齐”主话题，</w:t>
      </w:r>
      <w:r>
        <w:rPr>
          <w:rFonts w:hint="eastAsia" w:asciiTheme="minorEastAsia" w:hAnsiTheme="minorEastAsia" w:eastAsiaTheme="minorEastAsia" w:cstheme="minorEastAsia"/>
          <w:b w:val="0"/>
          <w:bCs w:val="0"/>
          <w:color w:val="auto"/>
          <w:w w:val="100"/>
          <w:sz w:val="24"/>
          <w:szCs w:val="24"/>
          <w:highlight w:val="none"/>
          <w:lang w:val="en-US" w:eastAsia="zh-CN"/>
        </w:rPr>
        <w:t>发布活动信息，通过带话题发布视频的方式参与活动</w:t>
      </w:r>
      <w:r>
        <w:rPr>
          <w:rFonts w:hint="eastAsia" w:asciiTheme="minorEastAsia" w:hAnsiTheme="minorEastAsia" w:eastAsiaTheme="minorEastAsia" w:cstheme="minorEastAsia"/>
          <w:b w:val="0"/>
          <w:bCs w:val="0"/>
          <w:color w:val="auto"/>
          <w:kern w:val="2"/>
          <w:sz w:val="24"/>
          <w:szCs w:val="24"/>
          <w:highlight w:val="none"/>
          <w:lang w:val="en-US" w:eastAsia="zh-CN" w:bidi="ar-SA"/>
        </w:rPr>
        <w:t>；注册活动投稿专用邮箱及报名表，通过邮箱投稿代发的方式参与活动。活动期间征集作品不少于50万部。</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val="0"/>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6. </w:t>
      </w:r>
      <w:r>
        <w:rPr>
          <w:rFonts w:hint="eastAsia" w:asciiTheme="minorEastAsia" w:hAnsiTheme="minorEastAsia" w:eastAsiaTheme="minorEastAsia" w:cstheme="minorEastAsia"/>
          <w:b/>
          <w:bCs/>
          <w:color w:val="auto"/>
          <w:kern w:val="2"/>
          <w:sz w:val="24"/>
          <w:szCs w:val="24"/>
          <w:highlight w:val="none"/>
          <w:lang w:val="en-US" w:eastAsia="zh-CN" w:bidi="ar-SA"/>
        </w:rPr>
        <w:t>作品来源：一是</w:t>
      </w:r>
      <w:r>
        <w:rPr>
          <w:rFonts w:hint="eastAsia" w:asciiTheme="minorEastAsia" w:hAnsiTheme="minorEastAsia" w:eastAsiaTheme="minorEastAsia" w:cstheme="minorEastAsia"/>
          <w:b w:val="0"/>
          <w:bCs w:val="0"/>
          <w:color w:val="auto"/>
          <w:kern w:val="2"/>
          <w:sz w:val="24"/>
          <w:szCs w:val="24"/>
          <w:highlight w:val="none"/>
          <w:lang w:val="en-US" w:eastAsia="zh-CN" w:bidi="ar-SA"/>
        </w:rPr>
        <w:t>通过奖项设置及赛事宣传鼓励各方力量积极参与到大赛中。</w:t>
      </w:r>
      <w:r>
        <w:rPr>
          <w:rFonts w:hint="eastAsia" w:asciiTheme="minorEastAsia" w:hAnsiTheme="minorEastAsia" w:eastAsiaTheme="minorEastAsia" w:cstheme="minorEastAsia"/>
          <w:b/>
          <w:bCs/>
          <w:color w:val="auto"/>
          <w:kern w:val="2"/>
          <w:sz w:val="24"/>
          <w:szCs w:val="24"/>
          <w:highlight w:val="none"/>
          <w:lang w:val="en-US" w:eastAsia="zh-CN" w:bidi="ar-SA"/>
        </w:rPr>
        <w:t>二是</w:t>
      </w:r>
      <w:r>
        <w:rPr>
          <w:rFonts w:hint="eastAsia" w:asciiTheme="minorEastAsia" w:hAnsiTheme="minorEastAsia" w:eastAsiaTheme="minorEastAsia" w:cstheme="minorEastAsia"/>
          <w:b w:val="0"/>
          <w:bCs w:val="0"/>
          <w:color w:val="auto"/>
          <w:kern w:val="2"/>
          <w:sz w:val="24"/>
          <w:szCs w:val="24"/>
          <w:highlight w:val="none"/>
          <w:lang w:val="en-US" w:eastAsia="zh-CN" w:bidi="ar-SA"/>
        </w:rPr>
        <w:t>通过专业制作机构制作不少于24部有内容，有主题，有故事的优秀图文短视频作品，保证参赛作品质量。</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7. </w:t>
      </w:r>
      <w:r>
        <w:rPr>
          <w:rFonts w:hint="eastAsia" w:asciiTheme="minorEastAsia" w:hAnsiTheme="minorEastAsia" w:eastAsiaTheme="minorEastAsia" w:cstheme="minorEastAsia"/>
          <w:b/>
          <w:bCs/>
          <w:color w:val="auto"/>
          <w:kern w:val="2"/>
          <w:sz w:val="24"/>
          <w:szCs w:val="24"/>
          <w:highlight w:val="none"/>
          <w:lang w:val="en-US" w:eastAsia="zh-CN" w:bidi="ar-SA"/>
        </w:rPr>
        <w:t>奖项及赛程设置：</w:t>
      </w:r>
      <w:r>
        <w:rPr>
          <w:rFonts w:hint="eastAsia" w:asciiTheme="minorEastAsia" w:hAnsiTheme="minorEastAsia" w:eastAsiaTheme="minorEastAsia" w:cstheme="minorEastAsia"/>
          <w:b w:val="0"/>
          <w:bCs w:val="0"/>
          <w:color w:val="auto"/>
          <w:kern w:val="2"/>
          <w:sz w:val="24"/>
          <w:szCs w:val="24"/>
          <w:highlight w:val="none"/>
          <w:lang w:val="en-US" w:eastAsia="zh-CN" w:bidi="ar-SA"/>
        </w:rPr>
        <w:t>设置丰富多样的奖项体系，以鼓励多样化、高品质的作品创作，奖金总数不少于整体预算30%（30万）。通过季赛的方式每季度评选一批优秀作品，在活动结束后从季度获奖作品中集中评选出决赛获奖作品。对本次活动中出现的</w:t>
      </w:r>
      <w:r>
        <w:rPr>
          <w:rFonts w:hint="eastAsia" w:asciiTheme="minorEastAsia" w:hAnsiTheme="minorEastAsia" w:eastAsiaTheme="minorEastAsia" w:cstheme="minorEastAsia"/>
          <w:b w:val="0"/>
          <w:bCs w:val="0"/>
          <w:sz w:val="24"/>
          <w:szCs w:val="24"/>
          <w:highlight w:val="none"/>
          <w:lang w:val="en-US" w:eastAsia="zh-CN"/>
        </w:rPr>
        <w:t>阅读量达到千万以上、立意优秀、制作精美、取得良好国际传播效果的优秀作品设置特别奖，给予5万元奖励（此奖项可空缺）。</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8. </w:t>
      </w:r>
      <w:r>
        <w:rPr>
          <w:rFonts w:hint="eastAsia" w:asciiTheme="minorEastAsia" w:hAnsiTheme="minorEastAsia" w:eastAsiaTheme="minorEastAsia" w:cstheme="minorEastAsia"/>
          <w:b/>
          <w:bCs/>
          <w:sz w:val="24"/>
          <w:szCs w:val="24"/>
          <w:highlight w:val="none"/>
          <w:lang w:val="en-US" w:eastAsia="zh-CN"/>
        </w:rPr>
        <w:t>全媒体推广策略：</w:t>
      </w:r>
      <w:r>
        <w:rPr>
          <w:rFonts w:hint="eastAsia" w:asciiTheme="minorEastAsia" w:hAnsiTheme="minorEastAsia" w:eastAsiaTheme="minorEastAsia" w:cstheme="minorEastAsia"/>
          <w:b w:val="0"/>
          <w:bCs w:val="0"/>
          <w:sz w:val="24"/>
          <w:szCs w:val="24"/>
          <w:highlight w:val="none"/>
          <w:lang w:val="en-US" w:eastAsia="zh-CN"/>
        </w:rPr>
        <w:t>策划并执行有效的线上线下宣传活动，充分利用各大社交媒体平台、视频网站、新闻媒体等渠道进行推广。制定精准的</w:t>
      </w:r>
      <w:r>
        <w:rPr>
          <w:rFonts w:hint="eastAsia" w:asciiTheme="minorEastAsia" w:hAnsiTheme="minorEastAsia" w:eastAsiaTheme="minorEastAsia" w:cstheme="minorEastAsia"/>
          <w:b w:val="0"/>
          <w:bCs w:val="0"/>
          <w:color w:val="auto"/>
          <w:sz w:val="24"/>
          <w:szCs w:val="24"/>
          <w:highlight w:val="none"/>
          <w:lang w:val="en-US" w:eastAsia="zh-CN"/>
        </w:rPr>
        <w:t>全网分发策略，确</w:t>
      </w:r>
      <w:r>
        <w:rPr>
          <w:rFonts w:hint="eastAsia" w:asciiTheme="minorEastAsia" w:hAnsiTheme="minorEastAsia" w:eastAsiaTheme="minorEastAsia" w:cstheme="minorEastAsia"/>
          <w:b w:val="0"/>
          <w:bCs w:val="0"/>
          <w:sz w:val="24"/>
          <w:szCs w:val="24"/>
          <w:highlight w:val="none"/>
          <w:lang w:val="en-US" w:eastAsia="zh-CN"/>
        </w:rPr>
        <w:t>保大赛信息触达潜在参赛者和广大网民，实现“每月一次城市热搜、每周一次同城热搜”，活动总体至少10亿总阅读量。</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9.</w:t>
      </w:r>
      <w:r>
        <w:rPr>
          <w:rFonts w:hint="eastAsia" w:asciiTheme="minorEastAsia" w:hAnsiTheme="minorEastAsia" w:eastAsiaTheme="minorEastAsia" w:cstheme="minorEastAsia"/>
          <w:b/>
          <w:bCs/>
          <w:sz w:val="24"/>
          <w:szCs w:val="24"/>
          <w:highlight w:val="none"/>
          <w:lang w:val="en-US" w:eastAsia="zh-CN"/>
        </w:rPr>
        <w:t xml:space="preserve"> 海外宣传：</w:t>
      </w:r>
      <w:r>
        <w:rPr>
          <w:rFonts w:hint="eastAsia" w:asciiTheme="minorEastAsia" w:hAnsiTheme="minorEastAsia" w:eastAsiaTheme="minorEastAsia" w:cstheme="minorEastAsia"/>
          <w:b w:val="0"/>
          <w:bCs w:val="0"/>
          <w:sz w:val="24"/>
          <w:szCs w:val="24"/>
          <w:highlight w:val="none"/>
          <w:lang w:val="en-US" w:eastAsia="zh-CN"/>
        </w:rPr>
        <w:t>针对海外市场的推广，要求提供一套面向国际观众的推广方案，</w:t>
      </w:r>
      <w:r>
        <w:rPr>
          <w:rFonts w:hint="eastAsia" w:asciiTheme="minorEastAsia" w:hAnsiTheme="minorEastAsia" w:eastAsiaTheme="minorEastAsia" w:cstheme="minorEastAsia"/>
          <w:b w:val="0"/>
          <w:bCs w:val="0"/>
          <w:color w:val="auto"/>
          <w:sz w:val="24"/>
          <w:szCs w:val="24"/>
          <w:highlight w:val="none"/>
          <w:lang w:val="en-US" w:eastAsia="zh-CN"/>
        </w:rPr>
        <w:t>邀请国内外网红参与活动推广，以登上国外媒体新闻、有国外IP参与活动等指标作为国际传播效果参考依据，</w:t>
      </w:r>
      <w:r>
        <w:rPr>
          <w:rFonts w:hint="eastAsia" w:asciiTheme="minorEastAsia" w:hAnsiTheme="minorEastAsia" w:eastAsiaTheme="minorEastAsia" w:cstheme="minorEastAsia"/>
          <w:b w:val="0"/>
          <w:bCs w:val="0"/>
          <w:sz w:val="24"/>
          <w:szCs w:val="24"/>
          <w:highlight w:val="none"/>
          <w:lang w:val="en-US" w:eastAsia="zh-CN"/>
        </w:rPr>
        <w:t>助力活动的国际化</w:t>
      </w:r>
      <w:r>
        <w:rPr>
          <w:rFonts w:hint="eastAsia" w:asciiTheme="minorEastAsia" w:hAnsiTheme="minorEastAsia" w:eastAsiaTheme="minorEastAsia" w:cstheme="minorEastAsia"/>
          <w:b w:val="0"/>
          <w:bCs w:val="0"/>
          <w:color w:val="auto"/>
          <w:sz w:val="24"/>
          <w:szCs w:val="24"/>
          <w:highlight w:val="none"/>
          <w:lang w:val="en-US" w:eastAsia="zh-CN"/>
        </w:rPr>
        <w:t>传播。</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10. </w:t>
      </w:r>
      <w:r>
        <w:rPr>
          <w:rFonts w:hint="eastAsia" w:asciiTheme="minorEastAsia" w:hAnsiTheme="minorEastAsia" w:eastAsiaTheme="minorEastAsia" w:cstheme="minorEastAsia"/>
          <w:b/>
          <w:bCs/>
          <w:sz w:val="24"/>
          <w:szCs w:val="24"/>
          <w:highlight w:val="none"/>
          <w:lang w:val="en-US" w:eastAsia="zh-CN"/>
        </w:rPr>
        <w:t>作品评审及孵化：</w:t>
      </w:r>
      <w:r>
        <w:rPr>
          <w:rFonts w:hint="eastAsia" w:asciiTheme="minorEastAsia" w:hAnsiTheme="minorEastAsia" w:eastAsiaTheme="minorEastAsia" w:cstheme="minorEastAsia"/>
          <w:b w:val="0"/>
          <w:bCs w:val="0"/>
          <w:sz w:val="24"/>
          <w:szCs w:val="24"/>
          <w:highlight w:val="none"/>
          <w:lang w:val="en-US" w:eastAsia="zh-CN"/>
        </w:rPr>
        <w:t>组织权威专家评审团围绕作品传播效果、作品立意、制作水准等方面进行公正、专业的作品评选，同时结合网络投票等方式提高公众参与度。</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11. </w:t>
      </w:r>
      <w:r>
        <w:rPr>
          <w:rFonts w:hint="eastAsia" w:asciiTheme="minorEastAsia" w:hAnsiTheme="minorEastAsia" w:eastAsiaTheme="minorEastAsia" w:cstheme="minorEastAsia"/>
          <w:b/>
          <w:bCs/>
          <w:sz w:val="24"/>
          <w:szCs w:val="24"/>
          <w:highlight w:val="none"/>
          <w:lang w:val="en-US" w:eastAsia="zh-CN"/>
        </w:rPr>
        <w:t>作品推广及宣发：</w:t>
      </w:r>
      <w:r>
        <w:rPr>
          <w:rFonts w:hint="eastAsia" w:asciiTheme="minorEastAsia" w:hAnsiTheme="minorEastAsia" w:eastAsiaTheme="minorEastAsia" w:cstheme="minorEastAsia"/>
          <w:b w:val="0"/>
          <w:bCs w:val="0"/>
          <w:sz w:val="24"/>
          <w:szCs w:val="24"/>
          <w:highlight w:val="none"/>
          <w:lang w:val="en-US" w:eastAsia="zh-CN"/>
        </w:rPr>
        <w:t>对获奖作品进行深度包装和二次传播，争取百万级阅读量作品不少于12部，力争出现千万级阅读量的爆款作品，形成热点话题和舆论焦点</w:t>
      </w:r>
      <w:r>
        <w:rPr>
          <w:rFonts w:hint="eastAsia" w:asciiTheme="minorEastAsia" w:hAnsiTheme="minorEastAsia" w:eastAsiaTheme="minorEastAsia" w:cstheme="minorEastAsia"/>
          <w:b w:val="0"/>
          <w:bCs w:val="0"/>
          <w:color w:val="auto"/>
          <w:w w:val="100"/>
          <w:sz w:val="24"/>
          <w:szCs w:val="24"/>
          <w:highlight w:val="none"/>
          <w:lang w:val="en-US" w:eastAsia="zh-CN"/>
        </w:rPr>
        <w:t>，并在本次活动中发掘出能够参加全国性网络正能量优秀作品评选的优质作品</w:t>
      </w:r>
      <w:r>
        <w:rPr>
          <w:rFonts w:hint="eastAsia" w:asciiTheme="minorEastAsia" w:hAnsiTheme="minorEastAsia" w:eastAsiaTheme="minorEastAsia" w:cstheme="minorEastAsia"/>
          <w:b w:val="0"/>
          <w:bCs w:val="0"/>
          <w:sz w:val="24"/>
          <w:szCs w:val="24"/>
          <w:highlight w:val="none"/>
          <w:lang w:val="en-US" w:eastAsia="zh-CN"/>
        </w:rPr>
        <w:t>。</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12. </w:t>
      </w:r>
      <w:r>
        <w:rPr>
          <w:rFonts w:hint="eastAsia" w:asciiTheme="minorEastAsia" w:hAnsiTheme="minorEastAsia" w:eastAsiaTheme="minorEastAsia" w:cstheme="minorEastAsia"/>
          <w:b/>
          <w:bCs/>
          <w:sz w:val="24"/>
          <w:szCs w:val="24"/>
          <w:highlight w:val="none"/>
          <w:lang w:val="en-US" w:eastAsia="zh-CN"/>
        </w:rPr>
        <w:t>数据跟踪及总结：</w:t>
      </w:r>
      <w:r>
        <w:rPr>
          <w:rFonts w:hint="eastAsia" w:asciiTheme="minorEastAsia" w:hAnsiTheme="minorEastAsia" w:eastAsiaTheme="minorEastAsia" w:cstheme="minorEastAsia"/>
          <w:b w:val="0"/>
          <w:bCs w:val="0"/>
          <w:sz w:val="24"/>
          <w:szCs w:val="24"/>
          <w:highlight w:val="none"/>
          <w:lang w:val="en-US" w:eastAsia="zh-CN"/>
        </w:rPr>
        <w:t>活动开展期间定期形成书面式的活动总结报告，活动结束后提供详细的活动总结报告。报告内容包括但不限于参赛数据统计、传播效果分析、品牌影响力评估等指标。对于优质作品，协助进行长期的展示与推广，持续扩大“你好乌鲁木齐”品牌影响力。</w:t>
      </w:r>
    </w:p>
    <w:p>
      <w:pPr>
        <w:keepNext w:val="0"/>
        <w:keepLines w:val="0"/>
        <w:pageBreakBefore w:val="0"/>
        <w:widowControl w:val="0"/>
        <w:numPr>
          <w:ilvl w:val="0"/>
          <w:numId w:val="0"/>
        </w:numPr>
        <w:pBdr>
          <w:top w:val="none" w:color="000000" w:sz="0" w:space="4"/>
          <w:left w:val="none" w:color="000000" w:sz="0" w:space="0"/>
          <w:bottom w:val="none" w:color="000000" w:sz="0" w:space="16"/>
          <w:right w:val="none" w:color="000000" w:sz="0" w:space="3"/>
        </w:pBdr>
        <w:kinsoku/>
        <w:wordWrap/>
        <w:overflowPunct/>
        <w:topLinePunct w:val="0"/>
        <w:autoSpaceDE/>
        <w:autoSpaceDN w:val="0"/>
        <w:bidi w:val="0"/>
        <w:adjustRightInd/>
        <w:snapToGrid w:val="0"/>
        <w:spacing w:line="440" w:lineRule="exact"/>
        <w:ind w:firstLine="480" w:firstLineChars="200"/>
        <w:contextualSpacing/>
        <w:jc w:val="both"/>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13.</w:t>
      </w:r>
      <w:r>
        <w:rPr>
          <w:rFonts w:hint="eastAsia" w:asciiTheme="minorEastAsia" w:hAnsiTheme="minorEastAsia" w:eastAsiaTheme="minorEastAsia" w:cstheme="minorEastAsia"/>
          <w:b/>
          <w:bCs/>
          <w:sz w:val="24"/>
          <w:szCs w:val="24"/>
          <w:highlight w:val="none"/>
          <w:lang w:val="en-US" w:eastAsia="zh-CN"/>
        </w:rPr>
        <w:t xml:space="preserve"> 预算及基本用途：</w:t>
      </w:r>
      <w:r>
        <w:rPr>
          <w:rFonts w:hint="eastAsia" w:asciiTheme="minorEastAsia" w:hAnsiTheme="minorEastAsia" w:eastAsiaTheme="minorEastAsia" w:cstheme="minorEastAsia"/>
          <w:b w:val="0"/>
          <w:bCs w:val="0"/>
          <w:sz w:val="24"/>
          <w:szCs w:val="24"/>
          <w:highlight w:val="none"/>
          <w:lang w:val="en-US" w:eastAsia="zh-CN"/>
        </w:rPr>
        <w:t>100万预算中，34万用于本次活动奖项设立</w:t>
      </w: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10万用于2023“你好乌鲁木齐”图文短视频大赛颁奖典礼暨2024“你好乌鲁木齐”图文短视频大赛启动仪式、2024年度颁奖典礼（预计于2025年举办）；56万用于通过专业制作机构围绕城市风光、民俗文化、市民生活、经济发展等多元视角制作优秀图文短视频作品并参加活动以及活动相关宣传推广，包括网络平台话题搭建、活动热搜推广、网络名人邀请、专家评审费用、作品展播推广等环节。 </w:t>
      </w:r>
    </w:p>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8"/>
          <w:highlight w:val="none"/>
        </w:rPr>
        <w:cr/>
      </w:r>
    </w:p>
    <w:p>
      <w:pPr>
        <w:pStyle w:val="20"/>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br w:type="page"/>
      </w:r>
      <w:bookmarkStart w:id="46" w:name="_Toc21631"/>
      <w:bookmarkStart w:id="47" w:name="_Toc480368414"/>
      <w:r>
        <w:rPr>
          <w:rFonts w:hint="eastAsia" w:asciiTheme="minorEastAsia" w:hAnsiTheme="minorEastAsia" w:eastAsiaTheme="minorEastAsia" w:cstheme="minorEastAsia"/>
          <w:b/>
          <w:color w:val="auto"/>
          <w:spacing w:val="0"/>
          <w:position w:val="0"/>
          <w:sz w:val="36"/>
          <w:highlight w:val="none"/>
        </w:rPr>
        <w:t>第四部分   评审方法（综合评分法）</w:t>
      </w:r>
      <w:bookmarkEnd w:id="46"/>
      <w:bookmarkEnd w:id="47"/>
    </w:p>
    <w:p>
      <w:pPr>
        <w:keepNext w:val="0"/>
        <w:keepLines w:val="0"/>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kern w:val="0"/>
          <w:position w:val="0"/>
          <w:sz w:val="24"/>
          <w:highlight w:val="none"/>
        </w:rPr>
      </w:pPr>
      <w:bookmarkStart w:id="48" w:name="percentDesc"/>
      <w:bookmarkEnd w:id="48"/>
      <w:r>
        <w:rPr>
          <w:rFonts w:hint="eastAsia" w:asciiTheme="minorEastAsia" w:hAnsiTheme="minorEastAsia" w:eastAsiaTheme="minorEastAsia" w:cstheme="minorEastAsia"/>
          <w:color w:val="auto"/>
          <w:spacing w:val="0"/>
          <w:position w:val="0"/>
          <w:sz w:val="24"/>
          <w:highlight w:val="none"/>
        </w:rPr>
        <w:t>本项目评审方法见招标文件第二部分“投标人须知前附表”中第21项的规定。</w:t>
      </w:r>
      <w:r>
        <w:rPr>
          <w:rFonts w:hint="eastAsia" w:asciiTheme="minorEastAsia" w:hAnsiTheme="minorEastAsia" w:eastAsiaTheme="minorEastAsia" w:cstheme="minorEastAsia"/>
          <w:color w:val="auto"/>
          <w:spacing w:val="0"/>
          <w:kern w:val="0"/>
          <w:position w:val="0"/>
          <w:sz w:val="24"/>
          <w:highlight w:val="none"/>
        </w:rPr>
        <w:t>如果采用综合评分法，评分细则如下：</w:t>
      </w:r>
    </w:p>
    <w:p>
      <w:pPr>
        <w:pStyle w:val="12"/>
        <w:keepNext w:val="0"/>
        <w:keepLines w:val="0"/>
        <w:pageBreakBefore w:val="0"/>
        <w:kinsoku/>
        <w:wordWrap/>
        <w:overflowPunct/>
        <w:topLinePunct w:val="0"/>
        <w:autoSpaceDE/>
        <w:autoSpaceDN/>
        <w:bidi w:val="0"/>
        <w:spacing w:line="440" w:lineRule="exact"/>
        <w:rPr>
          <w:rStyle w:val="45"/>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1、初步评审</w:t>
      </w:r>
    </w:p>
    <w:p>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评审小组根据评审办法前附表规定的评审因素和评审标准，对供应商的投标文件进行符合性检查。符合性检查不合格的供应商的投标文件作无效文件处理。</w:t>
      </w:r>
    </w:p>
    <w:tbl>
      <w:tblPr>
        <w:tblStyle w:val="3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67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79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评分因素</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4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371" w:type="dxa"/>
            <w:gridSpan w:val="2"/>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jc w:val="center"/>
        </w:trPr>
        <w:tc>
          <w:tcPr>
            <w:tcW w:w="1790" w:type="dxa"/>
            <w:gridSpan w:val="2"/>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p>
        </w:tc>
        <w:tc>
          <w:tcPr>
            <w:tcW w:w="54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w:t>
            </w:r>
          </w:p>
        </w:tc>
        <w:tc>
          <w:tcPr>
            <w:tcW w:w="699"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初步评审</w:t>
            </w:r>
          </w:p>
        </w:tc>
        <w:tc>
          <w:tcPr>
            <w:tcW w:w="8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符合性检查</w:t>
            </w:r>
          </w:p>
        </w:tc>
        <w:tc>
          <w:tcPr>
            <w:tcW w:w="1400"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45"/>
                <w:rFonts w:hint="eastAsia" w:ascii="宋体" w:hAnsi="宋体" w:eastAsia="宋体" w:cs="宋体"/>
                <w:b w:val="0"/>
                <w:bCs/>
                <w:i w:val="0"/>
                <w:caps w:val="0"/>
                <w:color w:val="auto"/>
                <w:spacing w:val="0"/>
                <w:w w:val="100"/>
                <w:position w:val="0"/>
                <w:sz w:val="24"/>
                <w:szCs w:val="24"/>
                <w:highlight w:val="none"/>
                <w:lang w:bidi="ar-SA"/>
              </w:rPr>
              <w:t>名称</w:t>
            </w:r>
          </w:p>
        </w:tc>
        <w:tc>
          <w:tcPr>
            <w:tcW w:w="5429"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bidi="ar-SA"/>
              </w:rPr>
              <w:t>是否与营业执照、税务登记证、资质证书一致</w:t>
            </w: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5"/>
                <w:rFonts w:hint="eastAsia" w:ascii="宋体" w:hAnsi="宋体" w:eastAsia="宋体" w:cs="宋体"/>
                <w:b w:val="0"/>
                <w:bCs/>
                <w:i w:val="0"/>
                <w:caps w:val="0"/>
                <w:color w:val="auto"/>
                <w:spacing w:val="0"/>
                <w:w w:val="100"/>
                <w:position w:val="0"/>
                <w:sz w:val="24"/>
                <w:szCs w:val="24"/>
                <w:highlight w:val="none"/>
                <w:lang w:bidi="ar-SA"/>
              </w:rPr>
              <w:t>签章</w:t>
            </w:r>
          </w:p>
        </w:tc>
        <w:tc>
          <w:tcPr>
            <w:tcW w:w="5429"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5"/>
                <w:rFonts w:hint="eastAsia" w:ascii="宋体" w:hAnsi="宋体" w:eastAsia="宋体" w:cs="宋体"/>
                <w:b w:val="0"/>
                <w:bCs/>
                <w:i w:val="0"/>
                <w:caps w:val="0"/>
                <w:color w:val="auto"/>
                <w:spacing w:val="0"/>
                <w:w w:val="100"/>
                <w:position w:val="0"/>
                <w:sz w:val="24"/>
                <w:szCs w:val="24"/>
                <w:highlight w:val="none"/>
                <w:lang w:bidi="ar-SA"/>
              </w:rPr>
              <w:t>是否按照规定在应由企业法人或法人授权代表在所有规定签字处逐一签章及加盖单位公章</w:t>
            </w: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bidi="ar-SA"/>
              </w:rPr>
              <w:t>投标报价</w:t>
            </w:r>
          </w:p>
        </w:tc>
        <w:tc>
          <w:tcPr>
            <w:tcW w:w="5429"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5"/>
                <w:rFonts w:hint="eastAsia" w:ascii="宋体" w:hAnsi="宋体" w:eastAsia="宋体" w:cs="宋体"/>
                <w:b w:val="0"/>
                <w:bCs/>
                <w:i w:val="0"/>
                <w:caps w:val="0"/>
                <w:color w:val="auto"/>
                <w:spacing w:val="0"/>
                <w:w w:val="100"/>
                <w:position w:val="0"/>
                <w:sz w:val="24"/>
                <w:szCs w:val="24"/>
                <w:highlight w:val="none"/>
                <w:lang w:bidi="ar-SA"/>
              </w:rPr>
              <w:t>针对同一种货物</w:t>
            </w:r>
            <w:r>
              <w:rPr>
                <w:rStyle w:val="45"/>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45"/>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5"/>
                <w:rFonts w:hint="eastAsia" w:ascii="宋体" w:hAnsi="宋体" w:eastAsia="宋体" w:cs="宋体"/>
                <w:b w:val="0"/>
                <w:bCs/>
                <w:i w:val="0"/>
                <w:caps w:val="0"/>
                <w:color w:val="auto"/>
                <w:spacing w:val="0"/>
                <w:w w:val="100"/>
                <w:position w:val="0"/>
                <w:sz w:val="24"/>
                <w:szCs w:val="24"/>
                <w:highlight w:val="none"/>
                <w:lang w:bidi="ar-SA"/>
              </w:rPr>
              <w:t>内容</w:t>
            </w:r>
          </w:p>
        </w:tc>
        <w:tc>
          <w:tcPr>
            <w:tcW w:w="5429"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5"/>
                <w:rFonts w:hint="eastAsia" w:ascii="宋体" w:hAnsi="宋体" w:eastAsia="宋体" w:cs="宋体"/>
                <w:b w:val="0"/>
                <w:bCs/>
                <w:i w:val="0"/>
                <w:caps w:val="0"/>
                <w:color w:val="auto"/>
                <w:spacing w:val="0"/>
                <w:w w:val="100"/>
                <w:position w:val="0"/>
                <w:sz w:val="24"/>
                <w:szCs w:val="24"/>
                <w:highlight w:val="none"/>
                <w:lang w:bidi="ar-SA"/>
              </w:rPr>
              <w:t>按照招标文件规定的内容填写</w:t>
            </w: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5429"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val="en-US" w:eastAsia="zh-CN" w:bidi="ar-SA"/>
              </w:rPr>
              <w:t>服务期限</w:t>
            </w:r>
          </w:p>
        </w:tc>
        <w:tc>
          <w:tcPr>
            <w:tcW w:w="5429"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val="en-US" w:eastAsia="zh-CN" w:bidi="ar-SA"/>
              </w:rPr>
              <w:t>服务期限</w:t>
            </w:r>
            <w:r>
              <w:rPr>
                <w:rStyle w:val="45"/>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bidi="ar-SA"/>
              </w:rPr>
              <w:t>其他</w:t>
            </w:r>
          </w:p>
        </w:tc>
        <w:tc>
          <w:tcPr>
            <w:tcW w:w="5429" w:type="dxa"/>
            <w:vAlign w:val="center"/>
          </w:tcPr>
          <w:p>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5"/>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672"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bl>
    <w:p>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2、详细评审</w:t>
      </w:r>
    </w:p>
    <w:tbl>
      <w:tblPr>
        <w:tblStyle w:val="3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67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1790" w:type="dxa"/>
            <w:gridSpan w:val="2"/>
            <w:vAlign w:val="top"/>
          </w:tcPr>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评分因素</w:t>
            </w: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42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371" w:type="dxa"/>
            <w:gridSpan w:val="2"/>
            <w:vAlign w:val="top"/>
          </w:tcPr>
          <w:p>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b/>
                <w:color w:val="auto"/>
                <w:spacing w:val="0"/>
                <w:position w:val="0"/>
                <w:sz w:val="24"/>
                <w:szCs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0" w:hRule="atLeast"/>
          <w:jc w:val="center"/>
        </w:trPr>
        <w:tc>
          <w:tcPr>
            <w:tcW w:w="892"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详细评审</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价格评审</w:t>
            </w: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61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r>
              <w:rPr>
                <w:rFonts w:hint="eastAsia" w:ascii="宋体" w:hAnsi="宋体" w:cs="宋体"/>
                <w:bCs/>
                <w:color w:val="auto"/>
                <w:spacing w:val="0"/>
                <w:position w:val="0"/>
                <w:sz w:val="24"/>
                <w:szCs w:val="24"/>
                <w:highlight w:val="none"/>
                <w:lang w:val="en-US" w:eastAsia="zh-CN"/>
              </w:rPr>
              <w:t>评标委员会</w:t>
            </w:r>
            <w:r>
              <w:rPr>
                <w:rFonts w:hint="eastAsia" w:ascii="宋体" w:hAnsi="宋体" w:eastAsia="宋体" w:cs="宋体"/>
                <w:bCs/>
                <w:color w:val="auto"/>
                <w:spacing w:val="0"/>
                <w:position w:val="0"/>
                <w:sz w:val="24"/>
                <w:szCs w:val="24"/>
                <w:highlight w:val="none"/>
              </w:rPr>
              <w:t>只对符合性检查合格的</w:t>
            </w:r>
            <w:r>
              <w:rPr>
                <w:rFonts w:hint="eastAsia" w:ascii="宋体" w:hAnsi="宋体" w:cs="宋体"/>
                <w:bCs/>
                <w:color w:val="auto"/>
                <w:spacing w:val="0"/>
                <w:position w:val="0"/>
                <w:sz w:val="24"/>
                <w:szCs w:val="24"/>
                <w:highlight w:val="none"/>
                <w:lang w:eastAsia="zh-CN"/>
              </w:rPr>
              <w:t>投标文件</w:t>
            </w:r>
            <w:r>
              <w:rPr>
                <w:rFonts w:hint="eastAsia" w:ascii="宋体" w:hAnsi="宋体" w:eastAsia="宋体" w:cs="宋体"/>
                <w:bCs/>
                <w:color w:val="auto"/>
                <w:spacing w:val="0"/>
                <w:position w:val="0"/>
                <w:sz w:val="24"/>
                <w:szCs w:val="24"/>
                <w:highlight w:val="none"/>
              </w:rPr>
              <w:t>进行价格评议，报价分采用低价优先法计算，即满足</w:t>
            </w:r>
            <w:r>
              <w:rPr>
                <w:rFonts w:hint="eastAsia" w:ascii="宋体" w:hAnsi="宋体" w:cs="宋体"/>
                <w:bCs/>
                <w:color w:val="auto"/>
                <w:spacing w:val="0"/>
                <w:position w:val="0"/>
                <w:sz w:val="24"/>
                <w:szCs w:val="24"/>
                <w:highlight w:val="none"/>
                <w:lang w:eastAsia="zh-CN"/>
              </w:rPr>
              <w:t>招标文件</w:t>
            </w:r>
            <w:r>
              <w:rPr>
                <w:rFonts w:hint="eastAsia" w:ascii="宋体" w:hAnsi="宋体" w:eastAsia="宋体" w:cs="宋体"/>
                <w:bCs/>
                <w:color w:val="auto"/>
                <w:spacing w:val="0"/>
                <w:position w:val="0"/>
                <w:sz w:val="24"/>
                <w:szCs w:val="24"/>
                <w:highlight w:val="none"/>
              </w:rPr>
              <w:t>要求且最终报价最低为评审基准价，其价格分为满分。其他供应商的价格分按照下列公式计算：</w:t>
            </w:r>
            <w:r>
              <w:rPr>
                <w:rFonts w:hint="eastAsia" w:ascii="宋体" w:hAnsi="宋体" w:cs="宋体"/>
                <w:bCs/>
                <w:color w:val="auto"/>
                <w:spacing w:val="0"/>
                <w:position w:val="0"/>
                <w:sz w:val="24"/>
                <w:szCs w:val="24"/>
                <w:highlight w:val="none"/>
                <w:lang w:val="en-US" w:eastAsia="zh-CN"/>
              </w:rPr>
              <w:t>投标</w:t>
            </w:r>
            <w:r>
              <w:rPr>
                <w:rFonts w:hint="eastAsia" w:ascii="宋体" w:hAnsi="宋体" w:eastAsia="宋体" w:cs="宋体"/>
                <w:bCs/>
                <w:color w:val="auto"/>
                <w:spacing w:val="0"/>
                <w:position w:val="0"/>
                <w:sz w:val="24"/>
                <w:szCs w:val="24"/>
                <w:highlight w:val="none"/>
              </w:rPr>
              <w:t>报价得分=(</w:t>
            </w:r>
            <w:r>
              <w:rPr>
                <w:rFonts w:hint="eastAsia" w:ascii="宋体" w:hAnsi="宋体" w:cs="宋体"/>
                <w:bCs/>
                <w:color w:val="auto"/>
                <w:spacing w:val="0"/>
                <w:position w:val="0"/>
                <w:sz w:val="24"/>
                <w:szCs w:val="24"/>
                <w:highlight w:val="none"/>
                <w:lang w:val="en-US" w:eastAsia="zh-CN"/>
              </w:rPr>
              <w:t>评标</w:t>
            </w:r>
            <w:r>
              <w:rPr>
                <w:rFonts w:hint="eastAsia" w:ascii="宋体" w:hAnsi="宋体" w:eastAsia="宋体" w:cs="宋体"/>
                <w:bCs/>
                <w:color w:val="auto"/>
                <w:spacing w:val="0"/>
                <w:position w:val="0"/>
                <w:sz w:val="24"/>
                <w:szCs w:val="24"/>
                <w:highlight w:val="none"/>
              </w:rPr>
              <w:t>基准价／</w:t>
            </w:r>
            <w:r>
              <w:rPr>
                <w:rFonts w:hint="eastAsia" w:ascii="宋体" w:hAnsi="宋体" w:eastAsia="宋体" w:cs="宋体"/>
                <w:bCs/>
                <w:color w:val="auto"/>
                <w:spacing w:val="0"/>
                <w:position w:val="0"/>
                <w:sz w:val="24"/>
                <w:szCs w:val="24"/>
                <w:highlight w:val="none"/>
                <w:lang w:val="en-US" w:eastAsia="zh-CN"/>
              </w:rPr>
              <w:t>最后</w:t>
            </w:r>
            <w:r>
              <w:rPr>
                <w:rFonts w:hint="eastAsia" w:ascii="宋体" w:hAnsi="宋体" w:cs="宋体"/>
                <w:bCs/>
                <w:color w:val="auto"/>
                <w:spacing w:val="0"/>
                <w:position w:val="0"/>
                <w:sz w:val="24"/>
                <w:szCs w:val="24"/>
                <w:highlight w:val="none"/>
                <w:lang w:val="en-US" w:eastAsia="zh-CN"/>
              </w:rPr>
              <w:t>投标</w:t>
            </w:r>
            <w:r>
              <w:rPr>
                <w:rFonts w:hint="eastAsia" w:ascii="宋体" w:hAnsi="宋体" w:eastAsia="宋体" w:cs="宋体"/>
                <w:bCs/>
                <w:color w:val="auto"/>
                <w:spacing w:val="0"/>
                <w:position w:val="0"/>
                <w:sz w:val="24"/>
                <w:szCs w:val="24"/>
                <w:highlight w:val="none"/>
              </w:rPr>
              <w:t>报价)×</w:t>
            </w:r>
            <w:r>
              <w:rPr>
                <w:rFonts w:hint="eastAsia" w:ascii="宋体" w:hAnsi="宋体" w:cs="宋体"/>
                <w:bCs/>
                <w:color w:val="auto"/>
                <w:spacing w:val="0"/>
                <w:position w:val="0"/>
                <w:sz w:val="24"/>
                <w:szCs w:val="24"/>
                <w:highlight w:val="none"/>
                <w:lang w:val="en-US" w:eastAsia="zh-CN"/>
              </w:rPr>
              <w:t>10</w:t>
            </w:r>
            <w:r>
              <w:rPr>
                <w:rFonts w:hint="eastAsia" w:ascii="宋体" w:hAnsi="宋体" w:eastAsia="宋体" w:cs="宋体"/>
                <w:bCs/>
                <w:color w:val="auto"/>
                <w:spacing w:val="0"/>
                <w:position w:val="0"/>
                <w:sz w:val="24"/>
                <w:szCs w:val="24"/>
                <w:highlight w:val="none"/>
              </w:rPr>
              <w:t>。</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商务标评审</w:t>
            </w: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近三年承揽的同类业绩情况</w:t>
            </w:r>
          </w:p>
        </w:tc>
        <w:tc>
          <w:tcPr>
            <w:tcW w:w="61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投标人提供202</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年1月1日至今的</w:t>
            </w:r>
            <w:r>
              <w:rPr>
                <w:rFonts w:hint="eastAsia" w:ascii="宋体" w:hAnsi="宋体" w:cs="宋体"/>
                <w:color w:val="auto"/>
                <w:spacing w:val="0"/>
                <w:position w:val="0"/>
                <w:sz w:val="24"/>
                <w:szCs w:val="24"/>
                <w:highlight w:val="none"/>
                <w:lang w:val="en-US" w:eastAsia="zh-CN"/>
              </w:rPr>
              <w:t>类似</w:t>
            </w:r>
            <w:r>
              <w:rPr>
                <w:rFonts w:hint="eastAsia" w:ascii="宋体" w:hAnsi="宋体" w:eastAsia="宋体" w:cs="宋体"/>
                <w:color w:val="auto"/>
                <w:spacing w:val="0"/>
                <w:position w:val="0"/>
                <w:sz w:val="24"/>
                <w:szCs w:val="24"/>
                <w:highlight w:val="none"/>
              </w:rPr>
              <w:t>项目</w:t>
            </w:r>
            <w:r>
              <w:rPr>
                <w:rFonts w:hint="eastAsia" w:ascii="宋体" w:hAnsi="宋体" w:cs="宋体"/>
                <w:color w:val="auto"/>
                <w:spacing w:val="0"/>
                <w:position w:val="0"/>
                <w:sz w:val="24"/>
                <w:szCs w:val="24"/>
                <w:highlight w:val="none"/>
                <w:lang w:val="en-US" w:eastAsia="zh-CN"/>
              </w:rPr>
              <w:t>业绩</w:t>
            </w:r>
            <w:r>
              <w:rPr>
                <w:rFonts w:hint="eastAsia" w:ascii="宋体" w:hAnsi="宋体" w:eastAsia="宋体" w:cs="宋体"/>
                <w:color w:val="auto"/>
                <w:spacing w:val="0"/>
                <w:position w:val="0"/>
                <w:sz w:val="24"/>
                <w:szCs w:val="24"/>
                <w:highlight w:val="none"/>
              </w:rPr>
              <w:t>每项得2分，本小项最高得10分。 注：请附上合同关键页（含签订合同双方的单位名称、合同项目名称、项目内容/合同概况、签订合同双方的落款盖章、签订日期的关键页）复印件作为同类业绩评价证明资料，以合同签订时间为准。未按要求提供不得分。</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项目人员配备情况</w:t>
            </w:r>
          </w:p>
        </w:tc>
        <w:tc>
          <w:tcPr>
            <w:tcW w:w="61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eastAsia="zh-CN"/>
              </w:rPr>
              <w:t>根据供应商拟配备的项目人员情况：①项目负责人具备从事相关行业五年以上经历，具备相关业绩；得</w:t>
            </w:r>
            <w:r>
              <w:rPr>
                <w:rFonts w:hint="eastAsia" w:ascii="宋体" w:hAnsi="宋体" w:cs="宋体"/>
                <w:color w:val="auto"/>
                <w:spacing w:val="0"/>
                <w:position w:val="0"/>
                <w:sz w:val="24"/>
                <w:szCs w:val="24"/>
                <w:highlight w:val="none"/>
                <w:lang w:val="en-US" w:eastAsia="zh-CN"/>
              </w:rPr>
              <w:t>3分；（须提供近三个月内的社保证明；从业经历可以提供供应商说明或其他证明材料；相关业绩须提供合同或用户说明）；②项目组其他人员配备，1人得1分，最高得3分；（须提供人员近三个月内的社保证明）。此项满分6分</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技术标评审</w:t>
            </w:r>
          </w:p>
        </w:tc>
        <w:tc>
          <w:tcPr>
            <w:tcW w:w="1400" w:type="dxa"/>
            <w:vAlign w:val="center"/>
          </w:tcPr>
          <w:p>
            <w:pPr>
              <w:pStyle w:val="111"/>
              <w:keepNext w:val="0"/>
              <w:keepLines w:val="0"/>
              <w:pageBreakBefore w:val="0"/>
              <w:kinsoku/>
              <w:wordWrap/>
              <w:overflowPunct/>
              <w:topLinePunct w:val="0"/>
              <w:autoSpaceDE/>
              <w:autoSpaceDN/>
              <w:bidi w:val="0"/>
              <w:spacing w:line="440" w:lineRule="exact"/>
              <w:jc w:val="center"/>
              <w:rPr>
                <w:rFonts w:hint="eastAsia" w:ascii="宋体" w:hAnsi="宋体" w:cs="宋体"/>
                <w:color w:val="auto"/>
                <w:spacing w:val="0"/>
                <w:position w:val="0"/>
                <w:sz w:val="24"/>
                <w:szCs w:val="24"/>
                <w:highlight w:val="none"/>
                <w:lang w:eastAsia="zh-CN"/>
              </w:rPr>
            </w:pPr>
            <w:r>
              <w:rPr>
                <w:color w:val="auto"/>
                <w:spacing w:val="0"/>
                <w:position w:val="0"/>
                <w:sz w:val="24"/>
                <w:szCs w:val="24"/>
                <w:highlight w:val="none"/>
              </w:rPr>
              <w:t>项目策划方案</w:t>
            </w:r>
          </w:p>
        </w:tc>
        <w:tc>
          <w:tcPr>
            <w:tcW w:w="6101" w:type="dxa"/>
            <w:gridSpan w:val="2"/>
            <w:vAlign w:val="top"/>
          </w:tcPr>
          <w:p>
            <w:pPr>
              <w:pStyle w:val="111"/>
              <w:keepNext w:val="0"/>
              <w:keepLines w:val="0"/>
              <w:pageBreakBefore w:val="0"/>
              <w:kinsoku/>
              <w:wordWrap/>
              <w:overflowPunct/>
              <w:topLinePunct w:val="0"/>
              <w:autoSpaceDE/>
              <w:autoSpaceDN/>
              <w:bidi w:val="0"/>
              <w:spacing w:line="440" w:lineRule="exact"/>
              <w:jc w:val="left"/>
              <w:rPr>
                <w:rFonts w:hint="eastAsia" w:ascii="宋体" w:hAnsi="宋体" w:eastAsia="宋体" w:cs="宋体"/>
                <w:color w:val="auto"/>
                <w:spacing w:val="0"/>
                <w:position w:val="0"/>
                <w:sz w:val="24"/>
                <w:szCs w:val="24"/>
                <w:highlight w:val="none"/>
              </w:rPr>
            </w:pPr>
            <w:r>
              <w:rPr>
                <w:color w:val="auto"/>
                <w:spacing w:val="0"/>
                <w:position w:val="0"/>
                <w:sz w:val="24"/>
                <w:szCs w:val="24"/>
                <w:highlight w:val="none"/>
              </w:rPr>
              <w:t>根据</w:t>
            </w:r>
            <w:r>
              <w:rPr>
                <w:rFonts w:hint="eastAsia"/>
                <w:color w:val="auto"/>
                <w:spacing w:val="0"/>
                <w:position w:val="0"/>
                <w:sz w:val="24"/>
                <w:szCs w:val="24"/>
                <w:highlight w:val="none"/>
                <w:lang w:eastAsia="zh-CN"/>
              </w:rPr>
              <w:t>供应商</w:t>
            </w:r>
            <w:r>
              <w:rPr>
                <w:color w:val="auto"/>
                <w:spacing w:val="0"/>
                <w:position w:val="0"/>
                <w:sz w:val="24"/>
                <w:szCs w:val="24"/>
                <w:highlight w:val="none"/>
              </w:rPr>
              <w:t>针对</w:t>
            </w:r>
            <w:r>
              <w:rPr>
                <w:rFonts w:hint="eastAsia"/>
                <w:color w:val="auto"/>
                <w:spacing w:val="0"/>
                <w:position w:val="0"/>
                <w:sz w:val="24"/>
                <w:szCs w:val="24"/>
                <w:highlight w:val="none"/>
                <w:lang w:eastAsia="zh-CN"/>
              </w:rPr>
              <w:t>“你好乌鲁木齐”图文短视频大赛</w:t>
            </w:r>
            <w:r>
              <w:rPr>
                <w:color w:val="auto"/>
                <w:spacing w:val="0"/>
                <w:position w:val="0"/>
                <w:sz w:val="24"/>
                <w:szCs w:val="24"/>
                <w:highlight w:val="none"/>
              </w:rPr>
              <w:t>”的项目策划方案</w:t>
            </w:r>
            <w:r>
              <w:rPr>
                <w:rFonts w:hint="eastAsia"/>
                <w:color w:val="auto"/>
                <w:spacing w:val="0"/>
                <w:position w:val="0"/>
                <w:sz w:val="24"/>
                <w:szCs w:val="24"/>
                <w:highlight w:val="none"/>
                <w:lang w:eastAsia="zh-CN"/>
              </w:rPr>
              <w:t>，内容包含：①</w:t>
            </w:r>
            <w:r>
              <w:rPr>
                <w:color w:val="auto"/>
                <w:spacing w:val="0"/>
                <w:position w:val="0"/>
                <w:sz w:val="24"/>
                <w:szCs w:val="24"/>
                <w:highlight w:val="none"/>
              </w:rPr>
              <w:t>招募流程</w:t>
            </w:r>
            <w:r>
              <w:rPr>
                <w:rFonts w:hint="eastAsia"/>
                <w:color w:val="auto"/>
                <w:spacing w:val="0"/>
                <w:position w:val="0"/>
                <w:sz w:val="24"/>
                <w:szCs w:val="24"/>
                <w:highlight w:val="none"/>
                <w:lang w:eastAsia="zh-CN"/>
              </w:rPr>
              <w:t>；②</w:t>
            </w:r>
            <w:r>
              <w:rPr>
                <w:color w:val="auto"/>
                <w:spacing w:val="0"/>
                <w:position w:val="0"/>
                <w:sz w:val="24"/>
                <w:szCs w:val="24"/>
                <w:highlight w:val="none"/>
              </w:rPr>
              <w:t>招募计划</w:t>
            </w:r>
            <w:r>
              <w:rPr>
                <w:rFonts w:hint="eastAsia"/>
                <w:color w:val="auto"/>
                <w:spacing w:val="0"/>
                <w:position w:val="0"/>
                <w:sz w:val="24"/>
                <w:szCs w:val="24"/>
                <w:highlight w:val="none"/>
                <w:lang w:eastAsia="zh-CN"/>
              </w:rPr>
              <w:t>；③拟投入设备材料</w:t>
            </w:r>
            <w:r>
              <w:rPr>
                <w:color w:val="auto"/>
                <w:spacing w:val="0"/>
                <w:position w:val="0"/>
                <w:sz w:val="24"/>
                <w:szCs w:val="24"/>
                <w:highlight w:val="none"/>
              </w:rPr>
              <w:t>配备方案</w:t>
            </w:r>
            <w:r>
              <w:rPr>
                <w:rFonts w:hint="eastAsia"/>
                <w:color w:val="auto"/>
                <w:spacing w:val="0"/>
                <w:position w:val="0"/>
                <w:sz w:val="24"/>
                <w:szCs w:val="24"/>
                <w:highlight w:val="none"/>
                <w:lang w:eastAsia="zh-CN"/>
              </w:rPr>
              <w:t>；④</w:t>
            </w:r>
            <w:r>
              <w:rPr>
                <w:color w:val="auto"/>
                <w:spacing w:val="0"/>
                <w:position w:val="0"/>
                <w:sz w:val="24"/>
                <w:szCs w:val="24"/>
                <w:highlight w:val="none"/>
              </w:rPr>
              <w:t>场</w:t>
            </w:r>
            <w:r>
              <w:rPr>
                <w:rFonts w:hint="eastAsia"/>
                <w:color w:val="auto"/>
                <w:spacing w:val="0"/>
                <w:position w:val="0"/>
                <w:sz w:val="24"/>
                <w:szCs w:val="24"/>
                <w:highlight w:val="none"/>
                <w:lang w:eastAsia="zh-CN"/>
              </w:rPr>
              <w:t>地</w:t>
            </w:r>
            <w:r>
              <w:rPr>
                <w:color w:val="auto"/>
                <w:spacing w:val="0"/>
                <w:position w:val="0"/>
                <w:sz w:val="24"/>
                <w:szCs w:val="24"/>
                <w:highlight w:val="none"/>
              </w:rPr>
              <w:t>选择</w:t>
            </w:r>
            <w:r>
              <w:rPr>
                <w:rFonts w:hint="eastAsia"/>
                <w:color w:val="auto"/>
                <w:spacing w:val="0"/>
                <w:position w:val="0"/>
                <w:sz w:val="24"/>
                <w:szCs w:val="24"/>
                <w:highlight w:val="none"/>
                <w:lang w:eastAsia="zh-CN"/>
              </w:rPr>
              <w:t>；⑤</w:t>
            </w:r>
            <w:r>
              <w:rPr>
                <w:color w:val="auto"/>
                <w:spacing w:val="0"/>
                <w:position w:val="0"/>
                <w:sz w:val="24"/>
                <w:szCs w:val="24"/>
                <w:highlight w:val="none"/>
              </w:rPr>
              <w:t>集训内容</w:t>
            </w:r>
            <w:r>
              <w:rPr>
                <w:rFonts w:hint="eastAsia"/>
                <w:color w:val="auto"/>
                <w:spacing w:val="0"/>
                <w:position w:val="0"/>
                <w:sz w:val="24"/>
                <w:szCs w:val="24"/>
                <w:highlight w:val="none"/>
                <w:lang w:eastAsia="zh-CN"/>
              </w:rPr>
              <w:t>；⑥</w:t>
            </w:r>
            <w:r>
              <w:rPr>
                <w:color w:val="auto"/>
                <w:spacing w:val="0"/>
                <w:position w:val="0"/>
                <w:sz w:val="24"/>
                <w:szCs w:val="24"/>
                <w:highlight w:val="none"/>
              </w:rPr>
              <w:t>项目重难点分析</w:t>
            </w:r>
            <w:r>
              <w:rPr>
                <w:rFonts w:hint="eastAsia"/>
                <w:color w:val="auto"/>
                <w:spacing w:val="0"/>
                <w:position w:val="0"/>
                <w:sz w:val="24"/>
                <w:szCs w:val="24"/>
                <w:highlight w:val="none"/>
                <w:lang w:eastAsia="zh-CN"/>
              </w:rPr>
              <w:t>；每有一项内容得</w:t>
            </w:r>
            <w:r>
              <w:rPr>
                <w:rFonts w:hint="eastAsia"/>
                <w:color w:val="auto"/>
                <w:spacing w:val="0"/>
                <w:position w:val="0"/>
                <w:sz w:val="24"/>
                <w:szCs w:val="24"/>
                <w:highlight w:val="none"/>
                <w:lang w:val="en-US" w:eastAsia="zh-CN"/>
              </w:rPr>
              <w:t>5</w:t>
            </w:r>
            <w:r>
              <w:rPr>
                <w:rFonts w:hint="eastAsia"/>
                <w:color w:val="auto"/>
                <w:spacing w:val="0"/>
                <w:position w:val="0"/>
                <w:sz w:val="24"/>
                <w:szCs w:val="24"/>
                <w:highlight w:val="none"/>
                <w:lang w:eastAsia="zh-CN"/>
              </w:rPr>
              <w:t>分，每小项内容存在一处缺陷的扣0-</w:t>
            </w:r>
            <w:r>
              <w:rPr>
                <w:rFonts w:hint="eastAsia"/>
                <w:color w:val="auto"/>
                <w:spacing w:val="0"/>
                <w:position w:val="0"/>
                <w:sz w:val="24"/>
                <w:szCs w:val="24"/>
                <w:highlight w:val="none"/>
                <w:lang w:val="en-US" w:eastAsia="zh-CN"/>
              </w:rPr>
              <w:t>3</w:t>
            </w:r>
            <w:r>
              <w:rPr>
                <w:rFonts w:hint="eastAsia"/>
                <w:color w:val="auto"/>
                <w:spacing w:val="0"/>
                <w:position w:val="0"/>
                <w:sz w:val="24"/>
                <w:szCs w:val="24"/>
                <w:highlight w:val="none"/>
                <w:lang w:eastAsia="zh-CN"/>
              </w:rPr>
              <w:t>分，扣完为止，未提供不得分。（缺陷是指：与本项目采购标的无关、方案内容前后不一致、前后逻辑错误、涉及的相关规范及标准错误、地点区域错误、内容缺失、可操作性低、只有简单描述无实质性内容）。</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111"/>
              <w:keepNext w:val="0"/>
              <w:keepLines w:val="0"/>
              <w:pageBreakBefore w:val="0"/>
              <w:kinsoku/>
              <w:wordWrap/>
              <w:overflowPunct/>
              <w:topLinePunct w:val="0"/>
              <w:autoSpaceDE/>
              <w:autoSpaceDN/>
              <w:bidi w:val="0"/>
              <w:spacing w:line="440" w:lineRule="exact"/>
              <w:jc w:val="center"/>
              <w:rPr>
                <w:color w:val="auto"/>
                <w:spacing w:val="0"/>
                <w:position w:val="0"/>
                <w:sz w:val="24"/>
                <w:szCs w:val="24"/>
                <w:highlight w:val="none"/>
              </w:rPr>
            </w:pPr>
            <w:r>
              <w:rPr>
                <w:rFonts w:hint="eastAsia"/>
                <w:color w:val="auto"/>
                <w:spacing w:val="0"/>
                <w:position w:val="0"/>
                <w:sz w:val="24"/>
                <w:szCs w:val="24"/>
                <w:highlight w:val="none"/>
                <w:lang w:eastAsia="zh-CN"/>
              </w:rPr>
              <w:t>项目</w:t>
            </w:r>
            <w:r>
              <w:rPr>
                <w:color w:val="auto"/>
                <w:spacing w:val="0"/>
                <w:position w:val="0"/>
                <w:sz w:val="24"/>
                <w:szCs w:val="24"/>
                <w:highlight w:val="none"/>
              </w:rPr>
              <w:t>推广方案</w:t>
            </w:r>
          </w:p>
        </w:tc>
        <w:tc>
          <w:tcPr>
            <w:tcW w:w="6101" w:type="dxa"/>
            <w:gridSpan w:val="2"/>
            <w:vAlign w:val="top"/>
          </w:tcPr>
          <w:p>
            <w:pPr>
              <w:pStyle w:val="111"/>
              <w:keepNext w:val="0"/>
              <w:keepLines w:val="0"/>
              <w:pageBreakBefore w:val="0"/>
              <w:kinsoku/>
              <w:wordWrap/>
              <w:overflowPunct/>
              <w:topLinePunct w:val="0"/>
              <w:autoSpaceDE/>
              <w:autoSpaceDN/>
              <w:bidi w:val="0"/>
              <w:spacing w:line="440" w:lineRule="exact"/>
              <w:jc w:val="left"/>
              <w:rPr>
                <w:color w:val="auto"/>
                <w:spacing w:val="0"/>
                <w:position w:val="0"/>
                <w:sz w:val="24"/>
                <w:szCs w:val="24"/>
                <w:highlight w:val="none"/>
              </w:rPr>
            </w:pPr>
            <w:r>
              <w:rPr>
                <w:color w:val="auto"/>
                <w:spacing w:val="0"/>
                <w:position w:val="0"/>
                <w:sz w:val="24"/>
                <w:szCs w:val="24"/>
                <w:highlight w:val="none"/>
              </w:rPr>
              <w:t>根据</w:t>
            </w:r>
            <w:r>
              <w:rPr>
                <w:rFonts w:hint="eastAsia"/>
                <w:color w:val="auto"/>
                <w:spacing w:val="0"/>
                <w:position w:val="0"/>
                <w:sz w:val="24"/>
                <w:szCs w:val="24"/>
                <w:highlight w:val="none"/>
                <w:lang w:eastAsia="zh-CN"/>
              </w:rPr>
              <w:t>供应商</w:t>
            </w:r>
            <w:r>
              <w:rPr>
                <w:color w:val="auto"/>
                <w:spacing w:val="0"/>
                <w:position w:val="0"/>
                <w:sz w:val="24"/>
                <w:szCs w:val="24"/>
                <w:highlight w:val="none"/>
              </w:rPr>
              <w:t>针对本项目的推广方案</w:t>
            </w:r>
            <w:r>
              <w:rPr>
                <w:rFonts w:hint="eastAsia"/>
                <w:color w:val="auto"/>
                <w:spacing w:val="0"/>
                <w:position w:val="0"/>
                <w:sz w:val="24"/>
                <w:szCs w:val="24"/>
                <w:highlight w:val="none"/>
                <w:lang w:eastAsia="zh-CN"/>
              </w:rPr>
              <w:t>内容包含：①作品征集</w:t>
            </w:r>
            <w:r>
              <w:rPr>
                <w:color w:val="auto"/>
                <w:spacing w:val="0"/>
                <w:position w:val="0"/>
                <w:sz w:val="24"/>
                <w:szCs w:val="24"/>
                <w:highlight w:val="none"/>
              </w:rPr>
              <w:t>方案</w:t>
            </w:r>
            <w:r>
              <w:rPr>
                <w:rFonts w:hint="eastAsia"/>
                <w:color w:val="auto"/>
                <w:spacing w:val="0"/>
                <w:position w:val="0"/>
                <w:sz w:val="24"/>
                <w:szCs w:val="24"/>
                <w:highlight w:val="none"/>
                <w:lang w:eastAsia="zh-CN"/>
              </w:rPr>
              <w:t>；②作品来源质量保证方案；③</w:t>
            </w:r>
            <w:r>
              <w:rPr>
                <w:color w:val="auto"/>
                <w:spacing w:val="0"/>
                <w:position w:val="0"/>
                <w:sz w:val="24"/>
                <w:szCs w:val="24"/>
                <w:highlight w:val="none"/>
              </w:rPr>
              <w:t>与传统媒体合作的推广计划</w:t>
            </w:r>
            <w:r>
              <w:rPr>
                <w:rFonts w:hint="eastAsia"/>
                <w:color w:val="auto"/>
                <w:spacing w:val="0"/>
                <w:position w:val="0"/>
                <w:sz w:val="24"/>
                <w:szCs w:val="24"/>
                <w:highlight w:val="none"/>
                <w:lang w:eastAsia="zh-CN"/>
              </w:rPr>
              <w:t>；④</w:t>
            </w:r>
            <w:r>
              <w:rPr>
                <w:color w:val="auto"/>
                <w:spacing w:val="0"/>
                <w:position w:val="0"/>
                <w:sz w:val="24"/>
                <w:szCs w:val="24"/>
                <w:highlight w:val="none"/>
              </w:rPr>
              <w:t>自媒体运营方案</w:t>
            </w:r>
            <w:r>
              <w:rPr>
                <w:rFonts w:hint="eastAsia"/>
                <w:color w:val="auto"/>
                <w:spacing w:val="0"/>
                <w:position w:val="0"/>
                <w:sz w:val="24"/>
                <w:szCs w:val="24"/>
                <w:highlight w:val="none"/>
                <w:lang w:eastAsia="zh-CN"/>
              </w:rPr>
              <w:t>；每有一项内容得</w:t>
            </w:r>
            <w:r>
              <w:rPr>
                <w:rFonts w:hint="eastAsia"/>
                <w:color w:val="auto"/>
                <w:spacing w:val="0"/>
                <w:position w:val="0"/>
                <w:sz w:val="24"/>
                <w:szCs w:val="24"/>
                <w:highlight w:val="none"/>
                <w:lang w:val="en-US" w:eastAsia="zh-CN"/>
              </w:rPr>
              <w:t>3</w:t>
            </w:r>
            <w:r>
              <w:rPr>
                <w:rFonts w:hint="eastAsia"/>
                <w:color w:val="auto"/>
                <w:spacing w:val="0"/>
                <w:position w:val="0"/>
                <w:sz w:val="24"/>
                <w:szCs w:val="24"/>
                <w:highlight w:val="none"/>
                <w:lang w:eastAsia="zh-CN"/>
              </w:rPr>
              <w:t>分，每小项内容存在一处缺陷的扣0-</w:t>
            </w:r>
            <w:r>
              <w:rPr>
                <w:rFonts w:hint="eastAsia"/>
                <w:color w:val="auto"/>
                <w:spacing w:val="0"/>
                <w:position w:val="0"/>
                <w:sz w:val="24"/>
                <w:szCs w:val="24"/>
                <w:highlight w:val="none"/>
                <w:lang w:val="en-US" w:eastAsia="zh-CN"/>
              </w:rPr>
              <w:t>2</w:t>
            </w:r>
            <w:r>
              <w:rPr>
                <w:rFonts w:hint="eastAsia"/>
                <w:color w:val="auto"/>
                <w:spacing w:val="0"/>
                <w:position w:val="0"/>
                <w:sz w:val="24"/>
                <w:szCs w:val="24"/>
                <w:highlight w:val="none"/>
                <w:lang w:eastAsia="zh-CN"/>
              </w:rPr>
              <w:t>分，扣完为止，未提供不得分。（缺陷是指：与本项目采购标的无关、方案内容前后不一致、前后逻辑错误、涉及的相关规范及标准错误、地点区域错误、内容缺失、可操作性低、只有简单描述无实质性内容）。</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111"/>
              <w:keepNext w:val="0"/>
              <w:keepLines w:val="0"/>
              <w:pageBreakBefore w:val="0"/>
              <w:kinsoku/>
              <w:wordWrap/>
              <w:overflowPunct/>
              <w:topLinePunct w:val="0"/>
              <w:autoSpaceDE/>
              <w:autoSpaceDN/>
              <w:bidi w:val="0"/>
              <w:spacing w:line="440" w:lineRule="exact"/>
              <w:jc w:val="center"/>
              <w:rPr>
                <w:color w:val="auto"/>
                <w:spacing w:val="0"/>
                <w:position w:val="0"/>
                <w:sz w:val="24"/>
                <w:szCs w:val="24"/>
                <w:highlight w:val="none"/>
              </w:rPr>
            </w:pPr>
            <w:r>
              <w:rPr>
                <w:rFonts w:hint="eastAsia"/>
                <w:color w:val="auto"/>
                <w:spacing w:val="0"/>
                <w:position w:val="0"/>
                <w:sz w:val="24"/>
                <w:szCs w:val="24"/>
                <w:highlight w:val="none"/>
                <w:lang w:eastAsia="zh-CN"/>
              </w:rPr>
              <w:t>项目</w:t>
            </w:r>
            <w:r>
              <w:rPr>
                <w:color w:val="auto"/>
                <w:spacing w:val="0"/>
                <w:position w:val="0"/>
                <w:sz w:val="24"/>
                <w:szCs w:val="24"/>
                <w:highlight w:val="none"/>
              </w:rPr>
              <w:t>组织实施方案</w:t>
            </w:r>
          </w:p>
        </w:tc>
        <w:tc>
          <w:tcPr>
            <w:tcW w:w="6101" w:type="dxa"/>
            <w:gridSpan w:val="2"/>
            <w:vAlign w:val="top"/>
          </w:tcPr>
          <w:p>
            <w:pPr>
              <w:pStyle w:val="111"/>
              <w:keepNext w:val="0"/>
              <w:keepLines w:val="0"/>
              <w:pageBreakBefore w:val="0"/>
              <w:kinsoku/>
              <w:wordWrap/>
              <w:overflowPunct/>
              <w:topLinePunct w:val="0"/>
              <w:autoSpaceDE/>
              <w:autoSpaceDN/>
              <w:bidi w:val="0"/>
              <w:spacing w:line="440" w:lineRule="exact"/>
              <w:jc w:val="left"/>
              <w:rPr>
                <w:color w:val="auto"/>
                <w:spacing w:val="0"/>
                <w:position w:val="0"/>
                <w:sz w:val="24"/>
                <w:szCs w:val="24"/>
                <w:highlight w:val="none"/>
              </w:rPr>
            </w:pPr>
            <w:r>
              <w:rPr>
                <w:color w:val="auto"/>
                <w:spacing w:val="0"/>
                <w:position w:val="0"/>
                <w:sz w:val="24"/>
                <w:szCs w:val="24"/>
                <w:highlight w:val="none"/>
              </w:rPr>
              <w:t>根据</w:t>
            </w:r>
            <w:r>
              <w:rPr>
                <w:rFonts w:hint="eastAsia"/>
                <w:color w:val="auto"/>
                <w:spacing w:val="0"/>
                <w:position w:val="0"/>
                <w:sz w:val="24"/>
                <w:szCs w:val="24"/>
                <w:highlight w:val="none"/>
                <w:lang w:eastAsia="zh-CN"/>
              </w:rPr>
              <w:t>供应商</w:t>
            </w:r>
            <w:r>
              <w:rPr>
                <w:color w:val="auto"/>
                <w:spacing w:val="0"/>
                <w:position w:val="0"/>
                <w:sz w:val="24"/>
                <w:szCs w:val="24"/>
                <w:highlight w:val="none"/>
              </w:rPr>
              <w:t>针对本项目的赛事组织实施方案</w:t>
            </w:r>
            <w:r>
              <w:rPr>
                <w:rFonts w:hint="eastAsia"/>
                <w:color w:val="auto"/>
                <w:spacing w:val="0"/>
                <w:position w:val="0"/>
                <w:sz w:val="24"/>
                <w:szCs w:val="24"/>
                <w:highlight w:val="none"/>
                <w:lang w:eastAsia="zh-CN"/>
              </w:rPr>
              <w:t>内容包含①</w:t>
            </w:r>
            <w:r>
              <w:rPr>
                <w:color w:val="auto"/>
                <w:spacing w:val="0"/>
                <w:position w:val="0"/>
                <w:sz w:val="24"/>
                <w:szCs w:val="24"/>
                <w:highlight w:val="none"/>
              </w:rPr>
              <w:t>背景板</w:t>
            </w:r>
            <w:r>
              <w:rPr>
                <w:rFonts w:hint="eastAsia"/>
                <w:color w:val="auto"/>
                <w:spacing w:val="0"/>
                <w:position w:val="0"/>
                <w:sz w:val="24"/>
                <w:szCs w:val="24"/>
                <w:highlight w:val="none"/>
                <w:lang w:eastAsia="zh-CN"/>
              </w:rPr>
              <w:t>②</w:t>
            </w:r>
            <w:r>
              <w:rPr>
                <w:color w:val="auto"/>
                <w:spacing w:val="0"/>
                <w:position w:val="0"/>
                <w:sz w:val="24"/>
                <w:szCs w:val="24"/>
                <w:highlight w:val="none"/>
              </w:rPr>
              <w:t>秩序册</w:t>
            </w:r>
            <w:r>
              <w:rPr>
                <w:rFonts w:hint="eastAsia"/>
                <w:color w:val="auto"/>
                <w:spacing w:val="0"/>
                <w:position w:val="0"/>
                <w:sz w:val="24"/>
                <w:szCs w:val="24"/>
                <w:highlight w:val="none"/>
                <w:lang w:eastAsia="zh-CN"/>
              </w:rPr>
              <w:t>③</w:t>
            </w:r>
            <w:r>
              <w:rPr>
                <w:color w:val="auto"/>
                <w:spacing w:val="0"/>
                <w:position w:val="0"/>
                <w:sz w:val="24"/>
                <w:szCs w:val="24"/>
                <w:highlight w:val="none"/>
              </w:rPr>
              <w:t>条幅等物料筹备方案</w:t>
            </w:r>
            <w:r>
              <w:rPr>
                <w:rFonts w:hint="eastAsia"/>
                <w:color w:val="auto"/>
                <w:spacing w:val="0"/>
                <w:position w:val="0"/>
                <w:sz w:val="24"/>
                <w:szCs w:val="24"/>
                <w:highlight w:val="none"/>
                <w:lang w:eastAsia="zh-CN"/>
              </w:rPr>
              <w:t>④</w:t>
            </w:r>
            <w:r>
              <w:rPr>
                <w:color w:val="auto"/>
                <w:spacing w:val="0"/>
                <w:position w:val="0"/>
                <w:sz w:val="24"/>
                <w:szCs w:val="24"/>
                <w:highlight w:val="none"/>
              </w:rPr>
              <w:t>工作开展组织形式及流程</w:t>
            </w:r>
            <w:r>
              <w:rPr>
                <w:rFonts w:hint="eastAsia"/>
                <w:color w:val="auto"/>
                <w:spacing w:val="0"/>
                <w:position w:val="0"/>
                <w:sz w:val="24"/>
                <w:szCs w:val="24"/>
                <w:highlight w:val="none"/>
                <w:lang w:eastAsia="zh-CN"/>
              </w:rPr>
              <w:t>⑤</w:t>
            </w:r>
            <w:r>
              <w:rPr>
                <w:color w:val="auto"/>
                <w:spacing w:val="0"/>
                <w:position w:val="0"/>
                <w:sz w:val="24"/>
                <w:szCs w:val="24"/>
                <w:highlight w:val="none"/>
              </w:rPr>
              <w:t>费用管理制度）</w:t>
            </w:r>
            <w:r>
              <w:rPr>
                <w:rFonts w:hint="eastAsia"/>
                <w:color w:val="auto"/>
                <w:spacing w:val="0"/>
                <w:position w:val="0"/>
                <w:sz w:val="24"/>
                <w:szCs w:val="24"/>
                <w:highlight w:val="none"/>
                <w:lang w:eastAsia="zh-CN"/>
              </w:rPr>
              <w:t>每有一项内容得</w:t>
            </w:r>
            <w:r>
              <w:rPr>
                <w:rFonts w:hint="eastAsia"/>
                <w:color w:val="auto"/>
                <w:spacing w:val="0"/>
                <w:position w:val="0"/>
                <w:sz w:val="24"/>
                <w:szCs w:val="24"/>
                <w:highlight w:val="none"/>
                <w:lang w:val="en-US" w:eastAsia="zh-CN"/>
              </w:rPr>
              <w:t>2</w:t>
            </w:r>
            <w:r>
              <w:rPr>
                <w:rFonts w:hint="eastAsia"/>
                <w:color w:val="auto"/>
                <w:spacing w:val="0"/>
                <w:position w:val="0"/>
                <w:sz w:val="24"/>
                <w:szCs w:val="24"/>
                <w:highlight w:val="none"/>
                <w:lang w:eastAsia="zh-CN"/>
              </w:rPr>
              <w:t>分，每小项内容存在一处缺陷的扣0-</w:t>
            </w:r>
            <w:r>
              <w:rPr>
                <w:rFonts w:hint="eastAsia"/>
                <w:color w:val="auto"/>
                <w:spacing w:val="0"/>
                <w:position w:val="0"/>
                <w:sz w:val="24"/>
                <w:szCs w:val="24"/>
                <w:highlight w:val="none"/>
                <w:lang w:val="en-US" w:eastAsia="zh-CN"/>
              </w:rPr>
              <w:t>1</w:t>
            </w:r>
            <w:r>
              <w:rPr>
                <w:rFonts w:hint="eastAsia"/>
                <w:color w:val="auto"/>
                <w:spacing w:val="0"/>
                <w:position w:val="0"/>
                <w:sz w:val="24"/>
                <w:szCs w:val="24"/>
                <w:highlight w:val="none"/>
                <w:lang w:eastAsia="zh-CN"/>
              </w:rPr>
              <w:t>分，扣完为止，未提供不得分。（缺陷是指：与本项目采购标的无关、方案内容前后不一致、前后逻辑错误、涉及的相关规范及标准错误、地点区域错误、内容缺失、流程不清晰、制度不规范、只有简单描述无实质性内容）。</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111"/>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spacing w:val="0"/>
                <w:position w:val="0"/>
                <w:sz w:val="24"/>
                <w:szCs w:val="24"/>
                <w:highlight w:val="none"/>
              </w:rPr>
            </w:pPr>
            <w:r>
              <w:rPr>
                <w:color w:val="auto"/>
                <w:spacing w:val="0"/>
                <w:position w:val="0"/>
                <w:sz w:val="24"/>
                <w:szCs w:val="24"/>
                <w:highlight w:val="none"/>
              </w:rPr>
              <w:t>安全措施及保障</w:t>
            </w:r>
          </w:p>
        </w:tc>
        <w:tc>
          <w:tcPr>
            <w:tcW w:w="6101" w:type="dxa"/>
            <w:gridSpan w:val="2"/>
            <w:vAlign w:val="top"/>
          </w:tcPr>
          <w:p>
            <w:pPr>
              <w:pStyle w:val="111"/>
              <w:keepNext w:val="0"/>
              <w:keepLines w:val="0"/>
              <w:pageBreakBefore w:val="0"/>
              <w:kinsoku/>
              <w:wordWrap/>
              <w:overflowPunct/>
              <w:topLinePunct w:val="0"/>
              <w:autoSpaceDE/>
              <w:autoSpaceDN/>
              <w:bidi w:val="0"/>
              <w:spacing w:line="440" w:lineRule="exact"/>
              <w:jc w:val="left"/>
              <w:rPr>
                <w:rFonts w:hint="eastAsia" w:ascii="宋体" w:hAnsi="宋体" w:eastAsia="宋体" w:cs="宋体"/>
                <w:color w:val="auto"/>
                <w:spacing w:val="0"/>
                <w:position w:val="0"/>
                <w:sz w:val="24"/>
                <w:szCs w:val="24"/>
                <w:highlight w:val="none"/>
              </w:rPr>
            </w:pPr>
            <w:r>
              <w:rPr>
                <w:color w:val="auto"/>
                <w:spacing w:val="0"/>
                <w:position w:val="0"/>
                <w:sz w:val="24"/>
                <w:szCs w:val="24"/>
                <w:highlight w:val="none"/>
              </w:rPr>
              <w:t>根据投标人针对本项目的安全措施及保障内容包括</w:t>
            </w:r>
            <w:r>
              <w:rPr>
                <w:rFonts w:hint="eastAsia"/>
                <w:color w:val="auto"/>
                <w:spacing w:val="0"/>
                <w:position w:val="0"/>
                <w:sz w:val="24"/>
                <w:szCs w:val="24"/>
                <w:highlight w:val="none"/>
                <w:lang w:eastAsia="zh-CN"/>
              </w:rPr>
              <w:t>：①</w:t>
            </w:r>
            <w:r>
              <w:rPr>
                <w:color w:val="auto"/>
                <w:spacing w:val="0"/>
                <w:position w:val="0"/>
                <w:sz w:val="24"/>
                <w:szCs w:val="24"/>
                <w:highlight w:val="none"/>
              </w:rPr>
              <w:t>安全保障目标</w:t>
            </w:r>
            <w:r>
              <w:rPr>
                <w:rFonts w:hint="eastAsia"/>
                <w:color w:val="auto"/>
                <w:spacing w:val="0"/>
                <w:position w:val="0"/>
                <w:sz w:val="24"/>
                <w:szCs w:val="24"/>
                <w:highlight w:val="none"/>
                <w:lang w:eastAsia="zh-CN"/>
              </w:rPr>
              <w:t>；②</w:t>
            </w:r>
            <w:r>
              <w:rPr>
                <w:color w:val="auto"/>
                <w:spacing w:val="0"/>
                <w:position w:val="0"/>
                <w:sz w:val="24"/>
                <w:szCs w:val="24"/>
                <w:highlight w:val="none"/>
              </w:rPr>
              <w:t>安全维护方案</w:t>
            </w:r>
            <w:r>
              <w:rPr>
                <w:rFonts w:hint="eastAsia"/>
                <w:color w:val="auto"/>
                <w:spacing w:val="0"/>
                <w:position w:val="0"/>
                <w:sz w:val="24"/>
                <w:szCs w:val="24"/>
                <w:highlight w:val="none"/>
                <w:lang w:eastAsia="zh-CN"/>
              </w:rPr>
              <w:t>；③</w:t>
            </w:r>
            <w:r>
              <w:rPr>
                <w:color w:val="auto"/>
                <w:spacing w:val="0"/>
                <w:position w:val="0"/>
                <w:sz w:val="24"/>
                <w:szCs w:val="24"/>
                <w:highlight w:val="none"/>
              </w:rPr>
              <w:t>保障措施</w:t>
            </w:r>
            <w:r>
              <w:rPr>
                <w:rFonts w:hint="eastAsia"/>
                <w:color w:val="auto"/>
                <w:spacing w:val="0"/>
                <w:position w:val="0"/>
                <w:sz w:val="24"/>
                <w:szCs w:val="24"/>
                <w:highlight w:val="none"/>
                <w:lang w:eastAsia="zh-CN"/>
              </w:rPr>
              <w:t>；④</w:t>
            </w:r>
            <w:r>
              <w:rPr>
                <w:color w:val="auto"/>
                <w:spacing w:val="0"/>
                <w:position w:val="0"/>
                <w:sz w:val="24"/>
                <w:szCs w:val="24"/>
                <w:highlight w:val="none"/>
              </w:rPr>
              <w:t>保障措施涉及赛事组委会、组织机构的运动员队、官员、工作人员、裁判员、媒体、志愿者、合同商、观众所有方面，针对以上各类人员的安全维护方案）进行评审</w:t>
            </w:r>
            <w:r>
              <w:rPr>
                <w:rFonts w:hint="eastAsia"/>
                <w:color w:val="auto"/>
                <w:spacing w:val="0"/>
                <w:position w:val="0"/>
                <w:sz w:val="24"/>
                <w:szCs w:val="24"/>
                <w:highlight w:val="none"/>
                <w:lang w:eastAsia="zh-CN"/>
              </w:rPr>
              <w:t>，每有一项内容得</w:t>
            </w:r>
            <w:r>
              <w:rPr>
                <w:rFonts w:hint="eastAsia"/>
                <w:color w:val="auto"/>
                <w:spacing w:val="0"/>
                <w:position w:val="0"/>
                <w:sz w:val="24"/>
                <w:szCs w:val="24"/>
                <w:highlight w:val="none"/>
                <w:lang w:val="en-US" w:eastAsia="zh-CN"/>
              </w:rPr>
              <w:t>3</w:t>
            </w:r>
            <w:r>
              <w:rPr>
                <w:rFonts w:hint="eastAsia"/>
                <w:color w:val="auto"/>
                <w:spacing w:val="0"/>
                <w:position w:val="0"/>
                <w:sz w:val="24"/>
                <w:szCs w:val="24"/>
                <w:highlight w:val="none"/>
                <w:lang w:eastAsia="zh-CN"/>
              </w:rPr>
              <w:t>分，每小项内容存在一处缺陷的扣0-</w:t>
            </w:r>
            <w:r>
              <w:rPr>
                <w:rFonts w:hint="eastAsia"/>
                <w:color w:val="auto"/>
                <w:spacing w:val="0"/>
                <w:position w:val="0"/>
                <w:sz w:val="24"/>
                <w:szCs w:val="24"/>
                <w:highlight w:val="none"/>
                <w:lang w:val="en-US" w:eastAsia="zh-CN"/>
              </w:rPr>
              <w:t>2</w:t>
            </w:r>
            <w:r>
              <w:rPr>
                <w:rFonts w:hint="eastAsia"/>
                <w:color w:val="auto"/>
                <w:spacing w:val="0"/>
                <w:position w:val="0"/>
                <w:sz w:val="24"/>
                <w:szCs w:val="24"/>
                <w:highlight w:val="none"/>
                <w:lang w:eastAsia="zh-CN"/>
              </w:rPr>
              <w:t>分，扣完为止，未提供不得分。（缺陷是指：与本项目采购标的无关、内容前后不一致、前后逻辑错误、涉及的相关规范及标准错误、地点区域错误、内容缺失、可行性低、安全无保障、只有简单描述无实质性内容）。</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vAlign w:val="center"/>
          </w:tcPr>
          <w:p>
            <w:pPr>
              <w:pStyle w:val="111"/>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spacing w:val="0"/>
                <w:position w:val="0"/>
                <w:sz w:val="24"/>
                <w:szCs w:val="24"/>
                <w:highlight w:val="none"/>
              </w:rPr>
            </w:pPr>
            <w:r>
              <w:rPr>
                <w:color w:val="auto"/>
                <w:spacing w:val="0"/>
                <w:position w:val="0"/>
                <w:sz w:val="24"/>
                <w:szCs w:val="24"/>
                <w:highlight w:val="none"/>
              </w:rPr>
              <w:t>应急预案</w:t>
            </w:r>
          </w:p>
        </w:tc>
        <w:tc>
          <w:tcPr>
            <w:tcW w:w="6101" w:type="dxa"/>
            <w:gridSpan w:val="2"/>
            <w:vAlign w:val="top"/>
          </w:tcPr>
          <w:p>
            <w:pPr>
              <w:pStyle w:val="111"/>
              <w:keepNext w:val="0"/>
              <w:keepLines w:val="0"/>
              <w:pageBreakBefore w:val="0"/>
              <w:kinsoku/>
              <w:wordWrap/>
              <w:overflowPunct/>
              <w:topLinePunct w:val="0"/>
              <w:autoSpaceDE/>
              <w:autoSpaceDN/>
              <w:bidi w:val="0"/>
              <w:spacing w:line="440" w:lineRule="exact"/>
              <w:jc w:val="left"/>
              <w:rPr>
                <w:rFonts w:hint="eastAsia" w:ascii="宋体" w:hAnsi="宋体" w:eastAsia="宋体" w:cs="宋体"/>
                <w:color w:val="auto"/>
                <w:spacing w:val="0"/>
                <w:position w:val="0"/>
                <w:sz w:val="24"/>
                <w:szCs w:val="24"/>
                <w:highlight w:val="none"/>
              </w:rPr>
            </w:pPr>
            <w:r>
              <w:rPr>
                <w:color w:val="auto"/>
                <w:spacing w:val="0"/>
                <w:position w:val="0"/>
                <w:sz w:val="24"/>
                <w:szCs w:val="24"/>
                <w:highlight w:val="none"/>
              </w:rPr>
              <w:t>根据投标人针对本项目的应急预案包括</w:t>
            </w:r>
            <w:r>
              <w:rPr>
                <w:rFonts w:hint="eastAsia"/>
                <w:color w:val="auto"/>
                <w:spacing w:val="0"/>
                <w:position w:val="0"/>
                <w:sz w:val="24"/>
                <w:szCs w:val="24"/>
                <w:highlight w:val="none"/>
                <w:lang w:eastAsia="zh-CN"/>
              </w:rPr>
              <w:t>：①</w:t>
            </w:r>
            <w:r>
              <w:rPr>
                <w:color w:val="auto"/>
                <w:spacing w:val="0"/>
                <w:position w:val="0"/>
                <w:sz w:val="24"/>
                <w:szCs w:val="24"/>
                <w:highlight w:val="none"/>
              </w:rPr>
              <w:t>风险评估</w:t>
            </w:r>
            <w:r>
              <w:rPr>
                <w:rFonts w:hint="eastAsia"/>
                <w:color w:val="auto"/>
                <w:spacing w:val="0"/>
                <w:position w:val="0"/>
                <w:sz w:val="24"/>
                <w:szCs w:val="24"/>
                <w:highlight w:val="none"/>
                <w:lang w:eastAsia="zh-CN"/>
              </w:rPr>
              <w:t>；②</w:t>
            </w:r>
            <w:r>
              <w:rPr>
                <w:color w:val="auto"/>
                <w:spacing w:val="0"/>
                <w:position w:val="0"/>
                <w:sz w:val="24"/>
                <w:szCs w:val="24"/>
                <w:highlight w:val="none"/>
              </w:rPr>
              <w:t>逃生线路</w:t>
            </w:r>
            <w:r>
              <w:rPr>
                <w:rFonts w:hint="eastAsia"/>
                <w:color w:val="auto"/>
                <w:spacing w:val="0"/>
                <w:position w:val="0"/>
                <w:sz w:val="24"/>
                <w:szCs w:val="24"/>
                <w:highlight w:val="none"/>
                <w:lang w:eastAsia="zh-CN"/>
              </w:rPr>
              <w:t>；③</w:t>
            </w:r>
            <w:r>
              <w:rPr>
                <w:color w:val="auto"/>
                <w:spacing w:val="0"/>
                <w:position w:val="0"/>
                <w:sz w:val="24"/>
                <w:szCs w:val="24"/>
                <w:highlight w:val="none"/>
              </w:rPr>
              <w:t>应急预案处理工作计划</w:t>
            </w:r>
            <w:r>
              <w:rPr>
                <w:rFonts w:hint="eastAsia"/>
                <w:color w:val="auto"/>
                <w:spacing w:val="0"/>
                <w:position w:val="0"/>
                <w:sz w:val="24"/>
                <w:szCs w:val="24"/>
                <w:highlight w:val="none"/>
                <w:lang w:eastAsia="zh-CN"/>
              </w:rPr>
              <w:t>；④</w:t>
            </w:r>
            <w:r>
              <w:rPr>
                <w:color w:val="auto"/>
                <w:spacing w:val="0"/>
                <w:position w:val="0"/>
                <w:sz w:val="24"/>
                <w:szCs w:val="24"/>
                <w:highlight w:val="none"/>
              </w:rPr>
              <w:t>发生安全事故、治安事件后的处理预案</w:t>
            </w:r>
            <w:r>
              <w:rPr>
                <w:rFonts w:hint="eastAsia"/>
                <w:color w:val="auto"/>
                <w:spacing w:val="0"/>
                <w:position w:val="0"/>
                <w:sz w:val="24"/>
                <w:szCs w:val="24"/>
                <w:highlight w:val="none"/>
                <w:lang w:eastAsia="zh-CN"/>
              </w:rPr>
              <w:t>；每有一项内容得</w:t>
            </w:r>
            <w:r>
              <w:rPr>
                <w:rFonts w:hint="eastAsia"/>
                <w:color w:val="auto"/>
                <w:spacing w:val="0"/>
                <w:position w:val="0"/>
                <w:sz w:val="24"/>
                <w:szCs w:val="24"/>
                <w:highlight w:val="none"/>
                <w:lang w:val="en-US" w:eastAsia="zh-CN"/>
              </w:rPr>
              <w:t>2.5</w:t>
            </w:r>
            <w:r>
              <w:rPr>
                <w:rFonts w:hint="eastAsia"/>
                <w:color w:val="auto"/>
                <w:spacing w:val="0"/>
                <w:position w:val="0"/>
                <w:sz w:val="24"/>
                <w:szCs w:val="24"/>
                <w:highlight w:val="none"/>
                <w:lang w:eastAsia="zh-CN"/>
              </w:rPr>
              <w:t>分，每小项内容存在一处缺陷的扣0-</w:t>
            </w:r>
            <w:r>
              <w:rPr>
                <w:rFonts w:hint="eastAsia"/>
                <w:color w:val="auto"/>
                <w:spacing w:val="0"/>
                <w:position w:val="0"/>
                <w:sz w:val="24"/>
                <w:szCs w:val="24"/>
                <w:highlight w:val="none"/>
                <w:lang w:val="en-US" w:eastAsia="zh-CN"/>
              </w:rPr>
              <w:t>2</w:t>
            </w:r>
            <w:r>
              <w:rPr>
                <w:rFonts w:hint="eastAsia"/>
                <w:color w:val="auto"/>
                <w:spacing w:val="0"/>
                <w:position w:val="0"/>
                <w:sz w:val="24"/>
                <w:szCs w:val="24"/>
                <w:highlight w:val="none"/>
                <w:lang w:eastAsia="zh-CN"/>
              </w:rPr>
              <w:t>分，扣完为止，未提供不得分。（缺陷是指：与本项目采购标的无关、内容前后不一致、前后逻辑错误、涉及的相关规范及标准错误、地点区域错误、内容缺失不清晰、可行性低、只有简单描述无实质性内容）。</w:t>
            </w:r>
          </w:p>
        </w:tc>
        <w:tc>
          <w:tcPr>
            <w:tcW w:w="69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82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100</w:t>
            </w:r>
            <w:r>
              <w:rPr>
                <w:rFonts w:hint="eastAsia" w:ascii="宋体" w:hAnsi="宋体" w:cs="宋体"/>
                <w:color w:val="auto"/>
                <w:spacing w:val="0"/>
                <w:positio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9098" w:type="dxa"/>
            <w:gridSpan w:val="5"/>
            <w:vAlign w:val="top"/>
          </w:tcPr>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jc w:val="both"/>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注：</w:t>
            </w:r>
            <w:r>
              <w:rPr>
                <w:rFonts w:hint="eastAsia" w:ascii="宋体" w:hAnsi="宋体" w:eastAsia="宋体" w:cs="宋体"/>
                <w:color w:val="auto"/>
                <w:spacing w:val="0"/>
                <w:kern w:val="2"/>
                <w:position w:val="0"/>
                <w:sz w:val="24"/>
                <w:szCs w:val="24"/>
                <w:highlight w:val="none"/>
                <w:lang w:val="en-US" w:eastAsia="zh-CN" w:bidi="ar-SA"/>
              </w:rPr>
              <w:t xml:space="preserve"> 1、计算过程中，算术平均值保留2位小数（百分比亦取2位小数），第三位小数四舍五入。</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2"/>
                <w:position w:val="0"/>
                <w:sz w:val="24"/>
                <w:szCs w:val="24"/>
                <w:highlight w:val="none"/>
                <w:lang w:val="en-US" w:eastAsia="zh-CN" w:bidi="ar-SA"/>
              </w:rPr>
              <w:t>2、供应商的最终得分为：所有评委对其评分的算术平均值。</w:t>
            </w:r>
          </w:p>
        </w:tc>
      </w:tr>
    </w:tbl>
    <w:p>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3、评标原则</w:t>
      </w:r>
    </w:p>
    <w:p>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3.3、在任何评标环节中，需评标委员会就某项评审结论做出表决的，由评标委员会全体成员按照少数服从多数的原则，以记名投票方式表决。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4、中标人的确定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4.2、中标供应商拒绝与采购人签订合同的，采购人可以按照评审报告推荐的中标人名单排序，确定下一候选人为中标人，也可以重新开展政府采购活动。</w:t>
      </w: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pPr>
        <w:pStyle w:val="20"/>
        <w:pageBreakBefore w:val="0"/>
        <w:numPr>
          <w:ilvl w:val="0"/>
          <w:numId w:val="3"/>
        </w:numPr>
        <w:tabs>
          <w:tab w:val="left" w:pos="0"/>
        </w:tabs>
        <w:kinsoku/>
        <w:overflowPunct/>
        <w:topLinePunct w:val="0"/>
        <w:bidi w:val="0"/>
        <w:spacing w:line="36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bookmarkStart w:id="49" w:name="_Toc4589"/>
      <w:bookmarkStart w:id="50" w:name="_Toc480368418"/>
      <w:r>
        <w:rPr>
          <w:rFonts w:hint="eastAsia" w:asciiTheme="minorEastAsia" w:hAnsiTheme="minorEastAsia" w:eastAsiaTheme="minorEastAsia" w:cstheme="minorEastAsia"/>
          <w:b/>
          <w:color w:val="auto"/>
          <w:spacing w:val="0"/>
          <w:position w:val="0"/>
          <w:sz w:val="36"/>
          <w:highlight w:val="none"/>
        </w:rPr>
        <w:t xml:space="preserve">  政府采购合同</w:t>
      </w:r>
      <w:bookmarkEnd w:id="49"/>
      <w:bookmarkEnd w:id="50"/>
    </w:p>
    <w:p>
      <w:pPr>
        <w:pStyle w:val="21"/>
        <w:numPr>
          <w:numId w:val="0"/>
        </w:numPr>
        <w:jc w:val="center"/>
        <w:rPr>
          <w:rFonts w:hint="eastAsia" w:eastAsia="宋体"/>
          <w:lang w:eastAsia="zh-CN"/>
        </w:rPr>
      </w:pPr>
      <w:r>
        <w:rPr>
          <w:rFonts w:hint="eastAsia"/>
          <w:lang w:eastAsia="zh-CN"/>
        </w:rPr>
        <w:t>（</w:t>
      </w:r>
      <w:r>
        <w:rPr>
          <w:rFonts w:hint="eastAsia"/>
          <w:lang w:val="en-US" w:eastAsia="zh-CN"/>
        </w:rPr>
        <w:t>以实际签订合同为准</w:t>
      </w:r>
      <w:r>
        <w:rPr>
          <w:rFonts w:hint="eastAsia"/>
          <w:lang w:eastAsia="zh-CN"/>
        </w:rPr>
        <w:t>）</w:t>
      </w: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合同编号：</w:t>
      </w:r>
      <w:r>
        <w:rPr>
          <w:rFonts w:hint="eastAsia" w:asciiTheme="minorEastAsia" w:hAnsiTheme="minorEastAsia" w:eastAsiaTheme="minorEastAsia" w:cstheme="minorEastAsia"/>
          <w:color w:val="auto"/>
          <w:spacing w:val="0"/>
          <w:position w:val="0"/>
          <w:sz w:val="24"/>
          <w:highlight w:val="none"/>
          <w:u w:val="single"/>
        </w:rPr>
        <w:t xml:space="preserve">           </w:t>
      </w:r>
    </w:p>
    <w:p>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bookmarkStart w:id="290" w:name="_GoBack"/>
      <w:bookmarkEnd w:id="290"/>
    </w:p>
    <w:p>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44"/>
          <w:szCs w:val="44"/>
          <w:highlight w:val="none"/>
        </w:rPr>
      </w:pPr>
      <w:r>
        <w:rPr>
          <w:rFonts w:hint="eastAsia" w:asciiTheme="minorEastAsia" w:hAnsiTheme="minorEastAsia" w:eastAsiaTheme="minorEastAsia" w:cstheme="minorEastAsia"/>
          <w:b/>
          <w:color w:val="auto"/>
          <w:spacing w:val="0"/>
          <w:position w:val="0"/>
          <w:sz w:val="44"/>
          <w:szCs w:val="44"/>
          <w:highlight w:val="none"/>
        </w:rPr>
        <w:t>政府采购合同参考范本</w:t>
      </w:r>
    </w:p>
    <w:p>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（服务类）</w:t>
      </w:r>
    </w:p>
    <w:p>
      <w:pPr>
        <w:pStyle w:val="104"/>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pPr>
        <w:pStyle w:val="104"/>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pPr>
        <w:pStyle w:val="104"/>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pPr>
        <w:pStyle w:val="104"/>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pPr>
        <w:pStyle w:val="104"/>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项目名称：</w:t>
      </w:r>
      <w:r>
        <w:rPr>
          <w:rFonts w:hint="eastAsia" w:asciiTheme="minorEastAsia" w:hAnsiTheme="minorEastAsia" w:eastAsiaTheme="minorEastAsia" w:cstheme="minorEastAsia"/>
          <w:color w:val="auto"/>
          <w:spacing w:val="0"/>
          <w:position w:val="0"/>
          <w:sz w:val="24"/>
          <w:highlight w:val="none"/>
          <w:u w:val="single"/>
        </w:rPr>
        <w:t xml:space="preserve">                                   </w:t>
      </w:r>
    </w:p>
    <w:p>
      <w:pPr>
        <w:pStyle w:val="105"/>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pPr>
        <w:pStyle w:val="105"/>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甲方：</w:t>
      </w:r>
      <w:r>
        <w:rPr>
          <w:rFonts w:hint="eastAsia" w:asciiTheme="minorEastAsia" w:hAnsiTheme="minorEastAsia" w:eastAsiaTheme="minorEastAsia" w:cstheme="minorEastAsia"/>
          <w:color w:val="auto"/>
          <w:spacing w:val="0"/>
          <w:position w:val="0"/>
          <w:sz w:val="24"/>
          <w:highlight w:val="none"/>
          <w:u w:val="single"/>
        </w:rPr>
        <w:t xml:space="preserve">                                       </w:t>
      </w:r>
    </w:p>
    <w:p>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乙方：</w:t>
      </w:r>
      <w:r>
        <w:rPr>
          <w:rFonts w:hint="eastAsia" w:asciiTheme="minorEastAsia" w:hAnsiTheme="minorEastAsia" w:eastAsiaTheme="minorEastAsia" w:cstheme="minorEastAsia"/>
          <w:color w:val="auto"/>
          <w:spacing w:val="0"/>
          <w:position w:val="0"/>
          <w:sz w:val="24"/>
          <w:highlight w:val="none"/>
          <w:u w:val="single"/>
        </w:rPr>
        <w:t xml:space="preserve">                                       </w:t>
      </w:r>
    </w:p>
    <w:p>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签订地：</w:t>
      </w:r>
      <w:r>
        <w:rPr>
          <w:rFonts w:hint="eastAsia" w:asciiTheme="minorEastAsia" w:hAnsiTheme="minorEastAsia" w:eastAsiaTheme="minorEastAsia" w:cstheme="minorEastAsia"/>
          <w:color w:val="auto"/>
          <w:spacing w:val="0"/>
          <w:position w:val="0"/>
          <w:sz w:val="24"/>
          <w:highlight w:val="none"/>
          <w:u w:val="single"/>
        </w:rPr>
        <w:t xml:space="preserve">                                     </w:t>
      </w:r>
    </w:p>
    <w:p>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签订日期：</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年</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月</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日</w:t>
      </w:r>
    </w:p>
    <w:p>
      <w:pPr>
        <w:pageBreakBefore w:val="0"/>
        <w:kinsoku/>
        <w:overflowPunct/>
        <w:topLinePunct w:val="0"/>
        <w:autoSpaceDE w:val="0"/>
        <w:autoSpaceDN w:val="0"/>
        <w:bidi w:val="0"/>
        <w:adjustRightInd w:val="0"/>
        <w:spacing w:line="600" w:lineRule="exact"/>
        <w:ind w:firstLine="640"/>
        <w:jc w:val="center"/>
        <w:rPr>
          <w:rFonts w:hint="eastAsia" w:asciiTheme="minorEastAsia" w:hAnsiTheme="minorEastAsia" w:eastAsiaTheme="minorEastAsia" w:cstheme="minorEastAsia"/>
          <w:color w:val="auto"/>
          <w:spacing w:val="0"/>
          <w:position w:val="0"/>
          <w:sz w:val="24"/>
          <w:highlight w:val="none"/>
        </w:rPr>
        <w:sectPr>
          <w:footerReference r:id="rId6" w:type="default"/>
          <w:pgSz w:w="11907" w:h="16840"/>
          <w:pgMar w:top="1474" w:right="1814" w:bottom="1474" w:left="1814" w:header="851" w:footer="851" w:gutter="0"/>
          <w:pgNumType w:start="1"/>
          <w:cols w:space="720" w:num="1"/>
          <w:docGrid w:linePitch="462" w:charSpace="0"/>
        </w:sectPr>
      </w:pPr>
    </w:p>
    <w:p>
      <w:pPr>
        <w:pStyle w:val="104"/>
        <w:pageBreakBefore w:val="0"/>
        <w:kinsoku/>
        <w:overflowPunct/>
        <w:topLinePunct w:val="0"/>
        <w:bidi w:val="0"/>
        <w:ind w:firstLine="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第一部分 合同书</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年</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月</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日</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rPr>
        <w:t>以</w:t>
      </w:r>
      <w:r>
        <w:rPr>
          <w:rFonts w:hint="eastAsia" w:asciiTheme="minorEastAsia" w:hAnsiTheme="minorEastAsia" w:eastAsiaTheme="minorEastAsia" w:cstheme="minorEastAsia"/>
          <w:color w:val="auto"/>
          <w:spacing w:val="0"/>
          <w:position w:val="0"/>
          <w:sz w:val="24"/>
          <w:szCs w:val="24"/>
          <w:highlight w:val="none"/>
          <w:u w:val="single"/>
        </w:rPr>
        <w:t xml:space="preserve">   （政府采购方式）  </w:t>
      </w:r>
      <w:r>
        <w:rPr>
          <w:rFonts w:hint="eastAsia" w:asciiTheme="minorEastAsia" w:hAnsiTheme="minorEastAsia" w:eastAsiaTheme="minorEastAsia" w:cstheme="minorEastAsia"/>
          <w:color w:val="auto"/>
          <w:spacing w:val="0"/>
          <w:position w:val="0"/>
          <w:sz w:val="24"/>
          <w:szCs w:val="24"/>
          <w:highlight w:val="none"/>
        </w:rPr>
        <w:t>对</w:t>
      </w:r>
      <w:r>
        <w:rPr>
          <w:rFonts w:hint="eastAsia" w:asciiTheme="minorEastAsia" w:hAnsiTheme="minorEastAsia" w:eastAsiaTheme="minorEastAsia" w:cstheme="minorEastAsia"/>
          <w:color w:val="auto"/>
          <w:spacing w:val="0"/>
          <w:position w:val="0"/>
          <w:sz w:val="24"/>
          <w:szCs w:val="24"/>
          <w:highlight w:val="none"/>
          <w:u w:val="single"/>
        </w:rPr>
        <w:t xml:space="preserve">   （同前页项目名称）   </w:t>
      </w:r>
      <w:r>
        <w:rPr>
          <w:rFonts w:hint="eastAsia" w:asciiTheme="minorEastAsia" w:hAnsiTheme="minorEastAsia" w:eastAsiaTheme="minorEastAsia" w:cstheme="minorEastAsia"/>
          <w:color w:val="auto"/>
          <w:spacing w:val="0"/>
          <w:position w:val="0"/>
          <w:sz w:val="24"/>
          <w:szCs w:val="24"/>
          <w:highlight w:val="none"/>
        </w:rPr>
        <w:t>项目进行了采购。经</w:t>
      </w:r>
      <w:r>
        <w:rPr>
          <w:rFonts w:hint="eastAsia" w:asciiTheme="minorEastAsia" w:hAnsiTheme="minorEastAsia" w:eastAsiaTheme="minorEastAsia" w:cstheme="minorEastAsia"/>
          <w:color w:val="auto"/>
          <w:spacing w:val="0"/>
          <w:position w:val="0"/>
          <w:sz w:val="24"/>
          <w:szCs w:val="24"/>
          <w:highlight w:val="none"/>
          <w:u w:val="single"/>
        </w:rPr>
        <w:t xml:space="preserve">   （相关评定主体名称）   </w:t>
      </w:r>
      <w:r>
        <w:rPr>
          <w:rFonts w:hint="eastAsia" w:asciiTheme="minorEastAsia" w:hAnsiTheme="minorEastAsia" w:eastAsiaTheme="minorEastAsia" w:cstheme="minorEastAsia"/>
          <w:color w:val="auto"/>
          <w:spacing w:val="0"/>
          <w:position w:val="0"/>
          <w:sz w:val="24"/>
          <w:szCs w:val="24"/>
          <w:highlight w:val="none"/>
        </w:rPr>
        <w:t>评定，</w:t>
      </w:r>
      <w:r>
        <w:rPr>
          <w:rFonts w:hint="eastAsia" w:asciiTheme="minorEastAsia" w:hAnsiTheme="minorEastAsia" w:eastAsiaTheme="minorEastAsia" w:cstheme="minorEastAsia"/>
          <w:color w:val="auto"/>
          <w:spacing w:val="0"/>
          <w:position w:val="0"/>
          <w:sz w:val="24"/>
          <w:szCs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szCs w:val="24"/>
          <w:highlight w:val="none"/>
        </w:rPr>
        <w:t>为该项目中标供应商。现于中标通知书发出之日起三十日内，按照采购文件确定的事项签订本合同。</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lang w:val="zh-CN"/>
        </w:rPr>
        <w:t>(以下简称：甲方)和</w:t>
      </w:r>
      <w:r>
        <w:rPr>
          <w:rFonts w:hint="eastAsia" w:asciiTheme="minorEastAsia" w:hAnsiTheme="minorEastAsia" w:eastAsiaTheme="minorEastAsia" w:cstheme="minorEastAsia"/>
          <w:color w:val="auto"/>
          <w:spacing w:val="0"/>
          <w:position w:val="0"/>
          <w:sz w:val="24"/>
          <w:szCs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szCs w:val="24"/>
          <w:highlight w:val="none"/>
          <w:lang w:val="zh-CN"/>
        </w:rPr>
        <w:t>(以下简称：乙方)协商一致，约定以下合同</w:t>
      </w:r>
      <w:r>
        <w:rPr>
          <w:rFonts w:hint="eastAsia" w:asciiTheme="minorEastAsia" w:hAnsiTheme="minorEastAsia" w:eastAsiaTheme="minorEastAsia" w:cstheme="minorEastAsia"/>
          <w:color w:val="auto"/>
          <w:spacing w:val="0"/>
          <w:position w:val="0"/>
          <w:sz w:val="24"/>
          <w:szCs w:val="24"/>
          <w:highlight w:val="none"/>
        </w:rPr>
        <w:t>条款，以兹共同遵守、全面履行。</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rPr>
      </w:pPr>
      <w:bookmarkStart w:id="51" w:name="_Toc15367"/>
      <w:bookmarkStart w:id="52" w:name="_Toc28855"/>
      <w:bookmarkStart w:id="53" w:name="_Toc31100"/>
      <w:bookmarkStart w:id="54" w:name="_Toc20421"/>
      <w:bookmarkStart w:id="55" w:name="_Toc22967"/>
      <w:bookmarkStart w:id="56" w:name="_Toc19273"/>
      <w:r>
        <w:rPr>
          <w:rFonts w:hint="eastAsia" w:asciiTheme="minorEastAsia" w:hAnsiTheme="minorEastAsia" w:eastAsiaTheme="minorEastAsia" w:cstheme="minorEastAsia"/>
          <w:b/>
          <w:color w:val="auto"/>
          <w:spacing w:val="0"/>
          <w:position w:val="0"/>
          <w:sz w:val="24"/>
          <w:szCs w:val="24"/>
          <w:highlight w:val="none"/>
        </w:rPr>
        <w:t>1.1 合同组成部分</w:t>
      </w:r>
      <w:bookmarkEnd w:id="51"/>
      <w:bookmarkEnd w:id="52"/>
      <w:bookmarkEnd w:id="53"/>
      <w:bookmarkEnd w:id="54"/>
      <w:bookmarkEnd w:id="55"/>
      <w:bookmarkEnd w:id="56"/>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1.1.1 本合同及其补充合同、变更协议；</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1.1.2 中标通知书；</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1.1.3 投标文件（含澄清或者说明文件）；</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1.1.4 招标文件（含澄清或者修改文件）；</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1.1.5 其他相关采购文件。</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57" w:name="_Toc6311"/>
      <w:bookmarkStart w:id="58" w:name="_Toc26280"/>
      <w:bookmarkStart w:id="59" w:name="_Toc22185"/>
      <w:bookmarkStart w:id="60" w:name="_Toc18585"/>
      <w:bookmarkStart w:id="61" w:name="_Toc6773"/>
      <w:bookmarkStart w:id="62" w:name="_Toc2918"/>
      <w:r>
        <w:rPr>
          <w:rFonts w:hint="eastAsia" w:asciiTheme="minorEastAsia" w:hAnsiTheme="minorEastAsia" w:eastAsiaTheme="minorEastAsia" w:cstheme="minorEastAsia"/>
          <w:b/>
          <w:color w:val="auto"/>
          <w:spacing w:val="0"/>
          <w:position w:val="0"/>
          <w:sz w:val="24"/>
          <w:szCs w:val="24"/>
          <w:highlight w:val="none"/>
        </w:rPr>
        <w:t>1.2 标的</w:t>
      </w:r>
      <w:bookmarkEnd w:id="57"/>
      <w:bookmarkEnd w:id="58"/>
      <w:bookmarkEnd w:id="59"/>
      <w:bookmarkEnd w:id="60"/>
      <w:bookmarkEnd w:id="61"/>
      <w:bookmarkEnd w:id="62"/>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1.2.1 标的名称：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1.2.2 标的数量：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 标的质量：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63" w:name="_Toc21124"/>
      <w:bookmarkStart w:id="64" w:name="_Toc16905"/>
      <w:bookmarkStart w:id="65" w:name="_Toc1386"/>
      <w:bookmarkStart w:id="66" w:name="_Toc13918"/>
      <w:bookmarkStart w:id="67" w:name="_Toc5635"/>
      <w:bookmarkStart w:id="68" w:name="_Toc4929"/>
      <w:r>
        <w:rPr>
          <w:rFonts w:hint="eastAsia" w:asciiTheme="minorEastAsia" w:hAnsiTheme="minorEastAsia" w:eastAsiaTheme="minorEastAsia" w:cstheme="minorEastAsia"/>
          <w:b/>
          <w:color w:val="auto"/>
          <w:spacing w:val="0"/>
          <w:position w:val="0"/>
          <w:sz w:val="24"/>
          <w:szCs w:val="24"/>
          <w:highlight w:val="none"/>
        </w:rPr>
        <w:t>1.3 价款</w:t>
      </w:r>
      <w:bookmarkEnd w:id="63"/>
      <w:bookmarkEnd w:id="64"/>
      <w:bookmarkEnd w:id="65"/>
      <w:bookmarkEnd w:id="66"/>
      <w:bookmarkEnd w:id="67"/>
      <w:bookmarkEnd w:id="68"/>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本合同总价为：￥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元（大写：</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元人民币）。</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899"/>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pPr>
              <w:pStyle w:val="106"/>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序号</w:t>
            </w:r>
          </w:p>
        </w:tc>
        <w:tc>
          <w:tcPr>
            <w:tcW w:w="3899"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分项名称</w:t>
            </w:r>
          </w:p>
        </w:tc>
        <w:tc>
          <w:tcPr>
            <w:tcW w:w="2924" w:type="dxa"/>
            <w:noWrap w:val="0"/>
            <w:vAlign w:val="center"/>
          </w:tcPr>
          <w:p>
            <w:pPr>
              <w:pStyle w:val="106"/>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74" w:type="dxa"/>
            <w:gridSpan w:val="2"/>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总价</w:t>
            </w:r>
          </w:p>
        </w:tc>
        <w:tc>
          <w:tcPr>
            <w:tcW w:w="2924" w:type="dxa"/>
            <w:noWrap w:val="0"/>
            <w:vAlign w:val="center"/>
          </w:tcPr>
          <w:p>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bl>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69" w:name="_Toc30158"/>
      <w:bookmarkStart w:id="70" w:name="_Toc26916"/>
      <w:bookmarkStart w:id="71" w:name="_Toc12326"/>
      <w:bookmarkStart w:id="72" w:name="_Toc30506"/>
      <w:bookmarkStart w:id="73" w:name="_Toc3654"/>
      <w:bookmarkStart w:id="74" w:name="_Toc14993"/>
      <w:r>
        <w:rPr>
          <w:rFonts w:hint="eastAsia" w:asciiTheme="minorEastAsia" w:hAnsiTheme="minorEastAsia" w:eastAsiaTheme="minorEastAsia" w:cstheme="minorEastAsia"/>
          <w:b/>
          <w:color w:val="auto"/>
          <w:spacing w:val="0"/>
          <w:position w:val="0"/>
          <w:sz w:val="24"/>
          <w:szCs w:val="24"/>
          <w:highlight w:val="none"/>
        </w:rPr>
        <w:t>1.4 付款方式和发票开具方式</w:t>
      </w:r>
      <w:bookmarkEnd w:id="69"/>
      <w:bookmarkEnd w:id="70"/>
      <w:bookmarkEnd w:id="71"/>
      <w:bookmarkEnd w:id="72"/>
      <w:bookmarkEnd w:id="73"/>
      <w:bookmarkEnd w:id="74"/>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1.4.1付款方式：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1.4.2 发票开具方式：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75" w:name="_Toc3625"/>
      <w:bookmarkStart w:id="76" w:name="_Toc27202"/>
      <w:bookmarkStart w:id="77" w:name="_Toc31421"/>
      <w:bookmarkStart w:id="78" w:name="_Toc8772"/>
      <w:bookmarkStart w:id="79" w:name="_Toc11108"/>
      <w:bookmarkStart w:id="80" w:name="_Toc4760"/>
      <w:r>
        <w:rPr>
          <w:rFonts w:hint="eastAsia" w:asciiTheme="minorEastAsia" w:hAnsiTheme="minorEastAsia" w:eastAsiaTheme="minorEastAsia" w:cstheme="minorEastAsia"/>
          <w:b/>
          <w:color w:val="auto"/>
          <w:spacing w:val="0"/>
          <w:position w:val="0"/>
          <w:sz w:val="24"/>
          <w:szCs w:val="24"/>
          <w:highlight w:val="none"/>
        </w:rPr>
        <w:t>1.5 履行期限、地点和方式</w:t>
      </w:r>
      <w:bookmarkEnd w:id="75"/>
      <w:bookmarkEnd w:id="76"/>
      <w:bookmarkEnd w:id="77"/>
      <w:bookmarkEnd w:id="78"/>
      <w:bookmarkEnd w:id="79"/>
      <w:bookmarkEnd w:id="80"/>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1.5.1 履行期限：</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1.5.2 履行地点：</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1.5.3 履行方式：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u w:val="single"/>
        </w:rPr>
      </w:pPr>
      <w:bookmarkStart w:id="81" w:name="_Toc3079"/>
      <w:bookmarkStart w:id="82" w:name="_Toc8586"/>
      <w:bookmarkStart w:id="83" w:name="_Toc2375"/>
      <w:bookmarkStart w:id="84" w:name="_Toc24662"/>
      <w:bookmarkStart w:id="85" w:name="_Toc5698"/>
      <w:bookmarkStart w:id="86" w:name="_Toc24329"/>
      <w:r>
        <w:rPr>
          <w:rFonts w:hint="eastAsia" w:asciiTheme="minorEastAsia" w:hAnsiTheme="minorEastAsia" w:eastAsiaTheme="minorEastAsia" w:cstheme="minorEastAsia"/>
          <w:b/>
          <w:color w:val="auto"/>
          <w:spacing w:val="0"/>
          <w:position w:val="0"/>
          <w:sz w:val="24"/>
          <w:szCs w:val="24"/>
          <w:highlight w:val="none"/>
        </w:rPr>
        <w:t>1.6 违约责任</w:t>
      </w:r>
      <w:bookmarkEnd w:id="81"/>
      <w:bookmarkEnd w:id="82"/>
      <w:bookmarkEnd w:id="83"/>
      <w:bookmarkEnd w:id="84"/>
      <w:bookmarkEnd w:id="85"/>
      <w:bookmarkEnd w:id="86"/>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%；迟延履行的违约金计算数额达到前述最高限额之日起，甲方有权在要求乙方支付违约金的同时，书面通知乙方解除本合同；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87" w:name="_Toc18683"/>
      <w:bookmarkStart w:id="88" w:name="_Toc26807"/>
      <w:bookmarkStart w:id="89" w:name="_Toc32454"/>
      <w:bookmarkStart w:id="90" w:name="_Toc17937"/>
      <w:bookmarkStart w:id="91" w:name="_Toc9497"/>
      <w:bookmarkStart w:id="92" w:name="_Toc30329"/>
      <w:r>
        <w:rPr>
          <w:rFonts w:hint="eastAsia" w:asciiTheme="minorEastAsia" w:hAnsiTheme="minorEastAsia" w:eastAsiaTheme="minorEastAsia" w:cstheme="minorEastAsia"/>
          <w:b/>
          <w:color w:val="auto"/>
          <w:spacing w:val="0"/>
          <w:position w:val="0"/>
          <w:sz w:val="24"/>
          <w:szCs w:val="24"/>
          <w:highlight w:val="none"/>
        </w:rPr>
        <w:t>1.7 合同争议的解决</w:t>
      </w:r>
      <w:bookmarkEnd w:id="87"/>
      <w:bookmarkEnd w:id="88"/>
      <w:bookmarkEnd w:id="89"/>
      <w:bookmarkEnd w:id="90"/>
      <w:bookmarkEnd w:id="91"/>
      <w:bookmarkEnd w:id="92"/>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种方式解决：</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1.7.1 将争议提交</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仲裁委员会依申请仲裁时其现行有效的仲裁规则裁决；</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1.7.2 向</w:t>
      </w:r>
      <w:r>
        <w:rPr>
          <w:rFonts w:hint="eastAsia" w:asciiTheme="minorEastAsia" w:hAnsiTheme="minorEastAsia" w:eastAsiaTheme="minorEastAsia" w:cstheme="minorEastAsia"/>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pacing w:val="0"/>
          <w:position w:val="0"/>
          <w:sz w:val="24"/>
          <w:szCs w:val="24"/>
          <w:highlight w:val="none"/>
        </w:rPr>
        <w:t>人民法院起诉。</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93" w:name="_Toc26227"/>
      <w:bookmarkStart w:id="94" w:name="_Toc29909"/>
      <w:bookmarkStart w:id="95" w:name="_Toc16417"/>
      <w:bookmarkStart w:id="96" w:name="_Toc23784"/>
      <w:bookmarkStart w:id="97" w:name="_Toc12273"/>
      <w:bookmarkStart w:id="98" w:name="_Toc15827"/>
      <w:r>
        <w:rPr>
          <w:rFonts w:hint="eastAsia" w:asciiTheme="minorEastAsia" w:hAnsiTheme="minorEastAsia" w:eastAsiaTheme="minorEastAsia" w:cstheme="minorEastAsia"/>
          <w:b/>
          <w:color w:val="auto"/>
          <w:spacing w:val="0"/>
          <w:position w:val="0"/>
          <w:sz w:val="24"/>
          <w:szCs w:val="24"/>
          <w:highlight w:val="none"/>
        </w:rPr>
        <w:t>1.8 合同生效</w:t>
      </w:r>
      <w:bookmarkEnd w:id="93"/>
      <w:bookmarkEnd w:id="94"/>
      <w:bookmarkEnd w:id="95"/>
      <w:bookmarkEnd w:id="96"/>
      <w:bookmarkEnd w:id="97"/>
      <w:bookmarkEnd w:id="98"/>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本合同自双方当事人盖章或者签字时生效。</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b/>
          <w:color w:val="auto"/>
          <w:spacing w:val="0"/>
          <w:position w:val="0"/>
          <w:sz w:val="24"/>
          <w:szCs w:val="24"/>
          <w:highlight w:val="none"/>
          <w:lang w:val="zh-CN"/>
        </w:rPr>
        <w:t>甲方</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b/>
          <w:color w:val="auto"/>
          <w:spacing w:val="0"/>
          <w:position w:val="0"/>
          <w:sz w:val="24"/>
          <w:szCs w:val="24"/>
          <w:highlight w:val="none"/>
          <w:lang w:val="zh-CN"/>
        </w:rPr>
        <w:t xml:space="preserve">      乙方</w:t>
      </w:r>
      <w:r>
        <w:rPr>
          <w:rFonts w:hint="eastAsia" w:asciiTheme="minorEastAsia" w:hAnsiTheme="minorEastAsia" w:eastAsiaTheme="minorEastAsia" w:cstheme="minorEastAsia"/>
          <w:color w:val="auto"/>
          <w:spacing w:val="0"/>
          <w:position w:val="0"/>
          <w:sz w:val="24"/>
          <w:szCs w:val="24"/>
          <w:highlight w:val="none"/>
          <w:lang w:val="zh-CN"/>
        </w:rPr>
        <w:t>：</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住所：                                   住所：</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法定代表人或                             法定代表人</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授权代表（签字）：                        或授权代表（签字）: </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联系人：                                 联系人：</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约定送达地址：                           约定送达地址：</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邮政编码：                               邮政编码：</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电话:                                    电话: </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传真:                                    传真:</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电子邮箱：                               电子邮箱：</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开户银行：                               开户银行： </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开户名称：                               开户名称： </w:t>
      </w:r>
    </w:p>
    <w:p>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开户账号：</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color w:val="auto"/>
          <w:spacing w:val="0"/>
          <w:position w:val="0"/>
          <w:sz w:val="24"/>
          <w:szCs w:val="24"/>
          <w:highlight w:val="none"/>
        </w:rPr>
        <w:t>开户账号：</w:t>
      </w:r>
    </w:p>
    <w:p>
      <w:pPr>
        <w:pStyle w:val="13"/>
        <w:keepNext w:val="0"/>
        <w:keepLines w:val="0"/>
        <w:pageBreakBefore w:val="0"/>
        <w:kinsoku/>
        <w:wordWrap/>
        <w:overflowPunct/>
        <w:topLinePunct w:val="0"/>
        <w:bidi w:val="0"/>
        <w:snapToGrid/>
        <w:spacing w:before="0" w:line="440" w:lineRule="exact"/>
        <w:rPr>
          <w:rFonts w:hint="eastAsia" w:asciiTheme="minorEastAsia" w:hAnsiTheme="minorEastAsia" w:eastAsiaTheme="minorEastAsia" w:cstheme="minorEastAsia"/>
          <w:color w:val="auto"/>
          <w:spacing w:val="0"/>
          <w:position w:val="0"/>
          <w:sz w:val="24"/>
          <w:szCs w:val="24"/>
          <w:highlight w:val="none"/>
        </w:rPr>
      </w:pPr>
      <w:bookmarkStart w:id="99" w:name="_Toc331685783"/>
    </w:p>
    <w:p>
      <w:pPr>
        <w:keepNext w:val="0"/>
        <w:keepLines w:val="0"/>
        <w:pageBreakBefore w:val="0"/>
        <w:widowControl/>
        <w:kinsoku/>
        <w:wordWrap/>
        <w:overflowPunct/>
        <w:topLinePunct w:val="0"/>
        <w:bidi w:val="0"/>
        <w:snapToGrid/>
        <w:spacing w:line="440" w:lineRule="exact"/>
        <w:jc w:val="left"/>
        <w:rPr>
          <w:rFonts w:hint="eastAsia" w:asciiTheme="minorEastAsia" w:hAnsiTheme="minorEastAsia" w:eastAsiaTheme="minorEastAsia" w:cstheme="minorEastAsia"/>
          <w:b/>
          <w:color w:val="auto"/>
          <w:spacing w:val="0"/>
          <w:kern w:val="0"/>
          <w:position w:val="0"/>
          <w:sz w:val="24"/>
          <w:szCs w:val="24"/>
          <w:highlight w:val="none"/>
        </w:rPr>
      </w:pPr>
    </w:p>
    <w:p>
      <w:pPr>
        <w:pStyle w:val="104"/>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第二部分 合同一般条款</w:t>
      </w:r>
      <w:bookmarkEnd w:id="99"/>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00" w:name="_Toc14021"/>
      <w:bookmarkStart w:id="101" w:name="_Toc19680"/>
      <w:bookmarkStart w:id="102" w:name="_Ref467378463"/>
      <w:bookmarkStart w:id="103" w:name="_Toc25079"/>
      <w:bookmarkStart w:id="104" w:name="_Ref467379195"/>
      <w:bookmarkStart w:id="105" w:name="_Ref467379109"/>
      <w:bookmarkStart w:id="106" w:name="_Toc487900349"/>
      <w:bookmarkStart w:id="107" w:name="_Ref467379205"/>
      <w:bookmarkStart w:id="108" w:name="_Ref467378499"/>
      <w:bookmarkStart w:id="109" w:name="_Toc24871"/>
      <w:bookmarkStart w:id="110" w:name="_Toc259093669"/>
      <w:bookmarkStart w:id="111" w:name="_Ref467379101"/>
      <w:bookmarkStart w:id="112" w:name="_Ref467379214"/>
      <w:bookmarkStart w:id="113" w:name="_Toc5228"/>
      <w:bookmarkStart w:id="114" w:name="_Ref467378404"/>
      <w:bookmarkStart w:id="115" w:name="_Toc279701240"/>
      <w:bookmarkStart w:id="116" w:name="_Toc31297"/>
      <w:bookmarkStart w:id="117" w:name="_Ref467379225"/>
      <w:bookmarkStart w:id="118" w:name="_Ref467379094"/>
      <w:r>
        <w:rPr>
          <w:rFonts w:hint="eastAsia" w:asciiTheme="minorEastAsia" w:hAnsiTheme="minorEastAsia" w:eastAsiaTheme="minorEastAsia" w:cstheme="minorEastAsia"/>
          <w:b/>
          <w:color w:val="auto"/>
          <w:spacing w:val="0"/>
          <w:position w:val="0"/>
          <w:sz w:val="24"/>
          <w:szCs w:val="24"/>
          <w:highlight w:val="none"/>
        </w:rPr>
        <w:t>2.1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本合同中的下列词语应按以下内容进行解释：</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2.1.3 “服务”系指中标供应商根据合同约定应向采购人履行的除货物和工程以外的其他政府采购对象，包括采购人自身需要的服务和向社会公众提供的公共服务。</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19" w:name="_Ref467378840"/>
      <w:r>
        <w:rPr>
          <w:rFonts w:hint="eastAsia" w:asciiTheme="minorEastAsia" w:hAnsiTheme="minorEastAsia" w:eastAsiaTheme="minorEastAsia" w:cstheme="minorEastAsia"/>
          <w:color w:val="auto"/>
          <w:spacing w:val="0"/>
          <w:position w:val="0"/>
          <w:sz w:val="24"/>
          <w:szCs w:val="24"/>
          <w:highlight w:val="none"/>
        </w:rPr>
        <w:t>2.1.4 “甲方”系指与中标供应商签署合同的采购人</w:t>
      </w:r>
      <w:bookmarkEnd w:id="119"/>
      <w:r>
        <w:rPr>
          <w:rFonts w:hint="eastAsia" w:asciiTheme="minorEastAsia" w:hAnsiTheme="minorEastAsia" w:eastAsiaTheme="minorEastAsia" w:cstheme="minorEastAsia"/>
          <w:color w:val="auto"/>
          <w:spacing w:val="0"/>
          <w:position w:val="0"/>
          <w:sz w:val="24"/>
          <w:szCs w:val="24"/>
          <w:highlight w:val="none"/>
        </w:rPr>
        <w:t>；采购人委托采购代理机构代表其与乙方签订合同的，采购人的授权委托书作为合同附件。</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20" w:name="_Ref467379400"/>
      <w:r>
        <w:rPr>
          <w:rFonts w:hint="eastAsia" w:asciiTheme="minorEastAsia" w:hAnsiTheme="minorEastAsia" w:eastAsiaTheme="minorEastAsia" w:cstheme="minorEastAsia"/>
          <w:color w:val="auto"/>
          <w:spacing w:val="0"/>
          <w:position w:val="0"/>
          <w:sz w:val="24"/>
          <w:szCs w:val="24"/>
          <w:highlight w:val="none"/>
        </w:rPr>
        <w:t>2.1.5 “乙方”系指根据合同约定提供服务的中标供应商</w:t>
      </w:r>
      <w:bookmarkEnd w:id="120"/>
      <w:r>
        <w:rPr>
          <w:rFonts w:hint="eastAsia" w:asciiTheme="minorEastAsia" w:hAnsiTheme="minorEastAsia" w:eastAsiaTheme="minorEastAsia" w:cstheme="minorEastAsia"/>
          <w:color w:val="auto"/>
          <w:spacing w:val="0"/>
          <w:position w:val="0"/>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21" w:name="_Ref467379436"/>
      <w:r>
        <w:rPr>
          <w:rFonts w:hint="eastAsia" w:asciiTheme="minorEastAsia" w:hAnsiTheme="minorEastAsia" w:eastAsiaTheme="minorEastAsia" w:cstheme="minorEastAsia"/>
          <w:color w:val="auto"/>
          <w:spacing w:val="0"/>
          <w:position w:val="0"/>
          <w:sz w:val="24"/>
          <w:szCs w:val="24"/>
          <w:highlight w:val="none"/>
        </w:rPr>
        <w:t>2.1.6 “现场”系指合同约定提供服务的地点。</w:t>
      </w:r>
      <w:bookmarkEnd w:id="121"/>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22" w:name="_Toc19539"/>
      <w:bookmarkStart w:id="123" w:name="_Toc1478"/>
      <w:bookmarkStart w:id="124" w:name="_Toc279701241"/>
      <w:bookmarkStart w:id="125" w:name="_Toc16752"/>
      <w:bookmarkStart w:id="126" w:name="_Toc487900350"/>
      <w:bookmarkStart w:id="127" w:name="_Toc23289"/>
      <w:bookmarkStart w:id="128" w:name="_Toc259093670"/>
      <w:bookmarkStart w:id="129" w:name="_Toc31402"/>
      <w:bookmarkStart w:id="130" w:name="_Toc3769"/>
      <w:r>
        <w:rPr>
          <w:rFonts w:hint="eastAsia" w:asciiTheme="minorEastAsia" w:hAnsiTheme="minorEastAsia" w:eastAsiaTheme="minorEastAsia" w:cstheme="minorEastAsia"/>
          <w:b/>
          <w:color w:val="auto"/>
          <w:spacing w:val="0"/>
          <w:position w:val="0"/>
          <w:sz w:val="24"/>
          <w:szCs w:val="24"/>
          <w:highlight w:val="none"/>
        </w:rPr>
        <w:t>2.2 技术规范</w:t>
      </w:r>
      <w:bookmarkEnd w:id="122"/>
      <w:bookmarkEnd w:id="123"/>
      <w:bookmarkEnd w:id="124"/>
      <w:bookmarkEnd w:id="125"/>
      <w:bookmarkEnd w:id="126"/>
      <w:bookmarkEnd w:id="127"/>
      <w:bookmarkEnd w:id="128"/>
      <w:bookmarkEnd w:id="129"/>
      <w:bookmarkEnd w:id="130"/>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31" w:name="_Toc27945"/>
      <w:bookmarkStart w:id="132" w:name="_Toc9161"/>
      <w:bookmarkStart w:id="133" w:name="_Toc259093671"/>
      <w:bookmarkStart w:id="134" w:name="_Toc8408"/>
      <w:bookmarkStart w:id="135" w:name="_Toc487900351"/>
      <w:bookmarkStart w:id="136" w:name="_Toc279701242"/>
      <w:bookmarkStart w:id="137" w:name="_Toc13673"/>
      <w:bookmarkStart w:id="138" w:name="_Toc12412"/>
      <w:bookmarkStart w:id="139" w:name="_Toc4133"/>
      <w:r>
        <w:rPr>
          <w:rFonts w:hint="eastAsia" w:asciiTheme="minorEastAsia" w:hAnsiTheme="minorEastAsia" w:eastAsiaTheme="minorEastAsia" w:cstheme="minorEastAsia"/>
          <w:b/>
          <w:color w:val="auto"/>
          <w:spacing w:val="0"/>
          <w:position w:val="0"/>
          <w:sz w:val="24"/>
          <w:szCs w:val="24"/>
          <w:highlight w:val="none"/>
        </w:rPr>
        <w:t>2.3 知识产权</w:t>
      </w:r>
      <w:bookmarkEnd w:id="131"/>
      <w:bookmarkEnd w:id="132"/>
      <w:bookmarkEnd w:id="133"/>
      <w:bookmarkEnd w:id="134"/>
      <w:bookmarkEnd w:id="135"/>
      <w:bookmarkEnd w:id="136"/>
      <w:bookmarkEnd w:id="137"/>
      <w:bookmarkEnd w:id="138"/>
      <w:bookmarkEnd w:id="139"/>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 合同涉及技术成果的归属和收益的分成办法的，详见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2.4 履约检查和问题反馈</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40" w:name="_Ref467379657"/>
      <w:r>
        <w:rPr>
          <w:rFonts w:hint="eastAsia" w:asciiTheme="minorEastAsia" w:hAnsiTheme="minorEastAsia" w:eastAsiaTheme="minorEastAsia" w:cstheme="minorEastAsia"/>
          <w:color w:val="auto"/>
          <w:spacing w:val="0"/>
          <w:position w:val="0"/>
          <w:sz w:val="24"/>
          <w:szCs w:val="24"/>
          <w:highlight w:val="none"/>
        </w:rPr>
        <w:t>2.4.1</w:t>
      </w:r>
      <w:bookmarkEnd w:id="140"/>
      <w:bookmarkStart w:id="141" w:name="_Toc186431854"/>
      <w:bookmarkStart w:id="142" w:name="_Ref467379807"/>
      <w:bookmarkStart w:id="143" w:name="_Toc259093676"/>
      <w:bookmarkStart w:id="144" w:name="_Toc487900357"/>
      <w:bookmarkStart w:id="145" w:name="_Toc279701247"/>
      <w:bookmarkStart w:id="146" w:name="_Ref467379793"/>
      <w:r>
        <w:rPr>
          <w:rFonts w:hint="eastAsia" w:asciiTheme="minorEastAsia" w:hAnsiTheme="minorEastAsia" w:eastAsiaTheme="minorEastAsia" w:cstheme="minorEastAsia"/>
          <w:color w:val="auto"/>
          <w:spacing w:val="0"/>
          <w:position w:val="0"/>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2.4.2 合同履行期间，甲方有权将履行过程中出现的问题反馈给乙方，双方当事人应以书面形式约定需要完善和改进的内容</w:t>
      </w:r>
      <w:bookmarkEnd w:id="141"/>
      <w:bookmarkStart w:id="147" w:name="_Toc186431855"/>
      <w:r>
        <w:rPr>
          <w:rFonts w:hint="eastAsia" w:asciiTheme="minorEastAsia" w:hAnsiTheme="minorEastAsia" w:eastAsiaTheme="minorEastAsia" w:cstheme="minorEastAsia"/>
          <w:color w:val="auto"/>
          <w:spacing w:val="0"/>
          <w:position w:val="0"/>
          <w:sz w:val="24"/>
          <w:szCs w:val="24"/>
          <w:highlight w:val="none"/>
        </w:rPr>
        <w:t>。</w:t>
      </w:r>
    </w:p>
    <w:bookmarkEnd w:id="147"/>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48" w:name="_Toc31233"/>
      <w:bookmarkStart w:id="149" w:name="_Toc9157"/>
      <w:bookmarkStart w:id="150" w:name="_Toc32670"/>
      <w:bookmarkStart w:id="151" w:name="_Toc15447"/>
      <w:bookmarkStart w:id="152" w:name="_Toc26555"/>
      <w:bookmarkStart w:id="153" w:name="_Toc22011"/>
      <w:r>
        <w:rPr>
          <w:rFonts w:hint="eastAsia" w:asciiTheme="minorEastAsia" w:hAnsiTheme="minorEastAsia" w:eastAsiaTheme="minorEastAsia" w:cstheme="minorEastAsia"/>
          <w:b/>
          <w:color w:val="auto"/>
          <w:spacing w:val="0"/>
          <w:position w:val="0"/>
          <w:sz w:val="24"/>
          <w:szCs w:val="24"/>
          <w:highlight w:val="none"/>
        </w:rPr>
        <w:t>2.5 结算方式和付款条件</w:t>
      </w:r>
      <w:bookmarkEnd w:id="142"/>
      <w:bookmarkEnd w:id="143"/>
      <w:bookmarkEnd w:id="144"/>
      <w:bookmarkEnd w:id="145"/>
      <w:bookmarkEnd w:id="146"/>
      <w:bookmarkEnd w:id="148"/>
      <w:bookmarkEnd w:id="149"/>
      <w:bookmarkEnd w:id="150"/>
      <w:bookmarkEnd w:id="151"/>
      <w:bookmarkEnd w:id="152"/>
      <w:bookmarkEnd w:id="153"/>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54" w:name="_Ref467379923"/>
      <w:bookmarkStart w:id="155" w:name="_Ref467379852"/>
      <w:bookmarkStart w:id="156" w:name="_Toc259093677"/>
      <w:bookmarkStart w:id="157" w:name="_Toc487900358"/>
      <w:bookmarkStart w:id="158" w:name="_Ref467379863"/>
      <w:bookmarkStart w:id="159" w:name="_Toc279701248"/>
      <w:bookmarkStart w:id="160" w:name="_Toc4547"/>
      <w:bookmarkStart w:id="161" w:name="_Toc18990"/>
      <w:bookmarkStart w:id="162" w:name="_Toc13467"/>
      <w:bookmarkStart w:id="163" w:name="_Toc30507"/>
      <w:bookmarkStart w:id="164" w:name="_Toc13154"/>
      <w:bookmarkStart w:id="165" w:name="_Toc16163"/>
      <w:r>
        <w:rPr>
          <w:rFonts w:hint="eastAsia" w:asciiTheme="minorEastAsia" w:hAnsiTheme="minorEastAsia" w:eastAsiaTheme="minorEastAsia" w:cstheme="minorEastAsia"/>
          <w:b/>
          <w:color w:val="auto"/>
          <w:spacing w:val="0"/>
          <w:position w:val="0"/>
          <w:sz w:val="24"/>
          <w:szCs w:val="24"/>
          <w:highlight w:val="none"/>
        </w:rPr>
        <w:t>2.6 技术资料</w:t>
      </w:r>
      <w:bookmarkEnd w:id="154"/>
      <w:bookmarkEnd w:id="155"/>
      <w:bookmarkEnd w:id="156"/>
      <w:bookmarkEnd w:id="157"/>
      <w:bookmarkEnd w:id="158"/>
      <w:bookmarkEnd w:id="159"/>
      <w:r>
        <w:rPr>
          <w:rFonts w:hint="eastAsia" w:asciiTheme="minorEastAsia" w:hAnsiTheme="minorEastAsia" w:eastAsiaTheme="minorEastAsia" w:cstheme="minorEastAsia"/>
          <w:b/>
          <w:color w:val="auto"/>
          <w:spacing w:val="0"/>
          <w:position w:val="0"/>
          <w:sz w:val="24"/>
          <w:szCs w:val="24"/>
          <w:highlight w:val="none"/>
        </w:rPr>
        <w:t>和保密义务</w:t>
      </w:r>
      <w:bookmarkEnd w:id="160"/>
      <w:bookmarkEnd w:id="161"/>
      <w:bookmarkEnd w:id="162"/>
      <w:bookmarkEnd w:id="163"/>
      <w:bookmarkEnd w:id="164"/>
      <w:bookmarkEnd w:id="165"/>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2.6.2 乙方有义务妥善保管和保护由甲方提供的前款信息和资料等；</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66" w:name="_Toc18919"/>
      <w:bookmarkStart w:id="167" w:name="_Toc19069"/>
      <w:bookmarkStart w:id="168" w:name="_Toc487900362"/>
      <w:bookmarkStart w:id="169" w:name="_Toc259093681"/>
      <w:bookmarkStart w:id="170" w:name="_Toc279701252"/>
      <w:r>
        <w:rPr>
          <w:rFonts w:hint="eastAsia" w:asciiTheme="minorEastAsia" w:hAnsiTheme="minorEastAsia" w:eastAsiaTheme="minorEastAsia" w:cstheme="minorEastAsia"/>
          <w:b/>
          <w:color w:val="auto"/>
          <w:spacing w:val="0"/>
          <w:position w:val="0"/>
          <w:sz w:val="24"/>
          <w:szCs w:val="24"/>
          <w:highlight w:val="none"/>
        </w:rPr>
        <w:t>2.7 质量保证</w:t>
      </w:r>
      <w:bookmarkEnd w:id="166"/>
      <w:bookmarkEnd w:id="167"/>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71" w:name="_Toc22267"/>
      <w:bookmarkStart w:id="172" w:name="_Toc10200"/>
      <w:r>
        <w:rPr>
          <w:rFonts w:hint="eastAsia" w:asciiTheme="minorEastAsia" w:hAnsiTheme="minorEastAsia" w:eastAsiaTheme="minorEastAsia" w:cstheme="minorEastAsia"/>
          <w:b/>
          <w:color w:val="auto"/>
          <w:spacing w:val="0"/>
          <w:position w:val="0"/>
          <w:sz w:val="24"/>
          <w:szCs w:val="24"/>
          <w:highlight w:val="none"/>
        </w:rPr>
        <w:t>2.8 延迟</w:t>
      </w:r>
      <w:bookmarkEnd w:id="168"/>
      <w:bookmarkEnd w:id="169"/>
      <w:bookmarkEnd w:id="170"/>
      <w:r>
        <w:rPr>
          <w:rFonts w:hint="eastAsia" w:asciiTheme="minorEastAsia" w:hAnsiTheme="minorEastAsia" w:eastAsiaTheme="minorEastAsia" w:cstheme="minorEastAsia"/>
          <w:b/>
          <w:color w:val="auto"/>
          <w:spacing w:val="0"/>
          <w:position w:val="0"/>
          <w:sz w:val="24"/>
          <w:szCs w:val="24"/>
          <w:highlight w:val="none"/>
        </w:rPr>
        <w:t>履行</w:t>
      </w:r>
      <w:bookmarkEnd w:id="171"/>
      <w:bookmarkEnd w:id="172"/>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73" w:name="_Toc5339"/>
      <w:bookmarkStart w:id="174" w:name="_Toc10611"/>
      <w:bookmarkStart w:id="175" w:name="_Toc259093683"/>
      <w:bookmarkStart w:id="176" w:name="_Ref467378121"/>
      <w:bookmarkStart w:id="177" w:name="_Toc279701254"/>
      <w:bookmarkStart w:id="178" w:name="_Toc487900364"/>
      <w:r>
        <w:rPr>
          <w:rFonts w:hint="eastAsia" w:asciiTheme="minorEastAsia" w:hAnsiTheme="minorEastAsia" w:eastAsiaTheme="minorEastAsia" w:cstheme="minorEastAsia"/>
          <w:b/>
          <w:color w:val="auto"/>
          <w:spacing w:val="0"/>
          <w:position w:val="0"/>
          <w:sz w:val="24"/>
          <w:szCs w:val="24"/>
          <w:highlight w:val="none"/>
        </w:rPr>
        <w:t>2.9 合同变更</w:t>
      </w:r>
      <w:bookmarkEnd w:id="173"/>
      <w:bookmarkEnd w:id="174"/>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179" w:name="_Toc259093688"/>
      <w:bookmarkStart w:id="180" w:name="_Toc279701259"/>
      <w:bookmarkStart w:id="181" w:name="_Toc487900369"/>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82" w:name="_Toc42"/>
      <w:bookmarkStart w:id="183" w:name="_Toc11134"/>
      <w:bookmarkStart w:id="184" w:name="_Toc10663"/>
      <w:bookmarkStart w:id="185" w:name="_Toc26689"/>
      <w:bookmarkStart w:id="186" w:name="_Toc23368"/>
      <w:bookmarkStart w:id="187" w:name="_Toc21830"/>
      <w:r>
        <w:rPr>
          <w:rFonts w:hint="eastAsia" w:asciiTheme="minorEastAsia" w:hAnsiTheme="minorEastAsia" w:eastAsiaTheme="minorEastAsia" w:cstheme="minorEastAsia"/>
          <w:b/>
          <w:color w:val="auto"/>
          <w:spacing w:val="0"/>
          <w:position w:val="0"/>
          <w:sz w:val="24"/>
          <w:szCs w:val="24"/>
          <w:highlight w:val="none"/>
        </w:rPr>
        <w:t>2.10 合同转让</w:t>
      </w:r>
      <w:bookmarkEnd w:id="179"/>
      <w:bookmarkEnd w:id="180"/>
      <w:bookmarkEnd w:id="181"/>
      <w:r>
        <w:rPr>
          <w:rFonts w:hint="eastAsia" w:asciiTheme="minorEastAsia" w:hAnsiTheme="minorEastAsia" w:eastAsiaTheme="minorEastAsia" w:cstheme="minorEastAsia"/>
          <w:b/>
          <w:color w:val="auto"/>
          <w:spacing w:val="0"/>
          <w:position w:val="0"/>
          <w:sz w:val="24"/>
          <w:szCs w:val="24"/>
          <w:highlight w:val="none"/>
        </w:rPr>
        <w:t>和分包</w:t>
      </w:r>
      <w:bookmarkEnd w:id="182"/>
      <w:bookmarkEnd w:id="183"/>
      <w:bookmarkEnd w:id="184"/>
      <w:bookmarkEnd w:id="185"/>
      <w:bookmarkEnd w:id="186"/>
      <w:bookmarkEnd w:id="187"/>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88" w:name="_Toc25571"/>
      <w:bookmarkStart w:id="189" w:name="_Toc32494"/>
      <w:bookmarkStart w:id="190" w:name="_Toc14371"/>
      <w:bookmarkStart w:id="191" w:name="_Toc14338"/>
      <w:bookmarkStart w:id="192" w:name="_Toc26633"/>
      <w:bookmarkStart w:id="193" w:name="_Toc4720"/>
      <w:r>
        <w:rPr>
          <w:rFonts w:hint="eastAsia" w:asciiTheme="minorEastAsia" w:hAnsiTheme="minorEastAsia" w:eastAsiaTheme="minorEastAsia" w:cstheme="minorEastAsia"/>
          <w:b/>
          <w:color w:val="auto"/>
          <w:spacing w:val="0"/>
          <w:position w:val="0"/>
          <w:sz w:val="24"/>
          <w:szCs w:val="24"/>
          <w:highlight w:val="none"/>
        </w:rPr>
        <w:t>2.11 不可抗力</w:t>
      </w:r>
      <w:bookmarkEnd w:id="188"/>
      <w:bookmarkEnd w:id="189"/>
      <w:bookmarkEnd w:id="190"/>
      <w:bookmarkEnd w:id="191"/>
      <w:bookmarkEnd w:id="192"/>
      <w:bookmarkEnd w:id="193"/>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2.11.2 因不可抗力致使不能实现合同目的的，当事人可以解除合同；</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2.11.3 因不可抗力致使合同有变更必要的，双方当事人应在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约定时间内以书面形式变更合同；</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2.11.4受不可抗力影响的一方在不可抗力发生后，应在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定时间内以书面形式通知对方当事人，并在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约定时间内，将有关部门出具的证明文件送达对方当事人。</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94" w:name="_Toc25783"/>
      <w:bookmarkStart w:id="195" w:name="_Toc9438"/>
      <w:bookmarkStart w:id="196" w:name="_Toc3638"/>
      <w:bookmarkStart w:id="197" w:name="_Toc24465"/>
      <w:bookmarkStart w:id="198" w:name="_Toc487900365"/>
      <w:bookmarkStart w:id="199" w:name="_Toc259093684"/>
      <w:bookmarkStart w:id="200" w:name="_Toc14115"/>
      <w:bookmarkStart w:id="201" w:name="_Toc23854"/>
      <w:bookmarkStart w:id="202" w:name="_Toc279701255"/>
      <w:r>
        <w:rPr>
          <w:rFonts w:hint="eastAsia" w:asciiTheme="minorEastAsia" w:hAnsiTheme="minorEastAsia" w:eastAsiaTheme="minorEastAsia" w:cstheme="minorEastAsia"/>
          <w:b/>
          <w:color w:val="auto"/>
          <w:spacing w:val="0"/>
          <w:position w:val="0"/>
          <w:sz w:val="24"/>
          <w:szCs w:val="24"/>
          <w:highlight w:val="none"/>
        </w:rPr>
        <w:t>2.12 税费</w:t>
      </w:r>
      <w:bookmarkEnd w:id="194"/>
      <w:bookmarkEnd w:id="195"/>
      <w:bookmarkEnd w:id="196"/>
      <w:bookmarkEnd w:id="197"/>
      <w:bookmarkEnd w:id="198"/>
      <w:bookmarkEnd w:id="199"/>
      <w:bookmarkEnd w:id="200"/>
      <w:bookmarkEnd w:id="201"/>
      <w:bookmarkEnd w:id="202"/>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与合同有关的一切税费，均按照中华人民共和国法律的相关规定缴纳。</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03" w:name="_Toc26883"/>
      <w:bookmarkStart w:id="204" w:name="_Toc7315"/>
      <w:bookmarkStart w:id="205" w:name="_Toc25525"/>
      <w:bookmarkStart w:id="206" w:name="_Toc30105"/>
      <w:bookmarkStart w:id="207" w:name="_Toc279701258"/>
      <w:bookmarkStart w:id="208" w:name="_Toc14814"/>
      <w:bookmarkStart w:id="209" w:name="_Toc487900368"/>
      <w:bookmarkStart w:id="210" w:name="_Toc23553"/>
      <w:bookmarkStart w:id="211" w:name="_Toc259093687"/>
      <w:r>
        <w:rPr>
          <w:rFonts w:hint="eastAsia" w:asciiTheme="minorEastAsia" w:hAnsiTheme="minorEastAsia" w:eastAsiaTheme="minorEastAsia" w:cstheme="minorEastAsia"/>
          <w:b/>
          <w:color w:val="auto"/>
          <w:spacing w:val="0"/>
          <w:position w:val="0"/>
          <w:sz w:val="24"/>
          <w:szCs w:val="24"/>
          <w:highlight w:val="none"/>
        </w:rPr>
        <w:t>2.13 乙方破产</w:t>
      </w:r>
      <w:bookmarkEnd w:id="203"/>
      <w:bookmarkEnd w:id="204"/>
      <w:bookmarkEnd w:id="205"/>
      <w:bookmarkEnd w:id="206"/>
      <w:bookmarkEnd w:id="207"/>
      <w:bookmarkEnd w:id="208"/>
      <w:bookmarkEnd w:id="209"/>
      <w:bookmarkEnd w:id="210"/>
      <w:bookmarkEnd w:id="211"/>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12" w:name="_Toc23323"/>
      <w:bookmarkStart w:id="213" w:name="_Toc2016"/>
      <w:bookmarkStart w:id="214" w:name="_Toc24229"/>
      <w:bookmarkStart w:id="215" w:name="_Toc1123"/>
      <w:r>
        <w:rPr>
          <w:rFonts w:hint="eastAsia" w:asciiTheme="minorEastAsia" w:hAnsiTheme="minorEastAsia" w:eastAsiaTheme="minorEastAsia" w:cstheme="minorEastAsia"/>
          <w:b/>
          <w:color w:val="auto"/>
          <w:spacing w:val="0"/>
          <w:position w:val="0"/>
          <w:sz w:val="24"/>
          <w:szCs w:val="24"/>
          <w:highlight w:val="none"/>
        </w:rPr>
        <w:t>2.14 合同中止、终止</w:t>
      </w:r>
      <w:bookmarkEnd w:id="212"/>
      <w:bookmarkEnd w:id="213"/>
      <w:bookmarkEnd w:id="214"/>
      <w:bookmarkEnd w:id="215"/>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2.14.1 双方当事人不得擅自中止或者终止合同；</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16" w:name="_Toc17363"/>
      <w:bookmarkStart w:id="217" w:name="_Toc15106"/>
      <w:bookmarkStart w:id="218" w:name="_Toc1969"/>
      <w:bookmarkStart w:id="219" w:name="_Toc14525"/>
      <w:r>
        <w:rPr>
          <w:rFonts w:hint="eastAsia" w:asciiTheme="minorEastAsia" w:hAnsiTheme="minorEastAsia" w:eastAsiaTheme="minorEastAsia" w:cstheme="minorEastAsia"/>
          <w:b/>
          <w:color w:val="auto"/>
          <w:spacing w:val="0"/>
          <w:position w:val="0"/>
          <w:sz w:val="24"/>
          <w:szCs w:val="24"/>
          <w:highlight w:val="none"/>
        </w:rPr>
        <w:t>2.15 检验和验收</w:t>
      </w:r>
      <w:bookmarkEnd w:id="216"/>
      <w:bookmarkEnd w:id="217"/>
      <w:bookmarkEnd w:id="218"/>
      <w:bookmarkEnd w:id="219"/>
    </w:p>
    <w:p>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2.15.1 乙方按照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的约定，定期提交服务报告，甲方按照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rPr>
        <w:t>约定进行定期验收；</w:t>
      </w:r>
    </w:p>
    <w:p>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i w:val="0"/>
          <w:i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bookmarkEnd w:id="175"/>
    <w:bookmarkEnd w:id="176"/>
    <w:bookmarkEnd w:id="177"/>
    <w:bookmarkEnd w:id="178"/>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20" w:name="_Toc487900371"/>
      <w:bookmarkStart w:id="221" w:name="_Toc279701261"/>
      <w:bookmarkStart w:id="222" w:name="_Toc259093690"/>
      <w:bookmarkStart w:id="223" w:name="_Toc2308"/>
      <w:bookmarkStart w:id="224" w:name="_Toc9808"/>
      <w:bookmarkStart w:id="225" w:name="_Toc9148"/>
      <w:bookmarkStart w:id="226" w:name="_Toc25198"/>
      <w:bookmarkStart w:id="227" w:name="_Toc12666"/>
      <w:bookmarkStart w:id="228" w:name="_Toc31892"/>
      <w:r>
        <w:rPr>
          <w:rFonts w:hint="eastAsia" w:asciiTheme="minorEastAsia" w:hAnsiTheme="minorEastAsia" w:eastAsiaTheme="minorEastAsia" w:cstheme="minorEastAsia"/>
          <w:b/>
          <w:color w:val="auto"/>
          <w:spacing w:val="0"/>
          <w:position w:val="0"/>
          <w:sz w:val="24"/>
          <w:szCs w:val="24"/>
          <w:highlight w:val="none"/>
        </w:rPr>
        <w:t>2.16 通知</w:t>
      </w:r>
      <w:bookmarkEnd w:id="220"/>
      <w:bookmarkEnd w:id="221"/>
      <w:bookmarkEnd w:id="222"/>
      <w:r>
        <w:rPr>
          <w:rFonts w:hint="eastAsia" w:asciiTheme="minorEastAsia" w:hAnsiTheme="minorEastAsia" w:eastAsiaTheme="minorEastAsia" w:cstheme="minorEastAsia"/>
          <w:b/>
          <w:color w:val="auto"/>
          <w:spacing w:val="0"/>
          <w:position w:val="0"/>
          <w:sz w:val="24"/>
          <w:szCs w:val="24"/>
          <w:highlight w:val="none"/>
        </w:rPr>
        <w:t>和送达</w:t>
      </w:r>
      <w:bookmarkEnd w:id="223"/>
      <w:bookmarkEnd w:id="224"/>
      <w:bookmarkEnd w:id="225"/>
      <w:bookmarkEnd w:id="226"/>
      <w:bookmarkEnd w:id="227"/>
      <w:bookmarkEnd w:id="228"/>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229" w:name="_Toc7073"/>
      <w:bookmarkStart w:id="230" w:name="_Toc29220"/>
      <w:bookmarkStart w:id="231" w:name="_Toc259093691"/>
      <w:bookmarkStart w:id="232" w:name="_Toc487900372"/>
      <w:bookmarkStart w:id="233" w:name="_Toc279701262"/>
      <w:r>
        <w:rPr>
          <w:rFonts w:hint="eastAsia" w:asciiTheme="minorEastAsia" w:hAnsiTheme="minorEastAsia" w:eastAsiaTheme="minorEastAsia" w:cstheme="minorEastAsia"/>
          <w:color w:val="auto"/>
          <w:spacing w:val="0"/>
          <w:position w:val="0"/>
          <w:sz w:val="24"/>
          <w:szCs w:val="24"/>
          <w:highlight w:val="none"/>
        </w:rPr>
        <w:t>2.16.1 任何一方因履行合同而以合同第一部分尾部所列明的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个工作日内书面通知对方当事人，在对方当事人收到有关变更通知之前，变更前的约定送达方式或者地址仍视为有效。</w:t>
      </w:r>
      <w:bookmarkEnd w:id="229"/>
      <w:bookmarkEnd w:id="230"/>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234" w:name="_Toc27674"/>
      <w:bookmarkStart w:id="235" w:name="_Toc18401"/>
      <w:r>
        <w:rPr>
          <w:rFonts w:hint="eastAsia" w:asciiTheme="minorEastAsia" w:hAnsiTheme="minorEastAsia" w:eastAsiaTheme="minorEastAsia" w:cstheme="minorEastAsia"/>
          <w:color w:val="auto"/>
          <w:spacing w:val="0"/>
          <w:position w:val="0"/>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bookmarkEnd w:id="231"/>
    <w:bookmarkEnd w:id="232"/>
    <w:bookmarkEnd w:id="233"/>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36" w:name="_Toc28906"/>
      <w:bookmarkStart w:id="237" w:name="_Toc20808"/>
      <w:bookmarkStart w:id="238" w:name="_Toc5063"/>
      <w:bookmarkStart w:id="239" w:name="_Toc12254"/>
      <w:bookmarkStart w:id="240" w:name="_Toc487900373"/>
      <w:bookmarkStart w:id="241" w:name="_Toc259093692"/>
      <w:bookmarkStart w:id="242" w:name="_Toc279701263"/>
      <w:bookmarkStart w:id="243" w:name="_Toc27644"/>
      <w:bookmarkStart w:id="244" w:name="_Toc12304"/>
      <w:r>
        <w:rPr>
          <w:rFonts w:hint="eastAsia" w:asciiTheme="minorEastAsia" w:hAnsiTheme="minorEastAsia" w:eastAsiaTheme="minorEastAsia" w:cstheme="minorEastAsia"/>
          <w:b/>
          <w:color w:val="auto"/>
          <w:spacing w:val="0"/>
          <w:position w:val="0"/>
          <w:sz w:val="24"/>
          <w:szCs w:val="24"/>
          <w:highlight w:val="none"/>
        </w:rPr>
        <w:t>2.17 合同使用的文字和适用的法律</w:t>
      </w:r>
      <w:bookmarkEnd w:id="236"/>
      <w:bookmarkEnd w:id="237"/>
      <w:bookmarkEnd w:id="238"/>
      <w:bookmarkEnd w:id="239"/>
      <w:bookmarkEnd w:id="240"/>
      <w:bookmarkEnd w:id="241"/>
      <w:bookmarkEnd w:id="242"/>
      <w:bookmarkEnd w:id="243"/>
      <w:bookmarkEnd w:id="244"/>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2.17.1 合同使用汉语书就、变更和解释；</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2.17.2 合同适用中华人民共和国法律。</w:t>
      </w:r>
    </w:p>
    <w:p>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45" w:name="_Toc22266"/>
      <w:bookmarkStart w:id="246" w:name="_Toc30096"/>
      <w:bookmarkStart w:id="247" w:name="_Toc259093693"/>
      <w:bookmarkStart w:id="248" w:name="_Toc14270"/>
      <w:bookmarkStart w:id="249" w:name="_Toc27127"/>
      <w:bookmarkStart w:id="250" w:name="_Toc279701264"/>
      <w:bookmarkStart w:id="251" w:name="_Toc1492"/>
      <w:bookmarkStart w:id="252" w:name="_Toc27403"/>
      <w:bookmarkStart w:id="253" w:name="_Toc487900374"/>
      <w:r>
        <w:rPr>
          <w:rFonts w:hint="eastAsia" w:asciiTheme="minorEastAsia" w:hAnsiTheme="minorEastAsia" w:eastAsiaTheme="minorEastAsia" w:cstheme="minorEastAsia"/>
          <w:b/>
          <w:color w:val="auto"/>
          <w:spacing w:val="0"/>
          <w:position w:val="0"/>
          <w:sz w:val="24"/>
          <w:szCs w:val="24"/>
          <w:highlight w:val="none"/>
        </w:rPr>
        <w:t>2.18 履约保证金</w:t>
      </w:r>
      <w:bookmarkEnd w:id="245"/>
      <w:bookmarkEnd w:id="246"/>
      <w:bookmarkEnd w:id="247"/>
      <w:bookmarkEnd w:id="248"/>
      <w:bookmarkEnd w:id="249"/>
      <w:bookmarkEnd w:id="250"/>
      <w:bookmarkEnd w:id="251"/>
      <w:bookmarkEnd w:id="252"/>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2.18.1 采购文件要求乙方提交履约保证金的，乙方应按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定的方式，以支票、汇票、本票或者金融机构、担保机构出具的保函等非现金形式，提交不超过合同价10%的履约保证金；</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2.18.2 履约保证金在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约定期间内不予退还或者应完全有效，前述约定期间届满之日起</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个工作日内，甲方应将履约保证金退还乙方；</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3"/>
    <w:p>
      <w:pPr>
        <w:keepNext w:val="0"/>
        <w:keepLines w:val="0"/>
        <w:pageBreakBefore w:val="0"/>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2.19 合同份数</w:t>
      </w:r>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合同份数按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规定，每份均具有同等法律效力。</w:t>
      </w:r>
    </w:p>
    <w:p>
      <w:pPr>
        <w:pStyle w:val="104"/>
        <w:keepNext w:val="0"/>
        <w:keepLines w:val="0"/>
        <w:pageBreakBefore w:val="0"/>
        <w:kinsoku/>
        <w:wordWrap/>
        <w:overflowPunct/>
        <w:topLinePunct w:val="0"/>
        <w:bidi w:val="0"/>
        <w:snapToGrid/>
        <w:spacing w:line="440" w:lineRule="exact"/>
        <w:ind w:firstLine="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br w:type="page"/>
      </w:r>
      <w:bookmarkStart w:id="254" w:name="_Toc331685784"/>
      <w:r>
        <w:rPr>
          <w:rFonts w:hint="eastAsia" w:asciiTheme="minorEastAsia" w:hAnsiTheme="minorEastAsia" w:eastAsiaTheme="minorEastAsia" w:cstheme="minorEastAsia"/>
          <w:b/>
          <w:color w:val="auto"/>
          <w:spacing w:val="0"/>
          <w:position w:val="0"/>
          <w:sz w:val="24"/>
          <w:szCs w:val="24"/>
          <w:highlight w:val="none"/>
        </w:rPr>
        <w:t>第三部分  合同专用条款</w:t>
      </w:r>
      <w:bookmarkEnd w:id="254"/>
    </w:p>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7633" w:type="dxa"/>
            <w:noWrap w:val="0"/>
            <w:vAlign w:val="center"/>
          </w:tcPr>
          <w:p>
            <w:pPr>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bl>
    <w:p>
      <w:pPr>
        <w:pStyle w:val="12"/>
        <w:keepNext w:val="0"/>
        <w:keepLines w:val="0"/>
        <w:pageBreakBefore w:val="0"/>
        <w:kinsoku/>
        <w:wordWrap/>
        <w:overflowPunct/>
        <w:topLinePunct w:val="0"/>
        <w:bidi w:val="0"/>
        <w:snapToGrid/>
        <w:spacing w:line="440" w:lineRule="exact"/>
        <w:ind w:left="540" w:leftChars="257" w:hanging="540"/>
        <w:rPr>
          <w:rFonts w:hint="eastAsia" w:asciiTheme="minorEastAsia" w:hAnsiTheme="minorEastAsia" w:eastAsiaTheme="minorEastAsia" w:cstheme="minorEastAsia"/>
          <w:color w:val="auto"/>
          <w:spacing w:val="0"/>
          <w:position w:val="0"/>
          <w:sz w:val="24"/>
          <w:szCs w:val="24"/>
          <w:highlight w:val="none"/>
          <w:lang w:val="en-US" w:eastAsia="zh-CN"/>
        </w:rPr>
      </w:pPr>
    </w:p>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p>
      <w:pPr>
        <w:pStyle w:val="36"/>
        <w:keepNext w:val="0"/>
        <w:keepLines w:val="0"/>
        <w:pageBreakBefore w:val="0"/>
        <w:kinsoku/>
        <w:wordWrap/>
        <w:overflowPunct/>
        <w:topLinePunct w:val="0"/>
        <w:bidi w:val="0"/>
        <w:snapToGrid/>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p>
    <w:p>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p>
      <w:pPr>
        <w:pStyle w:val="2"/>
        <w:pageBreakBefore w:val="0"/>
        <w:kinsoku/>
        <w:overflowPunct/>
        <w:topLinePunct w:val="0"/>
        <w:bidi w:val="0"/>
        <w:jc w:val="center"/>
        <w:rPr>
          <w:rFonts w:hint="eastAsia" w:asciiTheme="minorEastAsia" w:hAnsiTheme="minorEastAsia" w:eastAsiaTheme="minorEastAsia" w:cstheme="minorEastAsia"/>
          <w:color w:val="auto"/>
          <w:spacing w:val="0"/>
          <w:position w:val="0"/>
          <w:sz w:val="36"/>
          <w:szCs w:val="36"/>
          <w:highlight w:val="none"/>
        </w:rPr>
      </w:pPr>
      <w:r>
        <w:rPr>
          <w:rFonts w:hint="eastAsia" w:asciiTheme="minorEastAsia" w:hAnsiTheme="minorEastAsia" w:eastAsiaTheme="minorEastAsia" w:cstheme="minorEastAsia"/>
          <w:color w:val="auto"/>
          <w:spacing w:val="0"/>
          <w:position w:val="0"/>
          <w:highlight w:val="none"/>
        </w:rPr>
        <w:br w:type="page"/>
      </w:r>
      <w:bookmarkStart w:id="255" w:name="_Toc6542"/>
      <w:bookmarkStart w:id="256" w:name="_Toc480368419"/>
      <w:r>
        <w:rPr>
          <w:rFonts w:hint="eastAsia" w:asciiTheme="minorEastAsia" w:hAnsiTheme="minorEastAsia" w:eastAsiaTheme="minorEastAsia" w:cstheme="minorEastAsia"/>
          <w:color w:val="auto"/>
          <w:spacing w:val="0"/>
          <w:position w:val="0"/>
          <w:sz w:val="36"/>
          <w:szCs w:val="36"/>
          <w:highlight w:val="none"/>
        </w:rPr>
        <w:t>第六部分   投标文件格式</w:t>
      </w:r>
      <w:bookmarkEnd w:id="255"/>
      <w:bookmarkEnd w:id="256"/>
      <w:bookmarkStart w:id="257" w:name="_Toc480368420"/>
    </w:p>
    <w:p>
      <w:pPr>
        <w:pStyle w:val="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bookmarkStart w:id="258" w:name="_Toc29402"/>
      <w:r>
        <w:rPr>
          <w:rFonts w:hint="eastAsia" w:asciiTheme="minorEastAsia" w:hAnsiTheme="minorEastAsia" w:eastAsiaTheme="minorEastAsia" w:cstheme="minorEastAsia"/>
          <w:color w:val="auto"/>
          <w:spacing w:val="0"/>
          <w:position w:val="0"/>
          <w:sz w:val="24"/>
          <w:highlight w:val="none"/>
        </w:rPr>
        <w:t>投标文件封面</w:t>
      </w:r>
      <w:bookmarkEnd w:id="257"/>
      <w:bookmarkEnd w:id="258"/>
    </w:p>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pPr>
        <w:pageBreakBefore w:val="0"/>
        <w:kinsoku/>
        <w:overflowPunct/>
        <w:topLinePunct w:val="0"/>
        <w:bidi w:val="0"/>
        <w:spacing w:line="360" w:lineRule="auto"/>
        <w:ind w:firstLine="1680" w:firstLineChars="6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rPr>
        <w:t>投标文件</w:t>
      </w: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pPr>
        <w:pStyle w:val="95"/>
        <w:pageBreakBefore w:val="0"/>
        <w:kinsoku/>
        <w:wordWrap/>
        <w:overflowPunct/>
        <w:topLinePunct w:val="0"/>
        <w:bidi w:val="0"/>
        <w:snapToGrid/>
        <w:spacing w:before="0" w:beforeAutospacing="0" w:after="0" w:afterAutospacing="0" w:line="360" w:lineRule="auto"/>
        <w:ind w:firstLine="56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供应商：</w:t>
      </w:r>
      <w:r>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r>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（盖章）</w:t>
      </w:r>
    </w:p>
    <w:p>
      <w:pPr>
        <w:pStyle w:val="96"/>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lang w:eastAsia="zh-CN"/>
        </w:rPr>
        <w:t>：</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（签字或盖章）</w:t>
      </w:r>
    </w:p>
    <w:p>
      <w:pPr>
        <w:pStyle w:val="96"/>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p>
    <w:p>
      <w:pPr>
        <w:pStyle w:val="96"/>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联系电话：</w:t>
      </w:r>
      <w:r>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pPr>
        <w:pageBreakBefore w:val="0"/>
        <w:kinsoku/>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u w:val="single"/>
        </w:rPr>
      </w:pPr>
      <w:r>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Style w:val="45"/>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（年/月/日）</w:t>
      </w:r>
    </w:p>
    <w:p>
      <w:pPr>
        <w:pStyle w:val="18"/>
        <w:pageBreakBefore w:val="0"/>
        <w:tabs>
          <w:tab w:val="left" w:pos="8786"/>
        </w:tabs>
        <w:kinsoku/>
        <w:overflowPunct/>
        <w:topLinePunct w:val="0"/>
        <w:bidi w:val="0"/>
        <w:spacing w:after="0" w:line="360" w:lineRule="auto"/>
        <w:jc w:val="both"/>
        <w:outlineLvl w:val="1"/>
        <w:rPr>
          <w:rFonts w:hint="eastAsia" w:asciiTheme="minorEastAsia" w:hAnsiTheme="minorEastAsia" w:eastAsiaTheme="minorEastAsia" w:cstheme="minorEastAsia"/>
          <w:b/>
          <w:color w:val="auto"/>
          <w:spacing w:val="0"/>
          <w:position w:val="0"/>
          <w:sz w:val="28"/>
          <w:szCs w:val="28"/>
          <w:highlight w:val="none"/>
          <w:lang w:val="en-US" w:eastAsia="zh-CN"/>
        </w:rPr>
      </w:pPr>
      <w:bookmarkStart w:id="259" w:name="_Toc480368421"/>
      <w:bookmarkStart w:id="260" w:name="_Toc18075"/>
    </w:p>
    <w:p>
      <w:pPr>
        <w:pStyle w:val="18"/>
        <w:pageBreakBefore w:val="0"/>
        <w:tabs>
          <w:tab w:val="left" w:pos="8786"/>
        </w:tabs>
        <w:kinsoku/>
        <w:overflowPunct/>
        <w:topLinePunct w:val="0"/>
        <w:bidi w:val="0"/>
        <w:spacing w:after="0" w:line="360" w:lineRule="auto"/>
        <w:jc w:val="both"/>
        <w:outlineLvl w:val="1"/>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lang w:eastAsia="zh-CN"/>
        </w:rPr>
        <w:t>一</w:t>
      </w:r>
      <w:r>
        <w:rPr>
          <w:rFonts w:hint="eastAsia" w:asciiTheme="minorEastAsia" w:hAnsiTheme="minorEastAsia" w:eastAsiaTheme="minorEastAsia" w:cstheme="minorEastAsia"/>
          <w:b/>
          <w:color w:val="auto"/>
          <w:spacing w:val="0"/>
          <w:position w:val="0"/>
          <w:sz w:val="28"/>
          <w:szCs w:val="28"/>
          <w:highlight w:val="none"/>
        </w:rPr>
        <w:t>、资格审查</w:t>
      </w:r>
      <w:bookmarkEnd w:id="259"/>
      <w:bookmarkEnd w:id="260"/>
    </w:p>
    <w:p>
      <w:pPr>
        <w:pStyle w:val="18"/>
        <w:pageBreakBefore w:val="0"/>
        <w:tabs>
          <w:tab w:val="left" w:pos="8786"/>
        </w:tabs>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4"/>
          <w:highlight w:val="none"/>
          <w:lang w:val="en-US" w:eastAsia="zh-CN"/>
        </w:rPr>
      </w:pPr>
      <w:bookmarkStart w:id="261" w:name="_Toc23513"/>
      <w:r>
        <w:rPr>
          <w:rFonts w:hint="eastAsia" w:asciiTheme="minorEastAsia" w:hAnsiTheme="minorEastAsia" w:eastAsiaTheme="minorEastAsia" w:cstheme="minorEastAsia"/>
          <w:b/>
          <w:color w:val="auto"/>
          <w:spacing w:val="0"/>
          <w:position w:val="0"/>
          <w:sz w:val="24"/>
          <w:highlight w:val="none"/>
          <w:lang w:val="en-US" w:eastAsia="zh-CN"/>
        </w:rPr>
        <w:t>1.1《中华人民共和国政府采购法》第二十二条应当具备的条件；</w:t>
      </w:r>
      <w:bookmarkEnd w:id="261"/>
    </w:p>
    <w:p>
      <w:pPr>
        <w:pStyle w:val="81"/>
        <w:pageBreakBefore w:val="0"/>
        <w:kinsoku/>
        <w:wordWrap/>
        <w:overflowPunct/>
        <w:topLinePunct w:val="0"/>
        <w:bidi w:val="0"/>
        <w:snapToGrid/>
        <w:spacing w:before="0" w:beforeAutospacing="0" w:after="0" w:afterAutospacing="0" w:line="36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pPr>
        <w:pStyle w:val="81"/>
        <w:pageBreakBefore w:val="0"/>
        <w:kinsoku/>
        <w:wordWrap/>
        <w:overflowPunct/>
        <w:topLinePunct w:val="0"/>
        <w:bidi w:val="0"/>
        <w:snapToGrid/>
        <w:spacing w:before="0" w:beforeAutospacing="0" w:after="0" w:afterAutospacing="0" w:line="36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pPr>
        <w:pStyle w:val="81"/>
        <w:pageBreakBefore w:val="0"/>
        <w:kinsoku/>
        <w:wordWrap/>
        <w:overflowPunct/>
        <w:topLinePunct w:val="0"/>
        <w:bidi w:val="0"/>
        <w:snapToGrid/>
        <w:spacing w:before="0" w:beforeAutospacing="0" w:after="0" w:afterAutospacing="0" w:line="36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pPr>
        <w:pStyle w:val="81"/>
        <w:pageBreakBefore w:val="0"/>
        <w:kinsoku/>
        <w:wordWrap/>
        <w:overflowPunct/>
        <w:topLinePunct w:val="0"/>
        <w:bidi w:val="0"/>
        <w:snapToGrid/>
        <w:spacing w:before="0" w:beforeAutospacing="0" w:after="0" w:afterAutospacing="0" w:line="36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pPr>
        <w:pStyle w:val="81"/>
        <w:pageBreakBefore w:val="0"/>
        <w:kinsoku/>
        <w:wordWrap/>
        <w:overflowPunct/>
        <w:topLinePunct w:val="0"/>
        <w:bidi w:val="0"/>
        <w:snapToGrid/>
        <w:spacing w:before="0" w:beforeAutospacing="0" w:after="0" w:afterAutospacing="0" w:line="36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pPr>
        <w:pStyle w:val="81"/>
        <w:pageBreakBefore w:val="0"/>
        <w:kinsoku/>
        <w:wordWrap/>
        <w:overflowPunct/>
        <w:topLinePunct w:val="0"/>
        <w:bidi w:val="0"/>
        <w:snapToGrid/>
        <w:spacing w:before="0" w:beforeAutospacing="0" w:after="0" w:afterAutospacing="0" w:line="36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pPr>
        <w:pStyle w:val="84"/>
        <w:pageBreakBefore w:val="0"/>
        <w:widowControl/>
        <w:kinsoku/>
        <w:wordWrap/>
        <w:overflowPunct/>
        <w:topLinePunct w:val="0"/>
        <w:bidi w:val="0"/>
        <w:snapToGrid/>
        <w:spacing w:before="0" w:beforeAutospacing="0" w:after="0" w:afterAutospacing="0" w:line="440" w:lineRule="exact"/>
        <w:jc w:val="both"/>
        <w:textAlignment w:val="baseline"/>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1.1.1、具有独立承担民事责任的能力；须提供相关证明材料，其中：</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pPr>
        <w:pStyle w:val="84"/>
        <w:pageBreakBefore w:val="0"/>
        <w:widowControl/>
        <w:kinsoku/>
        <w:wordWrap/>
        <w:overflowPunct/>
        <w:topLinePunct w:val="0"/>
        <w:bidi w:val="0"/>
        <w:snapToGrid/>
        <w:spacing w:before="0" w:beforeAutospacing="0" w:after="0" w:afterAutospacing="0" w:line="440" w:lineRule="exact"/>
        <w:jc w:val="both"/>
        <w:textAlignment w:val="baseline"/>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45"/>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pPr>
        <w:pStyle w:val="84"/>
        <w:pageBreakBefore w:val="0"/>
        <w:widowControl/>
        <w:kinsoku/>
        <w:wordWrap/>
        <w:overflowPunct/>
        <w:topLinePunct w:val="0"/>
        <w:bidi w:val="0"/>
        <w:snapToGrid/>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pPr>
        <w:pStyle w:val="85"/>
        <w:pageBreakBefore w:val="0"/>
        <w:widowControl/>
        <w:kinsoku/>
        <w:wordWrap/>
        <w:overflowPunct/>
        <w:topLinePunct w:val="0"/>
        <w:bidi w:val="0"/>
        <w:snapToGrid w:val="0"/>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pPr>
        <w:pStyle w:val="85"/>
        <w:pageBreakBefore w:val="0"/>
        <w:widowControl/>
        <w:kinsoku/>
        <w:wordWrap/>
        <w:overflowPunct/>
        <w:topLinePunct w:val="0"/>
        <w:bidi w:val="0"/>
        <w:snapToGrid w:val="0"/>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pPr>
        <w:pStyle w:val="86"/>
        <w:pageBreakBefore w:val="0"/>
        <w:kinsoku/>
        <w:wordWrap/>
        <w:overflowPunct/>
        <w:topLinePunct w:val="0"/>
        <w:bidi w:val="0"/>
        <w:snapToGrid/>
        <w:spacing w:before="0" w:beforeAutospacing="0" w:after="0" w:afterAutospacing="0" w:line="24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pPr>
        <w:pStyle w:val="8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pPr>
        <w:pStyle w:val="84"/>
        <w:pageBreakBefore w:val="0"/>
        <w:widowControl/>
        <w:kinsoku/>
        <w:wordWrap/>
        <w:overflowPunct/>
        <w:topLinePunct w:val="0"/>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pPr>
        <w:pStyle w:val="84"/>
        <w:pageBreakBefore w:val="0"/>
        <w:widowControl/>
        <w:kinsoku/>
        <w:wordWrap/>
        <w:overflowPunct/>
        <w:topLinePunct w:val="0"/>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pPr>
        <w:pStyle w:val="85"/>
        <w:pageBreakBefore w:val="0"/>
        <w:widowControl/>
        <w:kinsoku/>
        <w:wordWrap/>
        <w:overflowPunct/>
        <w:topLinePunct w:val="0"/>
        <w:bidi w:val="0"/>
        <w:snapToGrid w:val="0"/>
        <w:spacing w:before="0" w:beforeAutospacing="0" w:after="0" w:afterAutospacing="0" w:line="440" w:lineRule="exact"/>
        <w:jc w:val="left"/>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45"/>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45"/>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pPr>
        <w:pStyle w:val="83"/>
        <w:pageBreakBefore w:val="0"/>
        <w:widowControl/>
        <w:kinsoku/>
        <w:wordWrap/>
        <w:overflowPunct/>
        <w:topLinePunct w:val="0"/>
        <w:bidi w:val="0"/>
        <w:snapToGrid/>
        <w:spacing w:before="0" w:beforeAutospacing="0" w:after="0" w:afterAutospacing="0" w:line="240" w:lineRule="auto"/>
        <w:jc w:val="left"/>
        <w:textAlignment w:val="baseline"/>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pPr>
        <w:pStyle w:val="84"/>
        <w:pageBreakBefore w:val="0"/>
        <w:widowControl/>
        <w:kinsoku/>
        <w:wordWrap/>
        <w:overflowPunct/>
        <w:topLinePunct w:val="0"/>
        <w:bidi w:val="0"/>
        <w:snapToGrid/>
        <w:spacing w:before="0" w:beforeAutospacing="0" w:after="0" w:afterAutospacing="0" w:line="360" w:lineRule="auto"/>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pPr>
        <w:pStyle w:val="8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pPr>
        <w:pStyle w:val="8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pPr>
        <w:pStyle w:val="85"/>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pPr>
        <w:pStyle w:val="84"/>
        <w:pageBreakBefore w:val="0"/>
        <w:widowControl/>
        <w:kinsoku/>
        <w:wordWrap/>
        <w:overflowPunct/>
        <w:topLinePunct w:val="0"/>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pPr>
        <w:pStyle w:val="84"/>
        <w:pageBreakBefore w:val="0"/>
        <w:widowControl/>
        <w:kinsoku/>
        <w:wordWrap/>
        <w:overflowPunct/>
        <w:topLinePunct w:val="0"/>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pPr>
        <w:pStyle w:val="87"/>
        <w:pageBreakBefore w:val="0"/>
        <w:widowControl/>
        <w:kinsoku/>
        <w:wordWrap/>
        <w:overflowPunct/>
        <w:topLinePunct w:val="0"/>
        <w:bidi w:val="0"/>
        <w:snapToGrid/>
        <w:spacing w:before="0" w:beforeAutospacing="0" w:after="0" w:afterAutospacing="0" w:line="440" w:lineRule="exact"/>
        <w:jc w:val="both"/>
        <w:textAlignment w:val="baseline"/>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pPr>
        <w:pStyle w:val="87"/>
        <w:pageBreakBefore w:val="0"/>
        <w:widowControl/>
        <w:kinsoku/>
        <w:wordWrap/>
        <w:overflowPunct/>
        <w:topLinePunct w:val="0"/>
        <w:bidi w:val="0"/>
        <w:snapToGrid/>
        <w:spacing w:before="0" w:beforeAutospacing="0" w:after="0" w:afterAutospacing="0" w:line="440" w:lineRule="exact"/>
        <w:jc w:val="both"/>
        <w:textAlignment w:val="baseline"/>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4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6、法律、行政法规规定的其他条件;</w:t>
      </w:r>
    </w:p>
    <w:p>
      <w:pPr>
        <w:pStyle w:val="8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pPr>
        <w:pStyle w:val="8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pPr>
        <w:pStyle w:val="80"/>
        <w:pageBreakBefore w:val="0"/>
        <w:widowControl/>
        <w:kinsoku/>
        <w:wordWrap/>
        <w:overflowPunct/>
        <w:topLinePunct w:val="0"/>
        <w:bidi w:val="0"/>
        <w:snapToGrid/>
        <w:spacing w:before="0" w:beforeAutospacing="0" w:after="0" w:afterAutospacing="0" w:line="240" w:lineRule="auto"/>
        <w:jc w:val="both"/>
        <w:textAlignment w:val="baseline"/>
        <w:rPr>
          <w:rStyle w:val="45"/>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4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pPr>
        <w:pStyle w:val="56"/>
        <w:pageBreakBefore w:val="0"/>
        <w:kinsoku/>
        <w:overflowPunct/>
        <w:topLinePunct w:val="0"/>
        <w:bidi w:val="0"/>
        <w:ind w:firstLine="560" w:firstLineChars="200"/>
        <w:rPr>
          <w:rFonts w:hint="eastAsia" w:asciiTheme="minorEastAsia" w:hAnsiTheme="minorEastAsia" w:eastAsiaTheme="minorEastAsia" w:cstheme="minorEastAsia"/>
          <w:color w:val="auto"/>
          <w:spacing w:val="0"/>
          <w:position w:val="0"/>
          <w:highlight w:val="none"/>
        </w:rPr>
      </w:pPr>
    </w:p>
    <w:p>
      <w:pPr>
        <w:pStyle w:val="5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b/>
          <w:color w:val="auto"/>
          <w:spacing w:val="0"/>
          <w:position w:val="0"/>
          <w:sz w:val="24"/>
          <w:highlight w:val="none"/>
        </w:rPr>
      </w:pPr>
    </w:p>
    <w:p>
      <w:pPr>
        <w:pStyle w:val="18"/>
        <w:pageBreakBefore w:val="0"/>
        <w:tabs>
          <w:tab w:val="left" w:pos="8786"/>
        </w:tabs>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4"/>
          <w:highlight w:val="none"/>
        </w:rPr>
      </w:pPr>
      <w:bookmarkStart w:id="262" w:name="_Toc1366"/>
      <w:bookmarkStart w:id="263" w:name="_Toc480368426"/>
      <w:r>
        <w:rPr>
          <w:rFonts w:hint="eastAsia" w:asciiTheme="minorEastAsia" w:hAnsiTheme="minorEastAsia" w:eastAsiaTheme="minorEastAsia" w:cstheme="minorEastAsia"/>
          <w:b/>
          <w:color w:val="auto"/>
          <w:spacing w:val="0"/>
          <w:position w:val="0"/>
          <w:sz w:val="24"/>
          <w:highlight w:val="none"/>
          <w:lang w:val="en-US" w:eastAsia="zh-CN"/>
        </w:rPr>
        <w:t>1.2</w:t>
      </w:r>
      <w:r>
        <w:rPr>
          <w:rFonts w:hint="eastAsia" w:asciiTheme="minorEastAsia" w:hAnsiTheme="minorEastAsia" w:eastAsiaTheme="minorEastAsia" w:cstheme="minorEastAsia"/>
          <w:b/>
          <w:color w:val="auto"/>
          <w:spacing w:val="0"/>
          <w:position w:val="0"/>
          <w:sz w:val="24"/>
          <w:highlight w:val="none"/>
        </w:rPr>
        <w:t>投标保证金</w:t>
      </w:r>
      <w:bookmarkEnd w:id="262"/>
      <w:bookmarkEnd w:id="263"/>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w:t>
      </w:r>
      <w:r>
        <w:rPr>
          <w:rFonts w:hint="eastAsia" w:asciiTheme="minorEastAsia" w:hAnsiTheme="minorEastAsia" w:eastAsiaTheme="minorEastAsia" w:cstheme="minorEastAsia"/>
          <w:color w:val="auto"/>
          <w:spacing w:val="0"/>
          <w:position w:val="0"/>
          <w:sz w:val="24"/>
          <w:highlight w:val="none"/>
          <w:lang w:eastAsia="zh-CN"/>
        </w:rPr>
        <w:t>附</w:t>
      </w:r>
      <w:r>
        <w:rPr>
          <w:rFonts w:hint="eastAsia" w:asciiTheme="minorEastAsia" w:hAnsiTheme="minorEastAsia" w:eastAsiaTheme="minorEastAsia" w:cstheme="minorEastAsia"/>
          <w:color w:val="auto"/>
          <w:spacing w:val="0"/>
          <w:position w:val="0"/>
          <w:sz w:val="24"/>
          <w:highlight w:val="none"/>
        </w:rPr>
        <w:t>投标保证金缴纳证明文件；</w:t>
      </w: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9"/>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4"/>
          <w:highlight w:val="none"/>
        </w:rPr>
      </w:pPr>
    </w:p>
    <w:p>
      <w:pPr>
        <w:pageBreakBefore w:val="0"/>
        <w:shd w:val="clear" w:color="auto" w:fill="FFFFFF"/>
        <w:kinsoku/>
        <w:overflowPunct/>
        <w:topLinePunct w:val="0"/>
        <w:bidi w:val="0"/>
        <w:spacing w:line="440" w:lineRule="exact"/>
        <w:jc w:val="left"/>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r>
        <w:rPr>
          <w:rFonts w:hint="eastAsia" w:asciiTheme="minorEastAsia" w:hAnsiTheme="minorEastAsia" w:eastAsiaTheme="minorEastAsia" w:cstheme="minorEastAsia"/>
          <w:b/>
          <w:bCs/>
          <w:color w:val="auto"/>
          <w:spacing w:val="0"/>
          <w:position w:val="0"/>
          <w:sz w:val="24"/>
          <w:szCs w:val="24"/>
          <w:highlight w:val="none"/>
        </w:rPr>
        <w:t>中小企业声明函</w:t>
      </w:r>
    </w:p>
    <w:p>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中小企业声明函（工程、服务）</w:t>
      </w:r>
    </w:p>
    <w:p>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pPr>
        <w:pStyle w:val="89"/>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pPr>
        <w:pStyle w:val="93"/>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pPr>
        <w:pStyle w:val="89"/>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pPr>
        <w:pStyle w:val="89"/>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b/>
          <w:color w:val="auto"/>
          <w:spacing w:val="0"/>
          <w:position w:val="0"/>
          <w:sz w:val="24"/>
          <w:highlight w:val="none"/>
        </w:rPr>
      </w:pPr>
    </w:p>
    <w:p>
      <w:pPr>
        <w:pStyle w:val="19"/>
        <w:pageBreakBefore w:val="0"/>
        <w:kinsoku/>
        <w:overflowPunct/>
        <w:topLinePunct w:val="0"/>
        <w:bidi w:val="0"/>
        <w:rPr>
          <w:rFonts w:hint="eastAsia" w:asciiTheme="minorEastAsia" w:hAnsiTheme="minorEastAsia" w:eastAsiaTheme="minorEastAsia" w:cstheme="minorEastAsia"/>
          <w:b/>
          <w:color w:val="auto"/>
          <w:spacing w:val="0"/>
          <w:position w:val="0"/>
          <w:sz w:val="24"/>
          <w:highlight w:val="none"/>
        </w:rPr>
      </w:pPr>
    </w:p>
    <w:p>
      <w:pPr>
        <w:pStyle w:val="18"/>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b/>
          <w:color w:val="auto"/>
          <w:spacing w:val="0"/>
          <w:position w:val="0"/>
          <w:sz w:val="24"/>
          <w:highlight w:val="none"/>
        </w:rPr>
      </w:pPr>
    </w:p>
    <w:p>
      <w:pPr>
        <w:pStyle w:val="18"/>
        <w:pageBreakBefore w:val="0"/>
        <w:tabs>
          <w:tab w:val="left" w:pos="8786"/>
        </w:tabs>
        <w:kinsoku/>
        <w:overflowPunct/>
        <w:topLinePunct w:val="0"/>
        <w:bidi w:val="0"/>
        <w:spacing w:after="0" w:line="360" w:lineRule="auto"/>
        <w:jc w:val="center"/>
        <w:outlineLvl w:val="1"/>
        <w:rPr>
          <w:rFonts w:hint="eastAsia" w:asciiTheme="minorEastAsia" w:hAnsiTheme="minorEastAsia" w:eastAsiaTheme="minorEastAsia" w:cstheme="minorEastAsia"/>
          <w:b/>
          <w:color w:val="auto"/>
          <w:spacing w:val="0"/>
          <w:position w:val="0"/>
          <w:sz w:val="24"/>
          <w:szCs w:val="24"/>
          <w:highlight w:val="none"/>
        </w:rPr>
      </w:pPr>
      <w:bookmarkStart w:id="264" w:name="_Toc480368432"/>
      <w:bookmarkStart w:id="265" w:name="_Toc2618"/>
      <w:r>
        <w:rPr>
          <w:rFonts w:hint="eastAsia" w:asciiTheme="minorEastAsia" w:hAnsiTheme="minorEastAsia" w:eastAsiaTheme="minorEastAsia" w:cstheme="minorEastAsia"/>
          <w:b/>
          <w:color w:val="auto"/>
          <w:spacing w:val="0"/>
          <w:position w:val="0"/>
          <w:sz w:val="24"/>
          <w:szCs w:val="24"/>
          <w:highlight w:val="none"/>
          <w:lang w:eastAsia="zh-CN"/>
        </w:rPr>
        <w:t>二</w:t>
      </w:r>
      <w:r>
        <w:rPr>
          <w:rFonts w:hint="eastAsia" w:asciiTheme="minorEastAsia" w:hAnsiTheme="minorEastAsia" w:eastAsiaTheme="minorEastAsia" w:cstheme="minorEastAsia"/>
          <w:b/>
          <w:color w:val="auto"/>
          <w:spacing w:val="0"/>
          <w:position w:val="0"/>
          <w:sz w:val="24"/>
          <w:szCs w:val="24"/>
          <w:highlight w:val="none"/>
        </w:rPr>
        <w:t>、商务文件</w:t>
      </w:r>
      <w:bookmarkEnd w:id="264"/>
      <w:bookmarkEnd w:id="265"/>
    </w:p>
    <w:p>
      <w:pPr>
        <w:pStyle w:val="18"/>
        <w:keepNext w:val="0"/>
        <w:keepLines w:val="0"/>
        <w:pageBreakBefore w:val="0"/>
        <w:tabs>
          <w:tab w:val="left" w:pos="8786"/>
        </w:tabs>
        <w:kinsoku/>
        <w:wordWrap/>
        <w:overflowPunct/>
        <w:topLinePunct w:val="0"/>
        <w:autoSpaceDE/>
        <w:autoSpaceDN/>
        <w:bidi w:val="0"/>
        <w:adjustRightInd/>
        <w:snapToGrid/>
        <w:spacing w:after="0" w:line="440" w:lineRule="exact"/>
        <w:textAlignment w:val="auto"/>
        <w:outlineLvl w:val="2"/>
        <w:rPr>
          <w:rFonts w:hint="eastAsia" w:asciiTheme="minorEastAsia" w:hAnsiTheme="minorEastAsia" w:eastAsiaTheme="minorEastAsia" w:cstheme="minorEastAsia"/>
          <w:b/>
          <w:color w:val="auto"/>
          <w:spacing w:val="0"/>
          <w:position w:val="0"/>
          <w:sz w:val="24"/>
          <w:szCs w:val="24"/>
          <w:highlight w:val="none"/>
        </w:rPr>
      </w:pPr>
      <w:bookmarkStart w:id="266" w:name="_Toc15878"/>
      <w:bookmarkStart w:id="267" w:name="_Toc480368433"/>
      <w:r>
        <w:rPr>
          <w:rFonts w:hint="eastAsia" w:asciiTheme="minorEastAsia" w:hAnsiTheme="minorEastAsia" w:eastAsiaTheme="minorEastAsia" w:cstheme="minorEastAsia"/>
          <w:b/>
          <w:color w:val="auto"/>
          <w:spacing w:val="0"/>
          <w:position w:val="0"/>
          <w:sz w:val="24"/>
          <w:szCs w:val="24"/>
          <w:highlight w:val="none"/>
          <w:lang w:val="en-US" w:eastAsia="zh-CN"/>
        </w:rPr>
        <w:t>2.1</w:t>
      </w:r>
      <w:r>
        <w:rPr>
          <w:rFonts w:hint="eastAsia" w:asciiTheme="minorEastAsia" w:hAnsiTheme="minorEastAsia" w:eastAsiaTheme="minorEastAsia" w:cstheme="minorEastAsia"/>
          <w:b/>
          <w:color w:val="auto"/>
          <w:spacing w:val="0"/>
          <w:position w:val="0"/>
          <w:sz w:val="24"/>
          <w:szCs w:val="24"/>
          <w:highlight w:val="none"/>
        </w:rPr>
        <w:t>投标函</w:t>
      </w:r>
      <w:bookmarkEnd w:id="266"/>
      <w:bookmarkEnd w:id="267"/>
    </w:p>
    <w:p>
      <w:pPr>
        <w:pStyle w:val="1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(投标人名称)授权</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(投标人授权代理人姓名)</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(职务、职称)为我方代表，参加贵方组织的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(项目名称、项目编号)招标的有关活动，并对此项目进行投标。为此：</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1、我方同意在本项目招标文件中规定的投标有效期内遵守本投标文件中的承诺且在此期限期满之前均具有约束力。</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2、我方承诺已经具备《中华人民共和国政府采购法》中规定的参加政府采购活动的供应商应当具备的条件：</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5）参加此项采购活动前三年内，在经营活动中没有重大违法记录；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3、提供投标人须知规定的全部投标文件，包括在平台上传加密电子投标文件。</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4、按招标文件要求提供和交付的货物及相关服务的投标报价详见开标一览表。</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5、保证忠实地执行双方所签订的合同，并承担合同规定的责任和义务。</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6、我方承诺完全满足和响应招标文件中的各项技术和服务要求，若有偏差，已在投标文件偏离表中予以明确特别说明。</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7、我方承诺：完全理解投标报价若超过项目预算时，投标将被拒绝。</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8、我方承诺：与在本项目</w:t>
      </w:r>
      <w:r>
        <w:rPr>
          <w:rFonts w:hint="eastAsia" w:asciiTheme="minorEastAsia" w:hAnsiTheme="minorEastAsia" w:eastAsiaTheme="minorEastAsia" w:cstheme="minorEastAsia"/>
          <w:color w:val="auto"/>
          <w:spacing w:val="0"/>
          <w:position w:val="0"/>
          <w:sz w:val="24"/>
          <w:szCs w:val="24"/>
          <w:highlight w:val="none"/>
          <w:lang w:val="en-US" w:eastAsia="zh-CN"/>
        </w:rPr>
        <w:t>采购人</w:t>
      </w:r>
      <w:r>
        <w:rPr>
          <w:rFonts w:hint="eastAsia" w:asciiTheme="minorEastAsia" w:hAnsiTheme="minorEastAsia" w:eastAsiaTheme="minorEastAsia" w:cstheme="minorEastAsia"/>
          <w:color w:val="auto"/>
          <w:spacing w:val="0"/>
          <w:position w:val="0"/>
          <w:sz w:val="24"/>
          <w:szCs w:val="24"/>
          <w:highlight w:val="none"/>
        </w:rPr>
        <w:t>及其附属机构无任何直接隶属关系和利益关联。</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9、如果在开标后规定的投标有效期内撤回投标，我方的投标保证金可被贵方没收。</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10、我方完全理解贵方不一定接受最低价的投标或收到的任何投标。</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12、我方已详细审核全部投标文件，包括投标文件修改书（如有的话）、参考资料及有关附件，确认无误。</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13、我方承诺：采购人若需追加采购本项目招标文件所列货物及相关服务的，在不改变合同其他实质性条款的前提下，按相同或更优惠的折扣率保证供货。</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14、我方承诺：如所报货物属国家强制认证产品的，均已通过认证且在有效期内，否则，由此产生的一切法律责任由我方承担。</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15、我方承诺：接受招标文件中的全部条款且无任何异议，保证遵守招标文件的规定。</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1）提供虚假材料谋取中标、成交的；</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2）采取不正当手段诋毁、排挤其他供应商的；</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3）与采购人、其他供应商或者采购代理机构工作人员恶意串通的；</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4）向采购人、采购代理机构工作人员行贿或者提供其他不正当利益的；</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5）在采购过程中与采购人进行协商谈判的；</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6）拒绝有关部门监督检查或提供虚假情况的。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17、与本投标有关的一切往来通讯请寄：</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地址：_________________</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邮编：____________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投标人法定代表人或授权代理人联系电话：</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pPr>
        <w:pStyle w:val="19"/>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说明：除可填报项目外，对本投标函的任何修改将被视为非实质性响应投标，从而导致该投标被拒绝。</w:t>
      </w:r>
      <w:bookmarkStart w:id="268" w:name="_Toc5102"/>
      <w:bookmarkStart w:id="269" w:name="_Toc480368434"/>
    </w:p>
    <w:p>
      <w:pPr>
        <w:pStyle w:val="19"/>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4"/>
          <w:highlight w:val="none"/>
          <w:lang w:val="en-US" w:eastAsia="zh-CN"/>
        </w:rPr>
      </w:pPr>
    </w:p>
    <w:p>
      <w:pPr>
        <w:pStyle w:val="18"/>
        <w:pageBreakBefore w:val="0"/>
        <w:tabs>
          <w:tab w:val="left" w:pos="8786"/>
        </w:tabs>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4"/>
          <w:highlight w:val="none"/>
        </w:rPr>
      </w:pPr>
      <w:bookmarkStart w:id="270" w:name="_Toc7245"/>
      <w:bookmarkStart w:id="271" w:name="_Toc480368423"/>
      <w:r>
        <w:rPr>
          <w:rFonts w:hint="eastAsia" w:asciiTheme="minorEastAsia" w:hAnsiTheme="minorEastAsia" w:eastAsiaTheme="minorEastAsia" w:cstheme="minorEastAsia"/>
          <w:b/>
          <w:color w:val="auto"/>
          <w:spacing w:val="0"/>
          <w:position w:val="0"/>
          <w:sz w:val="24"/>
          <w:highlight w:val="none"/>
          <w:lang w:val="en-US" w:eastAsia="zh-CN"/>
        </w:rPr>
        <w:t>2.2</w:t>
      </w:r>
      <w:r>
        <w:rPr>
          <w:rFonts w:hint="eastAsia" w:asciiTheme="minorEastAsia" w:hAnsiTheme="minorEastAsia" w:eastAsiaTheme="minorEastAsia" w:cstheme="minorEastAsia"/>
          <w:b/>
          <w:color w:val="auto"/>
          <w:spacing w:val="0"/>
          <w:position w:val="0"/>
          <w:sz w:val="24"/>
          <w:highlight w:val="none"/>
        </w:rPr>
        <w:t>法定代表人身份证明及授权委托书</w:t>
      </w:r>
      <w:bookmarkEnd w:id="270"/>
      <w:bookmarkEnd w:id="271"/>
    </w:p>
    <w:p>
      <w:pPr>
        <w:pStyle w:val="56"/>
        <w:pageBreakBefore w:val="0"/>
        <w:kinsoku/>
        <w:overflowPunct/>
        <w:topLinePunct w:val="0"/>
        <w:bidi w:val="0"/>
        <w:adjustRightInd w:val="0"/>
        <w:snapToGrid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bookmarkStart w:id="272" w:name="_Toc487101305"/>
      <w:bookmarkEnd w:id="272"/>
      <w:bookmarkStart w:id="273" w:name="_Toc480368595"/>
      <w:bookmarkEnd w:id="273"/>
      <w:bookmarkStart w:id="274" w:name="_Toc468535482"/>
      <w:bookmarkEnd w:id="274"/>
      <w:bookmarkStart w:id="275" w:name="_Toc487101447"/>
      <w:bookmarkEnd w:id="275"/>
      <w:bookmarkStart w:id="276" w:name="_Toc480368424"/>
      <w:bookmarkEnd w:id="276"/>
      <w:bookmarkStart w:id="277" w:name="_Toc487101376"/>
      <w:bookmarkEnd w:id="277"/>
      <w:bookmarkStart w:id="278" w:name="_Toc480368653"/>
      <w:bookmarkEnd w:id="278"/>
      <w:bookmarkStart w:id="279" w:name="_Toc480371721"/>
      <w:bookmarkEnd w:id="279"/>
      <w:r>
        <w:rPr>
          <w:rFonts w:hint="eastAsia" w:asciiTheme="minorEastAsia" w:hAnsiTheme="minorEastAsia" w:eastAsiaTheme="minorEastAsia" w:cstheme="minorEastAsia"/>
          <w:color w:val="auto"/>
          <w:spacing w:val="0"/>
          <w:position w:val="0"/>
          <w:sz w:val="24"/>
          <w:szCs w:val="24"/>
          <w:highlight w:val="none"/>
        </w:rPr>
        <w:t>法定代表人资格证明文件</w:t>
      </w:r>
    </w:p>
    <w:p>
      <w:pPr>
        <w:pStyle w:val="56"/>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（代理机构名称）</w:t>
      </w:r>
      <w:r>
        <w:rPr>
          <w:rFonts w:hint="eastAsia" w:asciiTheme="minorEastAsia" w:hAnsiTheme="minorEastAsia" w:eastAsiaTheme="minorEastAsia" w:cstheme="minorEastAsia"/>
          <w:color w:val="auto"/>
          <w:spacing w:val="0"/>
          <w:position w:val="0"/>
          <w:sz w:val="24"/>
          <w:szCs w:val="24"/>
          <w:highlight w:val="none"/>
        </w:rPr>
        <w:t>：</w:t>
      </w:r>
    </w:p>
    <w:p>
      <w:pPr>
        <w:pStyle w:val="56"/>
        <w:pageBreakBefore w:val="0"/>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兹有</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同志为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公司法定代表人，代表我公司办理一切社会公务事宜，具有法律效力。 </w:t>
      </w:r>
    </w:p>
    <w:p>
      <w:pPr>
        <w:pStyle w:val="56"/>
        <w:pageBreakBefore w:val="0"/>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附法定代表人基本情况： </w:t>
      </w:r>
    </w:p>
    <w:p>
      <w:pPr>
        <w:pStyle w:val="56"/>
        <w:pageBreakBefore w:val="0"/>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姓名：</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性别：</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职务：</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通讯地址：</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电话号码：</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邮政编码：</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p>
    <w:tbl>
      <w:tblPr>
        <w:tblStyle w:val="37"/>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pPr>
              <w:pStyle w:val="98"/>
              <w:pageBreakBefore w:val="0"/>
              <w:kinsoku/>
              <w:wordWrap/>
              <w:overflowPunct/>
              <w:topLinePunct w:val="0"/>
              <w:bidi w:val="0"/>
              <w:snapToGrid w:val="0"/>
              <w:spacing w:before="0" w:beforeAutospacing="0" w:after="0" w:afterAutospacing="0" w:line="500" w:lineRule="exact"/>
              <w:jc w:val="center"/>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pPr>
              <w:pStyle w:val="98"/>
              <w:pageBreakBefore w:val="0"/>
              <w:kinsoku/>
              <w:wordWrap/>
              <w:overflowPunct/>
              <w:topLinePunct w:val="0"/>
              <w:bidi w:val="0"/>
              <w:snapToGrid w:val="0"/>
              <w:spacing w:before="0" w:beforeAutospacing="0" w:after="0" w:afterAutospacing="0" w:line="500" w:lineRule="exact"/>
              <w:jc w:val="center"/>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pPr>
              <w:pStyle w:val="98"/>
              <w:pageBreakBefore w:val="0"/>
              <w:kinsoku/>
              <w:wordWrap/>
              <w:overflowPunct/>
              <w:topLinePunct w:val="0"/>
              <w:bidi w:val="0"/>
              <w:snapToGrid w:val="0"/>
              <w:spacing w:before="0" w:beforeAutospacing="0" w:after="0" w:afterAutospacing="0" w:line="500" w:lineRule="exact"/>
              <w:jc w:val="center"/>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pPr>
        <w:pStyle w:val="56"/>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pPr>
        <w:pStyle w:val="56"/>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rPr>
        <w:t>投标人名称（签章）：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pPr>
        <w:pStyle w:val="56"/>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pPr>
        <w:pStyle w:val="56"/>
        <w:pageBreakBefore w:val="0"/>
        <w:tabs>
          <w:tab w:val="left" w:pos="750"/>
        </w:tabs>
        <w:kinsoku/>
        <w:overflowPunct/>
        <w:topLinePunct w:val="0"/>
        <w:bidi w:val="0"/>
        <w:adjustRightInd w:val="0"/>
        <w:snapToGrid w:val="0"/>
        <w:spacing w:line="500" w:lineRule="exact"/>
        <w:ind w:firstLine="720" w:firstLineChars="3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日</w:t>
      </w:r>
    </w:p>
    <w:p>
      <w:pPr>
        <w:pStyle w:val="55"/>
        <w:pageBreakBefore w:val="0"/>
        <w:kinsoku/>
        <w:overflowPunct/>
        <w:topLinePunct w:val="0"/>
        <w:bidi w:val="0"/>
        <w:outlineLvl w:val="9"/>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 xml:space="preserve"> </w:t>
      </w:r>
      <w:bookmarkStart w:id="280" w:name="_Toc468535483"/>
    </w:p>
    <w:p>
      <w:pPr>
        <w:pStyle w:val="55"/>
        <w:pageBreakBefore w:val="0"/>
        <w:kinsoku/>
        <w:overflowPunct/>
        <w:topLinePunct w:val="0"/>
        <w:bidi w:val="0"/>
        <w:outlineLvl w:val="9"/>
        <w:rPr>
          <w:rFonts w:hint="eastAsia" w:asciiTheme="minorEastAsia" w:hAnsiTheme="minorEastAsia" w:eastAsiaTheme="minorEastAsia" w:cstheme="minorEastAsia"/>
          <w:color w:val="auto"/>
          <w:spacing w:val="0"/>
          <w:position w:val="0"/>
          <w:highlight w:val="none"/>
          <w:lang w:eastAsia="zh-CN"/>
        </w:rPr>
      </w:pPr>
    </w:p>
    <w:p>
      <w:pPr>
        <w:pStyle w:val="55"/>
        <w:pageBreakBefore w:val="0"/>
        <w:kinsoku/>
        <w:overflowPunct/>
        <w:topLinePunct w:val="0"/>
        <w:bidi w:val="0"/>
        <w:outlineLvl w:val="9"/>
        <w:rPr>
          <w:rFonts w:hint="eastAsia" w:asciiTheme="minorEastAsia" w:hAnsiTheme="minorEastAsia" w:eastAsiaTheme="minorEastAsia" w:cstheme="minorEastAsia"/>
          <w:color w:val="auto"/>
          <w:spacing w:val="0"/>
          <w:position w:val="0"/>
          <w:highlight w:val="none"/>
          <w:lang w:eastAsia="zh-CN"/>
        </w:rPr>
      </w:pPr>
    </w:p>
    <w:p>
      <w:pPr>
        <w:pStyle w:val="56"/>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pPr>
        <w:pStyle w:val="56"/>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pPr>
        <w:pStyle w:val="56"/>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pPr>
        <w:pStyle w:val="5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280"/>
    <w:p>
      <w:pPr>
        <w:pStyle w:val="56"/>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法定代表人授权书</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（代理机构名称）</w:t>
      </w:r>
      <w:r>
        <w:rPr>
          <w:rFonts w:hint="eastAsia" w:asciiTheme="minorEastAsia" w:hAnsiTheme="minorEastAsia" w:eastAsiaTheme="minorEastAsia" w:cstheme="minorEastAsia"/>
          <w:color w:val="auto"/>
          <w:spacing w:val="0"/>
          <w:position w:val="0"/>
          <w:sz w:val="24"/>
          <w:szCs w:val="24"/>
          <w:highlight w:val="none"/>
        </w:rPr>
        <w:t>：</w:t>
      </w:r>
    </w:p>
    <w:p>
      <w:pPr>
        <w:pStyle w:val="56"/>
        <w:pageBreakBefore w:val="0"/>
        <w:kinsoku/>
        <w:overflowPunct/>
        <w:topLinePunct w:val="0"/>
        <w:bidi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兹授权</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同志为我公司参加贵单位组织的编号为</w:t>
      </w:r>
      <w:r>
        <w:rPr>
          <w:rFonts w:hint="eastAsia" w:asciiTheme="minorEastAsia" w:hAnsiTheme="minorEastAsia" w:eastAsiaTheme="minorEastAsia" w:cstheme="minorEastAsia"/>
          <w:color w:val="auto"/>
          <w:spacing w:val="0"/>
          <w:position w:val="0"/>
          <w:sz w:val="24"/>
          <w:szCs w:val="24"/>
          <w:highlight w:val="none"/>
          <w:u w:val="single"/>
        </w:rPr>
        <w:t>（项目编号）</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（项 目 名 称）</w:t>
      </w:r>
      <w:r>
        <w:rPr>
          <w:rFonts w:hint="eastAsia" w:asciiTheme="minorEastAsia" w:hAnsiTheme="minorEastAsia" w:eastAsiaTheme="minorEastAsia" w:cstheme="minorEastAsia"/>
          <w:color w:val="auto"/>
          <w:spacing w:val="0"/>
          <w:position w:val="0"/>
          <w:sz w:val="24"/>
          <w:szCs w:val="24"/>
          <w:highlight w:val="none"/>
        </w:rPr>
        <w:t>采购活动的投标代表人，全权代表我公司处理在该项目采购活动中的一切事宜。代理期限从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日起至</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日止。 </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投标人（签章）：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法定代表人（签章）：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签发日期：</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日</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附：</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代理人工作单位：</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性别：</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身份证号码：</w:t>
      </w:r>
      <w:r>
        <w:rPr>
          <w:rFonts w:hint="eastAsia" w:asciiTheme="minorEastAsia" w:hAnsiTheme="minorEastAsia" w:eastAsiaTheme="minorEastAsia" w:cstheme="minorEastAsia"/>
          <w:color w:val="auto"/>
          <w:spacing w:val="0"/>
          <w:position w:val="0"/>
          <w:sz w:val="24"/>
          <w:szCs w:val="24"/>
          <w:highlight w:val="none"/>
          <w:u w:val="single"/>
        </w:rPr>
        <w:t xml:space="preserve">                              </w:t>
      </w:r>
    </w:p>
    <w:p>
      <w:pPr>
        <w:pStyle w:val="56"/>
        <w:pageBreakBefore w:val="0"/>
        <w:kinsoku/>
        <w:overflowPunct/>
        <w:topLinePunct w:val="0"/>
        <w:bidi w:val="0"/>
        <w:adjustRightInd w:val="0"/>
        <w:snapToGrid w:val="0"/>
        <w:spacing w:line="500" w:lineRule="exact"/>
        <w:ind w:left="-88" w:leftChars="-42" w:firstLine="600" w:firstLineChars="250"/>
        <w:rPr>
          <w:rFonts w:hint="eastAsia" w:asciiTheme="minorEastAsia" w:hAnsiTheme="minorEastAsia" w:eastAsiaTheme="minorEastAsia" w:cstheme="minorEastAsia"/>
          <w:color w:val="auto"/>
          <w:spacing w:val="0"/>
          <w:position w:val="0"/>
          <w:sz w:val="24"/>
          <w:szCs w:val="24"/>
          <w:highlight w:val="none"/>
          <w:u w:val="single"/>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pPr>
              <w:pStyle w:val="98"/>
              <w:pageBreakBefore w:val="0"/>
              <w:kinsoku/>
              <w:wordWrap/>
              <w:overflowPunct/>
              <w:topLinePunct w:val="0"/>
              <w:bidi w:val="0"/>
              <w:snapToGrid w:val="0"/>
              <w:spacing w:before="0" w:beforeAutospacing="0" w:after="0" w:afterAutospacing="0" w:line="500" w:lineRule="exact"/>
              <w:jc w:val="center"/>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pPr>
              <w:pStyle w:val="98"/>
              <w:pageBreakBefore w:val="0"/>
              <w:kinsoku/>
              <w:wordWrap/>
              <w:overflowPunct/>
              <w:topLinePunct w:val="0"/>
              <w:bidi w:val="0"/>
              <w:snapToGrid w:val="0"/>
              <w:spacing w:before="0" w:beforeAutospacing="0" w:after="0" w:afterAutospacing="0" w:line="500" w:lineRule="exact"/>
              <w:jc w:val="center"/>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pPr>
              <w:pStyle w:val="98"/>
              <w:pageBreakBefore w:val="0"/>
              <w:kinsoku/>
              <w:wordWrap/>
              <w:overflowPunct/>
              <w:topLinePunct w:val="0"/>
              <w:bidi w:val="0"/>
              <w:snapToGrid w:val="0"/>
              <w:spacing w:before="0" w:beforeAutospacing="0" w:after="0" w:afterAutospacing="0" w:line="500" w:lineRule="exact"/>
              <w:jc w:val="center"/>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pPr>
        <w:pStyle w:val="98"/>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98"/>
              <w:pageBreakBefore w:val="0"/>
              <w:kinsoku/>
              <w:wordWrap/>
              <w:overflowPunct/>
              <w:topLinePunct w:val="0"/>
              <w:bidi w:val="0"/>
              <w:snapToGrid/>
              <w:spacing w:before="0" w:beforeAutospacing="0" w:after="0" w:afterAutospacing="0" w:line="500" w:lineRule="exact"/>
              <w:jc w:val="center"/>
              <w:textAlignment w:val="baseline"/>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pPr>
        <w:pStyle w:val="18"/>
        <w:pageBreakBefore w:val="0"/>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4"/>
          <w:highlight w:val="none"/>
          <w:lang w:val="en-US" w:eastAsia="zh-CN"/>
        </w:rPr>
      </w:pPr>
      <w:r>
        <w:rPr>
          <w:rFonts w:hint="eastAsia" w:asciiTheme="minorEastAsia" w:hAnsiTheme="minorEastAsia" w:eastAsiaTheme="minorEastAsia" w:cstheme="minorEastAsia"/>
          <w:b/>
          <w:color w:val="auto"/>
          <w:spacing w:val="0"/>
          <w:position w:val="0"/>
          <w:sz w:val="24"/>
          <w:highlight w:val="none"/>
          <w:lang w:val="en-US" w:eastAsia="zh-CN"/>
        </w:rPr>
        <w:t>2.3开标一览表</w:t>
      </w:r>
      <w:bookmarkEnd w:id="268"/>
      <w:bookmarkEnd w:id="269"/>
    </w:p>
    <w:p>
      <w:pPr>
        <w:pStyle w:val="18"/>
        <w:pageBreakBefore w:val="0"/>
        <w:kinsoku/>
        <w:overflowPunct/>
        <w:topLinePunct w:val="0"/>
        <w:bidi w:val="0"/>
        <w:spacing w:after="0" w:line="360" w:lineRule="auto"/>
        <w:ind w:firstLine="482"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开标一览表</w:t>
      </w:r>
    </w:p>
    <w:p>
      <w:pPr>
        <w:pStyle w:val="20"/>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p>
    <w:p>
      <w:pPr>
        <w:pStyle w:val="20"/>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项目名称：               </w:t>
      </w:r>
    </w:p>
    <w:tbl>
      <w:tblPr>
        <w:tblStyle w:val="37"/>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pPr>
              <w:pageBreakBefore w:val="0"/>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标题</w:t>
            </w:r>
          </w:p>
        </w:tc>
        <w:tc>
          <w:tcPr>
            <w:tcW w:w="6520" w:type="dxa"/>
            <w:noWrap w:val="0"/>
            <w:vAlign w:val="center"/>
          </w:tcPr>
          <w:p>
            <w:pPr>
              <w:pageBreakBefore w:val="0"/>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pPr>
              <w:pageBreakBefore w:val="0"/>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投标总报价</w:t>
            </w:r>
          </w:p>
        </w:tc>
        <w:tc>
          <w:tcPr>
            <w:tcW w:w="6520" w:type="dxa"/>
            <w:noWrap w:val="0"/>
            <w:vAlign w:val="top"/>
          </w:tcPr>
          <w:p>
            <w:pPr>
              <w:pageBreakBefore w:val="0"/>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小写：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w:t>
            </w:r>
          </w:p>
          <w:p>
            <w:pPr>
              <w:pageBreakBefore w:val="0"/>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大写：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pPr>
              <w:tabs>
                <w:tab w:val="left" w:pos="1337"/>
              </w:tabs>
              <w:spacing w:line="240" w:lineRule="auto"/>
              <w:jc w:val="center"/>
              <w:rPr>
                <w:rFonts w:hint="eastAsia" w:asciiTheme="minorEastAsia" w:hAnsiTheme="minorEastAsia" w:eastAsiaTheme="minorEastAsia" w:cstheme="minorEastAsia"/>
                <w:color w:val="auto"/>
                <w:spacing w:val="0"/>
                <w:position w:val="0"/>
                <w:sz w:val="22"/>
                <w:szCs w:val="22"/>
                <w:highlight w:val="none"/>
                <w:lang w:eastAsia="zh-CN"/>
              </w:rPr>
            </w:pPr>
            <w:r>
              <w:rPr>
                <w:rFonts w:hint="eastAsia" w:ascii="宋体" w:hAnsi="宋体" w:eastAsia="宋体" w:cs="宋体"/>
                <w:bCs/>
                <w:color w:val="auto"/>
                <w:spacing w:val="0"/>
                <w:position w:val="0"/>
                <w:sz w:val="24"/>
                <w:szCs w:val="24"/>
                <w:highlight w:val="none"/>
              </w:rPr>
              <w:t>报价单位</w:t>
            </w:r>
          </w:p>
        </w:tc>
        <w:tc>
          <w:tcPr>
            <w:tcW w:w="6520" w:type="dxa"/>
            <w:noWrap w:val="0"/>
            <w:vAlign w:val="top"/>
          </w:tcPr>
          <w:p>
            <w:pPr>
              <w:pageBreakBefore w:val="0"/>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pPr>
              <w:tabs>
                <w:tab w:val="left" w:pos="1337"/>
              </w:tabs>
              <w:spacing w:line="240" w:lineRule="auto"/>
              <w:jc w:val="center"/>
              <w:rPr>
                <w:rFonts w:hint="eastAsia" w:asciiTheme="minorEastAsia" w:hAnsiTheme="minorEastAsia" w:eastAsiaTheme="minorEastAsia" w:cstheme="minorEastAsia"/>
                <w:color w:val="auto"/>
                <w:spacing w:val="0"/>
                <w:position w:val="0"/>
                <w:sz w:val="22"/>
                <w:szCs w:val="22"/>
                <w:highlight w:val="none"/>
                <w:lang w:val="en-US" w:eastAsia="zh-CN"/>
              </w:rPr>
            </w:pPr>
            <w:r>
              <w:rPr>
                <w:rFonts w:hint="eastAsia" w:ascii="宋体" w:hAnsi="宋体" w:cs="宋体"/>
                <w:bCs/>
                <w:color w:val="auto"/>
                <w:spacing w:val="0"/>
                <w:position w:val="0"/>
                <w:sz w:val="24"/>
                <w:szCs w:val="24"/>
                <w:highlight w:val="none"/>
                <w:lang w:eastAsia="zh-CN"/>
              </w:rPr>
              <w:t>服务期限</w:t>
            </w:r>
          </w:p>
        </w:tc>
        <w:tc>
          <w:tcPr>
            <w:tcW w:w="6520" w:type="dxa"/>
            <w:noWrap w:val="0"/>
            <w:vAlign w:val="top"/>
          </w:tcPr>
          <w:p>
            <w:pPr>
              <w:pageBreakBefore w:val="0"/>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pPr>
              <w:pageBreakBefore w:val="0"/>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备注</w:t>
            </w:r>
          </w:p>
        </w:tc>
        <w:tc>
          <w:tcPr>
            <w:tcW w:w="6520" w:type="dxa"/>
            <w:noWrap w:val="0"/>
            <w:vAlign w:val="top"/>
          </w:tcPr>
          <w:p>
            <w:pPr>
              <w:pageBreakBefore w:val="0"/>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p>
        </w:tc>
      </w:tr>
    </w:tbl>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说明：1、投标人严格按照规定的格式填写。投标总价为优惠后报价，并作为评审及定标的依据。</w:t>
      </w:r>
      <w:r>
        <w:rPr>
          <w:rFonts w:hint="eastAsia" w:asciiTheme="minorEastAsia" w:hAnsiTheme="minorEastAsia" w:eastAsiaTheme="minorEastAsia" w:cstheme="minorEastAsia"/>
          <w:color w:val="auto"/>
          <w:spacing w:val="0"/>
          <w:position w:val="0"/>
          <w:sz w:val="24"/>
          <w:highlight w:val="none"/>
          <w:lang w:val="en-US" w:eastAsia="zh-CN"/>
        </w:rPr>
        <w:t>2、</w:t>
      </w:r>
      <w:r>
        <w:rPr>
          <w:rFonts w:hint="eastAsia" w:asciiTheme="minorEastAsia" w:hAnsiTheme="minorEastAsia" w:eastAsiaTheme="minorEastAsia" w:cstheme="minorEastAsia"/>
          <w:color w:val="auto"/>
          <w:spacing w:val="0"/>
          <w:position w:val="0"/>
          <w:sz w:val="24"/>
          <w:highlight w:val="none"/>
        </w:rPr>
        <w:t>任何有选择或有条件的投标总价或表中某一包填写多个报价，均将导致投标被拒绝。</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pPr>
        <w:pageBreakBefore w:val="0"/>
        <w:kinsoku/>
        <w:overflowPunct/>
        <w:topLinePunct w:val="0"/>
        <w:bidi w:val="0"/>
        <w:spacing w:line="360" w:lineRule="auto"/>
        <w:rPr>
          <w:rFonts w:hint="eastAsia" w:asciiTheme="minorEastAsia" w:hAnsiTheme="minorEastAsia" w:eastAsiaTheme="minorEastAsia" w:cstheme="minorEastAsia"/>
          <w:b/>
          <w:bCs/>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pPr>
        <w:pStyle w:val="44"/>
        <w:rPr>
          <w:rFonts w:hint="eastAsia" w:asciiTheme="minorEastAsia" w:hAnsiTheme="minorEastAsia" w:eastAsiaTheme="minorEastAsia" w:cstheme="minorEastAsia"/>
          <w:color w:val="auto"/>
          <w:highlight w:val="none"/>
        </w:rPr>
      </w:pPr>
    </w:p>
    <w:p>
      <w:pPr>
        <w:pStyle w:val="18"/>
        <w:pageBreakBefore w:val="0"/>
        <w:kinsoku/>
        <w:overflowPunct/>
        <w:topLinePunct w:val="0"/>
        <w:bidi w:val="0"/>
        <w:spacing w:after="0" w:line="360" w:lineRule="auto"/>
        <w:ind w:left="479" w:hanging="479" w:hangingChars="199"/>
        <w:outlineLvl w:val="2"/>
        <w:rPr>
          <w:rFonts w:hint="eastAsia" w:asciiTheme="minorEastAsia" w:hAnsiTheme="minorEastAsia" w:eastAsiaTheme="minorEastAsia" w:cstheme="minorEastAsia"/>
          <w:b/>
          <w:color w:val="auto"/>
          <w:spacing w:val="0"/>
          <w:position w:val="0"/>
          <w:sz w:val="24"/>
          <w:highlight w:val="none"/>
        </w:rPr>
      </w:pPr>
      <w:bookmarkStart w:id="281" w:name="_Toc21567"/>
      <w:bookmarkStart w:id="282" w:name="_Toc480368435"/>
      <w:r>
        <w:rPr>
          <w:rFonts w:hint="eastAsia" w:asciiTheme="minorEastAsia" w:hAnsiTheme="minorEastAsia" w:eastAsiaTheme="minorEastAsia" w:cstheme="minorEastAsia"/>
          <w:b/>
          <w:color w:val="auto"/>
          <w:spacing w:val="0"/>
          <w:position w:val="0"/>
          <w:sz w:val="24"/>
          <w:highlight w:val="none"/>
          <w:lang w:val="en-US" w:eastAsia="zh-CN"/>
        </w:rPr>
        <w:t>2.4</w:t>
      </w:r>
      <w:r>
        <w:rPr>
          <w:rFonts w:hint="eastAsia" w:asciiTheme="minorEastAsia" w:hAnsiTheme="minorEastAsia" w:eastAsiaTheme="minorEastAsia" w:cstheme="minorEastAsia"/>
          <w:b/>
          <w:color w:val="auto"/>
          <w:spacing w:val="0"/>
          <w:position w:val="0"/>
          <w:sz w:val="24"/>
          <w:highlight w:val="none"/>
        </w:rPr>
        <w:t>报价明细表</w:t>
      </w:r>
      <w:bookmarkEnd w:id="281"/>
      <w:bookmarkEnd w:id="282"/>
    </w:p>
    <w:p>
      <w:pPr>
        <w:pStyle w:val="20"/>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项目编号、包号：</w:t>
      </w:r>
      <w:r>
        <w:rPr>
          <w:rFonts w:hint="eastAsia" w:asciiTheme="minorEastAsia" w:hAnsiTheme="minorEastAsia" w:eastAsiaTheme="minorEastAsia" w:cstheme="minorEastAsia"/>
          <w:color w:val="auto"/>
          <w:spacing w:val="0"/>
          <w:position w:val="0"/>
          <w:highlight w:val="none"/>
          <w:u w:val="single"/>
        </w:rPr>
        <w:t xml:space="preserve">                     </w:t>
      </w:r>
      <w:r>
        <w:rPr>
          <w:rFonts w:hint="eastAsia" w:asciiTheme="minorEastAsia" w:hAnsiTheme="minorEastAsia" w:eastAsiaTheme="minorEastAsia" w:cstheme="minorEastAsia"/>
          <w:color w:val="auto"/>
          <w:spacing w:val="0"/>
          <w:position w:val="0"/>
          <w:highlight w:val="none"/>
        </w:rPr>
        <w:t xml:space="preserve">                    价格单位：元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16"/>
        <w:gridCol w:w="1515"/>
        <w:gridCol w:w="925"/>
        <w:gridCol w:w="1186"/>
        <w:gridCol w:w="944"/>
        <w:gridCol w:w="180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序号</w:t>
            </w:r>
          </w:p>
        </w:tc>
        <w:tc>
          <w:tcPr>
            <w:tcW w:w="1516"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报价项目</w:t>
            </w:r>
          </w:p>
        </w:tc>
        <w:tc>
          <w:tcPr>
            <w:tcW w:w="1515"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内容</w:t>
            </w:r>
          </w:p>
        </w:tc>
        <w:tc>
          <w:tcPr>
            <w:tcW w:w="925"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数量</w:t>
            </w:r>
          </w:p>
        </w:tc>
        <w:tc>
          <w:tcPr>
            <w:tcW w:w="1186" w:type="dxa"/>
            <w:noWrap w:val="0"/>
            <w:vAlign w:val="center"/>
          </w:tcPr>
          <w:p>
            <w:pPr>
              <w:pageBreakBefore w:val="0"/>
              <w:kinsoku/>
              <w:overflowPunct/>
              <w:topLinePunct w:val="0"/>
              <w:bidi w:val="0"/>
              <w:spacing w:line="360" w:lineRule="auto"/>
              <w:ind w:firstLine="120" w:firstLineChars="50"/>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单价</w:t>
            </w:r>
          </w:p>
        </w:tc>
        <w:tc>
          <w:tcPr>
            <w:tcW w:w="944"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总价</w:t>
            </w:r>
          </w:p>
        </w:tc>
        <w:tc>
          <w:tcPr>
            <w:tcW w:w="1804"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取费标准</w:t>
            </w: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w:t>
            </w:r>
          </w:p>
        </w:tc>
        <w:tc>
          <w:tcPr>
            <w:tcW w:w="819"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4" w:type="dxa"/>
            <w:gridSpan w:val="2"/>
            <w:noWrap w:val="0"/>
            <w:vAlign w:val="center"/>
          </w:tcPr>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投标总报价</w:t>
            </w:r>
          </w:p>
        </w:tc>
        <w:tc>
          <w:tcPr>
            <w:tcW w:w="7193" w:type="dxa"/>
            <w:gridSpan w:val="6"/>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（大写）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元。                  </w:t>
            </w:r>
          </w:p>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（小写）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4" w:type="dxa"/>
            <w:gridSpan w:val="2"/>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备注</w:t>
            </w:r>
          </w:p>
        </w:tc>
        <w:tc>
          <w:tcPr>
            <w:tcW w:w="7193" w:type="dxa"/>
            <w:gridSpan w:val="6"/>
            <w:noWrap w:val="0"/>
            <w:vAlign w:val="top"/>
          </w:tcPr>
          <w:p>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bl>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说明：1、</w:t>
      </w:r>
      <w:r>
        <w:rPr>
          <w:rFonts w:hint="eastAsia" w:asciiTheme="minorEastAsia" w:hAnsiTheme="minorEastAsia" w:eastAsiaTheme="minorEastAsia" w:cstheme="minorEastAsia"/>
          <w:bCs/>
          <w:color w:val="auto"/>
          <w:spacing w:val="0"/>
          <w:position w:val="0"/>
          <w:sz w:val="24"/>
          <w:highlight w:val="none"/>
        </w:rPr>
        <w:t>投标人必须填写</w:t>
      </w:r>
      <w:r>
        <w:rPr>
          <w:rFonts w:hint="eastAsia" w:asciiTheme="minorEastAsia" w:hAnsiTheme="minorEastAsia" w:eastAsiaTheme="minorEastAsia" w:cstheme="minorEastAsia"/>
          <w:color w:val="auto"/>
          <w:spacing w:val="0"/>
          <w:position w:val="0"/>
          <w:sz w:val="24"/>
          <w:highlight w:val="none"/>
        </w:rPr>
        <w:t>报价明细表</w:t>
      </w:r>
      <w:r>
        <w:rPr>
          <w:rFonts w:hint="eastAsia" w:asciiTheme="minorEastAsia" w:hAnsiTheme="minorEastAsia" w:eastAsiaTheme="minorEastAsia" w:cstheme="minorEastAsia"/>
          <w:bCs/>
          <w:color w:val="auto"/>
          <w:spacing w:val="0"/>
          <w:position w:val="0"/>
          <w:sz w:val="24"/>
          <w:highlight w:val="none"/>
        </w:rPr>
        <w:t>，否则将导致投标被拒绝。</w:t>
      </w:r>
    </w:p>
    <w:p>
      <w:pPr>
        <w:pageBreakBefore w:val="0"/>
        <w:kinsoku/>
        <w:overflowPunct/>
        <w:topLinePunct w:val="0"/>
        <w:bidi w:val="0"/>
        <w:spacing w:line="360" w:lineRule="auto"/>
        <w:ind w:left="72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2、报价分析表中的“投标总价”应等于“开标一览表”中的“投标总价”。</w:t>
      </w:r>
    </w:p>
    <w:p>
      <w:pPr>
        <w:pageBreakBefore w:val="0"/>
        <w:kinsoku/>
        <w:overflowPunct/>
        <w:topLinePunct w:val="0"/>
        <w:bidi w:val="0"/>
        <w:spacing w:line="360" w:lineRule="auto"/>
        <w:ind w:left="72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3、报价项目填报不下的，可自行照扩展。</w:t>
      </w:r>
    </w:p>
    <w:p>
      <w:pPr>
        <w:pStyle w:val="56"/>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pPr>
        <w:pStyle w:val="35"/>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pPr>
        <w:pageBreakBefore w:val="0"/>
        <w:kinsoku/>
        <w:overflowPunct/>
        <w:topLinePunct w:val="0"/>
        <w:bidi w:val="0"/>
        <w:spacing w:line="440" w:lineRule="exact"/>
        <w:jc w:val="left"/>
        <w:rPr>
          <w:rFonts w:hint="eastAsia" w:asciiTheme="minorEastAsia" w:hAnsiTheme="minorEastAsia" w:eastAsiaTheme="minorEastAsia" w:cstheme="minorEastAsia"/>
          <w:b/>
          <w:bCs/>
          <w:color w:val="auto"/>
          <w:spacing w:val="0"/>
          <w:position w:val="0"/>
          <w:sz w:val="24"/>
          <w:szCs w:val="24"/>
          <w:highlight w:val="none"/>
        </w:rPr>
      </w:pPr>
      <w:bookmarkStart w:id="283" w:name="_Toc480368437"/>
      <w:r>
        <w:rPr>
          <w:rFonts w:hint="eastAsia" w:asciiTheme="minorEastAsia" w:hAnsiTheme="minorEastAsia" w:eastAsiaTheme="minorEastAsia" w:cstheme="minorEastAsia"/>
          <w:b/>
          <w:bCs/>
          <w:color w:val="auto"/>
          <w:spacing w:val="0"/>
          <w:position w:val="0"/>
          <w:sz w:val="24"/>
          <w:szCs w:val="24"/>
          <w:highlight w:val="none"/>
          <w:lang w:val="en-US" w:eastAsia="zh-CN"/>
        </w:rPr>
        <w:t>2.5</w:t>
      </w:r>
      <w:r>
        <w:rPr>
          <w:rFonts w:hint="eastAsia" w:asciiTheme="minorEastAsia" w:hAnsiTheme="minorEastAsia" w:eastAsiaTheme="minorEastAsia" w:cstheme="minorEastAsia"/>
          <w:b/>
          <w:bCs/>
          <w:color w:val="auto"/>
          <w:spacing w:val="0"/>
          <w:position w:val="0"/>
          <w:sz w:val="24"/>
          <w:szCs w:val="24"/>
          <w:highlight w:val="none"/>
        </w:rPr>
        <w:t>项目管理机构配备情况</w:t>
      </w:r>
    </w:p>
    <w:p>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w:t>
      </w:r>
      <w:r>
        <w:rPr>
          <w:rFonts w:hint="eastAsia" w:asciiTheme="minorEastAsia" w:hAnsiTheme="minorEastAsia" w:eastAsiaTheme="minorEastAsia" w:cstheme="minorEastAsia"/>
          <w:color w:val="auto"/>
          <w:spacing w:val="0"/>
          <w:position w:val="0"/>
          <w:sz w:val="24"/>
          <w:szCs w:val="24"/>
          <w:highlight w:val="none"/>
          <w:lang w:val="en-US" w:eastAsia="zh-CN"/>
        </w:rPr>
        <w:t>负责人</w:t>
      </w:r>
      <w:r>
        <w:rPr>
          <w:rFonts w:hint="eastAsia" w:asciiTheme="minorEastAsia" w:hAnsiTheme="minorEastAsia" w:eastAsiaTheme="minorEastAsia" w:cstheme="minorEastAsia"/>
          <w:color w:val="auto"/>
          <w:spacing w:val="0"/>
          <w:position w:val="0"/>
          <w:sz w:val="24"/>
          <w:szCs w:val="24"/>
          <w:highlight w:val="none"/>
        </w:rPr>
        <w:t>简历表</w:t>
      </w:r>
    </w:p>
    <w:p>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7"/>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w:t>
            </w:r>
            <w:r>
              <w:rPr>
                <w:rFonts w:hint="eastAsia" w:asciiTheme="minorEastAsia" w:hAnsiTheme="minorEastAsia" w:eastAsiaTheme="minorEastAsia" w:cstheme="minorEastAsia"/>
                <w:color w:val="auto"/>
                <w:spacing w:val="0"/>
                <w:position w:val="0"/>
                <w:sz w:val="24"/>
                <w:szCs w:val="24"/>
                <w:highlight w:val="none"/>
                <w:lang w:val="en-US" w:eastAsia="zh-CN"/>
              </w:rPr>
              <w:t>负责人</w:t>
            </w:r>
            <w:r>
              <w:rPr>
                <w:rFonts w:hint="eastAsia" w:asciiTheme="minorEastAsia" w:hAnsiTheme="minorEastAsia" w:eastAsiaTheme="minorEastAsia" w:cstheme="minorEastAsia"/>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金额</w:t>
            </w:r>
          </w:p>
        </w:tc>
      </w:tr>
      <w:tr>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pPr>
        <w:pageBreakBefore w:val="0"/>
        <w:kinsoku/>
        <w:overflowPunct/>
        <w:topLinePunct w:val="0"/>
        <w:bidi w:val="0"/>
        <w:spacing w:line="360" w:lineRule="auto"/>
        <w:ind w:left="219" w:right="-20"/>
        <w:rPr>
          <w:rFonts w:hint="eastAsia" w:asciiTheme="minorEastAsia" w:hAnsiTheme="minorEastAsia" w:eastAsiaTheme="minorEastAsia" w:cstheme="minorEastAsia"/>
          <w:color w:val="auto"/>
          <w:spacing w:val="0"/>
          <w:position w:val="0"/>
          <w:sz w:val="24"/>
          <w:szCs w:val="24"/>
          <w:highlight w:val="none"/>
        </w:rPr>
      </w:pPr>
    </w:p>
    <w:p>
      <w:pPr>
        <w:pageBreakBefore w:val="0"/>
        <w:kinsoku/>
        <w:overflowPunct/>
        <w:topLinePunct w:val="0"/>
        <w:bidi w:val="0"/>
        <w:spacing w:line="360" w:lineRule="auto"/>
        <w:ind w:left="219" w:right="-20"/>
        <w:rPr>
          <w:rFonts w:hint="eastAsia" w:asciiTheme="minorEastAsia" w:hAnsiTheme="minorEastAsia" w:eastAsiaTheme="minorEastAsia" w:cstheme="minorEastAsia"/>
          <w:color w:val="auto"/>
          <w:spacing w:val="0"/>
          <w:position w:val="0"/>
          <w:sz w:val="24"/>
          <w:szCs w:val="24"/>
          <w:highlight w:val="none"/>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sectPr>
          <w:pgSz w:w="11922" w:h="16838"/>
          <w:pgMar w:top="1440" w:right="1803" w:bottom="1440" w:left="1803" w:header="0" w:footer="771" w:gutter="0"/>
          <w:cols w:space="0" w:num="1"/>
          <w:rtlGutter w:val="0"/>
          <w:docGrid w:linePitch="0" w:charSpace="0"/>
        </w:sectPr>
      </w:pP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baseline"/>
        <w:rPr>
          <w:rFonts w:hint="eastAsia" w:asciiTheme="minorEastAsia" w:hAnsiTheme="minorEastAsia" w:eastAsiaTheme="minorEastAsia" w:cstheme="minorEastAsia"/>
          <w:color w:val="auto"/>
          <w:spacing w:val="0"/>
          <w:position w:val="0"/>
          <w:sz w:val="24"/>
          <w:szCs w:val="24"/>
          <w:highlight w:val="none"/>
        </w:rPr>
      </w:pPr>
      <w:bookmarkStart w:id="284" w:name="_Toc19296"/>
      <w:r>
        <w:rPr>
          <w:rFonts w:hint="eastAsia" w:asciiTheme="minorEastAsia" w:hAnsiTheme="minorEastAsia" w:eastAsiaTheme="minorEastAsia" w:cstheme="minorEastAsia"/>
          <w:b/>
          <w:color w:val="auto"/>
          <w:spacing w:val="0"/>
          <w:position w:val="0"/>
          <w:sz w:val="24"/>
          <w:szCs w:val="24"/>
          <w:highlight w:val="none"/>
          <w:lang w:val="en-US" w:eastAsia="zh-CN"/>
        </w:rPr>
        <w:t>2.6</w:t>
      </w:r>
      <w:r>
        <w:rPr>
          <w:rFonts w:hint="eastAsia" w:asciiTheme="minorEastAsia" w:hAnsiTheme="minorEastAsia" w:eastAsiaTheme="minorEastAsia" w:cstheme="minorEastAsia"/>
          <w:color w:val="auto"/>
          <w:spacing w:val="0"/>
          <w:position w:val="0"/>
          <w:sz w:val="24"/>
          <w:szCs w:val="24"/>
          <w:highlight w:val="none"/>
        </w:rPr>
        <w:t>供应商类似项目业绩表</w:t>
      </w:r>
      <w:bookmarkEnd w:id="284"/>
    </w:p>
    <w:p>
      <w:pPr>
        <w:pageBreakBefore w:val="0"/>
        <w:kinsoku/>
        <w:overflowPunct/>
        <w:topLinePunct w:val="0"/>
        <w:bidi w:val="0"/>
        <w:adjustRightInd w:val="0"/>
        <w:snapToGrid w:val="0"/>
        <w:spacing w:line="360" w:lineRule="auto"/>
        <w:rPr>
          <w:rFonts w:hint="eastAsia" w:asciiTheme="minorEastAsia" w:hAnsiTheme="minorEastAsia" w:eastAsiaTheme="minorEastAsia" w:cstheme="minorEastAsia"/>
          <w:color w:val="auto"/>
          <w:spacing w:val="0"/>
          <w:position w:val="0"/>
          <w:sz w:val="24"/>
          <w:szCs w:val="24"/>
          <w:highlight w:val="none"/>
        </w:rPr>
      </w:pPr>
    </w:p>
    <w:p>
      <w:pPr>
        <w:pageBreakBefore w:val="0"/>
        <w:kinsoku/>
        <w:overflowPunct/>
        <w:topLinePunct w:val="0"/>
        <w:bidi w:val="0"/>
        <w:adjustRightInd w:val="0"/>
        <w:snapToGrid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采购项目编号：</w:t>
      </w:r>
    </w:p>
    <w:p>
      <w:pPr>
        <w:pageBreakBefore w:val="0"/>
        <w:kinsoku/>
        <w:overflowPunct/>
        <w:topLinePunct w:val="0"/>
        <w:bidi w:val="0"/>
        <w:adjustRightInd w:val="0"/>
        <w:snapToGrid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采购项目名称：</w:t>
      </w:r>
    </w:p>
    <w:tbl>
      <w:tblPr>
        <w:tblStyle w:val="3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7200" w:type="dxa"/>
            <w:noWrap w:val="0"/>
            <w:vAlign w:val="top"/>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项目单位名称</w:t>
            </w:r>
          </w:p>
        </w:tc>
        <w:tc>
          <w:tcPr>
            <w:tcW w:w="7200" w:type="dxa"/>
            <w:noWrap w:val="0"/>
            <w:vAlign w:val="top"/>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项目单位联系人姓名及联系方式</w:t>
            </w:r>
          </w:p>
        </w:tc>
        <w:tc>
          <w:tcPr>
            <w:tcW w:w="7200" w:type="dxa"/>
            <w:noWrap w:val="0"/>
            <w:vAlign w:val="top"/>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合同金额</w:t>
            </w:r>
          </w:p>
        </w:tc>
        <w:tc>
          <w:tcPr>
            <w:tcW w:w="7200" w:type="dxa"/>
            <w:noWrap w:val="0"/>
            <w:vAlign w:val="top"/>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项目负责人</w:t>
            </w:r>
          </w:p>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7200" w:type="dxa"/>
            <w:noWrap w:val="0"/>
            <w:vAlign w:val="top"/>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项目实施时间</w:t>
            </w:r>
          </w:p>
        </w:tc>
        <w:tc>
          <w:tcPr>
            <w:tcW w:w="7200" w:type="dxa"/>
            <w:noWrap w:val="0"/>
            <w:vAlign w:val="top"/>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项目内容说明</w:t>
            </w:r>
          </w:p>
        </w:tc>
        <w:tc>
          <w:tcPr>
            <w:tcW w:w="7200" w:type="dxa"/>
            <w:noWrap w:val="0"/>
            <w:vAlign w:val="top"/>
          </w:tcPr>
          <w:p>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说明：1．每个合同须单独附表，并附上相关证明材料，否则专家在评审时将不予采信；</w:t>
      </w:r>
    </w:p>
    <w:p>
      <w:pPr>
        <w:pStyle w:val="20"/>
        <w:pageBreakBefore w:val="0"/>
        <w:kinsoku/>
        <w:overflowPunct/>
        <w:topLinePunct w:val="0"/>
        <w:bidi w:val="0"/>
        <w:ind w:left="0" w:leftChars="0" w:firstLine="0" w:firstLineChars="0"/>
        <w:rPr>
          <w:rFonts w:hint="eastAsia" w:asciiTheme="minorEastAsia" w:hAnsiTheme="minorEastAsia" w:eastAsiaTheme="minorEastAsia" w:cstheme="minorEastAsia"/>
          <w:b/>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highlight w:val="none"/>
        </w:rPr>
        <w:t>2．项目内容请详细说明所承担的具体工作内容</w:t>
      </w:r>
    </w:p>
    <w:p>
      <w:pPr>
        <w:pStyle w:val="19"/>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Style w:val="35"/>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Style w:val="35"/>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Style w:val="35"/>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ageBreakBefore w:val="0"/>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pPr>
        <w:pStyle w:val="18"/>
        <w:pageBreakBefore w:val="0"/>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4"/>
          <w:highlight w:val="none"/>
        </w:rPr>
      </w:pPr>
      <w:bookmarkStart w:id="285" w:name="_Toc819"/>
      <w:r>
        <w:rPr>
          <w:rFonts w:hint="eastAsia" w:asciiTheme="minorEastAsia" w:hAnsiTheme="minorEastAsia" w:eastAsiaTheme="minorEastAsia" w:cstheme="minorEastAsia"/>
          <w:b/>
          <w:color w:val="auto"/>
          <w:spacing w:val="0"/>
          <w:position w:val="0"/>
          <w:sz w:val="24"/>
          <w:highlight w:val="none"/>
          <w:lang w:val="en-US" w:eastAsia="zh-CN"/>
        </w:rPr>
        <w:t>2.7</w:t>
      </w:r>
      <w:r>
        <w:rPr>
          <w:rFonts w:hint="eastAsia" w:asciiTheme="minorEastAsia" w:hAnsiTheme="minorEastAsia" w:eastAsiaTheme="minorEastAsia" w:cstheme="minorEastAsia"/>
          <w:b/>
          <w:color w:val="auto"/>
          <w:spacing w:val="0"/>
          <w:position w:val="0"/>
          <w:sz w:val="24"/>
          <w:highlight w:val="none"/>
        </w:rPr>
        <w:t>商务条款偏离说明表；</w:t>
      </w:r>
      <w:bookmarkEnd w:id="283"/>
      <w:bookmarkEnd w:id="285"/>
    </w:p>
    <w:p>
      <w:pPr>
        <w:pStyle w:val="56"/>
        <w:pageBreakBefore w:val="0"/>
        <w:kinsoku/>
        <w:overflowPunct/>
        <w:topLinePunct w:val="0"/>
        <w:bidi w:val="0"/>
        <w:adjustRightInd w:val="0"/>
        <w:snapToGrid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商务响应、偏离说明表</w:t>
      </w:r>
    </w:p>
    <w:p>
      <w:pPr>
        <w:pStyle w:val="56"/>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采购项目编号：     </w:t>
      </w:r>
    </w:p>
    <w:p>
      <w:pPr>
        <w:pStyle w:val="56"/>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采购项目名称：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投标服务</w:t>
            </w:r>
          </w:p>
          <w:p>
            <w:pPr>
              <w:pStyle w:val="56"/>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bl>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pPr>
        <w:pStyle w:val="56"/>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pPr>
        <w:pStyle w:val="18"/>
        <w:pageBreakBefore w:val="0"/>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4"/>
          <w:highlight w:val="none"/>
          <w:lang w:val="en-US" w:eastAsia="zh-CN"/>
        </w:rPr>
      </w:pPr>
      <w:bookmarkStart w:id="286" w:name="_Toc29634"/>
      <w:r>
        <w:rPr>
          <w:rFonts w:hint="eastAsia" w:asciiTheme="minorEastAsia" w:hAnsiTheme="minorEastAsia" w:eastAsiaTheme="minorEastAsia" w:cstheme="minorEastAsia"/>
          <w:b/>
          <w:color w:val="auto"/>
          <w:spacing w:val="0"/>
          <w:position w:val="0"/>
          <w:sz w:val="24"/>
          <w:highlight w:val="none"/>
          <w:lang w:val="en-US" w:eastAsia="zh-CN"/>
        </w:rPr>
        <w:t>2.8、招标文件要求提供或投标人认为需提供的其它资料；</w:t>
      </w:r>
      <w:bookmarkEnd w:id="286"/>
    </w:p>
    <w:p>
      <w:pPr>
        <w:pStyle w:val="18"/>
        <w:pageBreakBefore w:val="0"/>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9"/>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pPr>
        <w:pStyle w:val="18"/>
        <w:pageBreakBefore w:val="0"/>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pPr>
        <w:pStyle w:val="18"/>
        <w:pageBreakBefore w:val="0"/>
        <w:tabs>
          <w:tab w:val="left" w:pos="8786"/>
        </w:tabs>
        <w:kinsoku/>
        <w:overflowPunct/>
        <w:topLinePunct w:val="0"/>
        <w:bidi w:val="0"/>
        <w:spacing w:after="0" w:line="360" w:lineRule="auto"/>
        <w:jc w:val="center"/>
        <w:outlineLvl w:val="1"/>
        <w:rPr>
          <w:rFonts w:hint="eastAsia" w:asciiTheme="minorEastAsia" w:hAnsiTheme="minorEastAsia" w:eastAsiaTheme="minorEastAsia" w:cstheme="minorEastAsia"/>
          <w:color w:val="auto"/>
          <w:spacing w:val="0"/>
          <w:position w:val="0"/>
          <w:highlight w:val="none"/>
        </w:rPr>
      </w:pPr>
      <w:bookmarkStart w:id="287" w:name="_Toc19184"/>
      <w:bookmarkStart w:id="288" w:name="_Toc480368439"/>
      <w:r>
        <w:rPr>
          <w:rFonts w:hint="eastAsia" w:asciiTheme="minorEastAsia" w:hAnsiTheme="minorEastAsia" w:eastAsiaTheme="minorEastAsia" w:cstheme="minorEastAsia"/>
          <w:b/>
          <w:color w:val="auto"/>
          <w:spacing w:val="0"/>
          <w:position w:val="0"/>
          <w:sz w:val="24"/>
          <w:szCs w:val="24"/>
          <w:highlight w:val="none"/>
          <w:lang w:eastAsia="zh-CN"/>
        </w:rPr>
        <w:t>三</w:t>
      </w:r>
      <w:r>
        <w:rPr>
          <w:rFonts w:hint="eastAsia" w:asciiTheme="minorEastAsia" w:hAnsiTheme="minorEastAsia" w:eastAsiaTheme="minorEastAsia" w:cstheme="minorEastAsia"/>
          <w:b/>
          <w:color w:val="auto"/>
          <w:spacing w:val="0"/>
          <w:position w:val="0"/>
          <w:sz w:val="24"/>
          <w:szCs w:val="24"/>
          <w:highlight w:val="none"/>
        </w:rPr>
        <w:t>、技术文件</w:t>
      </w:r>
      <w:bookmarkEnd w:id="287"/>
      <w:bookmarkEnd w:id="288"/>
      <w:bookmarkStart w:id="289" w:name="_Toc480368441"/>
    </w:p>
    <w:p>
      <w:pPr>
        <w:pageBreakBefore w:val="0"/>
        <w:kinsoku/>
        <w:overflowPunct/>
        <w:topLinePunct w:val="0"/>
        <w:bidi w:val="0"/>
        <w:spacing w:line="360" w:lineRule="auto"/>
        <w:rPr>
          <w:rFonts w:hint="eastAsia" w:asciiTheme="minorEastAsia" w:hAnsiTheme="minorEastAsia" w:eastAsiaTheme="minorEastAsia" w:cstheme="minorEastAsia"/>
          <w:b/>
          <w:bCs w:val="0"/>
          <w:color w:val="auto"/>
          <w:spacing w:val="0"/>
          <w:position w:val="0"/>
          <w:sz w:val="24"/>
          <w:highlight w:val="none"/>
        </w:rPr>
      </w:pPr>
      <w:r>
        <w:rPr>
          <w:rFonts w:hint="eastAsia" w:asciiTheme="minorEastAsia" w:hAnsiTheme="minorEastAsia" w:eastAsiaTheme="minorEastAsia" w:cstheme="minorEastAsia"/>
          <w:b/>
          <w:bCs w:val="0"/>
          <w:color w:val="auto"/>
          <w:spacing w:val="0"/>
          <w:position w:val="0"/>
          <w:sz w:val="24"/>
          <w:highlight w:val="none"/>
          <w:lang w:val="en-US" w:eastAsia="zh-CN"/>
        </w:rPr>
        <w:t>3.1</w:t>
      </w:r>
      <w:r>
        <w:rPr>
          <w:rFonts w:hint="eastAsia" w:asciiTheme="minorEastAsia" w:hAnsiTheme="minorEastAsia" w:eastAsiaTheme="minorEastAsia" w:cstheme="minorEastAsia"/>
          <w:b/>
          <w:bCs w:val="0"/>
          <w:color w:val="auto"/>
          <w:spacing w:val="0"/>
          <w:position w:val="0"/>
          <w:sz w:val="24"/>
          <w:highlight w:val="none"/>
        </w:rPr>
        <w:t>技术规范偏离表；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序号</w:t>
            </w:r>
          </w:p>
        </w:tc>
        <w:tc>
          <w:tcPr>
            <w:tcW w:w="2101" w:type="dxa"/>
            <w:tcBorders>
              <w:top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服务名称及编号</w:t>
            </w:r>
          </w:p>
        </w:tc>
        <w:tc>
          <w:tcPr>
            <w:tcW w:w="1021" w:type="dxa"/>
            <w:tcBorders>
              <w:top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数量</w:t>
            </w:r>
          </w:p>
        </w:tc>
        <w:tc>
          <w:tcPr>
            <w:tcW w:w="1707" w:type="dxa"/>
            <w:tcBorders>
              <w:top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招标文件技术规范、要求</w:t>
            </w:r>
          </w:p>
        </w:tc>
        <w:tc>
          <w:tcPr>
            <w:tcW w:w="1337" w:type="dxa"/>
            <w:tcBorders>
              <w:top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投标文件对应规范</w:t>
            </w:r>
          </w:p>
        </w:tc>
        <w:tc>
          <w:tcPr>
            <w:tcW w:w="1337" w:type="dxa"/>
            <w:tcBorders>
              <w:top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偏差</w:t>
            </w:r>
          </w:p>
        </w:tc>
        <w:tc>
          <w:tcPr>
            <w:tcW w:w="977" w:type="dxa"/>
            <w:tcBorders>
              <w:top w:val="single" w:color="auto" w:sz="12" w:space="0"/>
              <w:right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2101"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021"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707"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977" w:type="dxa"/>
            <w:tcBorders>
              <w:right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2101"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021"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707"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977" w:type="dxa"/>
            <w:tcBorders>
              <w:right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2101" w:type="dxa"/>
            <w:tcBorders>
              <w:bottom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021" w:type="dxa"/>
            <w:tcBorders>
              <w:bottom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707" w:type="dxa"/>
            <w:tcBorders>
              <w:bottom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tcBorders>
              <w:bottom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tcBorders>
              <w:bottom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977" w:type="dxa"/>
            <w:tcBorders>
              <w:bottom w:val="single" w:color="auto" w:sz="12" w:space="0"/>
              <w:right w:val="single" w:color="auto" w:sz="12" w:space="0"/>
            </w:tcBorders>
            <w:noWrap w:val="0"/>
            <w:vAlign w:val="center"/>
          </w:tcPr>
          <w:p>
            <w:pPr>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r>
    </w:tbl>
    <w:p>
      <w:pPr>
        <w:pageBreakBefore w:val="0"/>
        <w:kinsoku/>
        <w:overflowPunct/>
        <w:topLinePunct w:val="0"/>
        <w:bidi w:val="0"/>
        <w:spacing w:line="360" w:lineRule="auto"/>
        <w:ind w:left="2"/>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说明：如投标人提交的服务技术规范与招标文件的要求存在偏离，需逐项填写《技术规范偏离表》。</w:t>
      </w:r>
    </w:p>
    <w:p>
      <w:pPr>
        <w:pStyle w:val="14"/>
        <w:pageBreakBefore w:val="0"/>
        <w:kinsoku/>
        <w:overflowPunct/>
        <w:topLinePunct w:val="0"/>
        <w:bidi w:val="0"/>
        <w:spacing w:before="0" w:after="0" w:line="360" w:lineRule="auto"/>
        <w:ind w:right="960"/>
        <w:rPr>
          <w:rFonts w:hint="eastAsia" w:asciiTheme="minorEastAsia" w:hAnsiTheme="minorEastAsia" w:eastAsiaTheme="minorEastAsia" w:cstheme="minorEastAsia"/>
          <w:color w:val="auto"/>
          <w:spacing w:val="0"/>
          <w:position w:val="0"/>
          <w:sz w:val="24"/>
          <w:szCs w:val="24"/>
          <w:highlight w:val="none"/>
        </w:rPr>
      </w:pP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bookmarkEnd w:id="289"/>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lang w:val="en-US" w:eastAsia="zh-CN"/>
        </w:rPr>
      </w:pP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lang w:val="en-US" w:eastAsia="zh-CN"/>
        </w:rPr>
      </w:pPr>
    </w:p>
    <w:p>
      <w:pPr>
        <w:pageBreakBefore w:val="0"/>
        <w:kinsoku/>
        <w:overflowPunct/>
        <w:topLinePunct w:val="0"/>
        <w:bidi w:val="0"/>
        <w:spacing w:line="360" w:lineRule="auto"/>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3.2方案</w:t>
      </w:r>
    </w:p>
    <w:p>
      <w:pPr>
        <w:pageBreakBefore w:val="0"/>
        <w:kinsoku/>
        <w:overflowPunct/>
        <w:topLinePunct w:val="0"/>
        <w:bidi w:val="0"/>
        <w:spacing w:line="360" w:lineRule="auto"/>
        <w:ind w:firstLine="405" w:firstLineChars="16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供应商应按《</w:t>
      </w:r>
      <w:r>
        <w:rPr>
          <w:rFonts w:hint="eastAsia" w:asciiTheme="minorEastAsia" w:hAnsiTheme="minorEastAsia" w:eastAsiaTheme="minorEastAsia" w:cstheme="minorEastAsia"/>
          <w:color w:val="auto"/>
          <w:spacing w:val="0"/>
          <w:position w:val="0"/>
          <w:sz w:val="24"/>
          <w:szCs w:val="24"/>
          <w:highlight w:val="none"/>
          <w:lang w:eastAsia="zh-CN"/>
        </w:rPr>
        <w:t>招标文件</w:t>
      </w:r>
      <w:r>
        <w:rPr>
          <w:rFonts w:hint="eastAsia" w:asciiTheme="minorEastAsia" w:hAnsiTheme="minorEastAsia" w:eastAsiaTheme="minorEastAsia" w:cstheme="minorEastAsia"/>
          <w:color w:val="auto"/>
          <w:spacing w:val="0"/>
          <w:position w:val="0"/>
          <w:sz w:val="24"/>
          <w:szCs w:val="24"/>
          <w:highlight w:val="none"/>
        </w:rPr>
        <w:t>》要求的内容，对完成整个项目提出相应的项目实施方案工作的大纲内容（纲要内容），描述自身对本项目的理解等。方案编写可用文字结合图文进行编制（供应商应尽可能用表格或框图的方式编写，以便评委会的评审），必须条理清晰、突出重点、科学合理、细致周全。</w:t>
      </w:r>
    </w:p>
    <w:p>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lang w:val="en-US" w:eastAsia="zh-CN"/>
        </w:rPr>
      </w:pPr>
    </w:p>
    <w:p>
      <w:pPr>
        <w:pStyle w:val="35"/>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br w:type="page"/>
      </w:r>
    </w:p>
    <w:p>
      <w:pPr>
        <w:pageBreakBefore w:val="0"/>
        <w:kinsoku/>
        <w:overflowPunct/>
        <w:topLinePunct w:val="0"/>
        <w:bidi w:val="0"/>
        <w:jc w:val="center"/>
        <w:rPr>
          <w:rStyle w:val="45"/>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40"/>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40"/>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pPr>
        <w:pStyle w:val="35"/>
        <w:keepNext w:val="0"/>
        <w:keepLines w:val="0"/>
        <w:pageBreakBefore w:val="0"/>
        <w:numPr>
          <w:ilvl w:val="0"/>
          <w:numId w:val="4"/>
        </w:numPr>
        <w:kinsoku/>
        <w:wordWrap/>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p>
      <w:pPr>
        <w:widowControl w:val="0"/>
        <w:numPr>
          <w:ilvl w:val="0"/>
          <w:numId w:val="0"/>
        </w:numPr>
        <w:jc w:val="both"/>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pStyle w:val="44"/>
        <w:ind w:left="0" w:leftChars="0" w:firstLine="0" w:firstLineChars="0"/>
        <w:rPr>
          <w:rFonts w:hint="eastAsia" w:asciiTheme="minorEastAsia" w:hAnsiTheme="minorEastAsia" w:eastAsiaTheme="minorEastAsia" w:cstheme="minorEastAsia"/>
          <w:color w:val="auto"/>
          <w:highlight w:val="none"/>
        </w:rPr>
      </w:pPr>
    </w:p>
    <w:p>
      <w:pPr>
        <w:pStyle w:val="44"/>
        <w:rPr>
          <w:rFonts w:hint="eastAsia" w:asciiTheme="minorEastAsia" w:hAnsiTheme="minorEastAsia" w:eastAsiaTheme="minorEastAsia" w:cstheme="minorEastAsia"/>
          <w:color w:val="auto"/>
          <w:highlight w:val="none"/>
        </w:rPr>
      </w:pPr>
    </w:p>
    <w:p>
      <w:pPr>
        <w:jc w:val="center"/>
        <w:rPr>
          <w:rStyle w:val="45"/>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质疑及处理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pPr>
        <w:pStyle w:val="13"/>
        <w:rPr>
          <w:rFonts w:hint="eastAsia" w:asciiTheme="minorEastAsia" w:hAnsiTheme="minorEastAsia" w:eastAsiaTheme="minorEastAsia" w:cstheme="minorEastAsia"/>
          <w:b/>
          <w:color w:val="auto"/>
          <w:spacing w:val="0"/>
          <w:sz w:val="24"/>
          <w:szCs w:val="24"/>
          <w:highlight w:val="none"/>
        </w:rPr>
      </w:pPr>
    </w:p>
    <w:p>
      <w:pPr>
        <w:rPr>
          <w:rFonts w:hint="eastAsia" w:asciiTheme="minorEastAsia" w:hAnsiTheme="minorEastAsia" w:eastAsiaTheme="minorEastAsia" w:cstheme="minorEastAsia"/>
          <w:b/>
          <w:color w:val="auto"/>
          <w:spacing w:val="0"/>
          <w:sz w:val="24"/>
          <w:szCs w:val="24"/>
          <w:highlight w:val="none"/>
        </w:rPr>
      </w:pPr>
    </w:p>
    <w:p>
      <w:pPr>
        <w:rPr>
          <w:rFonts w:hint="eastAsia" w:asciiTheme="minorEastAsia" w:hAnsiTheme="minorEastAsia" w:eastAsiaTheme="minorEastAsia" w:cstheme="minorEastAsia"/>
          <w:b/>
          <w:color w:val="auto"/>
          <w:spacing w:val="0"/>
          <w:sz w:val="24"/>
          <w:szCs w:val="24"/>
          <w:highlight w:val="none"/>
        </w:rPr>
      </w:pPr>
    </w:p>
    <w:p>
      <w:pPr>
        <w:rPr>
          <w:rFonts w:hint="eastAsia" w:asciiTheme="minorEastAsia" w:hAnsiTheme="minorEastAsia" w:eastAsiaTheme="minorEastAsia" w:cstheme="minorEastAsia"/>
          <w:b/>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pPr>
        <w:jc w:val="center"/>
        <w:rPr>
          <w:rStyle w:val="45"/>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5"/>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质疑函</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pPr>
        <w:pStyle w:val="12"/>
        <w:ind w:left="0" w:leftChars="0" w:firstLine="0" w:firstLineChars="0"/>
        <w:rPr>
          <w:rFonts w:hint="eastAsia" w:asciiTheme="minorEastAsia" w:hAnsiTheme="minorEastAsia" w:eastAsiaTheme="minorEastAsia" w:cstheme="minorEastAsia"/>
          <w:bCs/>
          <w:color w:val="auto"/>
          <w:spacing w:val="0"/>
          <w:sz w:val="24"/>
          <w:szCs w:val="24"/>
          <w:highlight w:val="none"/>
        </w:rPr>
      </w:pPr>
    </w:p>
    <w:p>
      <w:pPr>
        <w:pStyle w:val="12"/>
        <w:rPr>
          <w:rFonts w:hint="eastAsia" w:asciiTheme="minorEastAsia" w:hAnsiTheme="minorEastAsia" w:eastAsiaTheme="minorEastAsia" w:cstheme="minorEastAsia"/>
          <w:bCs/>
          <w:color w:val="auto"/>
          <w:spacing w:val="0"/>
          <w:sz w:val="24"/>
          <w:szCs w:val="24"/>
          <w:highlight w:val="none"/>
        </w:rPr>
      </w:pP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3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pPr>
        <w:pStyle w:val="44"/>
        <w:rPr>
          <w:rFonts w:hint="eastAsia" w:asciiTheme="minorEastAsia" w:hAnsiTheme="minorEastAsia" w:eastAsiaTheme="minorEastAsia" w:cstheme="minorEastAsia"/>
          <w:color w:val="auto"/>
          <w:highlight w:val="none"/>
        </w:rPr>
      </w:pPr>
    </w:p>
    <w:sectPr>
      <w:headerReference r:id="rId7" w:type="default"/>
      <w:footerReference r:id="rId8" w:type="default"/>
      <w:pgSz w:w="11922" w:h="16838"/>
      <w:pgMar w:top="1440" w:right="1803" w:bottom="1440" w:left="1803" w:header="0" w:footer="77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59</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ageBreakBefore w:val="0"/>
      <w:kinsoku/>
      <w:wordWrap/>
      <w:overflowPunct/>
      <w:topLinePunct w:val="0"/>
      <w:bidi w:val="0"/>
      <w:spacing w:line="360" w:lineRule="auto"/>
      <w:ind w:left="0" w:leftChars="0" w:firstLine="0" w:firstLineChars="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EBDBC134"/>
    <w:multiLevelType w:val="singleLevel"/>
    <w:tmpl w:val="EBDBC134"/>
    <w:lvl w:ilvl="0" w:tentative="0">
      <w:start w:val="1"/>
      <w:numFmt w:val="chineseCounting"/>
      <w:suff w:val="nothing"/>
      <w:lvlText w:val="%1、"/>
      <w:lvlJc w:val="left"/>
      <w:pPr>
        <w:ind w:left="630" w:leftChars="0" w:firstLine="0" w:firstLineChars="0"/>
      </w:pPr>
      <w:rPr>
        <w:rFonts w:hint="eastAsia"/>
      </w:rPr>
    </w:lvl>
  </w:abstractNum>
  <w:abstractNum w:abstractNumId="2">
    <w:nsid w:val="0826C932"/>
    <w:multiLevelType w:val="singleLevel"/>
    <w:tmpl w:val="0826C932"/>
    <w:lvl w:ilvl="0" w:tentative="0">
      <w:start w:val="5"/>
      <w:numFmt w:val="chineseCounting"/>
      <w:suff w:val="space"/>
      <w:lvlText w:val="第%1部分"/>
      <w:lvlJc w:val="left"/>
      <w:rPr>
        <w:rFonts w:hint="eastAsia"/>
      </w:rPr>
    </w:lvl>
  </w:abstractNum>
  <w:abstractNum w:abstractNumId="3">
    <w:nsid w:val="656D6133"/>
    <w:multiLevelType w:val="multilevel"/>
    <w:tmpl w:val="656D6133"/>
    <w:lvl w:ilvl="0" w:tentative="0">
      <w:start w:val="1"/>
      <w:numFmt w:val="chineseCountingThousand"/>
      <w:pStyle w:val="68"/>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00587125"/>
    <w:rsid w:val="00000190"/>
    <w:rsid w:val="00000BEF"/>
    <w:rsid w:val="00000ED2"/>
    <w:rsid w:val="000010F1"/>
    <w:rsid w:val="00001698"/>
    <w:rsid w:val="0000190B"/>
    <w:rsid w:val="000025A4"/>
    <w:rsid w:val="000026A6"/>
    <w:rsid w:val="00002AA1"/>
    <w:rsid w:val="00003089"/>
    <w:rsid w:val="00003815"/>
    <w:rsid w:val="00003BA8"/>
    <w:rsid w:val="00003F79"/>
    <w:rsid w:val="00004331"/>
    <w:rsid w:val="00004665"/>
    <w:rsid w:val="0000515F"/>
    <w:rsid w:val="0000563C"/>
    <w:rsid w:val="00005908"/>
    <w:rsid w:val="00005B0D"/>
    <w:rsid w:val="00005B26"/>
    <w:rsid w:val="0000656F"/>
    <w:rsid w:val="00006A6F"/>
    <w:rsid w:val="00006E41"/>
    <w:rsid w:val="0000703F"/>
    <w:rsid w:val="000076B3"/>
    <w:rsid w:val="000100D9"/>
    <w:rsid w:val="0001023F"/>
    <w:rsid w:val="00010A45"/>
    <w:rsid w:val="00010DA8"/>
    <w:rsid w:val="00012ECB"/>
    <w:rsid w:val="00013287"/>
    <w:rsid w:val="00013304"/>
    <w:rsid w:val="000138A8"/>
    <w:rsid w:val="00013B4A"/>
    <w:rsid w:val="00014DC2"/>
    <w:rsid w:val="000152A0"/>
    <w:rsid w:val="00015A83"/>
    <w:rsid w:val="00015A8B"/>
    <w:rsid w:val="00015C05"/>
    <w:rsid w:val="00015C59"/>
    <w:rsid w:val="00015FBF"/>
    <w:rsid w:val="000169FA"/>
    <w:rsid w:val="0001715A"/>
    <w:rsid w:val="000174EB"/>
    <w:rsid w:val="00017B46"/>
    <w:rsid w:val="00017C4B"/>
    <w:rsid w:val="00017E59"/>
    <w:rsid w:val="0002146D"/>
    <w:rsid w:val="00021481"/>
    <w:rsid w:val="000214E0"/>
    <w:rsid w:val="00021C6E"/>
    <w:rsid w:val="00021DD5"/>
    <w:rsid w:val="00021F3C"/>
    <w:rsid w:val="00022406"/>
    <w:rsid w:val="00022B2F"/>
    <w:rsid w:val="00023204"/>
    <w:rsid w:val="000233FE"/>
    <w:rsid w:val="00024048"/>
    <w:rsid w:val="00024254"/>
    <w:rsid w:val="00024A7A"/>
    <w:rsid w:val="00024B49"/>
    <w:rsid w:val="00025227"/>
    <w:rsid w:val="00025342"/>
    <w:rsid w:val="0002551C"/>
    <w:rsid w:val="00025906"/>
    <w:rsid w:val="00025A5A"/>
    <w:rsid w:val="00025FDB"/>
    <w:rsid w:val="00026256"/>
    <w:rsid w:val="000269AD"/>
    <w:rsid w:val="00026A42"/>
    <w:rsid w:val="00027040"/>
    <w:rsid w:val="000275CF"/>
    <w:rsid w:val="000317C5"/>
    <w:rsid w:val="00031C4D"/>
    <w:rsid w:val="00031EE8"/>
    <w:rsid w:val="0003255C"/>
    <w:rsid w:val="00032839"/>
    <w:rsid w:val="0003287D"/>
    <w:rsid w:val="00032D5C"/>
    <w:rsid w:val="000334F9"/>
    <w:rsid w:val="00033D3B"/>
    <w:rsid w:val="00034057"/>
    <w:rsid w:val="00034962"/>
    <w:rsid w:val="000349E5"/>
    <w:rsid w:val="00034A30"/>
    <w:rsid w:val="000367B7"/>
    <w:rsid w:val="00036EE4"/>
    <w:rsid w:val="000372BC"/>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759"/>
    <w:rsid w:val="00051E36"/>
    <w:rsid w:val="00052E1F"/>
    <w:rsid w:val="000530F6"/>
    <w:rsid w:val="0005331E"/>
    <w:rsid w:val="00053555"/>
    <w:rsid w:val="000537CD"/>
    <w:rsid w:val="00053B63"/>
    <w:rsid w:val="0005653E"/>
    <w:rsid w:val="0005654F"/>
    <w:rsid w:val="00056D58"/>
    <w:rsid w:val="000572BF"/>
    <w:rsid w:val="0005752D"/>
    <w:rsid w:val="000576FC"/>
    <w:rsid w:val="000602CC"/>
    <w:rsid w:val="000605C5"/>
    <w:rsid w:val="0006083A"/>
    <w:rsid w:val="00060B1D"/>
    <w:rsid w:val="00060D9F"/>
    <w:rsid w:val="00061AAB"/>
    <w:rsid w:val="00061E16"/>
    <w:rsid w:val="000626E7"/>
    <w:rsid w:val="00062DC7"/>
    <w:rsid w:val="00063340"/>
    <w:rsid w:val="000634DA"/>
    <w:rsid w:val="00063610"/>
    <w:rsid w:val="0006442D"/>
    <w:rsid w:val="00064B93"/>
    <w:rsid w:val="00064BB1"/>
    <w:rsid w:val="00064CD3"/>
    <w:rsid w:val="00064E8F"/>
    <w:rsid w:val="00065245"/>
    <w:rsid w:val="00065732"/>
    <w:rsid w:val="00065931"/>
    <w:rsid w:val="00065E5F"/>
    <w:rsid w:val="0006678E"/>
    <w:rsid w:val="00066837"/>
    <w:rsid w:val="00066CAD"/>
    <w:rsid w:val="00066EF8"/>
    <w:rsid w:val="00067D1D"/>
    <w:rsid w:val="00070B28"/>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694A"/>
    <w:rsid w:val="00076CBE"/>
    <w:rsid w:val="000770B4"/>
    <w:rsid w:val="000775AE"/>
    <w:rsid w:val="000777B4"/>
    <w:rsid w:val="00077DF7"/>
    <w:rsid w:val="00080858"/>
    <w:rsid w:val="00080A62"/>
    <w:rsid w:val="00081A34"/>
    <w:rsid w:val="00081CDA"/>
    <w:rsid w:val="000820C8"/>
    <w:rsid w:val="00082AEB"/>
    <w:rsid w:val="0008303F"/>
    <w:rsid w:val="000830F3"/>
    <w:rsid w:val="0008337D"/>
    <w:rsid w:val="0008400A"/>
    <w:rsid w:val="00085017"/>
    <w:rsid w:val="000852A6"/>
    <w:rsid w:val="00085305"/>
    <w:rsid w:val="00085DAB"/>
    <w:rsid w:val="000860E5"/>
    <w:rsid w:val="00086327"/>
    <w:rsid w:val="00086D3A"/>
    <w:rsid w:val="000872F0"/>
    <w:rsid w:val="0008757F"/>
    <w:rsid w:val="00087621"/>
    <w:rsid w:val="0008764C"/>
    <w:rsid w:val="00090910"/>
    <w:rsid w:val="00090B31"/>
    <w:rsid w:val="00090FBA"/>
    <w:rsid w:val="000918E1"/>
    <w:rsid w:val="0009193D"/>
    <w:rsid w:val="000928EE"/>
    <w:rsid w:val="00092C27"/>
    <w:rsid w:val="00092C28"/>
    <w:rsid w:val="0009307F"/>
    <w:rsid w:val="00093695"/>
    <w:rsid w:val="000936CF"/>
    <w:rsid w:val="00093B52"/>
    <w:rsid w:val="00093F2E"/>
    <w:rsid w:val="0009419F"/>
    <w:rsid w:val="00094B47"/>
    <w:rsid w:val="00094E25"/>
    <w:rsid w:val="0009515D"/>
    <w:rsid w:val="00095E39"/>
    <w:rsid w:val="0009673F"/>
    <w:rsid w:val="0009677E"/>
    <w:rsid w:val="00096B18"/>
    <w:rsid w:val="00097686"/>
    <w:rsid w:val="00097788"/>
    <w:rsid w:val="000A0B1F"/>
    <w:rsid w:val="000A0BEB"/>
    <w:rsid w:val="000A2A84"/>
    <w:rsid w:val="000A2D3F"/>
    <w:rsid w:val="000A32FD"/>
    <w:rsid w:val="000A388F"/>
    <w:rsid w:val="000A3CAD"/>
    <w:rsid w:val="000A3CD2"/>
    <w:rsid w:val="000A3EC2"/>
    <w:rsid w:val="000A401D"/>
    <w:rsid w:val="000A4785"/>
    <w:rsid w:val="000A4B9F"/>
    <w:rsid w:val="000A537F"/>
    <w:rsid w:val="000A54AE"/>
    <w:rsid w:val="000A5591"/>
    <w:rsid w:val="000A5B66"/>
    <w:rsid w:val="000A657F"/>
    <w:rsid w:val="000A6699"/>
    <w:rsid w:val="000A6780"/>
    <w:rsid w:val="000A697B"/>
    <w:rsid w:val="000A69F1"/>
    <w:rsid w:val="000A6CB1"/>
    <w:rsid w:val="000A6FCF"/>
    <w:rsid w:val="000A72EC"/>
    <w:rsid w:val="000A771A"/>
    <w:rsid w:val="000A787C"/>
    <w:rsid w:val="000A7A7C"/>
    <w:rsid w:val="000B0058"/>
    <w:rsid w:val="000B016C"/>
    <w:rsid w:val="000B0D8E"/>
    <w:rsid w:val="000B1019"/>
    <w:rsid w:val="000B1761"/>
    <w:rsid w:val="000B17F6"/>
    <w:rsid w:val="000B1AD3"/>
    <w:rsid w:val="000B1E80"/>
    <w:rsid w:val="000B1ED5"/>
    <w:rsid w:val="000B1F08"/>
    <w:rsid w:val="000B2353"/>
    <w:rsid w:val="000B2571"/>
    <w:rsid w:val="000B35D6"/>
    <w:rsid w:val="000B3786"/>
    <w:rsid w:val="000B5972"/>
    <w:rsid w:val="000B5A29"/>
    <w:rsid w:val="000B6362"/>
    <w:rsid w:val="000B66A6"/>
    <w:rsid w:val="000B6707"/>
    <w:rsid w:val="000C0292"/>
    <w:rsid w:val="000C0AB2"/>
    <w:rsid w:val="000C0CA2"/>
    <w:rsid w:val="000C0D08"/>
    <w:rsid w:val="000C0F9E"/>
    <w:rsid w:val="000C1029"/>
    <w:rsid w:val="000C14FF"/>
    <w:rsid w:val="000C2293"/>
    <w:rsid w:val="000C3E53"/>
    <w:rsid w:val="000C705A"/>
    <w:rsid w:val="000C7919"/>
    <w:rsid w:val="000D0EDF"/>
    <w:rsid w:val="000D0EF0"/>
    <w:rsid w:val="000D0F09"/>
    <w:rsid w:val="000D0FBD"/>
    <w:rsid w:val="000D0FF3"/>
    <w:rsid w:val="000D17F3"/>
    <w:rsid w:val="000D1AAE"/>
    <w:rsid w:val="000D1C4B"/>
    <w:rsid w:val="000D2007"/>
    <w:rsid w:val="000D219D"/>
    <w:rsid w:val="000D23D3"/>
    <w:rsid w:val="000D260C"/>
    <w:rsid w:val="000D2DF6"/>
    <w:rsid w:val="000D3650"/>
    <w:rsid w:val="000D42F7"/>
    <w:rsid w:val="000D44C4"/>
    <w:rsid w:val="000D46C5"/>
    <w:rsid w:val="000D496D"/>
    <w:rsid w:val="000D4A84"/>
    <w:rsid w:val="000D4EC1"/>
    <w:rsid w:val="000D6186"/>
    <w:rsid w:val="000D6B4E"/>
    <w:rsid w:val="000D70FD"/>
    <w:rsid w:val="000E0387"/>
    <w:rsid w:val="000E04B8"/>
    <w:rsid w:val="000E1540"/>
    <w:rsid w:val="000E29C5"/>
    <w:rsid w:val="000E2F42"/>
    <w:rsid w:val="000E31C9"/>
    <w:rsid w:val="000E3711"/>
    <w:rsid w:val="000E3A88"/>
    <w:rsid w:val="000E4638"/>
    <w:rsid w:val="000E4C1C"/>
    <w:rsid w:val="000E4D70"/>
    <w:rsid w:val="000E516A"/>
    <w:rsid w:val="000E51AB"/>
    <w:rsid w:val="000E6238"/>
    <w:rsid w:val="000E658F"/>
    <w:rsid w:val="000E68BB"/>
    <w:rsid w:val="000E68BF"/>
    <w:rsid w:val="000E76B3"/>
    <w:rsid w:val="000F00C9"/>
    <w:rsid w:val="000F0847"/>
    <w:rsid w:val="000F16EE"/>
    <w:rsid w:val="000F2484"/>
    <w:rsid w:val="000F3487"/>
    <w:rsid w:val="000F3698"/>
    <w:rsid w:val="000F3FFD"/>
    <w:rsid w:val="000F4523"/>
    <w:rsid w:val="000F458C"/>
    <w:rsid w:val="000F4731"/>
    <w:rsid w:val="000F48D2"/>
    <w:rsid w:val="000F4D9B"/>
    <w:rsid w:val="000F5625"/>
    <w:rsid w:val="000F6E94"/>
    <w:rsid w:val="000F74A9"/>
    <w:rsid w:val="000F7546"/>
    <w:rsid w:val="000F7877"/>
    <w:rsid w:val="001000A0"/>
    <w:rsid w:val="0010042C"/>
    <w:rsid w:val="00100450"/>
    <w:rsid w:val="001007AD"/>
    <w:rsid w:val="001007E8"/>
    <w:rsid w:val="00100F62"/>
    <w:rsid w:val="0010119F"/>
    <w:rsid w:val="00101718"/>
    <w:rsid w:val="001018F5"/>
    <w:rsid w:val="001020C4"/>
    <w:rsid w:val="001021B0"/>
    <w:rsid w:val="00102B46"/>
    <w:rsid w:val="00102E6D"/>
    <w:rsid w:val="001031E9"/>
    <w:rsid w:val="001037C8"/>
    <w:rsid w:val="00103D21"/>
    <w:rsid w:val="0010430C"/>
    <w:rsid w:val="00104636"/>
    <w:rsid w:val="00104B10"/>
    <w:rsid w:val="00104F2D"/>
    <w:rsid w:val="001050E4"/>
    <w:rsid w:val="00105D2F"/>
    <w:rsid w:val="001073F7"/>
    <w:rsid w:val="00107B89"/>
    <w:rsid w:val="00107BCF"/>
    <w:rsid w:val="00107C72"/>
    <w:rsid w:val="00107F7C"/>
    <w:rsid w:val="001101D2"/>
    <w:rsid w:val="00110690"/>
    <w:rsid w:val="001109DD"/>
    <w:rsid w:val="00111156"/>
    <w:rsid w:val="00111345"/>
    <w:rsid w:val="00111370"/>
    <w:rsid w:val="001119D4"/>
    <w:rsid w:val="00111CC4"/>
    <w:rsid w:val="00112170"/>
    <w:rsid w:val="00112786"/>
    <w:rsid w:val="00112B5E"/>
    <w:rsid w:val="0011338B"/>
    <w:rsid w:val="0011368B"/>
    <w:rsid w:val="00113AD6"/>
    <w:rsid w:val="001145B3"/>
    <w:rsid w:val="00115DCF"/>
    <w:rsid w:val="00115DD7"/>
    <w:rsid w:val="00116222"/>
    <w:rsid w:val="001165F8"/>
    <w:rsid w:val="00116EDF"/>
    <w:rsid w:val="00116F1C"/>
    <w:rsid w:val="0011731C"/>
    <w:rsid w:val="00117A65"/>
    <w:rsid w:val="00117E0A"/>
    <w:rsid w:val="00120467"/>
    <w:rsid w:val="00120577"/>
    <w:rsid w:val="00120D9C"/>
    <w:rsid w:val="0012145D"/>
    <w:rsid w:val="00121554"/>
    <w:rsid w:val="0012188C"/>
    <w:rsid w:val="0012225E"/>
    <w:rsid w:val="00122536"/>
    <w:rsid w:val="001227D5"/>
    <w:rsid w:val="00122EE7"/>
    <w:rsid w:val="001230A0"/>
    <w:rsid w:val="00123FC4"/>
    <w:rsid w:val="00124A67"/>
    <w:rsid w:val="00124ACF"/>
    <w:rsid w:val="0012542B"/>
    <w:rsid w:val="0012544D"/>
    <w:rsid w:val="00125CC1"/>
    <w:rsid w:val="00125DA0"/>
    <w:rsid w:val="00126368"/>
    <w:rsid w:val="00126380"/>
    <w:rsid w:val="00126E98"/>
    <w:rsid w:val="00127066"/>
    <w:rsid w:val="001271C9"/>
    <w:rsid w:val="001271DC"/>
    <w:rsid w:val="00127C66"/>
    <w:rsid w:val="001302FE"/>
    <w:rsid w:val="001308B5"/>
    <w:rsid w:val="001310F1"/>
    <w:rsid w:val="0013124E"/>
    <w:rsid w:val="001318E2"/>
    <w:rsid w:val="00131FE5"/>
    <w:rsid w:val="00132479"/>
    <w:rsid w:val="00132932"/>
    <w:rsid w:val="00132D7D"/>
    <w:rsid w:val="00132D9D"/>
    <w:rsid w:val="00132E9B"/>
    <w:rsid w:val="00133E50"/>
    <w:rsid w:val="0013413B"/>
    <w:rsid w:val="001341FA"/>
    <w:rsid w:val="00134598"/>
    <w:rsid w:val="00136281"/>
    <w:rsid w:val="00136629"/>
    <w:rsid w:val="001366BE"/>
    <w:rsid w:val="00136773"/>
    <w:rsid w:val="0013691A"/>
    <w:rsid w:val="00136F58"/>
    <w:rsid w:val="00137647"/>
    <w:rsid w:val="00137685"/>
    <w:rsid w:val="0014006B"/>
    <w:rsid w:val="00140AA1"/>
    <w:rsid w:val="00140C79"/>
    <w:rsid w:val="00141ED6"/>
    <w:rsid w:val="0014249C"/>
    <w:rsid w:val="00142B63"/>
    <w:rsid w:val="001430D8"/>
    <w:rsid w:val="00143494"/>
    <w:rsid w:val="0014360F"/>
    <w:rsid w:val="00143BF0"/>
    <w:rsid w:val="001441C9"/>
    <w:rsid w:val="00144502"/>
    <w:rsid w:val="00145B19"/>
    <w:rsid w:val="00145C2C"/>
    <w:rsid w:val="00146187"/>
    <w:rsid w:val="0014654F"/>
    <w:rsid w:val="00146983"/>
    <w:rsid w:val="00147232"/>
    <w:rsid w:val="00147760"/>
    <w:rsid w:val="001501E4"/>
    <w:rsid w:val="00150B31"/>
    <w:rsid w:val="00150B34"/>
    <w:rsid w:val="00150DC0"/>
    <w:rsid w:val="001513DA"/>
    <w:rsid w:val="0015453C"/>
    <w:rsid w:val="001553CF"/>
    <w:rsid w:val="00156B70"/>
    <w:rsid w:val="00156C17"/>
    <w:rsid w:val="001611A0"/>
    <w:rsid w:val="001611F4"/>
    <w:rsid w:val="00161666"/>
    <w:rsid w:val="001618AD"/>
    <w:rsid w:val="00161AD1"/>
    <w:rsid w:val="00162339"/>
    <w:rsid w:val="00162D36"/>
    <w:rsid w:val="00162E51"/>
    <w:rsid w:val="0016313E"/>
    <w:rsid w:val="0016315A"/>
    <w:rsid w:val="00163396"/>
    <w:rsid w:val="00163CD3"/>
    <w:rsid w:val="00163F7E"/>
    <w:rsid w:val="00164948"/>
    <w:rsid w:val="00166108"/>
    <w:rsid w:val="001663F3"/>
    <w:rsid w:val="001665F8"/>
    <w:rsid w:val="0016692D"/>
    <w:rsid w:val="0017009C"/>
    <w:rsid w:val="00170243"/>
    <w:rsid w:val="00170727"/>
    <w:rsid w:val="001710B6"/>
    <w:rsid w:val="0017174E"/>
    <w:rsid w:val="0017197C"/>
    <w:rsid w:val="001719E5"/>
    <w:rsid w:val="00171C07"/>
    <w:rsid w:val="00171C34"/>
    <w:rsid w:val="00171CDF"/>
    <w:rsid w:val="00173A54"/>
    <w:rsid w:val="00173A9E"/>
    <w:rsid w:val="00173F05"/>
    <w:rsid w:val="00173FA9"/>
    <w:rsid w:val="00173FB7"/>
    <w:rsid w:val="001743F9"/>
    <w:rsid w:val="00174BB2"/>
    <w:rsid w:val="0017538D"/>
    <w:rsid w:val="001758C9"/>
    <w:rsid w:val="001761AF"/>
    <w:rsid w:val="00177137"/>
    <w:rsid w:val="0017752F"/>
    <w:rsid w:val="001806B2"/>
    <w:rsid w:val="001820F9"/>
    <w:rsid w:val="00182918"/>
    <w:rsid w:val="001832EB"/>
    <w:rsid w:val="00183607"/>
    <w:rsid w:val="001837DD"/>
    <w:rsid w:val="0018385A"/>
    <w:rsid w:val="00183D3F"/>
    <w:rsid w:val="0018413D"/>
    <w:rsid w:val="0018490A"/>
    <w:rsid w:val="00184FE6"/>
    <w:rsid w:val="0018587D"/>
    <w:rsid w:val="00185CA6"/>
    <w:rsid w:val="0018624A"/>
    <w:rsid w:val="001871C9"/>
    <w:rsid w:val="0018729D"/>
    <w:rsid w:val="0018767E"/>
    <w:rsid w:val="00187FF9"/>
    <w:rsid w:val="00190C26"/>
    <w:rsid w:val="0019175D"/>
    <w:rsid w:val="00192172"/>
    <w:rsid w:val="00193275"/>
    <w:rsid w:val="00193528"/>
    <w:rsid w:val="001938A0"/>
    <w:rsid w:val="00193DA9"/>
    <w:rsid w:val="00193F29"/>
    <w:rsid w:val="001941B1"/>
    <w:rsid w:val="0019458A"/>
    <w:rsid w:val="00195D14"/>
    <w:rsid w:val="00195EDB"/>
    <w:rsid w:val="0019680C"/>
    <w:rsid w:val="00196C86"/>
    <w:rsid w:val="00196D0A"/>
    <w:rsid w:val="001979E0"/>
    <w:rsid w:val="00197AF2"/>
    <w:rsid w:val="00197C32"/>
    <w:rsid w:val="001A0816"/>
    <w:rsid w:val="001A088C"/>
    <w:rsid w:val="001A0DA6"/>
    <w:rsid w:val="001A13F2"/>
    <w:rsid w:val="001A1585"/>
    <w:rsid w:val="001A1F06"/>
    <w:rsid w:val="001A2164"/>
    <w:rsid w:val="001A27F3"/>
    <w:rsid w:val="001A2C83"/>
    <w:rsid w:val="001A3247"/>
    <w:rsid w:val="001A3A39"/>
    <w:rsid w:val="001A3C0C"/>
    <w:rsid w:val="001A3FAC"/>
    <w:rsid w:val="001A4C97"/>
    <w:rsid w:val="001A5018"/>
    <w:rsid w:val="001A5376"/>
    <w:rsid w:val="001A5DC5"/>
    <w:rsid w:val="001A6EFA"/>
    <w:rsid w:val="001A7BEB"/>
    <w:rsid w:val="001A7E2D"/>
    <w:rsid w:val="001B00B5"/>
    <w:rsid w:val="001B0328"/>
    <w:rsid w:val="001B04EB"/>
    <w:rsid w:val="001B0A5B"/>
    <w:rsid w:val="001B1B6F"/>
    <w:rsid w:val="001B2830"/>
    <w:rsid w:val="001B2918"/>
    <w:rsid w:val="001B3332"/>
    <w:rsid w:val="001B38D6"/>
    <w:rsid w:val="001B3B92"/>
    <w:rsid w:val="001B3C1A"/>
    <w:rsid w:val="001B45CE"/>
    <w:rsid w:val="001B4778"/>
    <w:rsid w:val="001B4805"/>
    <w:rsid w:val="001B4F97"/>
    <w:rsid w:val="001B50CE"/>
    <w:rsid w:val="001B5207"/>
    <w:rsid w:val="001B53E8"/>
    <w:rsid w:val="001B5AA6"/>
    <w:rsid w:val="001B5BE8"/>
    <w:rsid w:val="001B5CE7"/>
    <w:rsid w:val="001B5FA8"/>
    <w:rsid w:val="001B6941"/>
    <w:rsid w:val="001B7241"/>
    <w:rsid w:val="001B7F4A"/>
    <w:rsid w:val="001C010D"/>
    <w:rsid w:val="001C0658"/>
    <w:rsid w:val="001C0AD6"/>
    <w:rsid w:val="001C0F98"/>
    <w:rsid w:val="001C1129"/>
    <w:rsid w:val="001C14A8"/>
    <w:rsid w:val="001C1944"/>
    <w:rsid w:val="001C1C89"/>
    <w:rsid w:val="001C27C7"/>
    <w:rsid w:val="001C28C3"/>
    <w:rsid w:val="001C2AB2"/>
    <w:rsid w:val="001C2B03"/>
    <w:rsid w:val="001C2E4C"/>
    <w:rsid w:val="001C364C"/>
    <w:rsid w:val="001C3940"/>
    <w:rsid w:val="001C3CAC"/>
    <w:rsid w:val="001C468C"/>
    <w:rsid w:val="001C5038"/>
    <w:rsid w:val="001C52AE"/>
    <w:rsid w:val="001C53EB"/>
    <w:rsid w:val="001C5B95"/>
    <w:rsid w:val="001C607E"/>
    <w:rsid w:val="001C6CE6"/>
    <w:rsid w:val="001D024C"/>
    <w:rsid w:val="001D07AE"/>
    <w:rsid w:val="001D2360"/>
    <w:rsid w:val="001D236A"/>
    <w:rsid w:val="001D25AD"/>
    <w:rsid w:val="001D2896"/>
    <w:rsid w:val="001D2A9A"/>
    <w:rsid w:val="001D3A9B"/>
    <w:rsid w:val="001D3CE1"/>
    <w:rsid w:val="001D3E94"/>
    <w:rsid w:val="001D4A16"/>
    <w:rsid w:val="001D4ED9"/>
    <w:rsid w:val="001D531D"/>
    <w:rsid w:val="001D56F6"/>
    <w:rsid w:val="001D7703"/>
    <w:rsid w:val="001E0515"/>
    <w:rsid w:val="001E0528"/>
    <w:rsid w:val="001E0C22"/>
    <w:rsid w:val="001E12D8"/>
    <w:rsid w:val="001E1DB2"/>
    <w:rsid w:val="001E3123"/>
    <w:rsid w:val="001E3473"/>
    <w:rsid w:val="001E3C00"/>
    <w:rsid w:val="001E4412"/>
    <w:rsid w:val="001E6DE6"/>
    <w:rsid w:val="001E7394"/>
    <w:rsid w:val="001E73BD"/>
    <w:rsid w:val="001E74BC"/>
    <w:rsid w:val="001E7805"/>
    <w:rsid w:val="001F03BF"/>
    <w:rsid w:val="001F166A"/>
    <w:rsid w:val="001F17DE"/>
    <w:rsid w:val="001F2009"/>
    <w:rsid w:val="001F29CD"/>
    <w:rsid w:val="001F34B5"/>
    <w:rsid w:val="001F3B41"/>
    <w:rsid w:val="001F3C7A"/>
    <w:rsid w:val="001F3CAA"/>
    <w:rsid w:val="001F464C"/>
    <w:rsid w:val="001F50F2"/>
    <w:rsid w:val="001F56FC"/>
    <w:rsid w:val="001F5EF6"/>
    <w:rsid w:val="001F69BC"/>
    <w:rsid w:val="001F6DD9"/>
    <w:rsid w:val="002000A1"/>
    <w:rsid w:val="002015D6"/>
    <w:rsid w:val="00201D38"/>
    <w:rsid w:val="00202137"/>
    <w:rsid w:val="00202574"/>
    <w:rsid w:val="002026E2"/>
    <w:rsid w:val="00202F67"/>
    <w:rsid w:val="002033B4"/>
    <w:rsid w:val="002042C6"/>
    <w:rsid w:val="00204532"/>
    <w:rsid w:val="0020486A"/>
    <w:rsid w:val="00204980"/>
    <w:rsid w:val="00204B77"/>
    <w:rsid w:val="002054E8"/>
    <w:rsid w:val="00205A9F"/>
    <w:rsid w:val="00205B55"/>
    <w:rsid w:val="002064A5"/>
    <w:rsid w:val="002073F1"/>
    <w:rsid w:val="00207F52"/>
    <w:rsid w:val="00210F59"/>
    <w:rsid w:val="00210FEE"/>
    <w:rsid w:val="00211202"/>
    <w:rsid w:val="0021185B"/>
    <w:rsid w:val="00214495"/>
    <w:rsid w:val="002151C1"/>
    <w:rsid w:val="00216507"/>
    <w:rsid w:val="00216A37"/>
    <w:rsid w:val="002176B9"/>
    <w:rsid w:val="00220459"/>
    <w:rsid w:val="00221F70"/>
    <w:rsid w:val="0022300C"/>
    <w:rsid w:val="00224132"/>
    <w:rsid w:val="002241EB"/>
    <w:rsid w:val="00224223"/>
    <w:rsid w:val="00224D2A"/>
    <w:rsid w:val="00224D5E"/>
    <w:rsid w:val="00226552"/>
    <w:rsid w:val="002265DD"/>
    <w:rsid w:val="0022695E"/>
    <w:rsid w:val="00226D48"/>
    <w:rsid w:val="00226E59"/>
    <w:rsid w:val="00227F9B"/>
    <w:rsid w:val="00230620"/>
    <w:rsid w:val="002306FE"/>
    <w:rsid w:val="0023071F"/>
    <w:rsid w:val="002310E1"/>
    <w:rsid w:val="00231831"/>
    <w:rsid w:val="002319CA"/>
    <w:rsid w:val="00231E59"/>
    <w:rsid w:val="002320FB"/>
    <w:rsid w:val="00232608"/>
    <w:rsid w:val="002336C9"/>
    <w:rsid w:val="00233E67"/>
    <w:rsid w:val="002348B3"/>
    <w:rsid w:val="00235735"/>
    <w:rsid w:val="00235FE6"/>
    <w:rsid w:val="0023675E"/>
    <w:rsid w:val="00236A67"/>
    <w:rsid w:val="00237FFA"/>
    <w:rsid w:val="0024035D"/>
    <w:rsid w:val="00240BD1"/>
    <w:rsid w:val="00240E57"/>
    <w:rsid w:val="00240EF7"/>
    <w:rsid w:val="00241D54"/>
    <w:rsid w:val="0024221E"/>
    <w:rsid w:val="0024299C"/>
    <w:rsid w:val="00242D6B"/>
    <w:rsid w:val="00242F61"/>
    <w:rsid w:val="002430BC"/>
    <w:rsid w:val="002432AA"/>
    <w:rsid w:val="00243D32"/>
    <w:rsid w:val="00244F26"/>
    <w:rsid w:val="0024548C"/>
    <w:rsid w:val="00245666"/>
    <w:rsid w:val="0024680F"/>
    <w:rsid w:val="00246D6E"/>
    <w:rsid w:val="00250028"/>
    <w:rsid w:val="002500DA"/>
    <w:rsid w:val="0025010C"/>
    <w:rsid w:val="00250366"/>
    <w:rsid w:val="00250402"/>
    <w:rsid w:val="00250667"/>
    <w:rsid w:val="00250C89"/>
    <w:rsid w:val="00251850"/>
    <w:rsid w:val="00252A78"/>
    <w:rsid w:val="00253AE9"/>
    <w:rsid w:val="0025452D"/>
    <w:rsid w:val="00254B18"/>
    <w:rsid w:val="00254FFD"/>
    <w:rsid w:val="00255378"/>
    <w:rsid w:val="00255437"/>
    <w:rsid w:val="00255ADF"/>
    <w:rsid w:val="00255F8D"/>
    <w:rsid w:val="00256EC9"/>
    <w:rsid w:val="00257225"/>
    <w:rsid w:val="002572DF"/>
    <w:rsid w:val="00257469"/>
    <w:rsid w:val="00257614"/>
    <w:rsid w:val="00257C19"/>
    <w:rsid w:val="002603D3"/>
    <w:rsid w:val="002610B7"/>
    <w:rsid w:val="0026117E"/>
    <w:rsid w:val="00262B4D"/>
    <w:rsid w:val="00263D2B"/>
    <w:rsid w:val="00263DB0"/>
    <w:rsid w:val="002640FB"/>
    <w:rsid w:val="00264370"/>
    <w:rsid w:val="00264449"/>
    <w:rsid w:val="00264A9F"/>
    <w:rsid w:val="00264EF3"/>
    <w:rsid w:val="002655E0"/>
    <w:rsid w:val="0026590C"/>
    <w:rsid w:val="00265B19"/>
    <w:rsid w:val="00265B37"/>
    <w:rsid w:val="00265C0B"/>
    <w:rsid w:val="00266121"/>
    <w:rsid w:val="002662B0"/>
    <w:rsid w:val="002662E4"/>
    <w:rsid w:val="002666E0"/>
    <w:rsid w:val="002669A3"/>
    <w:rsid w:val="00266D7F"/>
    <w:rsid w:val="00266F9E"/>
    <w:rsid w:val="00267A08"/>
    <w:rsid w:val="00267A34"/>
    <w:rsid w:val="00267AFE"/>
    <w:rsid w:val="002706FE"/>
    <w:rsid w:val="00270865"/>
    <w:rsid w:val="00270BDB"/>
    <w:rsid w:val="00270EBA"/>
    <w:rsid w:val="002710EF"/>
    <w:rsid w:val="00271512"/>
    <w:rsid w:val="002718E8"/>
    <w:rsid w:val="002728A9"/>
    <w:rsid w:val="00272A97"/>
    <w:rsid w:val="00272DDF"/>
    <w:rsid w:val="002731A7"/>
    <w:rsid w:val="00273CBA"/>
    <w:rsid w:val="002741A9"/>
    <w:rsid w:val="00274286"/>
    <w:rsid w:val="002747E8"/>
    <w:rsid w:val="002752B5"/>
    <w:rsid w:val="002757BF"/>
    <w:rsid w:val="002758DF"/>
    <w:rsid w:val="00275C64"/>
    <w:rsid w:val="00275F4E"/>
    <w:rsid w:val="0027605D"/>
    <w:rsid w:val="00276092"/>
    <w:rsid w:val="002762EC"/>
    <w:rsid w:val="002765E8"/>
    <w:rsid w:val="00276C89"/>
    <w:rsid w:val="0027780E"/>
    <w:rsid w:val="002779C0"/>
    <w:rsid w:val="0028000F"/>
    <w:rsid w:val="00280262"/>
    <w:rsid w:val="00280319"/>
    <w:rsid w:val="002808F7"/>
    <w:rsid w:val="00280CA3"/>
    <w:rsid w:val="00280DB1"/>
    <w:rsid w:val="002818B0"/>
    <w:rsid w:val="00281A8D"/>
    <w:rsid w:val="00282900"/>
    <w:rsid w:val="00282CB6"/>
    <w:rsid w:val="00282E9A"/>
    <w:rsid w:val="00283922"/>
    <w:rsid w:val="00283A1D"/>
    <w:rsid w:val="00283B63"/>
    <w:rsid w:val="00284749"/>
    <w:rsid w:val="00284A9F"/>
    <w:rsid w:val="00285DD0"/>
    <w:rsid w:val="0028600D"/>
    <w:rsid w:val="00286407"/>
    <w:rsid w:val="002864C2"/>
    <w:rsid w:val="002867CF"/>
    <w:rsid w:val="00286A19"/>
    <w:rsid w:val="00286EE4"/>
    <w:rsid w:val="0028747F"/>
    <w:rsid w:val="00290311"/>
    <w:rsid w:val="00290844"/>
    <w:rsid w:val="002914BB"/>
    <w:rsid w:val="00291650"/>
    <w:rsid w:val="00291A1B"/>
    <w:rsid w:val="00292668"/>
    <w:rsid w:val="002926DE"/>
    <w:rsid w:val="00292DB4"/>
    <w:rsid w:val="002938EC"/>
    <w:rsid w:val="00294121"/>
    <w:rsid w:val="00294A5E"/>
    <w:rsid w:val="002951E2"/>
    <w:rsid w:val="0029589E"/>
    <w:rsid w:val="002961CB"/>
    <w:rsid w:val="002966B7"/>
    <w:rsid w:val="002A02AD"/>
    <w:rsid w:val="002A0358"/>
    <w:rsid w:val="002A0976"/>
    <w:rsid w:val="002A12D4"/>
    <w:rsid w:val="002A1537"/>
    <w:rsid w:val="002A1DE6"/>
    <w:rsid w:val="002A2D62"/>
    <w:rsid w:val="002A2EE0"/>
    <w:rsid w:val="002A3199"/>
    <w:rsid w:val="002A33BA"/>
    <w:rsid w:val="002A44A2"/>
    <w:rsid w:val="002A4BF8"/>
    <w:rsid w:val="002A51B5"/>
    <w:rsid w:val="002A595B"/>
    <w:rsid w:val="002A6585"/>
    <w:rsid w:val="002A6BA3"/>
    <w:rsid w:val="002A7868"/>
    <w:rsid w:val="002B0398"/>
    <w:rsid w:val="002B0439"/>
    <w:rsid w:val="002B0F43"/>
    <w:rsid w:val="002B1E7B"/>
    <w:rsid w:val="002B21A4"/>
    <w:rsid w:val="002B22B2"/>
    <w:rsid w:val="002B39CD"/>
    <w:rsid w:val="002B3CD9"/>
    <w:rsid w:val="002B5602"/>
    <w:rsid w:val="002B6BA6"/>
    <w:rsid w:val="002B71E8"/>
    <w:rsid w:val="002B71FF"/>
    <w:rsid w:val="002B742A"/>
    <w:rsid w:val="002C0002"/>
    <w:rsid w:val="002C03E3"/>
    <w:rsid w:val="002C0791"/>
    <w:rsid w:val="002C09B1"/>
    <w:rsid w:val="002C0E4B"/>
    <w:rsid w:val="002C232A"/>
    <w:rsid w:val="002C2550"/>
    <w:rsid w:val="002C332E"/>
    <w:rsid w:val="002C37A9"/>
    <w:rsid w:val="002C392B"/>
    <w:rsid w:val="002C3E8B"/>
    <w:rsid w:val="002C482F"/>
    <w:rsid w:val="002C4A70"/>
    <w:rsid w:val="002C4F2E"/>
    <w:rsid w:val="002C55C3"/>
    <w:rsid w:val="002C62E5"/>
    <w:rsid w:val="002C63F3"/>
    <w:rsid w:val="002C6DEA"/>
    <w:rsid w:val="002C70D7"/>
    <w:rsid w:val="002C72A4"/>
    <w:rsid w:val="002C7516"/>
    <w:rsid w:val="002C7542"/>
    <w:rsid w:val="002D0123"/>
    <w:rsid w:val="002D022B"/>
    <w:rsid w:val="002D1BCF"/>
    <w:rsid w:val="002D1CBA"/>
    <w:rsid w:val="002D2381"/>
    <w:rsid w:val="002D23F7"/>
    <w:rsid w:val="002D2730"/>
    <w:rsid w:val="002D27A6"/>
    <w:rsid w:val="002D2C35"/>
    <w:rsid w:val="002D305B"/>
    <w:rsid w:val="002D3190"/>
    <w:rsid w:val="002D3AEF"/>
    <w:rsid w:val="002D3CDA"/>
    <w:rsid w:val="002D3D11"/>
    <w:rsid w:val="002D5D57"/>
    <w:rsid w:val="002D642F"/>
    <w:rsid w:val="002D685D"/>
    <w:rsid w:val="002D68A0"/>
    <w:rsid w:val="002D696E"/>
    <w:rsid w:val="002D6A8D"/>
    <w:rsid w:val="002D6FAB"/>
    <w:rsid w:val="002D7348"/>
    <w:rsid w:val="002D7DDD"/>
    <w:rsid w:val="002E00E5"/>
    <w:rsid w:val="002E094E"/>
    <w:rsid w:val="002E0E57"/>
    <w:rsid w:val="002E12FD"/>
    <w:rsid w:val="002E176B"/>
    <w:rsid w:val="002E19CF"/>
    <w:rsid w:val="002E19FD"/>
    <w:rsid w:val="002E1A5D"/>
    <w:rsid w:val="002E2179"/>
    <w:rsid w:val="002E21A0"/>
    <w:rsid w:val="002E3504"/>
    <w:rsid w:val="002E3624"/>
    <w:rsid w:val="002E3A01"/>
    <w:rsid w:val="002E4375"/>
    <w:rsid w:val="002E5151"/>
    <w:rsid w:val="002E52A3"/>
    <w:rsid w:val="002E546E"/>
    <w:rsid w:val="002E549B"/>
    <w:rsid w:val="002E55F5"/>
    <w:rsid w:val="002E600B"/>
    <w:rsid w:val="002E6793"/>
    <w:rsid w:val="002F0399"/>
    <w:rsid w:val="002F0825"/>
    <w:rsid w:val="002F1869"/>
    <w:rsid w:val="002F1DC6"/>
    <w:rsid w:val="002F259A"/>
    <w:rsid w:val="002F2A74"/>
    <w:rsid w:val="002F2BB9"/>
    <w:rsid w:val="002F334D"/>
    <w:rsid w:val="002F3D47"/>
    <w:rsid w:val="002F4472"/>
    <w:rsid w:val="002F4700"/>
    <w:rsid w:val="002F4997"/>
    <w:rsid w:val="002F533F"/>
    <w:rsid w:val="002F53F0"/>
    <w:rsid w:val="002F59CA"/>
    <w:rsid w:val="002F613F"/>
    <w:rsid w:val="002F629E"/>
    <w:rsid w:val="002F65D2"/>
    <w:rsid w:val="002F6947"/>
    <w:rsid w:val="002F69F1"/>
    <w:rsid w:val="002F6CDC"/>
    <w:rsid w:val="002F72A9"/>
    <w:rsid w:val="002F7CDD"/>
    <w:rsid w:val="003011E5"/>
    <w:rsid w:val="003012A3"/>
    <w:rsid w:val="00301CAF"/>
    <w:rsid w:val="00303362"/>
    <w:rsid w:val="0030422F"/>
    <w:rsid w:val="00304609"/>
    <w:rsid w:val="00304A46"/>
    <w:rsid w:val="00304F50"/>
    <w:rsid w:val="00305707"/>
    <w:rsid w:val="00305AAE"/>
    <w:rsid w:val="00305C47"/>
    <w:rsid w:val="00305FB6"/>
    <w:rsid w:val="0030635B"/>
    <w:rsid w:val="003068F4"/>
    <w:rsid w:val="00307A91"/>
    <w:rsid w:val="00310009"/>
    <w:rsid w:val="00310142"/>
    <w:rsid w:val="0031126B"/>
    <w:rsid w:val="00311AD8"/>
    <w:rsid w:val="00311B37"/>
    <w:rsid w:val="00311E17"/>
    <w:rsid w:val="00312143"/>
    <w:rsid w:val="00312578"/>
    <w:rsid w:val="00312EC8"/>
    <w:rsid w:val="00313231"/>
    <w:rsid w:val="00313ACA"/>
    <w:rsid w:val="0031409C"/>
    <w:rsid w:val="00314155"/>
    <w:rsid w:val="003142A4"/>
    <w:rsid w:val="00314D74"/>
    <w:rsid w:val="0031585C"/>
    <w:rsid w:val="00316516"/>
    <w:rsid w:val="00316871"/>
    <w:rsid w:val="00316AEB"/>
    <w:rsid w:val="0031775C"/>
    <w:rsid w:val="00317DA4"/>
    <w:rsid w:val="00320BA4"/>
    <w:rsid w:val="00321040"/>
    <w:rsid w:val="003213B1"/>
    <w:rsid w:val="003215BE"/>
    <w:rsid w:val="00321BB5"/>
    <w:rsid w:val="003228A2"/>
    <w:rsid w:val="00322DE2"/>
    <w:rsid w:val="0032379B"/>
    <w:rsid w:val="00324069"/>
    <w:rsid w:val="0032424B"/>
    <w:rsid w:val="0032429D"/>
    <w:rsid w:val="00324B67"/>
    <w:rsid w:val="00325C77"/>
    <w:rsid w:val="00325E64"/>
    <w:rsid w:val="00326DE8"/>
    <w:rsid w:val="00326E02"/>
    <w:rsid w:val="00327512"/>
    <w:rsid w:val="00330138"/>
    <w:rsid w:val="00330F36"/>
    <w:rsid w:val="003311D1"/>
    <w:rsid w:val="003316A6"/>
    <w:rsid w:val="0033187C"/>
    <w:rsid w:val="00331D1A"/>
    <w:rsid w:val="003323E7"/>
    <w:rsid w:val="00332965"/>
    <w:rsid w:val="00332F36"/>
    <w:rsid w:val="003333A4"/>
    <w:rsid w:val="003333C8"/>
    <w:rsid w:val="00334125"/>
    <w:rsid w:val="00334635"/>
    <w:rsid w:val="003346C8"/>
    <w:rsid w:val="00334AF6"/>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D80"/>
    <w:rsid w:val="003431D1"/>
    <w:rsid w:val="003436A4"/>
    <w:rsid w:val="00343767"/>
    <w:rsid w:val="00343A15"/>
    <w:rsid w:val="003445CC"/>
    <w:rsid w:val="00344AF4"/>
    <w:rsid w:val="00344EB9"/>
    <w:rsid w:val="003450F8"/>
    <w:rsid w:val="00345510"/>
    <w:rsid w:val="003458DE"/>
    <w:rsid w:val="003458E6"/>
    <w:rsid w:val="00345C96"/>
    <w:rsid w:val="003466F2"/>
    <w:rsid w:val="00346970"/>
    <w:rsid w:val="00346CDF"/>
    <w:rsid w:val="00346E85"/>
    <w:rsid w:val="00347173"/>
    <w:rsid w:val="00350562"/>
    <w:rsid w:val="003507B0"/>
    <w:rsid w:val="00350C6D"/>
    <w:rsid w:val="00350D55"/>
    <w:rsid w:val="003511F6"/>
    <w:rsid w:val="00351CF8"/>
    <w:rsid w:val="00352664"/>
    <w:rsid w:val="0035267B"/>
    <w:rsid w:val="00352D78"/>
    <w:rsid w:val="00353487"/>
    <w:rsid w:val="0035359C"/>
    <w:rsid w:val="00353A66"/>
    <w:rsid w:val="00353DF0"/>
    <w:rsid w:val="00353F94"/>
    <w:rsid w:val="0035422C"/>
    <w:rsid w:val="003542A5"/>
    <w:rsid w:val="003559A9"/>
    <w:rsid w:val="00355B86"/>
    <w:rsid w:val="00356059"/>
    <w:rsid w:val="00356433"/>
    <w:rsid w:val="003564CF"/>
    <w:rsid w:val="00356F50"/>
    <w:rsid w:val="00357EB3"/>
    <w:rsid w:val="0036059F"/>
    <w:rsid w:val="003614B4"/>
    <w:rsid w:val="00361E0E"/>
    <w:rsid w:val="003628EB"/>
    <w:rsid w:val="00362D58"/>
    <w:rsid w:val="00362DAD"/>
    <w:rsid w:val="00363192"/>
    <w:rsid w:val="0036375A"/>
    <w:rsid w:val="00363B2A"/>
    <w:rsid w:val="00363CC9"/>
    <w:rsid w:val="00363DAD"/>
    <w:rsid w:val="003651CB"/>
    <w:rsid w:val="00365210"/>
    <w:rsid w:val="00366A00"/>
    <w:rsid w:val="00367B61"/>
    <w:rsid w:val="003701DE"/>
    <w:rsid w:val="00370BD1"/>
    <w:rsid w:val="00371979"/>
    <w:rsid w:val="00371A23"/>
    <w:rsid w:val="00371B55"/>
    <w:rsid w:val="00371DA7"/>
    <w:rsid w:val="00371E00"/>
    <w:rsid w:val="0037208A"/>
    <w:rsid w:val="00372EAA"/>
    <w:rsid w:val="003735CB"/>
    <w:rsid w:val="00373861"/>
    <w:rsid w:val="003741D4"/>
    <w:rsid w:val="00374263"/>
    <w:rsid w:val="003742BC"/>
    <w:rsid w:val="00374532"/>
    <w:rsid w:val="00374D8C"/>
    <w:rsid w:val="0037557A"/>
    <w:rsid w:val="00375832"/>
    <w:rsid w:val="00375FFA"/>
    <w:rsid w:val="00376309"/>
    <w:rsid w:val="00376B99"/>
    <w:rsid w:val="00376F92"/>
    <w:rsid w:val="003775BC"/>
    <w:rsid w:val="003777F0"/>
    <w:rsid w:val="00377B58"/>
    <w:rsid w:val="003802D2"/>
    <w:rsid w:val="0038037C"/>
    <w:rsid w:val="003818FA"/>
    <w:rsid w:val="00381A6B"/>
    <w:rsid w:val="00381E33"/>
    <w:rsid w:val="00382463"/>
    <w:rsid w:val="00382BA1"/>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7AE5"/>
    <w:rsid w:val="00387B78"/>
    <w:rsid w:val="003904E7"/>
    <w:rsid w:val="00390807"/>
    <w:rsid w:val="003909E2"/>
    <w:rsid w:val="00391100"/>
    <w:rsid w:val="00391755"/>
    <w:rsid w:val="003919A7"/>
    <w:rsid w:val="00391C41"/>
    <w:rsid w:val="00392910"/>
    <w:rsid w:val="00392A4B"/>
    <w:rsid w:val="003931A4"/>
    <w:rsid w:val="00394380"/>
    <w:rsid w:val="00394443"/>
    <w:rsid w:val="003948B0"/>
    <w:rsid w:val="00395171"/>
    <w:rsid w:val="00395889"/>
    <w:rsid w:val="0039697A"/>
    <w:rsid w:val="003970B8"/>
    <w:rsid w:val="003971C1"/>
    <w:rsid w:val="0039799D"/>
    <w:rsid w:val="003A040C"/>
    <w:rsid w:val="003A04B2"/>
    <w:rsid w:val="003A0CA4"/>
    <w:rsid w:val="003A0FA1"/>
    <w:rsid w:val="003A18DC"/>
    <w:rsid w:val="003A1C93"/>
    <w:rsid w:val="003A1CF0"/>
    <w:rsid w:val="003A212B"/>
    <w:rsid w:val="003A2B7A"/>
    <w:rsid w:val="003A2C09"/>
    <w:rsid w:val="003A3704"/>
    <w:rsid w:val="003A397C"/>
    <w:rsid w:val="003A39D7"/>
    <w:rsid w:val="003A3D58"/>
    <w:rsid w:val="003A46A6"/>
    <w:rsid w:val="003A4CFB"/>
    <w:rsid w:val="003A4F8C"/>
    <w:rsid w:val="003A531E"/>
    <w:rsid w:val="003A6EB4"/>
    <w:rsid w:val="003A6FFB"/>
    <w:rsid w:val="003A72AD"/>
    <w:rsid w:val="003A7F77"/>
    <w:rsid w:val="003B040D"/>
    <w:rsid w:val="003B1C7D"/>
    <w:rsid w:val="003B2754"/>
    <w:rsid w:val="003B295D"/>
    <w:rsid w:val="003B2C85"/>
    <w:rsid w:val="003B2D10"/>
    <w:rsid w:val="003B3D47"/>
    <w:rsid w:val="003B5123"/>
    <w:rsid w:val="003B51EE"/>
    <w:rsid w:val="003B5595"/>
    <w:rsid w:val="003B59F8"/>
    <w:rsid w:val="003B5CEA"/>
    <w:rsid w:val="003B614F"/>
    <w:rsid w:val="003B6BC1"/>
    <w:rsid w:val="003B6E07"/>
    <w:rsid w:val="003B73B5"/>
    <w:rsid w:val="003B73C3"/>
    <w:rsid w:val="003C00CC"/>
    <w:rsid w:val="003C010D"/>
    <w:rsid w:val="003C021A"/>
    <w:rsid w:val="003C075E"/>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8E"/>
    <w:rsid w:val="003C7BB9"/>
    <w:rsid w:val="003C7BDE"/>
    <w:rsid w:val="003C7DD1"/>
    <w:rsid w:val="003D01EC"/>
    <w:rsid w:val="003D07A5"/>
    <w:rsid w:val="003D09A4"/>
    <w:rsid w:val="003D0C72"/>
    <w:rsid w:val="003D16C2"/>
    <w:rsid w:val="003D21AB"/>
    <w:rsid w:val="003D22E7"/>
    <w:rsid w:val="003D2856"/>
    <w:rsid w:val="003D28FD"/>
    <w:rsid w:val="003D35AA"/>
    <w:rsid w:val="003D3BB7"/>
    <w:rsid w:val="003D425A"/>
    <w:rsid w:val="003D45A7"/>
    <w:rsid w:val="003D4914"/>
    <w:rsid w:val="003D4B93"/>
    <w:rsid w:val="003D589F"/>
    <w:rsid w:val="003D5ECC"/>
    <w:rsid w:val="003D62FD"/>
    <w:rsid w:val="003D65A9"/>
    <w:rsid w:val="003D6669"/>
    <w:rsid w:val="003D6937"/>
    <w:rsid w:val="003D73BF"/>
    <w:rsid w:val="003D74A4"/>
    <w:rsid w:val="003D75BA"/>
    <w:rsid w:val="003D7B51"/>
    <w:rsid w:val="003D7BFB"/>
    <w:rsid w:val="003E085B"/>
    <w:rsid w:val="003E0E08"/>
    <w:rsid w:val="003E0FD2"/>
    <w:rsid w:val="003E2494"/>
    <w:rsid w:val="003E24E7"/>
    <w:rsid w:val="003E3368"/>
    <w:rsid w:val="003E338D"/>
    <w:rsid w:val="003E3937"/>
    <w:rsid w:val="003E3BFD"/>
    <w:rsid w:val="003E4FDD"/>
    <w:rsid w:val="003E5664"/>
    <w:rsid w:val="003E60A6"/>
    <w:rsid w:val="003E72A2"/>
    <w:rsid w:val="003E7DAC"/>
    <w:rsid w:val="003F0347"/>
    <w:rsid w:val="003F0E28"/>
    <w:rsid w:val="003F0F86"/>
    <w:rsid w:val="003F1DFA"/>
    <w:rsid w:val="003F48FE"/>
    <w:rsid w:val="003F55BC"/>
    <w:rsid w:val="003F56E9"/>
    <w:rsid w:val="003F61E7"/>
    <w:rsid w:val="003F664A"/>
    <w:rsid w:val="003F6A93"/>
    <w:rsid w:val="003F6B15"/>
    <w:rsid w:val="003F6B1D"/>
    <w:rsid w:val="003F6F2D"/>
    <w:rsid w:val="003F75A7"/>
    <w:rsid w:val="003F7861"/>
    <w:rsid w:val="003F788E"/>
    <w:rsid w:val="004005DD"/>
    <w:rsid w:val="004009EB"/>
    <w:rsid w:val="00400DC2"/>
    <w:rsid w:val="004014F7"/>
    <w:rsid w:val="00401715"/>
    <w:rsid w:val="00401763"/>
    <w:rsid w:val="0040233E"/>
    <w:rsid w:val="004025FE"/>
    <w:rsid w:val="0040388C"/>
    <w:rsid w:val="0040408E"/>
    <w:rsid w:val="0040430F"/>
    <w:rsid w:val="00404B7C"/>
    <w:rsid w:val="00404D36"/>
    <w:rsid w:val="0040502B"/>
    <w:rsid w:val="00405CA1"/>
    <w:rsid w:val="0040684F"/>
    <w:rsid w:val="00407003"/>
    <w:rsid w:val="00407BEA"/>
    <w:rsid w:val="00407FDE"/>
    <w:rsid w:val="00410051"/>
    <w:rsid w:val="0041012B"/>
    <w:rsid w:val="004102FD"/>
    <w:rsid w:val="00410E6B"/>
    <w:rsid w:val="00411958"/>
    <w:rsid w:val="00411D37"/>
    <w:rsid w:val="004123FD"/>
    <w:rsid w:val="00412733"/>
    <w:rsid w:val="0041283C"/>
    <w:rsid w:val="00412A9F"/>
    <w:rsid w:val="0041382D"/>
    <w:rsid w:val="00414393"/>
    <w:rsid w:val="004152BF"/>
    <w:rsid w:val="004167AA"/>
    <w:rsid w:val="00417A44"/>
    <w:rsid w:val="00420562"/>
    <w:rsid w:val="0042094D"/>
    <w:rsid w:val="0042146C"/>
    <w:rsid w:val="00421F7B"/>
    <w:rsid w:val="004224A6"/>
    <w:rsid w:val="00422E05"/>
    <w:rsid w:val="004236F7"/>
    <w:rsid w:val="00424A1C"/>
    <w:rsid w:val="00424F89"/>
    <w:rsid w:val="0042562A"/>
    <w:rsid w:val="0042589C"/>
    <w:rsid w:val="00425ABF"/>
    <w:rsid w:val="00426872"/>
    <w:rsid w:val="004271A4"/>
    <w:rsid w:val="004275FA"/>
    <w:rsid w:val="00427A67"/>
    <w:rsid w:val="00427AEE"/>
    <w:rsid w:val="00427BEE"/>
    <w:rsid w:val="00427D93"/>
    <w:rsid w:val="00427F30"/>
    <w:rsid w:val="004307CC"/>
    <w:rsid w:val="00430C50"/>
    <w:rsid w:val="00432244"/>
    <w:rsid w:val="00432D82"/>
    <w:rsid w:val="00433919"/>
    <w:rsid w:val="00433C81"/>
    <w:rsid w:val="00434BE6"/>
    <w:rsid w:val="00435BF3"/>
    <w:rsid w:val="00435DAD"/>
    <w:rsid w:val="00435F90"/>
    <w:rsid w:val="004360DC"/>
    <w:rsid w:val="0043668B"/>
    <w:rsid w:val="00436DD1"/>
    <w:rsid w:val="0043705A"/>
    <w:rsid w:val="0043723A"/>
    <w:rsid w:val="00437264"/>
    <w:rsid w:val="00437A1D"/>
    <w:rsid w:val="00437FD9"/>
    <w:rsid w:val="00440BD0"/>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F0A"/>
    <w:rsid w:val="00452563"/>
    <w:rsid w:val="004526C8"/>
    <w:rsid w:val="004527A5"/>
    <w:rsid w:val="004529B1"/>
    <w:rsid w:val="0045385C"/>
    <w:rsid w:val="00453AB0"/>
    <w:rsid w:val="00454487"/>
    <w:rsid w:val="00454633"/>
    <w:rsid w:val="00454B84"/>
    <w:rsid w:val="00454EAA"/>
    <w:rsid w:val="00454F86"/>
    <w:rsid w:val="0045565D"/>
    <w:rsid w:val="00455CB7"/>
    <w:rsid w:val="00456350"/>
    <w:rsid w:val="004565F0"/>
    <w:rsid w:val="004566C3"/>
    <w:rsid w:val="00456A27"/>
    <w:rsid w:val="00456D55"/>
    <w:rsid w:val="00456F5A"/>
    <w:rsid w:val="00460623"/>
    <w:rsid w:val="00460E4C"/>
    <w:rsid w:val="00460EC8"/>
    <w:rsid w:val="004615C6"/>
    <w:rsid w:val="004627FF"/>
    <w:rsid w:val="00463A11"/>
    <w:rsid w:val="00463F18"/>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2538"/>
    <w:rsid w:val="004728E9"/>
    <w:rsid w:val="004733C0"/>
    <w:rsid w:val="0047376C"/>
    <w:rsid w:val="00473897"/>
    <w:rsid w:val="00473BB9"/>
    <w:rsid w:val="00474731"/>
    <w:rsid w:val="00474E00"/>
    <w:rsid w:val="00474FAE"/>
    <w:rsid w:val="004750F0"/>
    <w:rsid w:val="00475421"/>
    <w:rsid w:val="00475ACE"/>
    <w:rsid w:val="00475EAB"/>
    <w:rsid w:val="00475FD0"/>
    <w:rsid w:val="00477344"/>
    <w:rsid w:val="004773F4"/>
    <w:rsid w:val="004776A1"/>
    <w:rsid w:val="00477876"/>
    <w:rsid w:val="0047793F"/>
    <w:rsid w:val="004800A3"/>
    <w:rsid w:val="0048086E"/>
    <w:rsid w:val="00480B3F"/>
    <w:rsid w:val="00480C22"/>
    <w:rsid w:val="004812F1"/>
    <w:rsid w:val="004814A1"/>
    <w:rsid w:val="00481538"/>
    <w:rsid w:val="00481A41"/>
    <w:rsid w:val="00481B75"/>
    <w:rsid w:val="00481E3C"/>
    <w:rsid w:val="0048211F"/>
    <w:rsid w:val="004827A8"/>
    <w:rsid w:val="00482A2E"/>
    <w:rsid w:val="00482EBE"/>
    <w:rsid w:val="00483669"/>
    <w:rsid w:val="00483905"/>
    <w:rsid w:val="0048420B"/>
    <w:rsid w:val="00484592"/>
    <w:rsid w:val="00485A77"/>
    <w:rsid w:val="00485D8D"/>
    <w:rsid w:val="00486078"/>
    <w:rsid w:val="0048618A"/>
    <w:rsid w:val="004861B0"/>
    <w:rsid w:val="0048621F"/>
    <w:rsid w:val="0048744B"/>
    <w:rsid w:val="0049011F"/>
    <w:rsid w:val="004901E9"/>
    <w:rsid w:val="00490471"/>
    <w:rsid w:val="00490567"/>
    <w:rsid w:val="00490BDE"/>
    <w:rsid w:val="00491A98"/>
    <w:rsid w:val="00492A1B"/>
    <w:rsid w:val="00492B50"/>
    <w:rsid w:val="00493732"/>
    <w:rsid w:val="00494511"/>
    <w:rsid w:val="00494BE8"/>
    <w:rsid w:val="00494DE5"/>
    <w:rsid w:val="004955AC"/>
    <w:rsid w:val="00495A64"/>
    <w:rsid w:val="00495DCF"/>
    <w:rsid w:val="0049703D"/>
    <w:rsid w:val="004977F0"/>
    <w:rsid w:val="004A0165"/>
    <w:rsid w:val="004A11FE"/>
    <w:rsid w:val="004A1331"/>
    <w:rsid w:val="004A1EFA"/>
    <w:rsid w:val="004A2082"/>
    <w:rsid w:val="004A23D6"/>
    <w:rsid w:val="004A26E4"/>
    <w:rsid w:val="004A299B"/>
    <w:rsid w:val="004A2F3F"/>
    <w:rsid w:val="004A3068"/>
    <w:rsid w:val="004A3306"/>
    <w:rsid w:val="004A3419"/>
    <w:rsid w:val="004A348F"/>
    <w:rsid w:val="004A385D"/>
    <w:rsid w:val="004A423C"/>
    <w:rsid w:val="004A4A26"/>
    <w:rsid w:val="004A4E43"/>
    <w:rsid w:val="004A5711"/>
    <w:rsid w:val="004A5875"/>
    <w:rsid w:val="004A5A3F"/>
    <w:rsid w:val="004A6017"/>
    <w:rsid w:val="004A6051"/>
    <w:rsid w:val="004A619A"/>
    <w:rsid w:val="004A7378"/>
    <w:rsid w:val="004A7A03"/>
    <w:rsid w:val="004A7B10"/>
    <w:rsid w:val="004B0D56"/>
    <w:rsid w:val="004B0E00"/>
    <w:rsid w:val="004B101C"/>
    <w:rsid w:val="004B1394"/>
    <w:rsid w:val="004B1F83"/>
    <w:rsid w:val="004B247C"/>
    <w:rsid w:val="004B2B84"/>
    <w:rsid w:val="004B2BA7"/>
    <w:rsid w:val="004B307D"/>
    <w:rsid w:val="004B36F4"/>
    <w:rsid w:val="004B3BA1"/>
    <w:rsid w:val="004B3F36"/>
    <w:rsid w:val="004B42C1"/>
    <w:rsid w:val="004B469B"/>
    <w:rsid w:val="004B5C0B"/>
    <w:rsid w:val="004B5DB7"/>
    <w:rsid w:val="004B5E66"/>
    <w:rsid w:val="004B5FF5"/>
    <w:rsid w:val="004B6285"/>
    <w:rsid w:val="004B6DBC"/>
    <w:rsid w:val="004B71EB"/>
    <w:rsid w:val="004B74A7"/>
    <w:rsid w:val="004C020A"/>
    <w:rsid w:val="004C06B5"/>
    <w:rsid w:val="004C0898"/>
    <w:rsid w:val="004C2076"/>
    <w:rsid w:val="004C24A6"/>
    <w:rsid w:val="004C3205"/>
    <w:rsid w:val="004C3CFF"/>
    <w:rsid w:val="004C40A5"/>
    <w:rsid w:val="004C4726"/>
    <w:rsid w:val="004C47E4"/>
    <w:rsid w:val="004C4AE2"/>
    <w:rsid w:val="004C4D10"/>
    <w:rsid w:val="004C50D6"/>
    <w:rsid w:val="004C6116"/>
    <w:rsid w:val="004C617E"/>
    <w:rsid w:val="004C6912"/>
    <w:rsid w:val="004C6BFE"/>
    <w:rsid w:val="004C7230"/>
    <w:rsid w:val="004C7316"/>
    <w:rsid w:val="004C73D4"/>
    <w:rsid w:val="004C78C2"/>
    <w:rsid w:val="004C7D00"/>
    <w:rsid w:val="004C7D4B"/>
    <w:rsid w:val="004D0195"/>
    <w:rsid w:val="004D113B"/>
    <w:rsid w:val="004D1D88"/>
    <w:rsid w:val="004D34BB"/>
    <w:rsid w:val="004D34C5"/>
    <w:rsid w:val="004D38F1"/>
    <w:rsid w:val="004D3A54"/>
    <w:rsid w:val="004D5081"/>
    <w:rsid w:val="004D5206"/>
    <w:rsid w:val="004D7670"/>
    <w:rsid w:val="004D79FE"/>
    <w:rsid w:val="004D7E89"/>
    <w:rsid w:val="004D7F68"/>
    <w:rsid w:val="004E03CD"/>
    <w:rsid w:val="004E08FD"/>
    <w:rsid w:val="004E1777"/>
    <w:rsid w:val="004E2875"/>
    <w:rsid w:val="004E2A14"/>
    <w:rsid w:val="004E3447"/>
    <w:rsid w:val="004E3B52"/>
    <w:rsid w:val="004E46E5"/>
    <w:rsid w:val="004E4EB4"/>
    <w:rsid w:val="004E5025"/>
    <w:rsid w:val="004E672A"/>
    <w:rsid w:val="004E69A1"/>
    <w:rsid w:val="004E6F24"/>
    <w:rsid w:val="004E7028"/>
    <w:rsid w:val="004E7706"/>
    <w:rsid w:val="004E7AD6"/>
    <w:rsid w:val="004F03AD"/>
    <w:rsid w:val="004F0978"/>
    <w:rsid w:val="004F0D0C"/>
    <w:rsid w:val="004F185A"/>
    <w:rsid w:val="004F247F"/>
    <w:rsid w:val="004F25FF"/>
    <w:rsid w:val="004F262A"/>
    <w:rsid w:val="004F3212"/>
    <w:rsid w:val="004F372C"/>
    <w:rsid w:val="004F49F2"/>
    <w:rsid w:val="004F54DD"/>
    <w:rsid w:val="004F553C"/>
    <w:rsid w:val="004F55B2"/>
    <w:rsid w:val="004F5707"/>
    <w:rsid w:val="004F5AA6"/>
    <w:rsid w:val="004F5BC6"/>
    <w:rsid w:val="004F61AA"/>
    <w:rsid w:val="004F67AE"/>
    <w:rsid w:val="004F73B7"/>
    <w:rsid w:val="004F73C2"/>
    <w:rsid w:val="004F79EF"/>
    <w:rsid w:val="004F7A13"/>
    <w:rsid w:val="004F7B34"/>
    <w:rsid w:val="0050015D"/>
    <w:rsid w:val="00500A35"/>
    <w:rsid w:val="00500CB7"/>
    <w:rsid w:val="00502D4E"/>
    <w:rsid w:val="00503B6D"/>
    <w:rsid w:val="00504293"/>
    <w:rsid w:val="0050441B"/>
    <w:rsid w:val="005049EB"/>
    <w:rsid w:val="00505664"/>
    <w:rsid w:val="00505D43"/>
    <w:rsid w:val="00505D4F"/>
    <w:rsid w:val="00505E73"/>
    <w:rsid w:val="00506523"/>
    <w:rsid w:val="00506D00"/>
    <w:rsid w:val="00510284"/>
    <w:rsid w:val="00510533"/>
    <w:rsid w:val="00510CA5"/>
    <w:rsid w:val="0051121F"/>
    <w:rsid w:val="005118A0"/>
    <w:rsid w:val="00511919"/>
    <w:rsid w:val="005126C2"/>
    <w:rsid w:val="005128C4"/>
    <w:rsid w:val="00513F59"/>
    <w:rsid w:val="005142DE"/>
    <w:rsid w:val="005144C8"/>
    <w:rsid w:val="005144D3"/>
    <w:rsid w:val="00516AF1"/>
    <w:rsid w:val="005171E3"/>
    <w:rsid w:val="00517FF3"/>
    <w:rsid w:val="005202D7"/>
    <w:rsid w:val="005209B9"/>
    <w:rsid w:val="00520BE1"/>
    <w:rsid w:val="005215F9"/>
    <w:rsid w:val="005233CE"/>
    <w:rsid w:val="00523B97"/>
    <w:rsid w:val="00524189"/>
    <w:rsid w:val="0052544A"/>
    <w:rsid w:val="005259C7"/>
    <w:rsid w:val="00527F83"/>
    <w:rsid w:val="005301FE"/>
    <w:rsid w:val="00530981"/>
    <w:rsid w:val="00530BDF"/>
    <w:rsid w:val="00531E0F"/>
    <w:rsid w:val="00531EF9"/>
    <w:rsid w:val="00531FFC"/>
    <w:rsid w:val="0053345B"/>
    <w:rsid w:val="005336D1"/>
    <w:rsid w:val="0053386A"/>
    <w:rsid w:val="00533A4A"/>
    <w:rsid w:val="005341CD"/>
    <w:rsid w:val="00534288"/>
    <w:rsid w:val="005346F7"/>
    <w:rsid w:val="005350BF"/>
    <w:rsid w:val="005354EE"/>
    <w:rsid w:val="00535618"/>
    <w:rsid w:val="0053653A"/>
    <w:rsid w:val="00536C76"/>
    <w:rsid w:val="00537375"/>
    <w:rsid w:val="00540394"/>
    <w:rsid w:val="0054050C"/>
    <w:rsid w:val="005406C6"/>
    <w:rsid w:val="0054088C"/>
    <w:rsid w:val="005411ED"/>
    <w:rsid w:val="00541A95"/>
    <w:rsid w:val="00542103"/>
    <w:rsid w:val="00542411"/>
    <w:rsid w:val="00542773"/>
    <w:rsid w:val="0054372D"/>
    <w:rsid w:val="00544250"/>
    <w:rsid w:val="00544966"/>
    <w:rsid w:val="00545CA7"/>
    <w:rsid w:val="005462AC"/>
    <w:rsid w:val="005467FD"/>
    <w:rsid w:val="005475F9"/>
    <w:rsid w:val="0054767A"/>
    <w:rsid w:val="00547850"/>
    <w:rsid w:val="005501BE"/>
    <w:rsid w:val="005501DD"/>
    <w:rsid w:val="005503A3"/>
    <w:rsid w:val="0055050C"/>
    <w:rsid w:val="00550DD0"/>
    <w:rsid w:val="00551C23"/>
    <w:rsid w:val="00552457"/>
    <w:rsid w:val="0055256E"/>
    <w:rsid w:val="00552936"/>
    <w:rsid w:val="00552CF6"/>
    <w:rsid w:val="0055339B"/>
    <w:rsid w:val="00553B7A"/>
    <w:rsid w:val="00553C4F"/>
    <w:rsid w:val="00553CC7"/>
    <w:rsid w:val="00553FAF"/>
    <w:rsid w:val="00554A79"/>
    <w:rsid w:val="00554F5F"/>
    <w:rsid w:val="00555520"/>
    <w:rsid w:val="00556433"/>
    <w:rsid w:val="00556E64"/>
    <w:rsid w:val="005570EC"/>
    <w:rsid w:val="00557BFB"/>
    <w:rsid w:val="005603BC"/>
    <w:rsid w:val="00560581"/>
    <w:rsid w:val="00561453"/>
    <w:rsid w:val="0056160F"/>
    <w:rsid w:val="005621E2"/>
    <w:rsid w:val="00562420"/>
    <w:rsid w:val="0056298C"/>
    <w:rsid w:val="00562C10"/>
    <w:rsid w:val="00562C80"/>
    <w:rsid w:val="00563D09"/>
    <w:rsid w:val="005640EB"/>
    <w:rsid w:val="00564DC8"/>
    <w:rsid w:val="00564E1E"/>
    <w:rsid w:val="00565DF7"/>
    <w:rsid w:val="00566117"/>
    <w:rsid w:val="00566899"/>
    <w:rsid w:val="00566A03"/>
    <w:rsid w:val="005671E1"/>
    <w:rsid w:val="005675EF"/>
    <w:rsid w:val="0056776A"/>
    <w:rsid w:val="00567B95"/>
    <w:rsid w:val="00567EDA"/>
    <w:rsid w:val="005703B6"/>
    <w:rsid w:val="00570414"/>
    <w:rsid w:val="005710B9"/>
    <w:rsid w:val="00571710"/>
    <w:rsid w:val="0057192A"/>
    <w:rsid w:val="00571D78"/>
    <w:rsid w:val="005725D2"/>
    <w:rsid w:val="005726CD"/>
    <w:rsid w:val="005727F2"/>
    <w:rsid w:val="00572D66"/>
    <w:rsid w:val="005737B4"/>
    <w:rsid w:val="00573D7F"/>
    <w:rsid w:val="00573E7B"/>
    <w:rsid w:val="0057407D"/>
    <w:rsid w:val="00574DBC"/>
    <w:rsid w:val="00574F77"/>
    <w:rsid w:val="0057503D"/>
    <w:rsid w:val="00575291"/>
    <w:rsid w:val="00575B97"/>
    <w:rsid w:val="00575D0C"/>
    <w:rsid w:val="0057601E"/>
    <w:rsid w:val="00576247"/>
    <w:rsid w:val="005763DA"/>
    <w:rsid w:val="00576716"/>
    <w:rsid w:val="00576EDB"/>
    <w:rsid w:val="005778E3"/>
    <w:rsid w:val="00577F70"/>
    <w:rsid w:val="00580410"/>
    <w:rsid w:val="00580758"/>
    <w:rsid w:val="00580FF2"/>
    <w:rsid w:val="005811DB"/>
    <w:rsid w:val="00581667"/>
    <w:rsid w:val="00581E3E"/>
    <w:rsid w:val="00582EC1"/>
    <w:rsid w:val="00584180"/>
    <w:rsid w:val="005846ED"/>
    <w:rsid w:val="00584E02"/>
    <w:rsid w:val="005851E1"/>
    <w:rsid w:val="0058582C"/>
    <w:rsid w:val="00585E8B"/>
    <w:rsid w:val="00586043"/>
    <w:rsid w:val="00586332"/>
    <w:rsid w:val="00586CB8"/>
    <w:rsid w:val="00587125"/>
    <w:rsid w:val="005876D2"/>
    <w:rsid w:val="0059079A"/>
    <w:rsid w:val="005907A4"/>
    <w:rsid w:val="00590A7A"/>
    <w:rsid w:val="00590F45"/>
    <w:rsid w:val="005911CB"/>
    <w:rsid w:val="005911FC"/>
    <w:rsid w:val="00591847"/>
    <w:rsid w:val="00591CB6"/>
    <w:rsid w:val="005921E5"/>
    <w:rsid w:val="005925EA"/>
    <w:rsid w:val="005931B0"/>
    <w:rsid w:val="00593AEA"/>
    <w:rsid w:val="00594523"/>
    <w:rsid w:val="00594586"/>
    <w:rsid w:val="00594A97"/>
    <w:rsid w:val="00595EAA"/>
    <w:rsid w:val="00596337"/>
    <w:rsid w:val="005966BC"/>
    <w:rsid w:val="00596999"/>
    <w:rsid w:val="00596B19"/>
    <w:rsid w:val="005974CF"/>
    <w:rsid w:val="00597DAA"/>
    <w:rsid w:val="005A0031"/>
    <w:rsid w:val="005A01A4"/>
    <w:rsid w:val="005A0FEB"/>
    <w:rsid w:val="005A16A8"/>
    <w:rsid w:val="005A2443"/>
    <w:rsid w:val="005A25D4"/>
    <w:rsid w:val="005A3876"/>
    <w:rsid w:val="005A38F8"/>
    <w:rsid w:val="005A4797"/>
    <w:rsid w:val="005A4AB2"/>
    <w:rsid w:val="005A4E22"/>
    <w:rsid w:val="005A5335"/>
    <w:rsid w:val="005A54A0"/>
    <w:rsid w:val="005A57F8"/>
    <w:rsid w:val="005A640D"/>
    <w:rsid w:val="005A6823"/>
    <w:rsid w:val="005A6A32"/>
    <w:rsid w:val="005A6ED8"/>
    <w:rsid w:val="005A73D8"/>
    <w:rsid w:val="005A7C47"/>
    <w:rsid w:val="005B0221"/>
    <w:rsid w:val="005B033D"/>
    <w:rsid w:val="005B0371"/>
    <w:rsid w:val="005B08DA"/>
    <w:rsid w:val="005B1306"/>
    <w:rsid w:val="005B1576"/>
    <w:rsid w:val="005B1738"/>
    <w:rsid w:val="005B1FA8"/>
    <w:rsid w:val="005B21F0"/>
    <w:rsid w:val="005B2859"/>
    <w:rsid w:val="005B2C56"/>
    <w:rsid w:val="005B2CAB"/>
    <w:rsid w:val="005B3176"/>
    <w:rsid w:val="005B379C"/>
    <w:rsid w:val="005B381D"/>
    <w:rsid w:val="005B3D0A"/>
    <w:rsid w:val="005B4400"/>
    <w:rsid w:val="005B4A1A"/>
    <w:rsid w:val="005B4F27"/>
    <w:rsid w:val="005B5143"/>
    <w:rsid w:val="005B5561"/>
    <w:rsid w:val="005B5F60"/>
    <w:rsid w:val="005B64A4"/>
    <w:rsid w:val="005B64B7"/>
    <w:rsid w:val="005B66B1"/>
    <w:rsid w:val="005B73FA"/>
    <w:rsid w:val="005C19F6"/>
    <w:rsid w:val="005C1E87"/>
    <w:rsid w:val="005C1F45"/>
    <w:rsid w:val="005C2623"/>
    <w:rsid w:val="005C275A"/>
    <w:rsid w:val="005C27E7"/>
    <w:rsid w:val="005C2806"/>
    <w:rsid w:val="005C2DDA"/>
    <w:rsid w:val="005C32FF"/>
    <w:rsid w:val="005C3A0E"/>
    <w:rsid w:val="005C3CF0"/>
    <w:rsid w:val="005C3D14"/>
    <w:rsid w:val="005C4982"/>
    <w:rsid w:val="005C4A9E"/>
    <w:rsid w:val="005C4AE4"/>
    <w:rsid w:val="005C501C"/>
    <w:rsid w:val="005C51CA"/>
    <w:rsid w:val="005C5979"/>
    <w:rsid w:val="005C599F"/>
    <w:rsid w:val="005C5B42"/>
    <w:rsid w:val="005C61EF"/>
    <w:rsid w:val="005C6292"/>
    <w:rsid w:val="005C704D"/>
    <w:rsid w:val="005C7439"/>
    <w:rsid w:val="005C7D06"/>
    <w:rsid w:val="005C7FB3"/>
    <w:rsid w:val="005D0A14"/>
    <w:rsid w:val="005D0CD6"/>
    <w:rsid w:val="005D1670"/>
    <w:rsid w:val="005D1B3C"/>
    <w:rsid w:val="005D28F4"/>
    <w:rsid w:val="005D2D5A"/>
    <w:rsid w:val="005D2E25"/>
    <w:rsid w:val="005D2E26"/>
    <w:rsid w:val="005D2F48"/>
    <w:rsid w:val="005D3325"/>
    <w:rsid w:val="005D33D3"/>
    <w:rsid w:val="005D3597"/>
    <w:rsid w:val="005D35EB"/>
    <w:rsid w:val="005D51A2"/>
    <w:rsid w:val="005D5880"/>
    <w:rsid w:val="005D5D0F"/>
    <w:rsid w:val="005D618A"/>
    <w:rsid w:val="005D6296"/>
    <w:rsid w:val="005D6315"/>
    <w:rsid w:val="005D6CC7"/>
    <w:rsid w:val="005D73B3"/>
    <w:rsid w:val="005D7969"/>
    <w:rsid w:val="005D7EBC"/>
    <w:rsid w:val="005E097E"/>
    <w:rsid w:val="005E1087"/>
    <w:rsid w:val="005E17FB"/>
    <w:rsid w:val="005E1D3A"/>
    <w:rsid w:val="005E228F"/>
    <w:rsid w:val="005E24DA"/>
    <w:rsid w:val="005E3855"/>
    <w:rsid w:val="005E3A4B"/>
    <w:rsid w:val="005E460F"/>
    <w:rsid w:val="005E52B6"/>
    <w:rsid w:val="005E5571"/>
    <w:rsid w:val="005E5D77"/>
    <w:rsid w:val="005E6245"/>
    <w:rsid w:val="005E6A8D"/>
    <w:rsid w:val="005E7030"/>
    <w:rsid w:val="005E7684"/>
    <w:rsid w:val="005F0078"/>
    <w:rsid w:val="005F0EAF"/>
    <w:rsid w:val="005F177D"/>
    <w:rsid w:val="005F19A0"/>
    <w:rsid w:val="005F21DF"/>
    <w:rsid w:val="005F28B6"/>
    <w:rsid w:val="005F297E"/>
    <w:rsid w:val="005F2F9A"/>
    <w:rsid w:val="005F3453"/>
    <w:rsid w:val="005F35EC"/>
    <w:rsid w:val="005F4880"/>
    <w:rsid w:val="005F511E"/>
    <w:rsid w:val="005F78E7"/>
    <w:rsid w:val="006013E4"/>
    <w:rsid w:val="0060147C"/>
    <w:rsid w:val="00601DFB"/>
    <w:rsid w:val="00602750"/>
    <w:rsid w:val="00602755"/>
    <w:rsid w:val="00602E20"/>
    <w:rsid w:val="006032F2"/>
    <w:rsid w:val="0060418C"/>
    <w:rsid w:val="00604252"/>
    <w:rsid w:val="00604446"/>
    <w:rsid w:val="0060464D"/>
    <w:rsid w:val="00604ED5"/>
    <w:rsid w:val="0060546E"/>
    <w:rsid w:val="00605A87"/>
    <w:rsid w:val="00605A97"/>
    <w:rsid w:val="00605C91"/>
    <w:rsid w:val="006064D3"/>
    <w:rsid w:val="00606697"/>
    <w:rsid w:val="00606B40"/>
    <w:rsid w:val="00607A77"/>
    <w:rsid w:val="006100C8"/>
    <w:rsid w:val="00610C7D"/>
    <w:rsid w:val="00610E89"/>
    <w:rsid w:val="00612824"/>
    <w:rsid w:val="00612A51"/>
    <w:rsid w:val="00612A7E"/>
    <w:rsid w:val="00613B53"/>
    <w:rsid w:val="00613E81"/>
    <w:rsid w:val="00614305"/>
    <w:rsid w:val="00614A6D"/>
    <w:rsid w:val="00616F7B"/>
    <w:rsid w:val="00617989"/>
    <w:rsid w:val="00617C2B"/>
    <w:rsid w:val="00617CD5"/>
    <w:rsid w:val="00617FEA"/>
    <w:rsid w:val="00620247"/>
    <w:rsid w:val="006205FD"/>
    <w:rsid w:val="00620653"/>
    <w:rsid w:val="00620962"/>
    <w:rsid w:val="00620E60"/>
    <w:rsid w:val="006212C3"/>
    <w:rsid w:val="0062333F"/>
    <w:rsid w:val="0062359C"/>
    <w:rsid w:val="006236CA"/>
    <w:rsid w:val="00623860"/>
    <w:rsid w:val="00624052"/>
    <w:rsid w:val="006240C9"/>
    <w:rsid w:val="00624368"/>
    <w:rsid w:val="006251B2"/>
    <w:rsid w:val="006254CB"/>
    <w:rsid w:val="00625EF6"/>
    <w:rsid w:val="006262DA"/>
    <w:rsid w:val="006264AF"/>
    <w:rsid w:val="00626554"/>
    <w:rsid w:val="00627067"/>
    <w:rsid w:val="0062716D"/>
    <w:rsid w:val="00627692"/>
    <w:rsid w:val="006279D3"/>
    <w:rsid w:val="00627B15"/>
    <w:rsid w:val="00627C25"/>
    <w:rsid w:val="00627E87"/>
    <w:rsid w:val="006304C2"/>
    <w:rsid w:val="0063106B"/>
    <w:rsid w:val="006310E3"/>
    <w:rsid w:val="00631209"/>
    <w:rsid w:val="00631282"/>
    <w:rsid w:val="00631363"/>
    <w:rsid w:val="006314C3"/>
    <w:rsid w:val="006317FD"/>
    <w:rsid w:val="006321FA"/>
    <w:rsid w:val="006325AD"/>
    <w:rsid w:val="00632D3A"/>
    <w:rsid w:val="00632D53"/>
    <w:rsid w:val="00632E21"/>
    <w:rsid w:val="00632E4F"/>
    <w:rsid w:val="00632E68"/>
    <w:rsid w:val="00632EA8"/>
    <w:rsid w:val="00633C31"/>
    <w:rsid w:val="00633F22"/>
    <w:rsid w:val="00634612"/>
    <w:rsid w:val="006348BA"/>
    <w:rsid w:val="00634F2A"/>
    <w:rsid w:val="006350FA"/>
    <w:rsid w:val="00635AC9"/>
    <w:rsid w:val="00635DD2"/>
    <w:rsid w:val="0063667E"/>
    <w:rsid w:val="006372A4"/>
    <w:rsid w:val="00637A50"/>
    <w:rsid w:val="006401A4"/>
    <w:rsid w:val="0064023C"/>
    <w:rsid w:val="00640EC8"/>
    <w:rsid w:val="0064106A"/>
    <w:rsid w:val="0064141C"/>
    <w:rsid w:val="006418B8"/>
    <w:rsid w:val="00641946"/>
    <w:rsid w:val="00641C0D"/>
    <w:rsid w:val="00641C95"/>
    <w:rsid w:val="00643027"/>
    <w:rsid w:val="00643252"/>
    <w:rsid w:val="00643AE0"/>
    <w:rsid w:val="006442AE"/>
    <w:rsid w:val="00644400"/>
    <w:rsid w:val="006444A3"/>
    <w:rsid w:val="00644A8A"/>
    <w:rsid w:val="00644BCE"/>
    <w:rsid w:val="00644FD7"/>
    <w:rsid w:val="006450B4"/>
    <w:rsid w:val="00645B30"/>
    <w:rsid w:val="00646F2A"/>
    <w:rsid w:val="006478A2"/>
    <w:rsid w:val="00647ECE"/>
    <w:rsid w:val="0065062F"/>
    <w:rsid w:val="00650981"/>
    <w:rsid w:val="00650EA5"/>
    <w:rsid w:val="006511E1"/>
    <w:rsid w:val="00651337"/>
    <w:rsid w:val="00651510"/>
    <w:rsid w:val="006516B0"/>
    <w:rsid w:val="00653178"/>
    <w:rsid w:val="00653C53"/>
    <w:rsid w:val="0065465E"/>
    <w:rsid w:val="00655B08"/>
    <w:rsid w:val="00655CFA"/>
    <w:rsid w:val="006560DB"/>
    <w:rsid w:val="00656460"/>
    <w:rsid w:val="0065647C"/>
    <w:rsid w:val="00657446"/>
    <w:rsid w:val="006609F3"/>
    <w:rsid w:val="00660B84"/>
    <w:rsid w:val="00660E36"/>
    <w:rsid w:val="00660F40"/>
    <w:rsid w:val="0066141F"/>
    <w:rsid w:val="00661A0A"/>
    <w:rsid w:val="006621F0"/>
    <w:rsid w:val="00662D11"/>
    <w:rsid w:val="00662E4D"/>
    <w:rsid w:val="006632AF"/>
    <w:rsid w:val="00663358"/>
    <w:rsid w:val="00663594"/>
    <w:rsid w:val="00663B95"/>
    <w:rsid w:val="00663CD9"/>
    <w:rsid w:val="00663ED6"/>
    <w:rsid w:val="00665084"/>
    <w:rsid w:val="00665FE3"/>
    <w:rsid w:val="00666235"/>
    <w:rsid w:val="0066747C"/>
    <w:rsid w:val="006676A7"/>
    <w:rsid w:val="00667706"/>
    <w:rsid w:val="00667779"/>
    <w:rsid w:val="00667966"/>
    <w:rsid w:val="00667EA4"/>
    <w:rsid w:val="006700B7"/>
    <w:rsid w:val="00670403"/>
    <w:rsid w:val="0067045F"/>
    <w:rsid w:val="00670463"/>
    <w:rsid w:val="00670CD5"/>
    <w:rsid w:val="0067108E"/>
    <w:rsid w:val="00671575"/>
    <w:rsid w:val="00671ED3"/>
    <w:rsid w:val="00672479"/>
    <w:rsid w:val="0067253D"/>
    <w:rsid w:val="00672D22"/>
    <w:rsid w:val="00672E3A"/>
    <w:rsid w:val="00672F8D"/>
    <w:rsid w:val="00673888"/>
    <w:rsid w:val="0067409E"/>
    <w:rsid w:val="006742A5"/>
    <w:rsid w:val="006749D1"/>
    <w:rsid w:val="00674E21"/>
    <w:rsid w:val="00675616"/>
    <w:rsid w:val="00675A47"/>
    <w:rsid w:val="00675E39"/>
    <w:rsid w:val="006769CB"/>
    <w:rsid w:val="0067740A"/>
    <w:rsid w:val="00677D87"/>
    <w:rsid w:val="00680391"/>
    <w:rsid w:val="006804F0"/>
    <w:rsid w:val="00680504"/>
    <w:rsid w:val="00680CDC"/>
    <w:rsid w:val="00680DBF"/>
    <w:rsid w:val="006816E8"/>
    <w:rsid w:val="006819B6"/>
    <w:rsid w:val="00681A9F"/>
    <w:rsid w:val="006825C9"/>
    <w:rsid w:val="006830F7"/>
    <w:rsid w:val="00683969"/>
    <w:rsid w:val="00683DFB"/>
    <w:rsid w:val="00684711"/>
    <w:rsid w:val="006847DC"/>
    <w:rsid w:val="00685033"/>
    <w:rsid w:val="0068583D"/>
    <w:rsid w:val="006858B8"/>
    <w:rsid w:val="00685E3B"/>
    <w:rsid w:val="00685FB1"/>
    <w:rsid w:val="00686BFB"/>
    <w:rsid w:val="00686CB3"/>
    <w:rsid w:val="00686E4E"/>
    <w:rsid w:val="006870E9"/>
    <w:rsid w:val="006872FE"/>
    <w:rsid w:val="00687708"/>
    <w:rsid w:val="00687745"/>
    <w:rsid w:val="00687BDD"/>
    <w:rsid w:val="00687C3A"/>
    <w:rsid w:val="00690429"/>
    <w:rsid w:val="00690CED"/>
    <w:rsid w:val="00691582"/>
    <w:rsid w:val="00691E15"/>
    <w:rsid w:val="00692250"/>
    <w:rsid w:val="00692CC8"/>
    <w:rsid w:val="006937A2"/>
    <w:rsid w:val="006938D8"/>
    <w:rsid w:val="00693F2B"/>
    <w:rsid w:val="006948A5"/>
    <w:rsid w:val="006948D8"/>
    <w:rsid w:val="00694D7F"/>
    <w:rsid w:val="00695040"/>
    <w:rsid w:val="00695AD2"/>
    <w:rsid w:val="0069617C"/>
    <w:rsid w:val="0069720D"/>
    <w:rsid w:val="0069772C"/>
    <w:rsid w:val="00697CDA"/>
    <w:rsid w:val="00697F73"/>
    <w:rsid w:val="006A0774"/>
    <w:rsid w:val="006A0BDF"/>
    <w:rsid w:val="006A1142"/>
    <w:rsid w:val="006A1320"/>
    <w:rsid w:val="006A19DF"/>
    <w:rsid w:val="006A1F73"/>
    <w:rsid w:val="006A244E"/>
    <w:rsid w:val="006A322B"/>
    <w:rsid w:val="006A3AF4"/>
    <w:rsid w:val="006A4315"/>
    <w:rsid w:val="006A4501"/>
    <w:rsid w:val="006A4B51"/>
    <w:rsid w:val="006A5FDB"/>
    <w:rsid w:val="006A6475"/>
    <w:rsid w:val="006A68B9"/>
    <w:rsid w:val="006A6966"/>
    <w:rsid w:val="006A71AE"/>
    <w:rsid w:val="006A72B9"/>
    <w:rsid w:val="006A7E75"/>
    <w:rsid w:val="006B02B5"/>
    <w:rsid w:val="006B0EBE"/>
    <w:rsid w:val="006B249A"/>
    <w:rsid w:val="006B3129"/>
    <w:rsid w:val="006B3BB3"/>
    <w:rsid w:val="006B3BE5"/>
    <w:rsid w:val="006B43D0"/>
    <w:rsid w:val="006B483C"/>
    <w:rsid w:val="006B484B"/>
    <w:rsid w:val="006B4A13"/>
    <w:rsid w:val="006B4E65"/>
    <w:rsid w:val="006B5E9A"/>
    <w:rsid w:val="006B6AD7"/>
    <w:rsid w:val="006B7094"/>
    <w:rsid w:val="006B723F"/>
    <w:rsid w:val="006B7C40"/>
    <w:rsid w:val="006B7EB1"/>
    <w:rsid w:val="006C0334"/>
    <w:rsid w:val="006C042C"/>
    <w:rsid w:val="006C0608"/>
    <w:rsid w:val="006C0A15"/>
    <w:rsid w:val="006C0AF1"/>
    <w:rsid w:val="006C0D7D"/>
    <w:rsid w:val="006C0E4B"/>
    <w:rsid w:val="006C153E"/>
    <w:rsid w:val="006C1CA6"/>
    <w:rsid w:val="006C2097"/>
    <w:rsid w:val="006C2FC2"/>
    <w:rsid w:val="006C3027"/>
    <w:rsid w:val="006C38C8"/>
    <w:rsid w:val="006C3CD0"/>
    <w:rsid w:val="006C42C6"/>
    <w:rsid w:val="006C49CB"/>
    <w:rsid w:val="006C518D"/>
    <w:rsid w:val="006C5D95"/>
    <w:rsid w:val="006C610D"/>
    <w:rsid w:val="006C6413"/>
    <w:rsid w:val="006C7C49"/>
    <w:rsid w:val="006D0933"/>
    <w:rsid w:val="006D09B8"/>
    <w:rsid w:val="006D1584"/>
    <w:rsid w:val="006D164B"/>
    <w:rsid w:val="006D1E70"/>
    <w:rsid w:val="006D209E"/>
    <w:rsid w:val="006D2FCE"/>
    <w:rsid w:val="006D3654"/>
    <w:rsid w:val="006D3B18"/>
    <w:rsid w:val="006D3FA9"/>
    <w:rsid w:val="006D41D4"/>
    <w:rsid w:val="006D4DDB"/>
    <w:rsid w:val="006D4F96"/>
    <w:rsid w:val="006D535E"/>
    <w:rsid w:val="006D6107"/>
    <w:rsid w:val="006D641B"/>
    <w:rsid w:val="006D653B"/>
    <w:rsid w:val="006D685A"/>
    <w:rsid w:val="006D6933"/>
    <w:rsid w:val="006D6F8E"/>
    <w:rsid w:val="006D702B"/>
    <w:rsid w:val="006D77B7"/>
    <w:rsid w:val="006D7CA0"/>
    <w:rsid w:val="006E0883"/>
    <w:rsid w:val="006E16BC"/>
    <w:rsid w:val="006E1ABB"/>
    <w:rsid w:val="006E1B62"/>
    <w:rsid w:val="006E1DC1"/>
    <w:rsid w:val="006E2385"/>
    <w:rsid w:val="006E30BC"/>
    <w:rsid w:val="006E334E"/>
    <w:rsid w:val="006E3626"/>
    <w:rsid w:val="006E388D"/>
    <w:rsid w:val="006E3CBA"/>
    <w:rsid w:val="006E4D2E"/>
    <w:rsid w:val="006E51C7"/>
    <w:rsid w:val="006E523F"/>
    <w:rsid w:val="006E5B97"/>
    <w:rsid w:val="006E5C8E"/>
    <w:rsid w:val="006E5F20"/>
    <w:rsid w:val="006E67D2"/>
    <w:rsid w:val="006E686B"/>
    <w:rsid w:val="006E69CF"/>
    <w:rsid w:val="006E6C56"/>
    <w:rsid w:val="006E7853"/>
    <w:rsid w:val="006E78AD"/>
    <w:rsid w:val="006E7B27"/>
    <w:rsid w:val="006F050F"/>
    <w:rsid w:val="006F1090"/>
    <w:rsid w:val="006F1D55"/>
    <w:rsid w:val="006F2C25"/>
    <w:rsid w:val="006F3301"/>
    <w:rsid w:val="006F38FE"/>
    <w:rsid w:val="006F465C"/>
    <w:rsid w:val="006F4B16"/>
    <w:rsid w:val="006F5588"/>
    <w:rsid w:val="006F5E81"/>
    <w:rsid w:val="006F7D31"/>
    <w:rsid w:val="006F7D55"/>
    <w:rsid w:val="006F7F40"/>
    <w:rsid w:val="00700542"/>
    <w:rsid w:val="00700C02"/>
    <w:rsid w:val="00700F84"/>
    <w:rsid w:val="00701960"/>
    <w:rsid w:val="00701D3B"/>
    <w:rsid w:val="00702783"/>
    <w:rsid w:val="00702897"/>
    <w:rsid w:val="00702A6B"/>
    <w:rsid w:val="00702E5A"/>
    <w:rsid w:val="00702F8D"/>
    <w:rsid w:val="007030D5"/>
    <w:rsid w:val="00704041"/>
    <w:rsid w:val="00704256"/>
    <w:rsid w:val="00704C2D"/>
    <w:rsid w:val="00704EEF"/>
    <w:rsid w:val="007052E5"/>
    <w:rsid w:val="007052EB"/>
    <w:rsid w:val="00705424"/>
    <w:rsid w:val="0070598A"/>
    <w:rsid w:val="007059D9"/>
    <w:rsid w:val="00705D74"/>
    <w:rsid w:val="007068CF"/>
    <w:rsid w:val="00707158"/>
    <w:rsid w:val="00707350"/>
    <w:rsid w:val="00707A9D"/>
    <w:rsid w:val="007102C5"/>
    <w:rsid w:val="00710AAF"/>
    <w:rsid w:val="007118E9"/>
    <w:rsid w:val="00711F7F"/>
    <w:rsid w:val="00711FB3"/>
    <w:rsid w:val="00712690"/>
    <w:rsid w:val="00712D94"/>
    <w:rsid w:val="00712F72"/>
    <w:rsid w:val="0071341D"/>
    <w:rsid w:val="007139E4"/>
    <w:rsid w:val="00713B91"/>
    <w:rsid w:val="00713E61"/>
    <w:rsid w:val="007145FE"/>
    <w:rsid w:val="0071460F"/>
    <w:rsid w:val="0071499F"/>
    <w:rsid w:val="00714BE9"/>
    <w:rsid w:val="00714DD7"/>
    <w:rsid w:val="007150D6"/>
    <w:rsid w:val="00715449"/>
    <w:rsid w:val="0071568F"/>
    <w:rsid w:val="007157B3"/>
    <w:rsid w:val="00715951"/>
    <w:rsid w:val="00715DDC"/>
    <w:rsid w:val="007163D0"/>
    <w:rsid w:val="00716432"/>
    <w:rsid w:val="007164E6"/>
    <w:rsid w:val="0071710E"/>
    <w:rsid w:val="00717393"/>
    <w:rsid w:val="007178BA"/>
    <w:rsid w:val="00720434"/>
    <w:rsid w:val="007204C3"/>
    <w:rsid w:val="00720523"/>
    <w:rsid w:val="00720983"/>
    <w:rsid w:val="00720BAA"/>
    <w:rsid w:val="007214A2"/>
    <w:rsid w:val="007224FB"/>
    <w:rsid w:val="00722A9A"/>
    <w:rsid w:val="0072395D"/>
    <w:rsid w:val="00723B1F"/>
    <w:rsid w:val="00724B5D"/>
    <w:rsid w:val="00724BC5"/>
    <w:rsid w:val="00725D56"/>
    <w:rsid w:val="00725E09"/>
    <w:rsid w:val="00725F4E"/>
    <w:rsid w:val="00727950"/>
    <w:rsid w:val="00727D12"/>
    <w:rsid w:val="00730A25"/>
    <w:rsid w:val="00730FB7"/>
    <w:rsid w:val="007312CB"/>
    <w:rsid w:val="00731479"/>
    <w:rsid w:val="00731F68"/>
    <w:rsid w:val="0073224E"/>
    <w:rsid w:val="00732D61"/>
    <w:rsid w:val="00733272"/>
    <w:rsid w:val="00734069"/>
    <w:rsid w:val="00735E1B"/>
    <w:rsid w:val="00735E55"/>
    <w:rsid w:val="00736E6D"/>
    <w:rsid w:val="00737383"/>
    <w:rsid w:val="00737D7C"/>
    <w:rsid w:val="00740830"/>
    <w:rsid w:val="007418C4"/>
    <w:rsid w:val="007418E9"/>
    <w:rsid w:val="00741E12"/>
    <w:rsid w:val="0074227D"/>
    <w:rsid w:val="0074306F"/>
    <w:rsid w:val="007430E8"/>
    <w:rsid w:val="00743191"/>
    <w:rsid w:val="00744081"/>
    <w:rsid w:val="00744381"/>
    <w:rsid w:val="0074480F"/>
    <w:rsid w:val="007452AB"/>
    <w:rsid w:val="007459F1"/>
    <w:rsid w:val="00745AA1"/>
    <w:rsid w:val="00745BC3"/>
    <w:rsid w:val="007462C3"/>
    <w:rsid w:val="0074642B"/>
    <w:rsid w:val="007467A4"/>
    <w:rsid w:val="00746AAC"/>
    <w:rsid w:val="00746DA8"/>
    <w:rsid w:val="007472A7"/>
    <w:rsid w:val="007478B9"/>
    <w:rsid w:val="00747E10"/>
    <w:rsid w:val="00747F8A"/>
    <w:rsid w:val="00750234"/>
    <w:rsid w:val="0075026F"/>
    <w:rsid w:val="00750944"/>
    <w:rsid w:val="007515F4"/>
    <w:rsid w:val="0075266A"/>
    <w:rsid w:val="00753336"/>
    <w:rsid w:val="007536F7"/>
    <w:rsid w:val="00753873"/>
    <w:rsid w:val="0075399C"/>
    <w:rsid w:val="00753A3B"/>
    <w:rsid w:val="00753D94"/>
    <w:rsid w:val="00753FE8"/>
    <w:rsid w:val="0075463B"/>
    <w:rsid w:val="00754BA7"/>
    <w:rsid w:val="007550D8"/>
    <w:rsid w:val="007558F2"/>
    <w:rsid w:val="00755A71"/>
    <w:rsid w:val="00755B5E"/>
    <w:rsid w:val="00756643"/>
    <w:rsid w:val="007567F5"/>
    <w:rsid w:val="00756840"/>
    <w:rsid w:val="00756B3A"/>
    <w:rsid w:val="00756CBF"/>
    <w:rsid w:val="00756F4B"/>
    <w:rsid w:val="007576B8"/>
    <w:rsid w:val="0076008C"/>
    <w:rsid w:val="00760388"/>
    <w:rsid w:val="007612BE"/>
    <w:rsid w:val="00761846"/>
    <w:rsid w:val="007619E5"/>
    <w:rsid w:val="00761E58"/>
    <w:rsid w:val="00762689"/>
    <w:rsid w:val="00762DE7"/>
    <w:rsid w:val="00762E87"/>
    <w:rsid w:val="00762FC3"/>
    <w:rsid w:val="0076314B"/>
    <w:rsid w:val="007637A1"/>
    <w:rsid w:val="007653A2"/>
    <w:rsid w:val="00765765"/>
    <w:rsid w:val="00766419"/>
    <w:rsid w:val="007664EF"/>
    <w:rsid w:val="0076673A"/>
    <w:rsid w:val="007668C4"/>
    <w:rsid w:val="00766A02"/>
    <w:rsid w:val="00766F52"/>
    <w:rsid w:val="007701C4"/>
    <w:rsid w:val="00770514"/>
    <w:rsid w:val="00770E17"/>
    <w:rsid w:val="007713F5"/>
    <w:rsid w:val="007716C8"/>
    <w:rsid w:val="00771D0D"/>
    <w:rsid w:val="00772BD0"/>
    <w:rsid w:val="00773112"/>
    <w:rsid w:val="00773453"/>
    <w:rsid w:val="007735BA"/>
    <w:rsid w:val="00773817"/>
    <w:rsid w:val="007739DD"/>
    <w:rsid w:val="00773D43"/>
    <w:rsid w:val="00773F59"/>
    <w:rsid w:val="007750AF"/>
    <w:rsid w:val="0077590A"/>
    <w:rsid w:val="007759DC"/>
    <w:rsid w:val="00775BAF"/>
    <w:rsid w:val="00776120"/>
    <w:rsid w:val="00776B13"/>
    <w:rsid w:val="007774E2"/>
    <w:rsid w:val="0077762A"/>
    <w:rsid w:val="0077783C"/>
    <w:rsid w:val="007778E8"/>
    <w:rsid w:val="00777ABC"/>
    <w:rsid w:val="00780680"/>
    <w:rsid w:val="00781481"/>
    <w:rsid w:val="00781ABB"/>
    <w:rsid w:val="00782A91"/>
    <w:rsid w:val="0078368D"/>
    <w:rsid w:val="00783A8B"/>
    <w:rsid w:val="00783B99"/>
    <w:rsid w:val="0078427A"/>
    <w:rsid w:val="00784BCB"/>
    <w:rsid w:val="00784ECB"/>
    <w:rsid w:val="00785186"/>
    <w:rsid w:val="007851E2"/>
    <w:rsid w:val="00785C24"/>
    <w:rsid w:val="00786506"/>
    <w:rsid w:val="00787405"/>
    <w:rsid w:val="0078743E"/>
    <w:rsid w:val="00787A9A"/>
    <w:rsid w:val="007901F6"/>
    <w:rsid w:val="00790C93"/>
    <w:rsid w:val="00790ECF"/>
    <w:rsid w:val="00791F70"/>
    <w:rsid w:val="00793C8C"/>
    <w:rsid w:val="00793EA2"/>
    <w:rsid w:val="007940E0"/>
    <w:rsid w:val="007942CA"/>
    <w:rsid w:val="00794611"/>
    <w:rsid w:val="00794635"/>
    <w:rsid w:val="0079465D"/>
    <w:rsid w:val="007947C0"/>
    <w:rsid w:val="0079516B"/>
    <w:rsid w:val="00795244"/>
    <w:rsid w:val="0079537E"/>
    <w:rsid w:val="00795920"/>
    <w:rsid w:val="007959F1"/>
    <w:rsid w:val="00796076"/>
    <w:rsid w:val="00796224"/>
    <w:rsid w:val="0079645C"/>
    <w:rsid w:val="0079646C"/>
    <w:rsid w:val="00797F19"/>
    <w:rsid w:val="007A02EB"/>
    <w:rsid w:val="007A0483"/>
    <w:rsid w:val="007A05B2"/>
    <w:rsid w:val="007A1AC6"/>
    <w:rsid w:val="007A1BAB"/>
    <w:rsid w:val="007A398C"/>
    <w:rsid w:val="007A3E0F"/>
    <w:rsid w:val="007A4142"/>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0A41"/>
    <w:rsid w:val="007B0B5B"/>
    <w:rsid w:val="007B120C"/>
    <w:rsid w:val="007B154D"/>
    <w:rsid w:val="007B1BA0"/>
    <w:rsid w:val="007B2082"/>
    <w:rsid w:val="007B22D5"/>
    <w:rsid w:val="007B2466"/>
    <w:rsid w:val="007B26F1"/>
    <w:rsid w:val="007B2FD3"/>
    <w:rsid w:val="007B31AB"/>
    <w:rsid w:val="007B32AC"/>
    <w:rsid w:val="007B4023"/>
    <w:rsid w:val="007B4CFC"/>
    <w:rsid w:val="007B4E46"/>
    <w:rsid w:val="007B55FB"/>
    <w:rsid w:val="007B56DE"/>
    <w:rsid w:val="007B6124"/>
    <w:rsid w:val="007B62D8"/>
    <w:rsid w:val="007B6C02"/>
    <w:rsid w:val="007B6E37"/>
    <w:rsid w:val="007C0B85"/>
    <w:rsid w:val="007C1C92"/>
    <w:rsid w:val="007C2075"/>
    <w:rsid w:val="007C2879"/>
    <w:rsid w:val="007C3482"/>
    <w:rsid w:val="007C3489"/>
    <w:rsid w:val="007C3558"/>
    <w:rsid w:val="007C36E0"/>
    <w:rsid w:val="007C37EB"/>
    <w:rsid w:val="007C3963"/>
    <w:rsid w:val="007C3EDA"/>
    <w:rsid w:val="007C425D"/>
    <w:rsid w:val="007C44DF"/>
    <w:rsid w:val="007C4A5B"/>
    <w:rsid w:val="007C59AE"/>
    <w:rsid w:val="007C5ED9"/>
    <w:rsid w:val="007C69E5"/>
    <w:rsid w:val="007D0C44"/>
    <w:rsid w:val="007D1FCF"/>
    <w:rsid w:val="007D282D"/>
    <w:rsid w:val="007D3E19"/>
    <w:rsid w:val="007D5695"/>
    <w:rsid w:val="007D5ABB"/>
    <w:rsid w:val="007D5C23"/>
    <w:rsid w:val="007D5D4D"/>
    <w:rsid w:val="007D5DDC"/>
    <w:rsid w:val="007D644C"/>
    <w:rsid w:val="007D6B09"/>
    <w:rsid w:val="007D6F90"/>
    <w:rsid w:val="007D7045"/>
    <w:rsid w:val="007D787B"/>
    <w:rsid w:val="007D7E6E"/>
    <w:rsid w:val="007E0163"/>
    <w:rsid w:val="007E055F"/>
    <w:rsid w:val="007E1119"/>
    <w:rsid w:val="007E195B"/>
    <w:rsid w:val="007E2053"/>
    <w:rsid w:val="007E2302"/>
    <w:rsid w:val="007E2E4A"/>
    <w:rsid w:val="007E3097"/>
    <w:rsid w:val="007E399C"/>
    <w:rsid w:val="007E3BBA"/>
    <w:rsid w:val="007E3F3B"/>
    <w:rsid w:val="007E4F28"/>
    <w:rsid w:val="007E503B"/>
    <w:rsid w:val="007E529A"/>
    <w:rsid w:val="007E530F"/>
    <w:rsid w:val="007E563F"/>
    <w:rsid w:val="007E56C6"/>
    <w:rsid w:val="007E5711"/>
    <w:rsid w:val="007E57EC"/>
    <w:rsid w:val="007E5C5E"/>
    <w:rsid w:val="007E6871"/>
    <w:rsid w:val="007E7246"/>
    <w:rsid w:val="007E73BB"/>
    <w:rsid w:val="007E7F00"/>
    <w:rsid w:val="007E7FE5"/>
    <w:rsid w:val="007F0205"/>
    <w:rsid w:val="007F04EF"/>
    <w:rsid w:val="007F0DDB"/>
    <w:rsid w:val="007F14F1"/>
    <w:rsid w:val="007F192A"/>
    <w:rsid w:val="007F19BB"/>
    <w:rsid w:val="007F1C4F"/>
    <w:rsid w:val="007F27D8"/>
    <w:rsid w:val="007F3CE0"/>
    <w:rsid w:val="007F3DD1"/>
    <w:rsid w:val="007F42AA"/>
    <w:rsid w:val="007F42E8"/>
    <w:rsid w:val="007F433D"/>
    <w:rsid w:val="007F46CB"/>
    <w:rsid w:val="007F4A15"/>
    <w:rsid w:val="007F53DB"/>
    <w:rsid w:val="007F57EB"/>
    <w:rsid w:val="007F6441"/>
    <w:rsid w:val="007F6E87"/>
    <w:rsid w:val="007F76F7"/>
    <w:rsid w:val="008001D1"/>
    <w:rsid w:val="00800D99"/>
    <w:rsid w:val="008012DB"/>
    <w:rsid w:val="008018D0"/>
    <w:rsid w:val="00801BFE"/>
    <w:rsid w:val="00802533"/>
    <w:rsid w:val="00802E53"/>
    <w:rsid w:val="00804057"/>
    <w:rsid w:val="00804388"/>
    <w:rsid w:val="00804746"/>
    <w:rsid w:val="00804F9B"/>
    <w:rsid w:val="008054DB"/>
    <w:rsid w:val="008059D6"/>
    <w:rsid w:val="00805A49"/>
    <w:rsid w:val="00805B58"/>
    <w:rsid w:val="00805D98"/>
    <w:rsid w:val="008063C6"/>
    <w:rsid w:val="008064DE"/>
    <w:rsid w:val="00806ABD"/>
    <w:rsid w:val="00807347"/>
    <w:rsid w:val="008077E6"/>
    <w:rsid w:val="00807882"/>
    <w:rsid w:val="00807B4D"/>
    <w:rsid w:val="00810327"/>
    <w:rsid w:val="00811872"/>
    <w:rsid w:val="0081246C"/>
    <w:rsid w:val="00812514"/>
    <w:rsid w:val="00813573"/>
    <w:rsid w:val="00813637"/>
    <w:rsid w:val="008139A9"/>
    <w:rsid w:val="00813BB3"/>
    <w:rsid w:val="0081446A"/>
    <w:rsid w:val="008144D8"/>
    <w:rsid w:val="00814F24"/>
    <w:rsid w:val="0081502F"/>
    <w:rsid w:val="0081568E"/>
    <w:rsid w:val="00815B69"/>
    <w:rsid w:val="00816149"/>
    <w:rsid w:val="00816CA3"/>
    <w:rsid w:val="00816CF6"/>
    <w:rsid w:val="00816E8E"/>
    <w:rsid w:val="00817226"/>
    <w:rsid w:val="00817669"/>
    <w:rsid w:val="008176DF"/>
    <w:rsid w:val="00817ADD"/>
    <w:rsid w:val="00817EA3"/>
    <w:rsid w:val="00820309"/>
    <w:rsid w:val="00820B26"/>
    <w:rsid w:val="00820D8B"/>
    <w:rsid w:val="00820FC6"/>
    <w:rsid w:val="008214AD"/>
    <w:rsid w:val="008219C7"/>
    <w:rsid w:val="00821D5C"/>
    <w:rsid w:val="00822368"/>
    <w:rsid w:val="00822ADB"/>
    <w:rsid w:val="00822C8A"/>
    <w:rsid w:val="0082337A"/>
    <w:rsid w:val="00823514"/>
    <w:rsid w:val="00824900"/>
    <w:rsid w:val="00824A2E"/>
    <w:rsid w:val="00824EC9"/>
    <w:rsid w:val="00825E1E"/>
    <w:rsid w:val="0082716E"/>
    <w:rsid w:val="00827B33"/>
    <w:rsid w:val="008310C7"/>
    <w:rsid w:val="00831A06"/>
    <w:rsid w:val="00831AC5"/>
    <w:rsid w:val="008325DB"/>
    <w:rsid w:val="00832F3B"/>
    <w:rsid w:val="00834E6E"/>
    <w:rsid w:val="0083565C"/>
    <w:rsid w:val="00836D90"/>
    <w:rsid w:val="00837556"/>
    <w:rsid w:val="008375A3"/>
    <w:rsid w:val="00840327"/>
    <w:rsid w:val="0084093E"/>
    <w:rsid w:val="0084119C"/>
    <w:rsid w:val="00841B67"/>
    <w:rsid w:val="00841C3B"/>
    <w:rsid w:val="00842289"/>
    <w:rsid w:val="0084237E"/>
    <w:rsid w:val="008425A3"/>
    <w:rsid w:val="00842C3E"/>
    <w:rsid w:val="00842FA1"/>
    <w:rsid w:val="008435D0"/>
    <w:rsid w:val="0084375D"/>
    <w:rsid w:val="00843BFE"/>
    <w:rsid w:val="00844B3F"/>
    <w:rsid w:val="00845E7A"/>
    <w:rsid w:val="00845F45"/>
    <w:rsid w:val="00846579"/>
    <w:rsid w:val="008468FB"/>
    <w:rsid w:val="00846AE9"/>
    <w:rsid w:val="00847A75"/>
    <w:rsid w:val="00847CCD"/>
    <w:rsid w:val="00847E30"/>
    <w:rsid w:val="008505D7"/>
    <w:rsid w:val="00850821"/>
    <w:rsid w:val="00850867"/>
    <w:rsid w:val="00850CC5"/>
    <w:rsid w:val="00851143"/>
    <w:rsid w:val="008511C1"/>
    <w:rsid w:val="00851DD3"/>
    <w:rsid w:val="00852351"/>
    <w:rsid w:val="008524AC"/>
    <w:rsid w:val="00852B21"/>
    <w:rsid w:val="00852E04"/>
    <w:rsid w:val="00852E26"/>
    <w:rsid w:val="00852F13"/>
    <w:rsid w:val="008536B6"/>
    <w:rsid w:val="00853A5F"/>
    <w:rsid w:val="00854C7E"/>
    <w:rsid w:val="00856A95"/>
    <w:rsid w:val="00856CFF"/>
    <w:rsid w:val="00857010"/>
    <w:rsid w:val="00860305"/>
    <w:rsid w:val="00860D67"/>
    <w:rsid w:val="00860D93"/>
    <w:rsid w:val="00861A93"/>
    <w:rsid w:val="00862007"/>
    <w:rsid w:val="008629E1"/>
    <w:rsid w:val="0086308B"/>
    <w:rsid w:val="008632B8"/>
    <w:rsid w:val="00863927"/>
    <w:rsid w:val="0086398E"/>
    <w:rsid w:val="0086423F"/>
    <w:rsid w:val="00865836"/>
    <w:rsid w:val="00865B9C"/>
    <w:rsid w:val="0086617A"/>
    <w:rsid w:val="008664D6"/>
    <w:rsid w:val="00866B93"/>
    <w:rsid w:val="00866FC6"/>
    <w:rsid w:val="008673B7"/>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51C4"/>
    <w:rsid w:val="00875AEF"/>
    <w:rsid w:val="00875AF4"/>
    <w:rsid w:val="00875C71"/>
    <w:rsid w:val="00875DB2"/>
    <w:rsid w:val="008762B5"/>
    <w:rsid w:val="0087688C"/>
    <w:rsid w:val="0087695E"/>
    <w:rsid w:val="00877485"/>
    <w:rsid w:val="00877780"/>
    <w:rsid w:val="00877784"/>
    <w:rsid w:val="00877C29"/>
    <w:rsid w:val="00877C32"/>
    <w:rsid w:val="0088084B"/>
    <w:rsid w:val="00880B73"/>
    <w:rsid w:val="00881B3D"/>
    <w:rsid w:val="00881E9A"/>
    <w:rsid w:val="00882661"/>
    <w:rsid w:val="008826AE"/>
    <w:rsid w:val="0088276D"/>
    <w:rsid w:val="00882BD8"/>
    <w:rsid w:val="00883017"/>
    <w:rsid w:val="00883461"/>
    <w:rsid w:val="008845FA"/>
    <w:rsid w:val="008851AA"/>
    <w:rsid w:val="00885BCA"/>
    <w:rsid w:val="00885F79"/>
    <w:rsid w:val="00885F9B"/>
    <w:rsid w:val="008873F8"/>
    <w:rsid w:val="00887930"/>
    <w:rsid w:val="00887B6D"/>
    <w:rsid w:val="00887EDA"/>
    <w:rsid w:val="00890239"/>
    <w:rsid w:val="0089101E"/>
    <w:rsid w:val="0089119B"/>
    <w:rsid w:val="0089129F"/>
    <w:rsid w:val="008916DE"/>
    <w:rsid w:val="00891AF2"/>
    <w:rsid w:val="00891D9E"/>
    <w:rsid w:val="00892037"/>
    <w:rsid w:val="00892A42"/>
    <w:rsid w:val="00893091"/>
    <w:rsid w:val="008935D5"/>
    <w:rsid w:val="00893845"/>
    <w:rsid w:val="00893AA1"/>
    <w:rsid w:val="00894670"/>
    <w:rsid w:val="0089474B"/>
    <w:rsid w:val="0089520E"/>
    <w:rsid w:val="0089555D"/>
    <w:rsid w:val="0089703D"/>
    <w:rsid w:val="0089710B"/>
    <w:rsid w:val="0089724A"/>
    <w:rsid w:val="00897377"/>
    <w:rsid w:val="00897687"/>
    <w:rsid w:val="008A0186"/>
    <w:rsid w:val="008A0718"/>
    <w:rsid w:val="008A08C2"/>
    <w:rsid w:val="008A0FBE"/>
    <w:rsid w:val="008A1001"/>
    <w:rsid w:val="008A1171"/>
    <w:rsid w:val="008A1A2F"/>
    <w:rsid w:val="008A1B99"/>
    <w:rsid w:val="008A1EA4"/>
    <w:rsid w:val="008A30F4"/>
    <w:rsid w:val="008A38EC"/>
    <w:rsid w:val="008A39F8"/>
    <w:rsid w:val="008A3FD3"/>
    <w:rsid w:val="008A4ED6"/>
    <w:rsid w:val="008A50F4"/>
    <w:rsid w:val="008A51E9"/>
    <w:rsid w:val="008A58E8"/>
    <w:rsid w:val="008A607D"/>
    <w:rsid w:val="008A6329"/>
    <w:rsid w:val="008A6644"/>
    <w:rsid w:val="008A69AB"/>
    <w:rsid w:val="008A6E87"/>
    <w:rsid w:val="008A7772"/>
    <w:rsid w:val="008A7AFC"/>
    <w:rsid w:val="008B0F4F"/>
    <w:rsid w:val="008B1DC9"/>
    <w:rsid w:val="008B2047"/>
    <w:rsid w:val="008B293C"/>
    <w:rsid w:val="008B2D17"/>
    <w:rsid w:val="008B33CA"/>
    <w:rsid w:val="008B34FD"/>
    <w:rsid w:val="008B38BD"/>
    <w:rsid w:val="008B3C48"/>
    <w:rsid w:val="008B3D23"/>
    <w:rsid w:val="008B3E07"/>
    <w:rsid w:val="008B435F"/>
    <w:rsid w:val="008B4936"/>
    <w:rsid w:val="008B4A0B"/>
    <w:rsid w:val="008B5821"/>
    <w:rsid w:val="008B5B7E"/>
    <w:rsid w:val="008B760C"/>
    <w:rsid w:val="008B7804"/>
    <w:rsid w:val="008B7ABF"/>
    <w:rsid w:val="008C01FA"/>
    <w:rsid w:val="008C0632"/>
    <w:rsid w:val="008C0C5F"/>
    <w:rsid w:val="008C1799"/>
    <w:rsid w:val="008C2F29"/>
    <w:rsid w:val="008C3098"/>
    <w:rsid w:val="008C3130"/>
    <w:rsid w:val="008C33D0"/>
    <w:rsid w:val="008C388D"/>
    <w:rsid w:val="008C3F53"/>
    <w:rsid w:val="008C3FEE"/>
    <w:rsid w:val="008C4619"/>
    <w:rsid w:val="008C4C53"/>
    <w:rsid w:val="008C512B"/>
    <w:rsid w:val="008C548A"/>
    <w:rsid w:val="008C5D54"/>
    <w:rsid w:val="008C6B00"/>
    <w:rsid w:val="008C75D2"/>
    <w:rsid w:val="008D0B5D"/>
    <w:rsid w:val="008D0C6D"/>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62A5"/>
    <w:rsid w:val="008D6C62"/>
    <w:rsid w:val="008D7144"/>
    <w:rsid w:val="008D7574"/>
    <w:rsid w:val="008D75D2"/>
    <w:rsid w:val="008D7C83"/>
    <w:rsid w:val="008E062D"/>
    <w:rsid w:val="008E1447"/>
    <w:rsid w:val="008E2404"/>
    <w:rsid w:val="008E3101"/>
    <w:rsid w:val="008E31DB"/>
    <w:rsid w:val="008E384F"/>
    <w:rsid w:val="008E3E4B"/>
    <w:rsid w:val="008E40CC"/>
    <w:rsid w:val="008E49B0"/>
    <w:rsid w:val="008E4C24"/>
    <w:rsid w:val="008E4C3D"/>
    <w:rsid w:val="008E4CA6"/>
    <w:rsid w:val="008E5181"/>
    <w:rsid w:val="008E58D2"/>
    <w:rsid w:val="008E5AE5"/>
    <w:rsid w:val="008E5B0E"/>
    <w:rsid w:val="008E5C85"/>
    <w:rsid w:val="008E5F35"/>
    <w:rsid w:val="008E61A2"/>
    <w:rsid w:val="008E6259"/>
    <w:rsid w:val="008E6585"/>
    <w:rsid w:val="008E6DD7"/>
    <w:rsid w:val="008E6F31"/>
    <w:rsid w:val="008E7171"/>
    <w:rsid w:val="008E781E"/>
    <w:rsid w:val="008E7DC0"/>
    <w:rsid w:val="008E7EE5"/>
    <w:rsid w:val="008F062F"/>
    <w:rsid w:val="008F089B"/>
    <w:rsid w:val="008F0A74"/>
    <w:rsid w:val="008F0B54"/>
    <w:rsid w:val="008F0D91"/>
    <w:rsid w:val="008F1A4C"/>
    <w:rsid w:val="008F21B8"/>
    <w:rsid w:val="008F226A"/>
    <w:rsid w:val="008F2AE5"/>
    <w:rsid w:val="008F2D22"/>
    <w:rsid w:val="008F300E"/>
    <w:rsid w:val="008F3306"/>
    <w:rsid w:val="008F3981"/>
    <w:rsid w:val="008F3EAC"/>
    <w:rsid w:val="008F42C3"/>
    <w:rsid w:val="008F48E1"/>
    <w:rsid w:val="008F4C34"/>
    <w:rsid w:val="008F4FBF"/>
    <w:rsid w:val="008F54E4"/>
    <w:rsid w:val="008F6275"/>
    <w:rsid w:val="008F636D"/>
    <w:rsid w:val="008F663E"/>
    <w:rsid w:val="008F6AB9"/>
    <w:rsid w:val="008F7850"/>
    <w:rsid w:val="00900191"/>
    <w:rsid w:val="009004B8"/>
    <w:rsid w:val="00900A02"/>
    <w:rsid w:val="00900A35"/>
    <w:rsid w:val="0090146D"/>
    <w:rsid w:val="0090173D"/>
    <w:rsid w:val="00901E9C"/>
    <w:rsid w:val="009020BF"/>
    <w:rsid w:val="009020C8"/>
    <w:rsid w:val="00902161"/>
    <w:rsid w:val="00902DA0"/>
    <w:rsid w:val="0090390B"/>
    <w:rsid w:val="00903C8A"/>
    <w:rsid w:val="0090458F"/>
    <w:rsid w:val="009048B6"/>
    <w:rsid w:val="00904923"/>
    <w:rsid w:val="009052B0"/>
    <w:rsid w:val="00905B25"/>
    <w:rsid w:val="00905EF1"/>
    <w:rsid w:val="00906565"/>
    <w:rsid w:val="009065C7"/>
    <w:rsid w:val="009067F2"/>
    <w:rsid w:val="00906E1C"/>
    <w:rsid w:val="00907015"/>
    <w:rsid w:val="009073DE"/>
    <w:rsid w:val="00907A81"/>
    <w:rsid w:val="00907F8D"/>
    <w:rsid w:val="0091016E"/>
    <w:rsid w:val="0091094F"/>
    <w:rsid w:val="00910D86"/>
    <w:rsid w:val="0091123F"/>
    <w:rsid w:val="009120D0"/>
    <w:rsid w:val="00912845"/>
    <w:rsid w:val="00912E55"/>
    <w:rsid w:val="00913D9F"/>
    <w:rsid w:val="00914398"/>
    <w:rsid w:val="00914BCE"/>
    <w:rsid w:val="009155A6"/>
    <w:rsid w:val="00915B37"/>
    <w:rsid w:val="00915B9C"/>
    <w:rsid w:val="0091697F"/>
    <w:rsid w:val="00916D2F"/>
    <w:rsid w:val="0091751D"/>
    <w:rsid w:val="0091773A"/>
    <w:rsid w:val="00920608"/>
    <w:rsid w:val="00921103"/>
    <w:rsid w:val="00921142"/>
    <w:rsid w:val="009213B4"/>
    <w:rsid w:val="009217CD"/>
    <w:rsid w:val="009219C4"/>
    <w:rsid w:val="0092200A"/>
    <w:rsid w:val="0092229D"/>
    <w:rsid w:val="009226F9"/>
    <w:rsid w:val="009232D5"/>
    <w:rsid w:val="0092346A"/>
    <w:rsid w:val="009258BE"/>
    <w:rsid w:val="00925F48"/>
    <w:rsid w:val="0092681D"/>
    <w:rsid w:val="00926947"/>
    <w:rsid w:val="00926989"/>
    <w:rsid w:val="00930DED"/>
    <w:rsid w:val="0093122F"/>
    <w:rsid w:val="009312D6"/>
    <w:rsid w:val="00931942"/>
    <w:rsid w:val="00931BF6"/>
    <w:rsid w:val="0093227B"/>
    <w:rsid w:val="00932670"/>
    <w:rsid w:val="00932B9C"/>
    <w:rsid w:val="00932EC8"/>
    <w:rsid w:val="00932F20"/>
    <w:rsid w:val="00933C9A"/>
    <w:rsid w:val="00933E38"/>
    <w:rsid w:val="0093480F"/>
    <w:rsid w:val="00934FB1"/>
    <w:rsid w:val="009354C2"/>
    <w:rsid w:val="009355E5"/>
    <w:rsid w:val="00935672"/>
    <w:rsid w:val="009379BA"/>
    <w:rsid w:val="009405AA"/>
    <w:rsid w:val="0094110E"/>
    <w:rsid w:val="009430F6"/>
    <w:rsid w:val="00943252"/>
    <w:rsid w:val="009441F0"/>
    <w:rsid w:val="009448C2"/>
    <w:rsid w:val="00944A4E"/>
    <w:rsid w:val="00944DF2"/>
    <w:rsid w:val="00945002"/>
    <w:rsid w:val="0094528F"/>
    <w:rsid w:val="0094543D"/>
    <w:rsid w:val="009457BC"/>
    <w:rsid w:val="0094580D"/>
    <w:rsid w:val="00945C74"/>
    <w:rsid w:val="00945FBF"/>
    <w:rsid w:val="00946602"/>
    <w:rsid w:val="00946AD5"/>
    <w:rsid w:val="00946F49"/>
    <w:rsid w:val="00947306"/>
    <w:rsid w:val="009500AB"/>
    <w:rsid w:val="009506E3"/>
    <w:rsid w:val="00951ACE"/>
    <w:rsid w:val="00951C32"/>
    <w:rsid w:val="00951D1E"/>
    <w:rsid w:val="009528A4"/>
    <w:rsid w:val="00953257"/>
    <w:rsid w:val="00953398"/>
    <w:rsid w:val="00953611"/>
    <w:rsid w:val="009539AD"/>
    <w:rsid w:val="00955726"/>
    <w:rsid w:val="00956010"/>
    <w:rsid w:val="0095619F"/>
    <w:rsid w:val="009561B7"/>
    <w:rsid w:val="0095680E"/>
    <w:rsid w:val="00956944"/>
    <w:rsid w:val="00956B4E"/>
    <w:rsid w:val="00956C88"/>
    <w:rsid w:val="009571EC"/>
    <w:rsid w:val="009574AE"/>
    <w:rsid w:val="00957651"/>
    <w:rsid w:val="00957D1E"/>
    <w:rsid w:val="00957EF9"/>
    <w:rsid w:val="00960932"/>
    <w:rsid w:val="009619EA"/>
    <w:rsid w:val="00961F84"/>
    <w:rsid w:val="00962308"/>
    <w:rsid w:val="00962B9B"/>
    <w:rsid w:val="00963A84"/>
    <w:rsid w:val="0096465A"/>
    <w:rsid w:val="00965EFC"/>
    <w:rsid w:val="009662E5"/>
    <w:rsid w:val="009664F9"/>
    <w:rsid w:val="00966CC2"/>
    <w:rsid w:val="00966EDA"/>
    <w:rsid w:val="009673EF"/>
    <w:rsid w:val="00967C17"/>
    <w:rsid w:val="00967E55"/>
    <w:rsid w:val="009708C4"/>
    <w:rsid w:val="009709C9"/>
    <w:rsid w:val="00970B62"/>
    <w:rsid w:val="00970D1D"/>
    <w:rsid w:val="0097119B"/>
    <w:rsid w:val="00971D39"/>
    <w:rsid w:val="009723F7"/>
    <w:rsid w:val="0097240C"/>
    <w:rsid w:val="00972423"/>
    <w:rsid w:val="0097286F"/>
    <w:rsid w:val="00972CC4"/>
    <w:rsid w:val="00973136"/>
    <w:rsid w:val="00973855"/>
    <w:rsid w:val="00973897"/>
    <w:rsid w:val="009739F6"/>
    <w:rsid w:val="00973CAA"/>
    <w:rsid w:val="00973DEF"/>
    <w:rsid w:val="00973F19"/>
    <w:rsid w:val="009748D3"/>
    <w:rsid w:val="00974A2F"/>
    <w:rsid w:val="00974DC8"/>
    <w:rsid w:val="0097598A"/>
    <w:rsid w:val="00976E16"/>
    <w:rsid w:val="00976F22"/>
    <w:rsid w:val="009773A1"/>
    <w:rsid w:val="009775D9"/>
    <w:rsid w:val="00977BCC"/>
    <w:rsid w:val="00977CEA"/>
    <w:rsid w:val="00980037"/>
    <w:rsid w:val="00980551"/>
    <w:rsid w:val="0098079F"/>
    <w:rsid w:val="009807AA"/>
    <w:rsid w:val="00981796"/>
    <w:rsid w:val="0098230A"/>
    <w:rsid w:val="0098281F"/>
    <w:rsid w:val="00982972"/>
    <w:rsid w:val="00982A7F"/>
    <w:rsid w:val="00982E8B"/>
    <w:rsid w:val="00983B70"/>
    <w:rsid w:val="009843D5"/>
    <w:rsid w:val="009850CB"/>
    <w:rsid w:val="0098574A"/>
    <w:rsid w:val="00985BBD"/>
    <w:rsid w:val="00986139"/>
    <w:rsid w:val="009861DC"/>
    <w:rsid w:val="0098634C"/>
    <w:rsid w:val="00986749"/>
    <w:rsid w:val="00986D4F"/>
    <w:rsid w:val="00986F9D"/>
    <w:rsid w:val="0098735E"/>
    <w:rsid w:val="009879E4"/>
    <w:rsid w:val="00987AE2"/>
    <w:rsid w:val="00990076"/>
    <w:rsid w:val="0099039E"/>
    <w:rsid w:val="00990697"/>
    <w:rsid w:val="0099104B"/>
    <w:rsid w:val="00991D12"/>
    <w:rsid w:val="00992C76"/>
    <w:rsid w:val="009930CC"/>
    <w:rsid w:val="0099380E"/>
    <w:rsid w:val="00993FDE"/>
    <w:rsid w:val="0099413D"/>
    <w:rsid w:val="00994713"/>
    <w:rsid w:val="00995163"/>
    <w:rsid w:val="00995348"/>
    <w:rsid w:val="0099558C"/>
    <w:rsid w:val="00995A74"/>
    <w:rsid w:val="00997464"/>
    <w:rsid w:val="009974B8"/>
    <w:rsid w:val="0099790F"/>
    <w:rsid w:val="009A01D3"/>
    <w:rsid w:val="009A071A"/>
    <w:rsid w:val="009A071D"/>
    <w:rsid w:val="009A09EB"/>
    <w:rsid w:val="009A114F"/>
    <w:rsid w:val="009A1905"/>
    <w:rsid w:val="009A1B90"/>
    <w:rsid w:val="009A1F2F"/>
    <w:rsid w:val="009A22A3"/>
    <w:rsid w:val="009A2403"/>
    <w:rsid w:val="009A4267"/>
    <w:rsid w:val="009A434A"/>
    <w:rsid w:val="009A4359"/>
    <w:rsid w:val="009A47CC"/>
    <w:rsid w:val="009A4A65"/>
    <w:rsid w:val="009A4BCB"/>
    <w:rsid w:val="009A4E45"/>
    <w:rsid w:val="009A51B5"/>
    <w:rsid w:val="009A523E"/>
    <w:rsid w:val="009A5E45"/>
    <w:rsid w:val="009A6A89"/>
    <w:rsid w:val="009A6C8A"/>
    <w:rsid w:val="009A778E"/>
    <w:rsid w:val="009A7AEE"/>
    <w:rsid w:val="009A7BE2"/>
    <w:rsid w:val="009B001A"/>
    <w:rsid w:val="009B08D9"/>
    <w:rsid w:val="009B0FED"/>
    <w:rsid w:val="009B2AAA"/>
    <w:rsid w:val="009B4041"/>
    <w:rsid w:val="009B4370"/>
    <w:rsid w:val="009B46CF"/>
    <w:rsid w:val="009B5344"/>
    <w:rsid w:val="009B5821"/>
    <w:rsid w:val="009B5ADD"/>
    <w:rsid w:val="009B5D67"/>
    <w:rsid w:val="009B6126"/>
    <w:rsid w:val="009B666D"/>
    <w:rsid w:val="009B6AFA"/>
    <w:rsid w:val="009B729A"/>
    <w:rsid w:val="009B73E2"/>
    <w:rsid w:val="009B7BE0"/>
    <w:rsid w:val="009C006A"/>
    <w:rsid w:val="009C03C7"/>
    <w:rsid w:val="009C0497"/>
    <w:rsid w:val="009C0756"/>
    <w:rsid w:val="009C0D63"/>
    <w:rsid w:val="009C11E7"/>
    <w:rsid w:val="009C213C"/>
    <w:rsid w:val="009C2366"/>
    <w:rsid w:val="009C2632"/>
    <w:rsid w:val="009C2848"/>
    <w:rsid w:val="009C3145"/>
    <w:rsid w:val="009C31BF"/>
    <w:rsid w:val="009C42FD"/>
    <w:rsid w:val="009C4400"/>
    <w:rsid w:val="009C47E6"/>
    <w:rsid w:val="009C4F76"/>
    <w:rsid w:val="009C5261"/>
    <w:rsid w:val="009C52D2"/>
    <w:rsid w:val="009C55E2"/>
    <w:rsid w:val="009C5AD3"/>
    <w:rsid w:val="009C7CF5"/>
    <w:rsid w:val="009C7DD1"/>
    <w:rsid w:val="009D0315"/>
    <w:rsid w:val="009D03A5"/>
    <w:rsid w:val="009D0B64"/>
    <w:rsid w:val="009D0EAE"/>
    <w:rsid w:val="009D11D1"/>
    <w:rsid w:val="009D1A61"/>
    <w:rsid w:val="009D1A7F"/>
    <w:rsid w:val="009D2AFF"/>
    <w:rsid w:val="009D30E8"/>
    <w:rsid w:val="009D3581"/>
    <w:rsid w:val="009D368B"/>
    <w:rsid w:val="009D3706"/>
    <w:rsid w:val="009D3727"/>
    <w:rsid w:val="009D3F1D"/>
    <w:rsid w:val="009D4C77"/>
    <w:rsid w:val="009D4EB3"/>
    <w:rsid w:val="009D54CB"/>
    <w:rsid w:val="009D5AD2"/>
    <w:rsid w:val="009D769B"/>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C5"/>
    <w:rsid w:val="009E3F23"/>
    <w:rsid w:val="009E4057"/>
    <w:rsid w:val="009E4AF0"/>
    <w:rsid w:val="009E4B26"/>
    <w:rsid w:val="009E50E4"/>
    <w:rsid w:val="009E5413"/>
    <w:rsid w:val="009E603D"/>
    <w:rsid w:val="009E6193"/>
    <w:rsid w:val="009E6945"/>
    <w:rsid w:val="009E7115"/>
    <w:rsid w:val="009E7552"/>
    <w:rsid w:val="009E75BE"/>
    <w:rsid w:val="009E7829"/>
    <w:rsid w:val="009E7D39"/>
    <w:rsid w:val="009F01B8"/>
    <w:rsid w:val="009F16FB"/>
    <w:rsid w:val="009F1748"/>
    <w:rsid w:val="009F1921"/>
    <w:rsid w:val="009F207B"/>
    <w:rsid w:val="009F2756"/>
    <w:rsid w:val="009F28B7"/>
    <w:rsid w:val="009F29BA"/>
    <w:rsid w:val="009F2C69"/>
    <w:rsid w:val="009F2E46"/>
    <w:rsid w:val="009F30BB"/>
    <w:rsid w:val="009F48C7"/>
    <w:rsid w:val="009F4CF6"/>
    <w:rsid w:val="009F5490"/>
    <w:rsid w:val="009F56D4"/>
    <w:rsid w:val="009F5A2C"/>
    <w:rsid w:val="009F5D64"/>
    <w:rsid w:val="009F7710"/>
    <w:rsid w:val="009F792E"/>
    <w:rsid w:val="00A0006A"/>
    <w:rsid w:val="00A020B8"/>
    <w:rsid w:val="00A0233C"/>
    <w:rsid w:val="00A033B3"/>
    <w:rsid w:val="00A034CA"/>
    <w:rsid w:val="00A03A1E"/>
    <w:rsid w:val="00A03EC7"/>
    <w:rsid w:val="00A0409E"/>
    <w:rsid w:val="00A0449C"/>
    <w:rsid w:val="00A04A21"/>
    <w:rsid w:val="00A052E2"/>
    <w:rsid w:val="00A053FF"/>
    <w:rsid w:val="00A05560"/>
    <w:rsid w:val="00A05D35"/>
    <w:rsid w:val="00A06A8D"/>
    <w:rsid w:val="00A07180"/>
    <w:rsid w:val="00A07636"/>
    <w:rsid w:val="00A07D8E"/>
    <w:rsid w:val="00A10947"/>
    <w:rsid w:val="00A11095"/>
    <w:rsid w:val="00A11171"/>
    <w:rsid w:val="00A1181B"/>
    <w:rsid w:val="00A11A04"/>
    <w:rsid w:val="00A11B5A"/>
    <w:rsid w:val="00A12F8E"/>
    <w:rsid w:val="00A133D6"/>
    <w:rsid w:val="00A1351A"/>
    <w:rsid w:val="00A13A87"/>
    <w:rsid w:val="00A14036"/>
    <w:rsid w:val="00A16007"/>
    <w:rsid w:val="00A169AF"/>
    <w:rsid w:val="00A16C96"/>
    <w:rsid w:val="00A17D21"/>
    <w:rsid w:val="00A17E6F"/>
    <w:rsid w:val="00A2132A"/>
    <w:rsid w:val="00A21333"/>
    <w:rsid w:val="00A22A3F"/>
    <w:rsid w:val="00A23038"/>
    <w:rsid w:val="00A233F6"/>
    <w:rsid w:val="00A23489"/>
    <w:rsid w:val="00A23F1E"/>
    <w:rsid w:val="00A246A0"/>
    <w:rsid w:val="00A24E3C"/>
    <w:rsid w:val="00A27B8B"/>
    <w:rsid w:val="00A321ED"/>
    <w:rsid w:val="00A324EE"/>
    <w:rsid w:val="00A3362B"/>
    <w:rsid w:val="00A33672"/>
    <w:rsid w:val="00A33784"/>
    <w:rsid w:val="00A33E07"/>
    <w:rsid w:val="00A33E1B"/>
    <w:rsid w:val="00A343A6"/>
    <w:rsid w:val="00A3472C"/>
    <w:rsid w:val="00A34C7B"/>
    <w:rsid w:val="00A34DF3"/>
    <w:rsid w:val="00A35147"/>
    <w:rsid w:val="00A35A77"/>
    <w:rsid w:val="00A35E9B"/>
    <w:rsid w:val="00A3663A"/>
    <w:rsid w:val="00A36833"/>
    <w:rsid w:val="00A36B6E"/>
    <w:rsid w:val="00A376FB"/>
    <w:rsid w:val="00A405A8"/>
    <w:rsid w:val="00A40843"/>
    <w:rsid w:val="00A40887"/>
    <w:rsid w:val="00A40FCF"/>
    <w:rsid w:val="00A415FE"/>
    <w:rsid w:val="00A417DD"/>
    <w:rsid w:val="00A41814"/>
    <w:rsid w:val="00A41A01"/>
    <w:rsid w:val="00A41A97"/>
    <w:rsid w:val="00A42ABE"/>
    <w:rsid w:val="00A439BC"/>
    <w:rsid w:val="00A440E4"/>
    <w:rsid w:val="00A45E01"/>
    <w:rsid w:val="00A4608D"/>
    <w:rsid w:val="00A46FF8"/>
    <w:rsid w:val="00A4715D"/>
    <w:rsid w:val="00A47191"/>
    <w:rsid w:val="00A47F51"/>
    <w:rsid w:val="00A5122C"/>
    <w:rsid w:val="00A513DE"/>
    <w:rsid w:val="00A5184E"/>
    <w:rsid w:val="00A5199C"/>
    <w:rsid w:val="00A51CA0"/>
    <w:rsid w:val="00A51F58"/>
    <w:rsid w:val="00A522A3"/>
    <w:rsid w:val="00A52365"/>
    <w:rsid w:val="00A52595"/>
    <w:rsid w:val="00A52AFF"/>
    <w:rsid w:val="00A53472"/>
    <w:rsid w:val="00A5360D"/>
    <w:rsid w:val="00A541B4"/>
    <w:rsid w:val="00A54620"/>
    <w:rsid w:val="00A55983"/>
    <w:rsid w:val="00A5688E"/>
    <w:rsid w:val="00A56C89"/>
    <w:rsid w:val="00A56EC3"/>
    <w:rsid w:val="00A56F2C"/>
    <w:rsid w:val="00A5708A"/>
    <w:rsid w:val="00A572D3"/>
    <w:rsid w:val="00A5736A"/>
    <w:rsid w:val="00A57905"/>
    <w:rsid w:val="00A5798C"/>
    <w:rsid w:val="00A57DB4"/>
    <w:rsid w:val="00A602FA"/>
    <w:rsid w:val="00A624EA"/>
    <w:rsid w:val="00A62775"/>
    <w:rsid w:val="00A6348A"/>
    <w:rsid w:val="00A634F9"/>
    <w:rsid w:val="00A637CA"/>
    <w:rsid w:val="00A63DFC"/>
    <w:rsid w:val="00A64A86"/>
    <w:rsid w:val="00A64D17"/>
    <w:rsid w:val="00A650AC"/>
    <w:rsid w:val="00A654DF"/>
    <w:rsid w:val="00A65B7E"/>
    <w:rsid w:val="00A65CD6"/>
    <w:rsid w:val="00A65FC4"/>
    <w:rsid w:val="00A66A92"/>
    <w:rsid w:val="00A66CA9"/>
    <w:rsid w:val="00A67A2A"/>
    <w:rsid w:val="00A701BC"/>
    <w:rsid w:val="00A709C2"/>
    <w:rsid w:val="00A70CC3"/>
    <w:rsid w:val="00A712A3"/>
    <w:rsid w:val="00A7141A"/>
    <w:rsid w:val="00A71A61"/>
    <w:rsid w:val="00A72304"/>
    <w:rsid w:val="00A72D62"/>
    <w:rsid w:val="00A7342B"/>
    <w:rsid w:val="00A736FF"/>
    <w:rsid w:val="00A73761"/>
    <w:rsid w:val="00A73870"/>
    <w:rsid w:val="00A73BFD"/>
    <w:rsid w:val="00A73EFC"/>
    <w:rsid w:val="00A74297"/>
    <w:rsid w:val="00A74564"/>
    <w:rsid w:val="00A75830"/>
    <w:rsid w:val="00A77332"/>
    <w:rsid w:val="00A7749E"/>
    <w:rsid w:val="00A77982"/>
    <w:rsid w:val="00A77E4E"/>
    <w:rsid w:val="00A8004C"/>
    <w:rsid w:val="00A80751"/>
    <w:rsid w:val="00A807CD"/>
    <w:rsid w:val="00A81800"/>
    <w:rsid w:val="00A81937"/>
    <w:rsid w:val="00A82448"/>
    <w:rsid w:val="00A827E0"/>
    <w:rsid w:val="00A82A33"/>
    <w:rsid w:val="00A834C6"/>
    <w:rsid w:val="00A837C2"/>
    <w:rsid w:val="00A837E2"/>
    <w:rsid w:val="00A83E0F"/>
    <w:rsid w:val="00A83E18"/>
    <w:rsid w:val="00A84024"/>
    <w:rsid w:val="00A84314"/>
    <w:rsid w:val="00A84738"/>
    <w:rsid w:val="00A8489D"/>
    <w:rsid w:val="00A851E7"/>
    <w:rsid w:val="00A856BA"/>
    <w:rsid w:val="00A858E6"/>
    <w:rsid w:val="00A85C9A"/>
    <w:rsid w:val="00A85D36"/>
    <w:rsid w:val="00A869DF"/>
    <w:rsid w:val="00A86C89"/>
    <w:rsid w:val="00A9061D"/>
    <w:rsid w:val="00A911C8"/>
    <w:rsid w:val="00A919BB"/>
    <w:rsid w:val="00A91E0F"/>
    <w:rsid w:val="00A939E3"/>
    <w:rsid w:val="00A93A81"/>
    <w:rsid w:val="00A93AFC"/>
    <w:rsid w:val="00A94253"/>
    <w:rsid w:val="00A95303"/>
    <w:rsid w:val="00A95628"/>
    <w:rsid w:val="00A958D2"/>
    <w:rsid w:val="00A96274"/>
    <w:rsid w:val="00A9672C"/>
    <w:rsid w:val="00A96A2E"/>
    <w:rsid w:val="00A97C45"/>
    <w:rsid w:val="00A97EB6"/>
    <w:rsid w:val="00A97F55"/>
    <w:rsid w:val="00A97F75"/>
    <w:rsid w:val="00AA0728"/>
    <w:rsid w:val="00AA078F"/>
    <w:rsid w:val="00AA0E74"/>
    <w:rsid w:val="00AA142D"/>
    <w:rsid w:val="00AA14AA"/>
    <w:rsid w:val="00AA2243"/>
    <w:rsid w:val="00AA2838"/>
    <w:rsid w:val="00AA2ABD"/>
    <w:rsid w:val="00AA2ADE"/>
    <w:rsid w:val="00AA3232"/>
    <w:rsid w:val="00AA35A5"/>
    <w:rsid w:val="00AA3704"/>
    <w:rsid w:val="00AA3FA9"/>
    <w:rsid w:val="00AA426E"/>
    <w:rsid w:val="00AA446D"/>
    <w:rsid w:val="00AA61A1"/>
    <w:rsid w:val="00AA63DC"/>
    <w:rsid w:val="00AA65D2"/>
    <w:rsid w:val="00AA6B12"/>
    <w:rsid w:val="00AA7762"/>
    <w:rsid w:val="00AA7E48"/>
    <w:rsid w:val="00AB0852"/>
    <w:rsid w:val="00AB09A7"/>
    <w:rsid w:val="00AB0CB7"/>
    <w:rsid w:val="00AB0DB6"/>
    <w:rsid w:val="00AB11A8"/>
    <w:rsid w:val="00AB127D"/>
    <w:rsid w:val="00AB2CEC"/>
    <w:rsid w:val="00AB333F"/>
    <w:rsid w:val="00AB3CD3"/>
    <w:rsid w:val="00AB3ED7"/>
    <w:rsid w:val="00AB4B03"/>
    <w:rsid w:val="00AB4E9C"/>
    <w:rsid w:val="00AB4F9B"/>
    <w:rsid w:val="00AB6EC8"/>
    <w:rsid w:val="00AB733E"/>
    <w:rsid w:val="00AB7617"/>
    <w:rsid w:val="00AB7FB3"/>
    <w:rsid w:val="00AC00DA"/>
    <w:rsid w:val="00AC01FE"/>
    <w:rsid w:val="00AC1A7F"/>
    <w:rsid w:val="00AC20C9"/>
    <w:rsid w:val="00AC27BF"/>
    <w:rsid w:val="00AC3899"/>
    <w:rsid w:val="00AC3AD7"/>
    <w:rsid w:val="00AC4266"/>
    <w:rsid w:val="00AC4297"/>
    <w:rsid w:val="00AC5AEC"/>
    <w:rsid w:val="00AC5E9A"/>
    <w:rsid w:val="00AC6309"/>
    <w:rsid w:val="00AC6D63"/>
    <w:rsid w:val="00AC7428"/>
    <w:rsid w:val="00AC78BB"/>
    <w:rsid w:val="00AC7A3B"/>
    <w:rsid w:val="00AC7EE5"/>
    <w:rsid w:val="00AD06CA"/>
    <w:rsid w:val="00AD0823"/>
    <w:rsid w:val="00AD0A11"/>
    <w:rsid w:val="00AD0CD3"/>
    <w:rsid w:val="00AD0F1C"/>
    <w:rsid w:val="00AD0F75"/>
    <w:rsid w:val="00AD1486"/>
    <w:rsid w:val="00AD15EE"/>
    <w:rsid w:val="00AD16AD"/>
    <w:rsid w:val="00AD16DA"/>
    <w:rsid w:val="00AD1D29"/>
    <w:rsid w:val="00AD1E22"/>
    <w:rsid w:val="00AD26EE"/>
    <w:rsid w:val="00AD418A"/>
    <w:rsid w:val="00AD4995"/>
    <w:rsid w:val="00AD4B3C"/>
    <w:rsid w:val="00AD502A"/>
    <w:rsid w:val="00AD5818"/>
    <w:rsid w:val="00AD60EC"/>
    <w:rsid w:val="00AD6F30"/>
    <w:rsid w:val="00AD72C4"/>
    <w:rsid w:val="00AD7345"/>
    <w:rsid w:val="00AE00AA"/>
    <w:rsid w:val="00AE0C7D"/>
    <w:rsid w:val="00AE122B"/>
    <w:rsid w:val="00AE18DC"/>
    <w:rsid w:val="00AE1D54"/>
    <w:rsid w:val="00AE1DD7"/>
    <w:rsid w:val="00AE21C6"/>
    <w:rsid w:val="00AE290C"/>
    <w:rsid w:val="00AE2A50"/>
    <w:rsid w:val="00AE2D8C"/>
    <w:rsid w:val="00AE2EEB"/>
    <w:rsid w:val="00AE2F8A"/>
    <w:rsid w:val="00AE3AF0"/>
    <w:rsid w:val="00AE438F"/>
    <w:rsid w:val="00AE5050"/>
    <w:rsid w:val="00AE57D1"/>
    <w:rsid w:val="00AE59DC"/>
    <w:rsid w:val="00AE5D8E"/>
    <w:rsid w:val="00AE60E5"/>
    <w:rsid w:val="00AE618F"/>
    <w:rsid w:val="00AE76F7"/>
    <w:rsid w:val="00AF05E4"/>
    <w:rsid w:val="00AF0E36"/>
    <w:rsid w:val="00AF15AF"/>
    <w:rsid w:val="00AF1930"/>
    <w:rsid w:val="00AF19B7"/>
    <w:rsid w:val="00AF1CBD"/>
    <w:rsid w:val="00AF23AE"/>
    <w:rsid w:val="00AF2A9E"/>
    <w:rsid w:val="00AF31FD"/>
    <w:rsid w:val="00AF32CA"/>
    <w:rsid w:val="00AF3BD1"/>
    <w:rsid w:val="00AF46FE"/>
    <w:rsid w:val="00AF4F69"/>
    <w:rsid w:val="00AF5041"/>
    <w:rsid w:val="00AF5655"/>
    <w:rsid w:val="00AF5C13"/>
    <w:rsid w:val="00AF5EAD"/>
    <w:rsid w:val="00AF6286"/>
    <w:rsid w:val="00AF6909"/>
    <w:rsid w:val="00AF751D"/>
    <w:rsid w:val="00AF7A8E"/>
    <w:rsid w:val="00B00536"/>
    <w:rsid w:val="00B009DD"/>
    <w:rsid w:val="00B00E54"/>
    <w:rsid w:val="00B0146B"/>
    <w:rsid w:val="00B0170C"/>
    <w:rsid w:val="00B017B2"/>
    <w:rsid w:val="00B01A4D"/>
    <w:rsid w:val="00B01A92"/>
    <w:rsid w:val="00B01CB9"/>
    <w:rsid w:val="00B02353"/>
    <w:rsid w:val="00B024F1"/>
    <w:rsid w:val="00B02652"/>
    <w:rsid w:val="00B02C62"/>
    <w:rsid w:val="00B036F6"/>
    <w:rsid w:val="00B039C8"/>
    <w:rsid w:val="00B0437F"/>
    <w:rsid w:val="00B043DE"/>
    <w:rsid w:val="00B04434"/>
    <w:rsid w:val="00B050AB"/>
    <w:rsid w:val="00B0534B"/>
    <w:rsid w:val="00B055B0"/>
    <w:rsid w:val="00B056D2"/>
    <w:rsid w:val="00B05D67"/>
    <w:rsid w:val="00B05E1F"/>
    <w:rsid w:val="00B061E3"/>
    <w:rsid w:val="00B073E0"/>
    <w:rsid w:val="00B07A83"/>
    <w:rsid w:val="00B07C4B"/>
    <w:rsid w:val="00B10188"/>
    <w:rsid w:val="00B10BF8"/>
    <w:rsid w:val="00B115C3"/>
    <w:rsid w:val="00B1183B"/>
    <w:rsid w:val="00B11C37"/>
    <w:rsid w:val="00B11D65"/>
    <w:rsid w:val="00B125F1"/>
    <w:rsid w:val="00B12AA6"/>
    <w:rsid w:val="00B1357A"/>
    <w:rsid w:val="00B13D65"/>
    <w:rsid w:val="00B16B79"/>
    <w:rsid w:val="00B172CD"/>
    <w:rsid w:val="00B20019"/>
    <w:rsid w:val="00B207A7"/>
    <w:rsid w:val="00B20A72"/>
    <w:rsid w:val="00B20B50"/>
    <w:rsid w:val="00B20F00"/>
    <w:rsid w:val="00B21D65"/>
    <w:rsid w:val="00B22236"/>
    <w:rsid w:val="00B226E1"/>
    <w:rsid w:val="00B229B0"/>
    <w:rsid w:val="00B22EF0"/>
    <w:rsid w:val="00B235BB"/>
    <w:rsid w:val="00B23993"/>
    <w:rsid w:val="00B23EF6"/>
    <w:rsid w:val="00B23FE4"/>
    <w:rsid w:val="00B24336"/>
    <w:rsid w:val="00B25156"/>
    <w:rsid w:val="00B256B5"/>
    <w:rsid w:val="00B25C48"/>
    <w:rsid w:val="00B2659F"/>
    <w:rsid w:val="00B30240"/>
    <w:rsid w:val="00B30DB4"/>
    <w:rsid w:val="00B31459"/>
    <w:rsid w:val="00B31972"/>
    <w:rsid w:val="00B32001"/>
    <w:rsid w:val="00B32585"/>
    <w:rsid w:val="00B32F85"/>
    <w:rsid w:val="00B32FEA"/>
    <w:rsid w:val="00B33155"/>
    <w:rsid w:val="00B35B7B"/>
    <w:rsid w:val="00B35C2A"/>
    <w:rsid w:val="00B3725A"/>
    <w:rsid w:val="00B375FF"/>
    <w:rsid w:val="00B377EE"/>
    <w:rsid w:val="00B37B57"/>
    <w:rsid w:val="00B37B70"/>
    <w:rsid w:val="00B37FB5"/>
    <w:rsid w:val="00B400CB"/>
    <w:rsid w:val="00B40612"/>
    <w:rsid w:val="00B4076E"/>
    <w:rsid w:val="00B40A60"/>
    <w:rsid w:val="00B40EA7"/>
    <w:rsid w:val="00B4125D"/>
    <w:rsid w:val="00B41585"/>
    <w:rsid w:val="00B41741"/>
    <w:rsid w:val="00B41764"/>
    <w:rsid w:val="00B41B82"/>
    <w:rsid w:val="00B41C3F"/>
    <w:rsid w:val="00B41C57"/>
    <w:rsid w:val="00B41CFB"/>
    <w:rsid w:val="00B41D93"/>
    <w:rsid w:val="00B41DFE"/>
    <w:rsid w:val="00B42285"/>
    <w:rsid w:val="00B43004"/>
    <w:rsid w:val="00B431B4"/>
    <w:rsid w:val="00B43235"/>
    <w:rsid w:val="00B433FD"/>
    <w:rsid w:val="00B437E5"/>
    <w:rsid w:val="00B43B5D"/>
    <w:rsid w:val="00B4454D"/>
    <w:rsid w:val="00B44BAC"/>
    <w:rsid w:val="00B4503C"/>
    <w:rsid w:val="00B45DFE"/>
    <w:rsid w:val="00B460D7"/>
    <w:rsid w:val="00B46221"/>
    <w:rsid w:val="00B4644E"/>
    <w:rsid w:val="00B46B70"/>
    <w:rsid w:val="00B46E7C"/>
    <w:rsid w:val="00B470A5"/>
    <w:rsid w:val="00B47806"/>
    <w:rsid w:val="00B47AFA"/>
    <w:rsid w:val="00B47E18"/>
    <w:rsid w:val="00B5016E"/>
    <w:rsid w:val="00B501BF"/>
    <w:rsid w:val="00B5081B"/>
    <w:rsid w:val="00B516AA"/>
    <w:rsid w:val="00B51C93"/>
    <w:rsid w:val="00B524C2"/>
    <w:rsid w:val="00B52592"/>
    <w:rsid w:val="00B52A34"/>
    <w:rsid w:val="00B52D9F"/>
    <w:rsid w:val="00B52FDE"/>
    <w:rsid w:val="00B530B2"/>
    <w:rsid w:val="00B5317A"/>
    <w:rsid w:val="00B53D5F"/>
    <w:rsid w:val="00B53DAB"/>
    <w:rsid w:val="00B5458C"/>
    <w:rsid w:val="00B545CE"/>
    <w:rsid w:val="00B54B95"/>
    <w:rsid w:val="00B55571"/>
    <w:rsid w:val="00B56C1B"/>
    <w:rsid w:val="00B56F98"/>
    <w:rsid w:val="00B56FC9"/>
    <w:rsid w:val="00B575B5"/>
    <w:rsid w:val="00B57C05"/>
    <w:rsid w:val="00B57CF0"/>
    <w:rsid w:val="00B60331"/>
    <w:rsid w:val="00B603C2"/>
    <w:rsid w:val="00B60484"/>
    <w:rsid w:val="00B606E4"/>
    <w:rsid w:val="00B60A93"/>
    <w:rsid w:val="00B61A07"/>
    <w:rsid w:val="00B61AA2"/>
    <w:rsid w:val="00B61D0D"/>
    <w:rsid w:val="00B61E32"/>
    <w:rsid w:val="00B621DD"/>
    <w:rsid w:val="00B6231F"/>
    <w:rsid w:val="00B62629"/>
    <w:rsid w:val="00B6302A"/>
    <w:rsid w:val="00B63810"/>
    <w:rsid w:val="00B63E6A"/>
    <w:rsid w:val="00B64600"/>
    <w:rsid w:val="00B648A3"/>
    <w:rsid w:val="00B64CAC"/>
    <w:rsid w:val="00B64DB2"/>
    <w:rsid w:val="00B64F7B"/>
    <w:rsid w:val="00B6511D"/>
    <w:rsid w:val="00B65397"/>
    <w:rsid w:val="00B656D9"/>
    <w:rsid w:val="00B6580F"/>
    <w:rsid w:val="00B662FC"/>
    <w:rsid w:val="00B670C0"/>
    <w:rsid w:val="00B67DF8"/>
    <w:rsid w:val="00B70D87"/>
    <w:rsid w:val="00B70E83"/>
    <w:rsid w:val="00B734E4"/>
    <w:rsid w:val="00B7356E"/>
    <w:rsid w:val="00B73A59"/>
    <w:rsid w:val="00B74111"/>
    <w:rsid w:val="00B74233"/>
    <w:rsid w:val="00B748AC"/>
    <w:rsid w:val="00B74C9D"/>
    <w:rsid w:val="00B74EF6"/>
    <w:rsid w:val="00B751CC"/>
    <w:rsid w:val="00B75E0F"/>
    <w:rsid w:val="00B760F7"/>
    <w:rsid w:val="00B76C33"/>
    <w:rsid w:val="00B76F92"/>
    <w:rsid w:val="00B80144"/>
    <w:rsid w:val="00B8088E"/>
    <w:rsid w:val="00B81051"/>
    <w:rsid w:val="00B81AE0"/>
    <w:rsid w:val="00B81F2E"/>
    <w:rsid w:val="00B82254"/>
    <w:rsid w:val="00B8299C"/>
    <w:rsid w:val="00B833FB"/>
    <w:rsid w:val="00B83A68"/>
    <w:rsid w:val="00B83E60"/>
    <w:rsid w:val="00B84080"/>
    <w:rsid w:val="00B848FB"/>
    <w:rsid w:val="00B84A79"/>
    <w:rsid w:val="00B850FB"/>
    <w:rsid w:val="00B85307"/>
    <w:rsid w:val="00B858EC"/>
    <w:rsid w:val="00B85D02"/>
    <w:rsid w:val="00B85F21"/>
    <w:rsid w:val="00B862B3"/>
    <w:rsid w:val="00B86E00"/>
    <w:rsid w:val="00B87180"/>
    <w:rsid w:val="00B87757"/>
    <w:rsid w:val="00B906EB"/>
    <w:rsid w:val="00B90E23"/>
    <w:rsid w:val="00B91024"/>
    <w:rsid w:val="00B91476"/>
    <w:rsid w:val="00B914A1"/>
    <w:rsid w:val="00B91528"/>
    <w:rsid w:val="00B91718"/>
    <w:rsid w:val="00B91951"/>
    <w:rsid w:val="00B91D60"/>
    <w:rsid w:val="00B926F1"/>
    <w:rsid w:val="00B928D2"/>
    <w:rsid w:val="00B9292D"/>
    <w:rsid w:val="00B92F8A"/>
    <w:rsid w:val="00B9317D"/>
    <w:rsid w:val="00B93545"/>
    <w:rsid w:val="00B94DEC"/>
    <w:rsid w:val="00B9568B"/>
    <w:rsid w:val="00B95A69"/>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46C"/>
    <w:rsid w:val="00BA4EA8"/>
    <w:rsid w:val="00BA508F"/>
    <w:rsid w:val="00BA51F2"/>
    <w:rsid w:val="00BA56DA"/>
    <w:rsid w:val="00BA64BD"/>
    <w:rsid w:val="00BA6E71"/>
    <w:rsid w:val="00BA7108"/>
    <w:rsid w:val="00BA72AC"/>
    <w:rsid w:val="00BA7687"/>
    <w:rsid w:val="00BA7826"/>
    <w:rsid w:val="00BA7877"/>
    <w:rsid w:val="00BA7D8F"/>
    <w:rsid w:val="00BB15DC"/>
    <w:rsid w:val="00BB2AFB"/>
    <w:rsid w:val="00BB2B35"/>
    <w:rsid w:val="00BB2D6F"/>
    <w:rsid w:val="00BB305B"/>
    <w:rsid w:val="00BB37E4"/>
    <w:rsid w:val="00BB40D9"/>
    <w:rsid w:val="00BB40E4"/>
    <w:rsid w:val="00BB5E86"/>
    <w:rsid w:val="00BB5F6C"/>
    <w:rsid w:val="00BB6207"/>
    <w:rsid w:val="00BB62D2"/>
    <w:rsid w:val="00BB6B10"/>
    <w:rsid w:val="00BB6DDE"/>
    <w:rsid w:val="00BB7AA6"/>
    <w:rsid w:val="00BC042C"/>
    <w:rsid w:val="00BC0683"/>
    <w:rsid w:val="00BC06DD"/>
    <w:rsid w:val="00BC25A6"/>
    <w:rsid w:val="00BC2E36"/>
    <w:rsid w:val="00BC2EA1"/>
    <w:rsid w:val="00BC32D8"/>
    <w:rsid w:val="00BC3B71"/>
    <w:rsid w:val="00BC3C58"/>
    <w:rsid w:val="00BC3E5B"/>
    <w:rsid w:val="00BC3E5D"/>
    <w:rsid w:val="00BC4616"/>
    <w:rsid w:val="00BC46D3"/>
    <w:rsid w:val="00BC4FA8"/>
    <w:rsid w:val="00BC5A01"/>
    <w:rsid w:val="00BC5C6D"/>
    <w:rsid w:val="00BC5FF8"/>
    <w:rsid w:val="00BC660B"/>
    <w:rsid w:val="00BC66E7"/>
    <w:rsid w:val="00BC7F45"/>
    <w:rsid w:val="00BD0B0B"/>
    <w:rsid w:val="00BD0B1A"/>
    <w:rsid w:val="00BD0CEC"/>
    <w:rsid w:val="00BD16E1"/>
    <w:rsid w:val="00BD1D86"/>
    <w:rsid w:val="00BD281B"/>
    <w:rsid w:val="00BD28C8"/>
    <w:rsid w:val="00BD2C08"/>
    <w:rsid w:val="00BD2E2F"/>
    <w:rsid w:val="00BD2FD8"/>
    <w:rsid w:val="00BD3966"/>
    <w:rsid w:val="00BD3DC4"/>
    <w:rsid w:val="00BD3F7D"/>
    <w:rsid w:val="00BD44E6"/>
    <w:rsid w:val="00BD4CD6"/>
    <w:rsid w:val="00BD5185"/>
    <w:rsid w:val="00BD524B"/>
    <w:rsid w:val="00BD550C"/>
    <w:rsid w:val="00BD575F"/>
    <w:rsid w:val="00BD5881"/>
    <w:rsid w:val="00BD5C96"/>
    <w:rsid w:val="00BD635D"/>
    <w:rsid w:val="00BD6455"/>
    <w:rsid w:val="00BD6654"/>
    <w:rsid w:val="00BD6A1E"/>
    <w:rsid w:val="00BD72B8"/>
    <w:rsid w:val="00BD7739"/>
    <w:rsid w:val="00BE073C"/>
    <w:rsid w:val="00BE1929"/>
    <w:rsid w:val="00BE19BB"/>
    <w:rsid w:val="00BE1DCD"/>
    <w:rsid w:val="00BE2AEB"/>
    <w:rsid w:val="00BE3072"/>
    <w:rsid w:val="00BE4419"/>
    <w:rsid w:val="00BE595A"/>
    <w:rsid w:val="00BE5F33"/>
    <w:rsid w:val="00BE6190"/>
    <w:rsid w:val="00BE67BE"/>
    <w:rsid w:val="00BE6B56"/>
    <w:rsid w:val="00BE6F76"/>
    <w:rsid w:val="00BE73F8"/>
    <w:rsid w:val="00BE7588"/>
    <w:rsid w:val="00BE77E3"/>
    <w:rsid w:val="00BE7D87"/>
    <w:rsid w:val="00BE7E73"/>
    <w:rsid w:val="00BF0AD1"/>
    <w:rsid w:val="00BF0DF3"/>
    <w:rsid w:val="00BF0F56"/>
    <w:rsid w:val="00BF0FC3"/>
    <w:rsid w:val="00BF1021"/>
    <w:rsid w:val="00BF1398"/>
    <w:rsid w:val="00BF1696"/>
    <w:rsid w:val="00BF1A00"/>
    <w:rsid w:val="00BF235D"/>
    <w:rsid w:val="00BF25A6"/>
    <w:rsid w:val="00BF5550"/>
    <w:rsid w:val="00BF6235"/>
    <w:rsid w:val="00BF6ED9"/>
    <w:rsid w:val="00BF74BB"/>
    <w:rsid w:val="00BF763E"/>
    <w:rsid w:val="00BF7FAA"/>
    <w:rsid w:val="00C008B3"/>
    <w:rsid w:val="00C00DC7"/>
    <w:rsid w:val="00C01856"/>
    <w:rsid w:val="00C01E1E"/>
    <w:rsid w:val="00C01F9C"/>
    <w:rsid w:val="00C01FE7"/>
    <w:rsid w:val="00C023B9"/>
    <w:rsid w:val="00C03168"/>
    <w:rsid w:val="00C035B3"/>
    <w:rsid w:val="00C03DC2"/>
    <w:rsid w:val="00C0437F"/>
    <w:rsid w:val="00C049CF"/>
    <w:rsid w:val="00C04CEB"/>
    <w:rsid w:val="00C05063"/>
    <w:rsid w:val="00C050D4"/>
    <w:rsid w:val="00C0677F"/>
    <w:rsid w:val="00C06AFE"/>
    <w:rsid w:val="00C07639"/>
    <w:rsid w:val="00C078CF"/>
    <w:rsid w:val="00C07A72"/>
    <w:rsid w:val="00C07B60"/>
    <w:rsid w:val="00C07E83"/>
    <w:rsid w:val="00C10659"/>
    <w:rsid w:val="00C1071C"/>
    <w:rsid w:val="00C10959"/>
    <w:rsid w:val="00C11203"/>
    <w:rsid w:val="00C11C08"/>
    <w:rsid w:val="00C1259B"/>
    <w:rsid w:val="00C12BB2"/>
    <w:rsid w:val="00C12D0E"/>
    <w:rsid w:val="00C1334F"/>
    <w:rsid w:val="00C135B4"/>
    <w:rsid w:val="00C13A1A"/>
    <w:rsid w:val="00C13C71"/>
    <w:rsid w:val="00C13DE4"/>
    <w:rsid w:val="00C13E62"/>
    <w:rsid w:val="00C142BD"/>
    <w:rsid w:val="00C14E6E"/>
    <w:rsid w:val="00C15344"/>
    <w:rsid w:val="00C15AF0"/>
    <w:rsid w:val="00C15B1C"/>
    <w:rsid w:val="00C15B5F"/>
    <w:rsid w:val="00C15E4E"/>
    <w:rsid w:val="00C15F2E"/>
    <w:rsid w:val="00C1605E"/>
    <w:rsid w:val="00C160F9"/>
    <w:rsid w:val="00C16183"/>
    <w:rsid w:val="00C16615"/>
    <w:rsid w:val="00C16B92"/>
    <w:rsid w:val="00C1723B"/>
    <w:rsid w:val="00C1765B"/>
    <w:rsid w:val="00C17A48"/>
    <w:rsid w:val="00C203C6"/>
    <w:rsid w:val="00C203D5"/>
    <w:rsid w:val="00C2084C"/>
    <w:rsid w:val="00C20AE6"/>
    <w:rsid w:val="00C211E5"/>
    <w:rsid w:val="00C21995"/>
    <w:rsid w:val="00C21EEF"/>
    <w:rsid w:val="00C22329"/>
    <w:rsid w:val="00C22ACB"/>
    <w:rsid w:val="00C2360F"/>
    <w:rsid w:val="00C23BD6"/>
    <w:rsid w:val="00C23DC8"/>
    <w:rsid w:val="00C23E22"/>
    <w:rsid w:val="00C23E52"/>
    <w:rsid w:val="00C23E5E"/>
    <w:rsid w:val="00C2411A"/>
    <w:rsid w:val="00C258CE"/>
    <w:rsid w:val="00C25978"/>
    <w:rsid w:val="00C25CB9"/>
    <w:rsid w:val="00C25E0D"/>
    <w:rsid w:val="00C264BA"/>
    <w:rsid w:val="00C300C3"/>
    <w:rsid w:val="00C3024B"/>
    <w:rsid w:val="00C308B2"/>
    <w:rsid w:val="00C31057"/>
    <w:rsid w:val="00C319E2"/>
    <w:rsid w:val="00C31C0A"/>
    <w:rsid w:val="00C31CB0"/>
    <w:rsid w:val="00C32374"/>
    <w:rsid w:val="00C3323B"/>
    <w:rsid w:val="00C3326F"/>
    <w:rsid w:val="00C335EE"/>
    <w:rsid w:val="00C34F40"/>
    <w:rsid w:val="00C350CA"/>
    <w:rsid w:val="00C35261"/>
    <w:rsid w:val="00C359A4"/>
    <w:rsid w:val="00C359C4"/>
    <w:rsid w:val="00C35E05"/>
    <w:rsid w:val="00C36C98"/>
    <w:rsid w:val="00C37273"/>
    <w:rsid w:val="00C3758D"/>
    <w:rsid w:val="00C40508"/>
    <w:rsid w:val="00C40923"/>
    <w:rsid w:val="00C41EA5"/>
    <w:rsid w:val="00C42587"/>
    <w:rsid w:val="00C42A3D"/>
    <w:rsid w:val="00C42D31"/>
    <w:rsid w:val="00C431ED"/>
    <w:rsid w:val="00C43BF5"/>
    <w:rsid w:val="00C43EA2"/>
    <w:rsid w:val="00C4428A"/>
    <w:rsid w:val="00C444EC"/>
    <w:rsid w:val="00C44D1D"/>
    <w:rsid w:val="00C4511B"/>
    <w:rsid w:val="00C4598F"/>
    <w:rsid w:val="00C45B24"/>
    <w:rsid w:val="00C45B64"/>
    <w:rsid w:val="00C45D29"/>
    <w:rsid w:val="00C45DC5"/>
    <w:rsid w:val="00C469A6"/>
    <w:rsid w:val="00C47099"/>
    <w:rsid w:val="00C47809"/>
    <w:rsid w:val="00C478F3"/>
    <w:rsid w:val="00C47E1B"/>
    <w:rsid w:val="00C51E06"/>
    <w:rsid w:val="00C5221D"/>
    <w:rsid w:val="00C522F9"/>
    <w:rsid w:val="00C5277E"/>
    <w:rsid w:val="00C52FFC"/>
    <w:rsid w:val="00C54843"/>
    <w:rsid w:val="00C54B4F"/>
    <w:rsid w:val="00C5576F"/>
    <w:rsid w:val="00C55DDA"/>
    <w:rsid w:val="00C56116"/>
    <w:rsid w:val="00C5634C"/>
    <w:rsid w:val="00C57DAA"/>
    <w:rsid w:val="00C60287"/>
    <w:rsid w:val="00C606AE"/>
    <w:rsid w:val="00C60781"/>
    <w:rsid w:val="00C6097D"/>
    <w:rsid w:val="00C60F17"/>
    <w:rsid w:val="00C61641"/>
    <w:rsid w:val="00C618FB"/>
    <w:rsid w:val="00C61BAF"/>
    <w:rsid w:val="00C62EF2"/>
    <w:rsid w:val="00C635C9"/>
    <w:rsid w:val="00C63A63"/>
    <w:rsid w:val="00C64296"/>
    <w:rsid w:val="00C70E4A"/>
    <w:rsid w:val="00C714ED"/>
    <w:rsid w:val="00C71A39"/>
    <w:rsid w:val="00C71C78"/>
    <w:rsid w:val="00C71FFA"/>
    <w:rsid w:val="00C72DD1"/>
    <w:rsid w:val="00C72FA5"/>
    <w:rsid w:val="00C73010"/>
    <w:rsid w:val="00C7324E"/>
    <w:rsid w:val="00C73DA1"/>
    <w:rsid w:val="00C73E9C"/>
    <w:rsid w:val="00C76C53"/>
    <w:rsid w:val="00C76E0D"/>
    <w:rsid w:val="00C77EF9"/>
    <w:rsid w:val="00C8092A"/>
    <w:rsid w:val="00C80DA1"/>
    <w:rsid w:val="00C80E1E"/>
    <w:rsid w:val="00C80FC0"/>
    <w:rsid w:val="00C80FDC"/>
    <w:rsid w:val="00C8168E"/>
    <w:rsid w:val="00C819CC"/>
    <w:rsid w:val="00C8290F"/>
    <w:rsid w:val="00C82C52"/>
    <w:rsid w:val="00C82D46"/>
    <w:rsid w:val="00C82E47"/>
    <w:rsid w:val="00C83B85"/>
    <w:rsid w:val="00C83CBE"/>
    <w:rsid w:val="00C84ACF"/>
    <w:rsid w:val="00C84B12"/>
    <w:rsid w:val="00C84BB6"/>
    <w:rsid w:val="00C84BEF"/>
    <w:rsid w:val="00C853CA"/>
    <w:rsid w:val="00C860A2"/>
    <w:rsid w:val="00C867BA"/>
    <w:rsid w:val="00C86922"/>
    <w:rsid w:val="00C86925"/>
    <w:rsid w:val="00C87EFE"/>
    <w:rsid w:val="00C87FB1"/>
    <w:rsid w:val="00C9014B"/>
    <w:rsid w:val="00C91ACB"/>
    <w:rsid w:val="00C91BE2"/>
    <w:rsid w:val="00C92671"/>
    <w:rsid w:val="00C92777"/>
    <w:rsid w:val="00C934B0"/>
    <w:rsid w:val="00C9384C"/>
    <w:rsid w:val="00C938F4"/>
    <w:rsid w:val="00C94483"/>
    <w:rsid w:val="00C94821"/>
    <w:rsid w:val="00C94D50"/>
    <w:rsid w:val="00C94E0F"/>
    <w:rsid w:val="00C94E71"/>
    <w:rsid w:val="00C9570D"/>
    <w:rsid w:val="00C957F4"/>
    <w:rsid w:val="00C9585B"/>
    <w:rsid w:val="00C95EF8"/>
    <w:rsid w:val="00C96E24"/>
    <w:rsid w:val="00C97140"/>
    <w:rsid w:val="00C97C1A"/>
    <w:rsid w:val="00CA002D"/>
    <w:rsid w:val="00CA09EC"/>
    <w:rsid w:val="00CA1469"/>
    <w:rsid w:val="00CA2097"/>
    <w:rsid w:val="00CA2121"/>
    <w:rsid w:val="00CA2B95"/>
    <w:rsid w:val="00CA2D92"/>
    <w:rsid w:val="00CA31B2"/>
    <w:rsid w:val="00CA32C0"/>
    <w:rsid w:val="00CA3D3A"/>
    <w:rsid w:val="00CA3E8E"/>
    <w:rsid w:val="00CA4135"/>
    <w:rsid w:val="00CA42EB"/>
    <w:rsid w:val="00CA48A8"/>
    <w:rsid w:val="00CA4F0E"/>
    <w:rsid w:val="00CA4F49"/>
    <w:rsid w:val="00CA525A"/>
    <w:rsid w:val="00CA6573"/>
    <w:rsid w:val="00CA70D9"/>
    <w:rsid w:val="00CA75EE"/>
    <w:rsid w:val="00CA76D2"/>
    <w:rsid w:val="00CA7749"/>
    <w:rsid w:val="00CB0315"/>
    <w:rsid w:val="00CB160F"/>
    <w:rsid w:val="00CB25D4"/>
    <w:rsid w:val="00CB2A82"/>
    <w:rsid w:val="00CB2ADA"/>
    <w:rsid w:val="00CB2C45"/>
    <w:rsid w:val="00CB2C49"/>
    <w:rsid w:val="00CB30AF"/>
    <w:rsid w:val="00CB39F6"/>
    <w:rsid w:val="00CB590E"/>
    <w:rsid w:val="00CB5F1A"/>
    <w:rsid w:val="00CB6DD8"/>
    <w:rsid w:val="00CB7091"/>
    <w:rsid w:val="00CB7D9C"/>
    <w:rsid w:val="00CC10B8"/>
    <w:rsid w:val="00CC1B07"/>
    <w:rsid w:val="00CC1F22"/>
    <w:rsid w:val="00CC30A9"/>
    <w:rsid w:val="00CC31D4"/>
    <w:rsid w:val="00CC340A"/>
    <w:rsid w:val="00CC3755"/>
    <w:rsid w:val="00CC3C87"/>
    <w:rsid w:val="00CC4915"/>
    <w:rsid w:val="00CC4B30"/>
    <w:rsid w:val="00CC4C0B"/>
    <w:rsid w:val="00CC55FE"/>
    <w:rsid w:val="00CC571F"/>
    <w:rsid w:val="00CC58EB"/>
    <w:rsid w:val="00CC5D52"/>
    <w:rsid w:val="00CC6223"/>
    <w:rsid w:val="00CC6422"/>
    <w:rsid w:val="00CC6501"/>
    <w:rsid w:val="00CC6762"/>
    <w:rsid w:val="00CC7053"/>
    <w:rsid w:val="00CC7521"/>
    <w:rsid w:val="00CC78E8"/>
    <w:rsid w:val="00CC7CDA"/>
    <w:rsid w:val="00CD06C4"/>
    <w:rsid w:val="00CD1833"/>
    <w:rsid w:val="00CD1B20"/>
    <w:rsid w:val="00CD20E3"/>
    <w:rsid w:val="00CD3043"/>
    <w:rsid w:val="00CD3C90"/>
    <w:rsid w:val="00CD4DD3"/>
    <w:rsid w:val="00CD51BC"/>
    <w:rsid w:val="00CD675A"/>
    <w:rsid w:val="00CD712A"/>
    <w:rsid w:val="00CD79B4"/>
    <w:rsid w:val="00CE0326"/>
    <w:rsid w:val="00CE0B85"/>
    <w:rsid w:val="00CE0FF0"/>
    <w:rsid w:val="00CE1518"/>
    <w:rsid w:val="00CE1F2D"/>
    <w:rsid w:val="00CE2FDE"/>
    <w:rsid w:val="00CE3822"/>
    <w:rsid w:val="00CE3D45"/>
    <w:rsid w:val="00CE41ED"/>
    <w:rsid w:val="00CE4E42"/>
    <w:rsid w:val="00CE4EB2"/>
    <w:rsid w:val="00CE5E06"/>
    <w:rsid w:val="00CE5F42"/>
    <w:rsid w:val="00CE60FE"/>
    <w:rsid w:val="00CE693A"/>
    <w:rsid w:val="00CE6F50"/>
    <w:rsid w:val="00CE73DB"/>
    <w:rsid w:val="00CE7A54"/>
    <w:rsid w:val="00CF0AA4"/>
    <w:rsid w:val="00CF0EBF"/>
    <w:rsid w:val="00CF1239"/>
    <w:rsid w:val="00CF1255"/>
    <w:rsid w:val="00CF12F2"/>
    <w:rsid w:val="00CF1311"/>
    <w:rsid w:val="00CF14E6"/>
    <w:rsid w:val="00CF1E47"/>
    <w:rsid w:val="00CF3C93"/>
    <w:rsid w:val="00CF41AF"/>
    <w:rsid w:val="00CF49CF"/>
    <w:rsid w:val="00CF5488"/>
    <w:rsid w:val="00CF57A9"/>
    <w:rsid w:val="00CF717F"/>
    <w:rsid w:val="00CF7238"/>
    <w:rsid w:val="00D014B7"/>
    <w:rsid w:val="00D034CB"/>
    <w:rsid w:val="00D03A82"/>
    <w:rsid w:val="00D03ACE"/>
    <w:rsid w:val="00D03BE2"/>
    <w:rsid w:val="00D03EF1"/>
    <w:rsid w:val="00D04E5B"/>
    <w:rsid w:val="00D04EC1"/>
    <w:rsid w:val="00D06119"/>
    <w:rsid w:val="00D11320"/>
    <w:rsid w:val="00D12B7A"/>
    <w:rsid w:val="00D137F2"/>
    <w:rsid w:val="00D13A08"/>
    <w:rsid w:val="00D13FA9"/>
    <w:rsid w:val="00D14A5F"/>
    <w:rsid w:val="00D14B1C"/>
    <w:rsid w:val="00D14D85"/>
    <w:rsid w:val="00D155B2"/>
    <w:rsid w:val="00D168AA"/>
    <w:rsid w:val="00D16ED1"/>
    <w:rsid w:val="00D17446"/>
    <w:rsid w:val="00D17D03"/>
    <w:rsid w:val="00D21410"/>
    <w:rsid w:val="00D2155B"/>
    <w:rsid w:val="00D2189B"/>
    <w:rsid w:val="00D21F07"/>
    <w:rsid w:val="00D223C6"/>
    <w:rsid w:val="00D22427"/>
    <w:rsid w:val="00D22BAC"/>
    <w:rsid w:val="00D235E4"/>
    <w:rsid w:val="00D236F0"/>
    <w:rsid w:val="00D2409C"/>
    <w:rsid w:val="00D24354"/>
    <w:rsid w:val="00D24AFC"/>
    <w:rsid w:val="00D258FE"/>
    <w:rsid w:val="00D25C5E"/>
    <w:rsid w:val="00D26057"/>
    <w:rsid w:val="00D263EA"/>
    <w:rsid w:val="00D26D69"/>
    <w:rsid w:val="00D2745A"/>
    <w:rsid w:val="00D2747F"/>
    <w:rsid w:val="00D2761F"/>
    <w:rsid w:val="00D277A4"/>
    <w:rsid w:val="00D2795C"/>
    <w:rsid w:val="00D3005F"/>
    <w:rsid w:val="00D301FA"/>
    <w:rsid w:val="00D3034D"/>
    <w:rsid w:val="00D3062E"/>
    <w:rsid w:val="00D309A8"/>
    <w:rsid w:val="00D30B1A"/>
    <w:rsid w:val="00D31AEB"/>
    <w:rsid w:val="00D323BF"/>
    <w:rsid w:val="00D32A5A"/>
    <w:rsid w:val="00D33152"/>
    <w:rsid w:val="00D33461"/>
    <w:rsid w:val="00D349E5"/>
    <w:rsid w:val="00D34D8D"/>
    <w:rsid w:val="00D34F23"/>
    <w:rsid w:val="00D35072"/>
    <w:rsid w:val="00D36493"/>
    <w:rsid w:val="00D367B0"/>
    <w:rsid w:val="00D370A2"/>
    <w:rsid w:val="00D40221"/>
    <w:rsid w:val="00D40C86"/>
    <w:rsid w:val="00D419C5"/>
    <w:rsid w:val="00D41B6B"/>
    <w:rsid w:val="00D41D3B"/>
    <w:rsid w:val="00D41F24"/>
    <w:rsid w:val="00D42CAC"/>
    <w:rsid w:val="00D42EC5"/>
    <w:rsid w:val="00D42F80"/>
    <w:rsid w:val="00D43F16"/>
    <w:rsid w:val="00D44EAA"/>
    <w:rsid w:val="00D454E2"/>
    <w:rsid w:val="00D457E6"/>
    <w:rsid w:val="00D45C2C"/>
    <w:rsid w:val="00D45EFF"/>
    <w:rsid w:val="00D46612"/>
    <w:rsid w:val="00D46B9F"/>
    <w:rsid w:val="00D46CBB"/>
    <w:rsid w:val="00D47574"/>
    <w:rsid w:val="00D52005"/>
    <w:rsid w:val="00D521FD"/>
    <w:rsid w:val="00D52564"/>
    <w:rsid w:val="00D52A44"/>
    <w:rsid w:val="00D5326F"/>
    <w:rsid w:val="00D532CC"/>
    <w:rsid w:val="00D53421"/>
    <w:rsid w:val="00D541BD"/>
    <w:rsid w:val="00D5480A"/>
    <w:rsid w:val="00D5489F"/>
    <w:rsid w:val="00D54A48"/>
    <w:rsid w:val="00D55058"/>
    <w:rsid w:val="00D5570A"/>
    <w:rsid w:val="00D557DB"/>
    <w:rsid w:val="00D55A8B"/>
    <w:rsid w:val="00D55B4F"/>
    <w:rsid w:val="00D55C81"/>
    <w:rsid w:val="00D56050"/>
    <w:rsid w:val="00D56065"/>
    <w:rsid w:val="00D56480"/>
    <w:rsid w:val="00D56C2E"/>
    <w:rsid w:val="00D5720D"/>
    <w:rsid w:val="00D577CA"/>
    <w:rsid w:val="00D577EB"/>
    <w:rsid w:val="00D57CDF"/>
    <w:rsid w:val="00D6049A"/>
    <w:rsid w:val="00D60A7F"/>
    <w:rsid w:val="00D61150"/>
    <w:rsid w:val="00D61758"/>
    <w:rsid w:val="00D61917"/>
    <w:rsid w:val="00D61D7A"/>
    <w:rsid w:val="00D61E10"/>
    <w:rsid w:val="00D6223A"/>
    <w:rsid w:val="00D6260F"/>
    <w:rsid w:val="00D62921"/>
    <w:rsid w:val="00D62FFE"/>
    <w:rsid w:val="00D63192"/>
    <w:rsid w:val="00D6397A"/>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29C"/>
    <w:rsid w:val="00D705B4"/>
    <w:rsid w:val="00D706B1"/>
    <w:rsid w:val="00D716C8"/>
    <w:rsid w:val="00D71E92"/>
    <w:rsid w:val="00D728CE"/>
    <w:rsid w:val="00D72A98"/>
    <w:rsid w:val="00D72DA3"/>
    <w:rsid w:val="00D735F7"/>
    <w:rsid w:val="00D73655"/>
    <w:rsid w:val="00D73A0C"/>
    <w:rsid w:val="00D745F2"/>
    <w:rsid w:val="00D74789"/>
    <w:rsid w:val="00D74DD7"/>
    <w:rsid w:val="00D75277"/>
    <w:rsid w:val="00D75384"/>
    <w:rsid w:val="00D75733"/>
    <w:rsid w:val="00D759B3"/>
    <w:rsid w:val="00D76150"/>
    <w:rsid w:val="00D763FB"/>
    <w:rsid w:val="00D777DE"/>
    <w:rsid w:val="00D77804"/>
    <w:rsid w:val="00D77C94"/>
    <w:rsid w:val="00D80457"/>
    <w:rsid w:val="00D80636"/>
    <w:rsid w:val="00D80D71"/>
    <w:rsid w:val="00D82006"/>
    <w:rsid w:val="00D8221A"/>
    <w:rsid w:val="00D823D5"/>
    <w:rsid w:val="00D82888"/>
    <w:rsid w:val="00D82CD3"/>
    <w:rsid w:val="00D837DF"/>
    <w:rsid w:val="00D83DF9"/>
    <w:rsid w:val="00D83FA7"/>
    <w:rsid w:val="00D8410A"/>
    <w:rsid w:val="00D84FFA"/>
    <w:rsid w:val="00D85102"/>
    <w:rsid w:val="00D853BF"/>
    <w:rsid w:val="00D85580"/>
    <w:rsid w:val="00D8580D"/>
    <w:rsid w:val="00D85C3E"/>
    <w:rsid w:val="00D8631A"/>
    <w:rsid w:val="00D867FE"/>
    <w:rsid w:val="00D871DF"/>
    <w:rsid w:val="00D8735F"/>
    <w:rsid w:val="00D87451"/>
    <w:rsid w:val="00D91036"/>
    <w:rsid w:val="00D91440"/>
    <w:rsid w:val="00D91DF7"/>
    <w:rsid w:val="00D9265D"/>
    <w:rsid w:val="00D92E91"/>
    <w:rsid w:val="00D93198"/>
    <w:rsid w:val="00D93846"/>
    <w:rsid w:val="00D939CF"/>
    <w:rsid w:val="00D9434F"/>
    <w:rsid w:val="00D948C5"/>
    <w:rsid w:val="00D95B97"/>
    <w:rsid w:val="00D95DAB"/>
    <w:rsid w:val="00D96071"/>
    <w:rsid w:val="00D9633E"/>
    <w:rsid w:val="00D96C50"/>
    <w:rsid w:val="00DA02B7"/>
    <w:rsid w:val="00DA0488"/>
    <w:rsid w:val="00DA063A"/>
    <w:rsid w:val="00DA0ECF"/>
    <w:rsid w:val="00DA18CE"/>
    <w:rsid w:val="00DA1D1B"/>
    <w:rsid w:val="00DA1FC8"/>
    <w:rsid w:val="00DA3113"/>
    <w:rsid w:val="00DA334F"/>
    <w:rsid w:val="00DA3A08"/>
    <w:rsid w:val="00DA566C"/>
    <w:rsid w:val="00DA5F31"/>
    <w:rsid w:val="00DA638A"/>
    <w:rsid w:val="00DA63E9"/>
    <w:rsid w:val="00DA6EC4"/>
    <w:rsid w:val="00DA6EF0"/>
    <w:rsid w:val="00DA7057"/>
    <w:rsid w:val="00DA7646"/>
    <w:rsid w:val="00DB07E2"/>
    <w:rsid w:val="00DB09DB"/>
    <w:rsid w:val="00DB09FE"/>
    <w:rsid w:val="00DB0F91"/>
    <w:rsid w:val="00DB1C6F"/>
    <w:rsid w:val="00DB2584"/>
    <w:rsid w:val="00DB2798"/>
    <w:rsid w:val="00DB308C"/>
    <w:rsid w:val="00DB3723"/>
    <w:rsid w:val="00DB38BD"/>
    <w:rsid w:val="00DB3D00"/>
    <w:rsid w:val="00DB4496"/>
    <w:rsid w:val="00DB4723"/>
    <w:rsid w:val="00DB4732"/>
    <w:rsid w:val="00DB4888"/>
    <w:rsid w:val="00DB5484"/>
    <w:rsid w:val="00DB55D5"/>
    <w:rsid w:val="00DB56A3"/>
    <w:rsid w:val="00DB5FC1"/>
    <w:rsid w:val="00DB65FD"/>
    <w:rsid w:val="00DB6974"/>
    <w:rsid w:val="00DB6F94"/>
    <w:rsid w:val="00DB7616"/>
    <w:rsid w:val="00DB76EA"/>
    <w:rsid w:val="00DB7A80"/>
    <w:rsid w:val="00DC06E5"/>
    <w:rsid w:val="00DC07EE"/>
    <w:rsid w:val="00DC0CBB"/>
    <w:rsid w:val="00DC118B"/>
    <w:rsid w:val="00DC1287"/>
    <w:rsid w:val="00DC17A0"/>
    <w:rsid w:val="00DC1A6E"/>
    <w:rsid w:val="00DC37B4"/>
    <w:rsid w:val="00DC3A12"/>
    <w:rsid w:val="00DC3FF9"/>
    <w:rsid w:val="00DC412A"/>
    <w:rsid w:val="00DC4678"/>
    <w:rsid w:val="00DC4896"/>
    <w:rsid w:val="00DC4B19"/>
    <w:rsid w:val="00DC4C47"/>
    <w:rsid w:val="00DC5CB2"/>
    <w:rsid w:val="00DC7450"/>
    <w:rsid w:val="00DC795F"/>
    <w:rsid w:val="00DC7B90"/>
    <w:rsid w:val="00DC7DF7"/>
    <w:rsid w:val="00DD01B2"/>
    <w:rsid w:val="00DD0968"/>
    <w:rsid w:val="00DD0DE5"/>
    <w:rsid w:val="00DD0F24"/>
    <w:rsid w:val="00DD24B6"/>
    <w:rsid w:val="00DD2A1B"/>
    <w:rsid w:val="00DD3C96"/>
    <w:rsid w:val="00DD4B67"/>
    <w:rsid w:val="00DD65C0"/>
    <w:rsid w:val="00DD7FE4"/>
    <w:rsid w:val="00DE0855"/>
    <w:rsid w:val="00DE0EF7"/>
    <w:rsid w:val="00DE2DFB"/>
    <w:rsid w:val="00DE3616"/>
    <w:rsid w:val="00DE3C08"/>
    <w:rsid w:val="00DE425C"/>
    <w:rsid w:val="00DE44AA"/>
    <w:rsid w:val="00DE4A18"/>
    <w:rsid w:val="00DE5168"/>
    <w:rsid w:val="00DE5330"/>
    <w:rsid w:val="00DE59BE"/>
    <w:rsid w:val="00DE5BDE"/>
    <w:rsid w:val="00DE60CD"/>
    <w:rsid w:val="00DE620F"/>
    <w:rsid w:val="00DE64F2"/>
    <w:rsid w:val="00DE6704"/>
    <w:rsid w:val="00DE6724"/>
    <w:rsid w:val="00DE6E33"/>
    <w:rsid w:val="00DE7E7A"/>
    <w:rsid w:val="00DF03BA"/>
    <w:rsid w:val="00DF0768"/>
    <w:rsid w:val="00DF09AE"/>
    <w:rsid w:val="00DF0B73"/>
    <w:rsid w:val="00DF0D11"/>
    <w:rsid w:val="00DF1DCE"/>
    <w:rsid w:val="00DF20D4"/>
    <w:rsid w:val="00DF2238"/>
    <w:rsid w:val="00DF2C73"/>
    <w:rsid w:val="00DF2F4D"/>
    <w:rsid w:val="00DF3E0C"/>
    <w:rsid w:val="00DF40D2"/>
    <w:rsid w:val="00DF515A"/>
    <w:rsid w:val="00DF60C4"/>
    <w:rsid w:val="00DF69F7"/>
    <w:rsid w:val="00DF6D27"/>
    <w:rsid w:val="00DF722F"/>
    <w:rsid w:val="00DF7D7E"/>
    <w:rsid w:val="00DF7DCD"/>
    <w:rsid w:val="00E007B9"/>
    <w:rsid w:val="00E009F9"/>
    <w:rsid w:val="00E00BBC"/>
    <w:rsid w:val="00E010C3"/>
    <w:rsid w:val="00E01664"/>
    <w:rsid w:val="00E01957"/>
    <w:rsid w:val="00E022C1"/>
    <w:rsid w:val="00E02F40"/>
    <w:rsid w:val="00E0409B"/>
    <w:rsid w:val="00E04154"/>
    <w:rsid w:val="00E04361"/>
    <w:rsid w:val="00E0443E"/>
    <w:rsid w:val="00E04691"/>
    <w:rsid w:val="00E04A61"/>
    <w:rsid w:val="00E04AF4"/>
    <w:rsid w:val="00E04CB2"/>
    <w:rsid w:val="00E05342"/>
    <w:rsid w:val="00E057EA"/>
    <w:rsid w:val="00E057F4"/>
    <w:rsid w:val="00E05F00"/>
    <w:rsid w:val="00E06619"/>
    <w:rsid w:val="00E06963"/>
    <w:rsid w:val="00E06DD7"/>
    <w:rsid w:val="00E06F64"/>
    <w:rsid w:val="00E06FDD"/>
    <w:rsid w:val="00E07197"/>
    <w:rsid w:val="00E07887"/>
    <w:rsid w:val="00E07966"/>
    <w:rsid w:val="00E107B4"/>
    <w:rsid w:val="00E10DC3"/>
    <w:rsid w:val="00E10F7A"/>
    <w:rsid w:val="00E116B9"/>
    <w:rsid w:val="00E117F1"/>
    <w:rsid w:val="00E11E07"/>
    <w:rsid w:val="00E12001"/>
    <w:rsid w:val="00E12467"/>
    <w:rsid w:val="00E12794"/>
    <w:rsid w:val="00E127BC"/>
    <w:rsid w:val="00E12943"/>
    <w:rsid w:val="00E12E6B"/>
    <w:rsid w:val="00E1301D"/>
    <w:rsid w:val="00E141E9"/>
    <w:rsid w:val="00E14200"/>
    <w:rsid w:val="00E14226"/>
    <w:rsid w:val="00E146FD"/>
    <w:rsid w:val="00E14915"/>
    <w:rsid w:val="00E14A33"/>
    <w:rsid w:val="00E153E3"/>
    <w:rsid w:val="00E1585E"/>
    <w:rsid w:val="00E163B8"/>
    <w:rsid w:val="00E168EA"/>
    <w:rsid w:val="00E17A1E"/>
    <w:rsid w:val="00E17D0E"/>
    <w:rsid w:val="00E20E5D"/>
    <w:rsid w:val="00E22531"/>
    <w:rsid w:val="00E22581"/>
    <w:rsid w:val="00E22587"/>
    <w:rsid w:val="00E22915"/>
    <w:rsid w:val="00E22F03"/>
    <w:rsid w:val="00E2360D"/>
    <w:rsid w:val="00E23867"/>
    <w:rsid w:val="00E23BB9"/>
    <w:rsid w:val="00E23DBA"/>
    <w:rsid w:val="00E240BC"/>
    <w:rsid w:val="00E24AFB"/>
    <w:rsid w:val="00E258A6"/>
    <w:rsid w:val="00E25A53"/>
    <w:rsid w:val="00E26249"/>
    <w:rsid w:val="00E26BDD"/>
    <w:rsid w:val="00E309EE"/>
    <w:rsid w:val="00E30A02"/>
    <w:rsid w:val="00E30C81"/>
    <w:rsid w:val="00E30CA5"/>
    <w:rsid w:val="00E31A41"/>
    <w:rsid w:val="00E31BBF"/>
    <w:rsid w:val="00E329C1"/>
    <w:rsid w:val="00E32A51"/>
    <w:rsid w:val="00E32D6B"/>
    <w:rsid w:val="00E33309"/>
    <w:rsid w:val="00E334B1"/>
    <w:rsid w:val="00E336F1"/>
    <w:rsid w:val="00E338E9"/>
    <w:rsid w:val="00E34344"/>
    <w:rsid w:val="00E34926"/>
    <w:rsid w:val="00E349E8"/>
    <w:rsid w:val="00E34A79"/>
    <w:rsid w:val="00E34EFF"/>
    <w:rsid w:val="00E355D5"/>
    <w:rsid w:val="00E3572C"/>
    <w:rsid w:val="00E3575C"/>
    <w:rsid w:val="00E35AB0"/>
    <w:rsid w:val="00E35AC8"/>
    <w:rsid w:val="00E35C5A"/>
    <w:rsid w:val="00E35DA8"/>
    <w:rsid w:val="00E35EDF"/>
    <w:rsid w:val="00E35FF9"/>
    <w:rsid w:val="00E36318"/>
    <w:rsid w:val="00E36C4C"/>
    <w:rsid w:val="00E372E3"/>
    <w:rsid w:val="00E373A9"/>
    <w:rsid w:val="00E3748D"/>
    <w:rsid w:val="00E37C5F"/>
    <w:rsid w:val="00E37CFD"/>
    <w:rsid w:val="00E402EF"/>
    <w:rsid w:val="00E404C7"/>
    <w:rsid w:val="00E4061E"/>
    <w:rsid w:val="00E4103A"/>
    <w:rsid w:val="00E4294E"/>
    <w:rsid w:val="00E43F33"/>
    <w:rsid w:val="00E43F65"/>
    <w:rsid w:val="00E444AE"/>
    <w:rsid w:val="00E4460A"/>
    <w:rsid w:val="00E44CED"/>
    <w:rsid w:val="00E44E64"/>
    <w:rsid w:val="00E458CF"/>
    <w:rsid w:val="00E45B8E"/>
    <w:rsid w:val="00E4655E"/>
    <w:rsid w:val="00E4687C"/>
    <w:rsid w:val="00E503B0"/>
    <w:rsid w:val="00E50429"/>
    <w:rsid w:val="00E50DE9"/>
    <w:rsid w:val="00E50F81"/>
    <w:rsid w:val="00E51A84"/>
    <w:rsid w:val="00E543D0"/>
    <w:rsid w:val="00E54DEB"/>
    <w:rsid w:val="00E55E91"/>
    <w:rsid w:val="00E56939"/>
    <w:rsid w:val="00E57206"/>
    <w:rsid w:val="00E57266"/>
    <w:rsid w:val="00E57970"/>
    <w:rsid w:val="00E60402"/>
    <w:rsid w:val="00E60A41"/>
    <w:rsid w:val="00E61175"/>
    <w:rsid w:val="00E61555"/>
    <w:rsid w:val="00E621D5"/>
    <w:rsid w:val="00E62844"/>
    <w:rsid w:val="00E628B4"/>
    <w:rsid w:val="00E629DD"/>
    <w:rsid w:val="00E62B13"/>
    <w:rsid w:val="00E62FED"/>
    <w:rsid w:val="00E6363B"/>
    <w:rsid w:val="00E63B23"/>
    <w:rsid w:val="00E63B25"/>
    <w:rsid w:val="00E640F7"/>
    <w:rsid w:val="00E64262"/>
    <w:rsid w:val="00E64492"/>
    <w:rsid w:val="00E6491A"/>
    <w:rsid w:val="00E7066E"/>
    <w:rsid w:val="00E70E15"/>
    <w:rsid w:val="00E7104D"/>
    <w:rsid w:val="00E728B8"/>
    <w:rsid w:val="00E72F2A"/>
    <w:rsid w:val="00E73206"/>
    <w:rsid w:val="00E7331E"/>
    <w:rsid w:val="00E734A3"/>
    <w:rsid w:val="00E736D1"/>
    <w:rsid w:val="00E73C3A"/>
    <w:rsid w:val="00E741C5"/>
    <w:rsid w:val="00E74DF9"/>
    <w:rsid w:val="00E7514F"/>
    <w:rsid w:val="00E755DF"/>
    <w:rsid w:val="00E75773"/>
    <w:rsid w:val="00E75E02"/>
    <w:rsid w:val="00E7652F"/>
    <w:rsid w:val="00E769F1"/>
    <w:rsid w:val="00E7741C"/>
    <w:rsid w:val="00E80439"/>
    <w:rsid w:val="00E80482"/>
    <w:rsid w:val="00E80FAA"/>
    <w:rsid w:val="00E8121B"/>
    <w:rsid w:val="00E81579"/>
    <w:rsid w:val="00E82ABE"/>
    <w:rsid w:val="00E83481"/>
    <w:rsid w:val="00E846C4"/>
    <w:rsid w:val="00E848FE"/>
    <w:rsid w:val="00E84EB2"/>
    <w:rsid w:val="00E8500B"/>
    <w:rsid w:val="00E85536"/>
    <w:rsid w:val="00E8600D"/>
    <w:rsid w:val="00E861BF"/>
    <w:rsid w:val="00E86501"/>
    <w:rsid w:val="00E877E3"/>
    <w:rsid w:val="00E87EF5"/>
    <w:rsid w:val="00E905F1"/>
    <w:rsid w:val="00E90FDA"/>
    <w:rsid w:val="00E914F5"/>
    <w:rsid w:val="00E91975"/>
    <w:rsid w:val="00E91A1D"/>
    <w:rsid w:val="00E91DB1"/>
    <w:rsid w:val="00E92993"/>
    <w:rsid w:val="00E92FA0"/>
    <w:rsid w:val="00E95B44"/>
    <w:rsid w:val="00E95F6E"/>
    <w:rsid w:val="00E972A7"/>
    <w:rsid w:val="00E97470"/>
    <w:rsid w:val="00E97F7F"/>
    <w:rsid w:val="00EA04EF"/>
    <w:rsid w:val="00EA063E"/>
    <w:rsid w:val="00EA0715"/>
    <w:rsid w:val="00EA0923"/>
    <w:rsid w:val="00EA0D62"/>
    <w:rsid w:val="00EA112B"/>
    <w:rsid w:val="00EA1478"/>
    <w:rsid w:val="00EA152B"/>
    <w:rsid w:val="00EA2B93"/>
    <w:rsid w:val="00EA3BEF"/>
    <w:rsid w:val="00EA4210"/>
    <w:rsid w:val="00EA425B"/>
    <w:rsid w:val="00EA575C"/>
    <w:rsid w:val="00EA6BC8"/>
    <w:rsid w:val="00EA6FEC"/>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4D00"/>
    <w:rsid w:val="00EB523A"/>
    <w:rsid w:val="00EB5257"/>
    <w:rsid w:val="00EB53F8"/>
    <w:rsid w:val="00EB5613"/>
    <w:rsid w:val="00EB62F4"/>
    <w:rsid w:val="00EB6320"/>
    <w:rsid w:val="00EB6B0C"/>
    <w:rsid w:val="00EB6B66"/>
    <w:rsid w:val="00EB751A"/>
    <w:rsid w:val="00EB7C33"/>
    <w:rsid w:val="00EB7F1D"/>
    <w:rsid w:val="00EC038E"/>
    <w:rsid w:val="00EC06AB"/>
    <w:rsid w:val="00EC16BC"/>
    <w:rsid w:val="00EC197E"/>
    <w:rsid w:val="00EC1CC3"/>
    <w:rsid w:val="00EC284B"/>
    <w:rsid w:val="00EC2EFA"/>
    <w:rsid w:val="00EC2FB1"/>
    <w:rsid w:val="00EC3235"/>
    <w:rsid w:val="00EC3C0B"/>
    <w:rsid w:val="00EC4E42"/>
    <w:rsid w:val="00EC505B"/>
    <w:rsid w:val="00EC5297"/>
    <w:rsid w:val="00EC52B1"/>
    <w:rsid w:val="00EC5451"/>
    <w:rsid w:val="00EC5479"/>
    <w:rsid w:val="00EC57DA"/>
    <w:rsid w:val="00EC59BD"/>
    <w:rsid w:val="00EC5D23"/>
    <w:rsid w:val="00EC6C24"/>
    <w:rsid w:val="00EC79FC"/>
    <w:rsid w:val="00EC7E0B"/>
    <w:rsid w:val="00EC7F6B"/>
    <w:rsid w:val="00ED09C1"/>
    <w:rsid w:val="00ED0B24"/>
    <w:rsid w:val="00ED0C4F"/>
    <w:rsid w:val="00ED0F12"/>
    <w:rsid w:val="00ED1359"/>
    <w:rsid w:val="00ED156B"/>
    <w:rsid w:val="00ED1922"/>
    <w:rsid w:val="00ED1B67"/>
    <w:rsid w:val="00ED1D24"/>
    <w:rsid w:val="00ED1EB1"/>
    <w:rsid w:val="00ED264F"/>
    <w:rsid w:val="00ED27EE"/>
    <w:rsid w:val="00ED3864"/>
    <w:rsid w:val="00ED38CD"/>
    <w:rsid w:val="00ED406D"/>
    <w:rsid w:val="00ED674C"/>
    <w:rsid w:val="00ED713F"/>
    <w:rsid w:val="00ED7492"/>
    <w:rsid w:val="00ED74F7"/>
    <w:rsid w:val="00ED7A6C"/>
    <w:rsid w:val="00EE096E"/>
    <w:rsid w:val="00EE2097"/>
    <w:rsid w:val="00EE4863"/>
    <w:rsid w:val="00EE4EE3"/>
    <w:rsid w:val="00EE554A"/>
    <w:rsid w:val="00EE5E4D"/>
    <w:rsid w:val="00EE61D6"/>
    <w:rsid w:val="00EE6EFE"/>
    <w:rsid w:val="00EF0740"/>
    <w:rsid w:val="00EF0CC9"/>
    <w:rsid w:val="00EF0EA3"/>
    <w:rsid w:val="00EF14BC"/>
    <w:rsid w:val="00EF1683"/>
    <w:rsid w:val="00EF1C02"/>
    <w:rsid w:val="00EF1C2C"/>
    <w:rsid w:val="00EF21A4"/>
    <w:rsid w:val="00EF25F2"/>
    <w:rsid w:val="00EF2923"/>
    <w:rsid w:val="00EF2AAB"/>
    <w:rsid w:val="00EF2C7A"/>
    <w:rsid w:val="00EF2DC0"/>
    <w:rsid w:val="00EF3424"/>
    <w:rsid w:val="00EF34F7"/>
    <w:rsid w:val="00EF357D"/>
    <w:rsid w:val="00EF49B7"/>
    <w:rsid w:val="00EF559B"/>
    <w:rsid w:val="00EF5A77"/>
    <w:rsid w:val="00EF623E"/>
    <w:rsid w:val="00EF62DE"/>
    <w:rsid w:val="00EF63BE"/>
    <w:rsid w:val="00EF7351"/>
    <w:rsid w:val="00EF7476"/>
    <w:rsid w:val="00EF76D9"/>
    <w:rsid w:val="00EF7986"/>
    <w:rsid w:val="00EF79FC"/>
    <w:rsid w:val="00F005FA"/>
    <w:rsid w:val="00F00647"/>
    <w:rsid w:val="00F01B48"/>
    <w:rsid w:val="00F024ED"/>
    <w:rsid w:val="00F02F58"/>
    <w:rsid w:val="00F03208"/>
    <w:rsid w:val="00F03B1A"/>
    <w:rsid w:val="00F03CA9"/>
    <w:rsid w:val="00F03DAB"/>
    <w:rsid w:val="00F04138"/>
    <w:rsid w:val="00F046C3"/>
    <w:rsid w:val="00F04D70"/>
    <w:rsid w:val="00F04E08"/>
    <w:rsid w:val="00F050A8"/>
    <w:rsid w:val="00F05508"/>
    <w:rsid w:val="00F05704"/>
    <w:rsid w:val="00F0571F"/>
    <w:rsid w:val="00F05B5C"/>
    <w:rsid w:val="00F05BD7"/>
    <w:rsid w:val="00F07301"/>
    <w:rsid w:val="00F105CE"/>
    <w:rsid w:val="00F10662"/>
    <w:rsid w:val="00F106D8"/>
    <w:rsid w:val="00F10C19"/>
    <w:rsid w:val="00F10E3D"/>
    <w:rsid w:val="00F112DD"/>
    <w:rsid w:val="00F116B7"/>
    <w:rsid w:val="00F11864"/>
    <w:rsid w:val="00F12199"/>
    <w:rsid w:val="00F122CE"/>
    <w:rsid w:val="00F13A1D"/>
    <w:rsid w:val="00F13D25"/>
    <w:rsid w:val="00F147ED"/>
    <w:rsid w:val="00F1562B"/>
    <w:rsid w:val="00F156B8"/>
    <w:rsid w:val="00F157A3"/>
    <w:rsid w:val="00F15EFB"/>
    <w:rsid w:val="00F16470"/>
    <w:rsid w:val="00F16D22"/>
    <w:rsid w:val="00F178CC"/>
    <w:rsid w:val="00F179FB"/>
    <w:rsid w:val="00F2046B"/>
    <w:rsid w:val="00F20D5B"/>
    <w:rsid w:val="00F20E6E"/>
    <w:rsid w:val="00F22572"/>
    <w:rsid w:val="00F23220"/>
    <w:rsid w:val="00F234F0"/>
    <w:rsid w:val="00F2400E"/>
    <w:rsid w:val="00F25263"/>
    <w:rsid w:val="00F255A0"/>
    <w:rsid w:val="00F25ACF"/>
    <w:rsid w:val="00F25E3F"/>
    <w:rsid w:val="00F274E8"/>
    <w:rsid w:val="00F275E5"/>
    <w:rsid w:val="00F2789D"/>
    <w:rsid w:val="00F30242"/>
    <w:rsid w:val="00F30D6C"/>
    <w:rsid w:val="00F314BB"/>
    <w:rsid w:val="00F31676"/>
    <w:rsid w:val="00F31CC1"/>
    <w:rsid w:val="00F31FAD"/>
    <w:rsid w:val="00F320E4"/>
    <w:rsid w:val="00F32284"/>
    <w:rsid w:val="00F325EB"/>
    <w:rsid w:val="00F32EAF"/>
    <w:rsid w:val="00F33456"/>
    <w:rsid w:val="00F33555"/>
    <w:rsid w:val="00F3385F"/>
    <w:rsid w:val="00F33CB5"/>
    <w:rsid w:val="00F3420B"/>
    <w:rsid w:val="00F34C01"/>
    <w:rsid w:val="00F351B9"/>
    <w:rsid w:val="00F36095"/>
    <w:rsid w:val="00F3624C"/>
    <w:rsid w:val="00F375C1"/>
    <w:rsid w:val="00F37AD9"/>
    <w:rsid w:val="00F37D45"/>
    <w:rsid w:val="00F37FDE"/>
    <w:rsid w:val="00F40C72"/>
    <w:rsid w:val="00F4189F"/>
    <w:rsid w:val="00F42261"/>
    <w:rsid w:val="00F42865"/>
    <w:rsid w:val="00F42A4A"/>
    <w:rsid w:val="00F44245"/>
    <w:rsid w:val="00F4507B"/>
    <w:rsid w:val="00F4519F"/>
    <w:rsid w:val="00F4539A"/>
    <w:rsid w:val="00F465B1"/>
    <w:rsid w:val="00F46A55"/>
    <w:rsid w:val="00F46CFA"/>
    <w:rsid w:val="00F47BEA"/>
    <w:rsid w:val="00F501E6"/>
    <w:rsid w:val="00F50615"/>
    <w:rsid w:val="00F506BB"/>
    <w:rsid w:val="00F5074D"/>
    <w:rsid w:val="00F5094E"/>
    <w:rsid w:val="00F50D08"/>
    <w:rsid w:val="00F50FC9"/>
    <w:rsid w:val="00F5148D"/>
    <w:rsid w:val="00F51931"/>
    <w:rsid w:val="00F51B05"/>
    <w:rsid w:val="00F51DE7"/>
    <w:rsid w:val="00F523E5"/>
    <w:rsid w:val="00F52D67"/>
    <w:rsid w:val="00F5341A"/>
    <w:rsid w:val="00F53860"/>
    <w:rsid w:val="00F543FB"/>
    <w:rsid w:val="00F54621"/>
    <w:rsid w:val="00F54A44"/>
    <w:rsid w:val="00F54EC9"/>
    <w:rsid w:val="00F54F92"/>
    <w:rsid w:val="00F552EF"/>
    <w:rsid w:val="00F5543C"/>
    <w:rsid w:val="00F55CE8"/>
    <w:rsid w:val="00F561D9"/>
    <w:rsid w:val="00F565A8"/>
    <w:rsid w:val="00F56A7F"/>
    <w:rsid w:val="00F5726C"/>
    <w:rsid w:val="00F57A88"/>
    <w:rsid w:val="00F603B9"/>
    <w:rsid w:val="00F605AF"/>
    <w:rsid w:val="00F6085B"/>
    <w:rsid w:val="00F60CF6"/>
    <w:rsid w:val="00F61B43"/>
    <w:rsid w:val="00F623F7"/>
    <w:rsid w:val="00F625C7"/>
    <w:rsid w:val="00F628E0"/>
    <w:rsid w:val="00F63C57"/>
    <w:rsid w:val="00F63C98"/>
    <w:rsid w:val="00F6466C"/>
    <w:rsid w:val="00F6528C"/>
    <w:rsid w:val="00F65DC4"/>
    <w:rsid w:val="00F66645"/>
    <w:rsid w:val="00F66E16"/>
    <w:rsid w:val="00F66EB0"/>
    <w:rsid w:val="00F67150"/>
    <w:rsid w:val="00F67B10"/>
    <w:rsid w:val="00F70360"/>
    <w:rsid w:val="00F7061E"/>
    <w:rsid w:val="00F706D3"/>
    <w:rsid w:val="00F70AB5"/>
    <w:rsid w:val="00F71D11"/>
    <w:rsid w:val="00F72040"/>
    <w:rsid w:val="00F73B7A"/>
    <w:rsid w:val="00F745CB"/>
    <w:rsid w:val="00F746F0"/>
    <w:rsid w:val="00F748C9"/>
    <w:rsid w:val="00F74AB5"/>
    <w:rsid w:val="00F7526A"/>
    <w:rsid w:val="00F7552E"/>
    <w:rsid w:val="00F761D6"/>
    <w:rsid w:val="00F76674"/>
    <w:rsid w:val="00F76BA4"/>
    <w:rsid w:val="00F76FE8"/>
    <w:rsid w:val="00F77C37"/>
    <w:rsid w:val="00F77EA5"/>
    <w:rsid w:val="00F77EEF"/>
    <w:rsid w:val="00F8080B"/>
    <w:rsid w:val="00F809C6"/>
    <w:rsid w:val="00F81F68"/>
    <w:rsid w:val="00F830FD"/>
    <w:rsid w:val="00F83203"/>
    <w:rsid w:val="00F8345B"/>
    <w:rsid w:val="00F83ADC"/>
    <w:rsid w:val="00F84E38"/>
    <w:rsid w:val="00F85060"/>
    <w:rsid w:val="00F85604"/>
    <w:rsid w:val="00F856BE"/>
    <w:rsid w:val="00F85E27"/>
    <w:rsid w:val="00F871E9"/>
    <w:rsid w:val="00F87273"/>
    <w:rsid w:val="00F90E59"/>
    <w:rsid w:val="00F9149F"/>
    <w:rsid w:val="00F91767"/>
    <w:rsid w:val="00F91F72"/>
    <w:rsid w:val="00F920A4"/>
    <w:rsid w:val="00F92304"/>
    <w:rsid w:val="00F9298B"/>
    <w:rsid w:val="00F94A82"/>
    <w:rsid w:val="00F95FC6"/>
    <w:rsid w:val="00F9643D"/>
    <w:rsid w:val="00F96635"/>
    <w:rsid w:val="00F96BFB"/>
    <w:rsid w:val="00F96D8F"/>
    <w:rsid w:val="00F9708B"/>
    <w:rsid w:val="00FA032E"/>
    <w:rsid w:val="00FA04FA"/>
    <w:rsid w:val="00FA07B6"/>
    <w:rsid w:val="00FA134A"/>
    <w:rsid w:val="00FA2978"/>
    <w:rsid w:val="00FA2A14"/>
    <w:rsid w:val="00FA2E03"/>
    <w:rsid w:val="00FA2F85"/>
    <w:rsid w:val="00FA364E"/>
    <w:rsid w:val="00FA40FC"/>
    <w:rsid w:val="00FA41C6"/>
    <w:rsid w:val="00FA4342"/>
    <w:rsid w:val="00FA59D7"/>
    <w:rsid w:val="00FA69B1"/>
    <w:rsid w:val="00FA72DD"/>
    <w:rsid w:val="00FA7666"/>
    <w:rsid w:val="00FA7688"/>
    <w:rsid w:val="00FA7D10"/>
    <w:rsid w:val="00FA7E24"/>
    <w:rsid w:val="00FB06FE"/>
    <w:rsid w:val="00FB1379"/>
    <w:rsid w:val="00FB1A06"/>
    <w:rsid w:val="00FB1F60"/>
    <w:rsid w:val="00FB2359"/>
    <w:rsid w:val="00FB2880"/>
    <w:rsid w:val="00FB2A74"/>
    <w:rsid w:val="00FB2C4F"/>
    <w:rsid w:val="00FB2CAC"/>
    <w:rsid w:val="00FB3308"/>
    <w:rsid w:val="00FB3DB1"/>
    <w:rsid w:val="00FB415A"/>
    <w:rsid w:val="00FB42BC"/>
    <w:rsid w:val="00FB4498"/>
    <w:rsid w:val="00FB4515"/>
    <w:rsid w:val="00FB4804"/>
    <w:rsid w:val="00FB5364"/>
    <w:rsid w:val="00FB5856"/>
    <w:rsid w:val="00FB58FF"/>
    <w:rsid w:val="00FB60D1"/>
    <w:rsid w:val="00FB6BE7"/>
    <w:rsid w:val="00FB7096"/>
    <w:rsid w:val="00FB71E6"/>
    <w:rsid w:val="00FB72FB"/>
    <w:rsid w:val="00FB742C"/>
    <w:rsid w:val="00FB7927"/>
    <w:rsid w:val="00FC0415"/>
    <w:rsid w:val="00FC086E"/>
    <w:rsid w:val="00FC0D93"/>
    <w:rsid w:val="00FC12F0"/>
    <w:rsid w:val="00FC1B03"/>
    <w:rsid w:val="00FC24E6"/>
    <w:rsid w:val="00FC2E90"/>
    <w:rsid w:val="00FC37DB"/>
    <w:rsid w:val="00FC38B4"/>
    <w:rsid w:val="00FC3C18"/>
    <w:rsid w:val="00FC4780"/>
    <w:rsid w:val="00FC4901"/>
    <w:rsid w:val="00FC4EC0"/>
    <w:rsid w:val="00FC5900"/>
    <w:rsid w:val="00FC643F"/>
    <w:rsid w:val="00FD107A"/>
    <w:rsid w:val="00FD13E0"/>
    <w:rsid w:val="00FD168F"/>
    <w:rsid w:val="00FD1E93"/>
    <w:rsid w:val="00FD307D"/>
    <w:rsid w:val="00FD4847"/>
    <w:rsid w:val="00FD51A5"/>
    <w:rsid w:val="00FD5511"/>
    <w:rsid w:val="00FD6769"/>
    <w:rsid w:val="00FD6B56"/>
    <w:rsid w:val="00FD73D2"/>
    <w:rsid w:val="00FD7D07"/>
    <w:rsid w:val="00FE07A9"/>
    <w:rsid w:val="00FE0E00"/>
    <w:rsid w:val="00FE1312"/>
    <w:rsid w:val="00FE2073"/>
    <w:rsid w:val="00FE2082"/>
    <w:rsid w:val="00FE259B"/>
    <w:rsid w:val="00FE29FA"/>
    <w:rsid w:val="00FE2D8B"/>
    <w:rsid w:val="00FE3706"/>
    <w:rsid w:val="00FE5997"/>
    <w:rsid w:val="00FE6DE4"/>
    <w:rsid w:val="00FE7071"/>
    <w:rsid w:val="00FE78F5"/>
    <w:rsid w:val="00FF0B48"/>
    <w:rsid w:val="00FF0DDA"/>
    <w:rsid w:val="00FF1011"/>
    <w:rsid w:val="00FF206F"/>
    <w:rsid w:val="00FF208E"/>
    <w:rsid w:val="00FF28A8"/>
    <w:rsid w:val="00FF2FFB"/>
    <w:rsid w:val="00FF31C0"/>
    <w:rsid w:val="00FF3392"/>
    <w:rsid w:val="00FF479C"/>
    <w:rsid w:val="00FF508D"/>
    <w:rsid w:val="00FF59FB"/>
    <w:rsid w:val="00FF640A"/>
    <w:rsid w:val="00FF6A10"/>
    <w:rsid w:val="00FF7E56"/>
    <w:rsid w:val="07ED44BE"/>
    <w:rsid w:val="100F08E2"/>
    <w:rsid w:val="10A5376C"/>
    <w:rsid w:val="269E01E7"/>
    <w:rsid w:val="27A307DF"/>
    <w:rsid w:val="27F27785"/>
    <w:rsid w:val="28120ECA"/>
    <w:rsid w:val="285A544F"/>
    <w:rsid w:val="289A24F6"/>
    <w:rsid w:val="2CE96514"/>
    <w:rsid w:val="34591654"/>
    <w:rsid w:val="35123948"/>
    <w:rsid w:val="3795282D"/>
    <w:rsid w:val="3B240A3A"/>
    <w:rsid w:val="3FD61700"/>
    <w:rsid w:val="417F398A"/>
    <w:rsid w:val="432900FC"/>
    <w:rsid w:val="48D628DC"/>
    <w:rsid w:val="4BD67ED0"/>
    <w:rsid w:val="559342F8"/>
    <w:rsid w:val="56D933FE"/>
    <w:rsid w:val="5AF45C50"/>
    <w:rsid w:val="5ED20E90"/>
    <w:rsid w:val="5EDD7F5D"/>
    <w:rsid w:val="5FA334EF"/>
    <w:rsid w:val="623F4D56"/>
    <w:rsid w:val="62465E1A"/>
    <w:rsid w:val="647F3478"/>
    <w:rsid w:val="6580766F"/>
    <w:rsid w:val="68472284"/>
    <w:rsid w:val="6BB70A18"/>
    <w:rsid w:val="6BBA3B00"/>
    <w:rsid w:val="6EFA4214"/>
    <w:rsid w:val="706933FF"/>
    <w:rsid w:val="72810756"/>
    <w:rsid w:val="779F3F85"/>
    <w:rsid w:val="7B2209A6"/>
    <w:rsid w:val="7B3D7962"/>
    <w:rsid w:val="7BB23443"/>
    <w:rsid w:val="7D44474B"/>
    <w:rsid w:val="7E803C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autoRedefine/>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Normal Indent"/>
    <w:basedOn w:val="1"/>
    <w:next w:val="13"/>
    <w:autoRedefine/>
    <w:unhideWhenUsed/>
    <w:qFormat/>
    <w:uiPriority w:val="0"/>
    <w:pPr>
      <w:ind w:firstLine="420" w:firstLineChars="200"/>
    </w:pPr>
    <w:rPr>
      <w:rFonts w:ascii="Calibri" w:hAnsi="Calibri"/>
      <w:szCs w:val="22"/>
    </w:rPr>
  </w:style>
  <w:style w:type="paragraph" w:styleId="13">
    <w:name w:val="toa heading"/>
    <w:basedOn w:val="1"/>
    <w:next w:val="1"/>
    <w:autoRedefine/>
    <w:qFormat/>
    <w:uiPriority w:val="0"/>
    <w:pPr>
      <w:spacing w:before="120"/>
    </w:pPr>
    <w:rPr>
      <w:rFonts w:ascii="Cambria" w:hAnsi="Cambria"/>
      <w:sz w:val="24"/>
      <w:szCs w:val="24"/>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autoRedefine/>
    <w:semiHidden/>
    <w:qFormat/>
    <w:uiPriority w:val="0"/>
    <w:pPr>
      <w:shd w:val="clear" w:color="auto" w:fill="000080"/>
    </w:pPr>
  </w:style>
  <w:style w:type="paragraph" w:styleId="16">
    <w:name w:val="annotation text"/>
    <w:basedOn w:val="1"/>
    <w:link w:val="48"/>
    <w:autoRedefine/>
    <w:semiHidden/>
    <w:qFormat/>
    <w:uiPriority w:val="0"/>
    <w:pPr>
      <w:jc w:val="left"/>
    </w:pPr>
  </w:style>
  <w:style w:type="paragraph" w:styleId="17">
    <w:name w:val="Body Text 3"/>
    <w:basedOn w:val="1"/>
    <w:autoRedefine/>
    <w:qFormat/>
    <w:uiPriority w:val="0"/>
    <w:pPr>
      <w:spacing w:after="120"/>
    </w:pPr>
    <w:rPr>
      <w:sz w:val="16"/>
      <w:szCs w:val="16"/>
    </w:rPr>
  </w:style>
  <w:style w:type="paragraph" w:styleId="18">
    <w:name w:val="Body Text"/>
    <w:basedOn w:val="1"/>
    <w:next w:val="19"/>
    <w:link w:val="49"/>
    <w:autoRedefine/>
    <w:qFormat/>
    <w:uiPriority w:val="0"/>
    <w:pPr>
      <w:spacing w:after="120"/>
    </w:pPr>
  </w:style>
  <w:style w:type="paragraph" w:styleId="19">
    <w:name w:val="Date"/>
    <w:basedOn w:val="1"/>
    <w:next w:val="1"/>
    <w:autoRedefine/>
    <w:qFormat/>
    <w:uiPriority w:val="0"/>
    <w:pPr>
      <w:ind w:left="100" w:leftChars="2500"/>
    </w:pPr>
  </w:style>
  <w:style w:type="paragraph" w:styleId="20">
    <w:name w:val="Body Text Indent"/>
    <w:basedOn w:val="1"/>
    <w:next w:val="21"/>
    <w:link w:val="50"/>
    <w:autoRedefine/>
    <w:qFormat/>
    <w:uiPriority w:val="0"/>
    <w:pPr>
      <w:spacing w:line="500" w:lineRule="exact"/>
      <w:ind w:left="1588" w:leftChars="832" w:firstLine="433" w:firstLineChars="196"/>
    </w:pPr>
    <w:rPr>
      <w:sz w:val="24"/>
    </w:rPr>
  </w:style>
  <w:style w:type="paragraph" w:customStyle="1" w:styleId="21">
    <w:name w:val="Default"/>
    <w:autoRedefine/>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styleId="22">
    <w:name w:val="List 2"/>
    <w:basedOn w:val="1"/>
    <w:autoRedefine/>
    <w:qFormat/>
    <w:uiPriority w:val="0"/>
    <w:pPr>
      <w:ind w:left="100" w:leftChars="200" w:hanging="200" w:hangingChars="200"/>
    </w:pPr>
  </w:style>
  <w:style w:type="paragraph" w:styleId="23">
    <w:name w:val="toc 3"/>
    <w:basedOn w:val="1"/>
    <w:next w:val="1"/>
    <w:autoRedefine/>
    <w:qFormat/>
    <w:uiPriority w:val="39"/>
    <w:pPr>
      <w:ind w:left="840" w:leftChars="400"/>
    </w:pPr>
  </w:style>
  <w:style w:type="paragraph" w:styleId="24">
    <w:name w:val="Plain Text"/>
    <w:basedOn w:val="1"/>
    <w:link w:val="51"/>
    <w:autoRedefine/>
    <w:qFormat/>
    <w:uiPriority w:val="0"/>
    <w:rPr>
      <w:rFonts w:ascii="宋体" w:hAnsi="Courier New"/>
      <w:szCs w:val="21"/>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link w:val="52"/>
    <w:autoRedefine/>
    <w:qFormat/>
    <w:uiPriority w:val="99"/>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style>
  <w:style w:type="paragraph" w:styleId="30">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1">
    <w:name w:val="toc 2"/>
    <w:basedOn w:val="1"/>
    <w:next w:val="1"/>
    <w:autoRedefine/>
    <w:qFormat/>
    <w:uiPriority w:val="39"/>
    <w:pPr>
      <w:ind w:left="420" w:leftChars="200"/>
    </w:pPr>
  </w:style>
  <w:style w:type="paragraph" w:styleId="32">
    <w:name w:val="Normal (Web)"/>
    <w:basedOn w:val="1"/>
    <w:next w:val="33"/>
    <w:autoRedefine/>
    <w:qFormat/>
    <w:uiPriority w:val="0"/>
    <w:rPr>
      <w:sz w:val="24"/>
    </w:rPr>
  </w:style>
  <w:style w:type="paragraph" w:customStyle="1" w:styleId="3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4">
    <w:name w:val="annotation subject"/>
    <w:basedOn w:val="16"/>
    <w:next w:val="16"/>
    <w:autoRedefine/>
    <w:semiHidden/>
    <w:qFormat/>
    <w:uiPriority w:val="0"/>
    <w:rPr>
      <w:b/>
      <w:bCs/>
    </w:rPr>
  </w:style>
  <w:style w:type="paragraph" w:styleId="35">
    <w:name w:val="Body Text First Indent"/>
    <w:basedOn w:val="18"/>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6">
    <w:name w:val="Body Text First Indent 2"/>
    <w:basedOn w:val="20"/>
    <w:next w:val="12"/>
    <w:autoRedefine/>
    <w:qFormat/>
    <w:uiPriority w:val="0"/>
    <w:pPr>
      <w:ind w:firstLine="420" w:firstLineChars="200"/>
    </w:pPr>
  </w:style>
  <w:style w:type="table" w:styleId="38">
    <w:name w:val="Table Grid"/>
    <w:basedOn w:val="3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link w:val="1"/>
    <w:autoRedefine/>
    <w:qFormat/>
    <w:uiPriority w:val="0"/>
    <w:rPr>
      <w:kern w:val="2"/>
      <w:sz w:val="21"/>
      <w:szCs w:val="24"/>
      <w:lang w:val="en-US" w:eastAsia="zh-CN" w:bidi="ar-SA"/>
    </w:rPr>
  </w:style>
  <w:style w:type="character" w:styleId="41">
    <w:name w:val="page number"/>
    <w:basedOn w:val="39"/>
    <w:autoRedefine/>
    <w:qFormat/>
    <w:uiPriority w:val="0"/>
  </w:style>
  <w:style w:type="character" w:styleId="42">
    <w:name w:val="Hyperlink"/>
    <w:autoRedefine/>
    <w:qFormat/>
    <w:uiPriority w:val="99"/>
    <w:rPr>
      <w:color w:val="0000FF"/>
      <w:u w:val="single"/>
    </w:rPr>
  </w:style>
  <w:style w:type="character" w:styleId="43">
    <w:name w:val="annotation reference"/>
    <w:autoRedefine/>
    <w:semiHidden/>
    <w:qFormat/>
    <w:uiPriority w:val="0"/>
    <w:rPr>
      <w:sz w:val="21"/>
      <w:szCs w:val="21"/>
    </w:rPr>
  </w:style>
  <w:style w:type="paragraph" w:customStyle="1" w:styleId="44">
    <w:name w:val="yhw3"/>
    <w:basedOn w:val="1"/>
    <w:autoRedefine/>
    <w:qFormat/>
    <w:uiPriority w:val="0"/>
    <w:pPr>
      <w:ind w:firstLine="640" w:firstLineChars="200"/>
    </w:pPr>
    <w:rPr>
      <w:rFonts w:cs="宋体"/>
    </w:rPr>
  </w:style>
  <w:style w:type="character" w:customStyle="1" w:styleId="45">
    <w:name w:val="NormalCharacter"/>
    <w:link w:val="46"/>
    <w:autoRedefine/>
    <w:qFormat/>
    <w:uiPriority w:val="0"/>
    <w:rPr>
      <w:rFonts w:ascii="仿宋_GB2312" w:hAnsi="Calibri" w:eastAsia="仿宋_GB2312" w:cs="Times New Roman"/>
      <w:b/>
      <w:sz w:val="32"/>
      <w:szCs w:val="32"/>
    </w:rPr>
  </w:style>
  <w:style w:type="paragraph" w:customStyle="1" w:styleId="46">
    <w:name w:val="UserStyle_461"/>
    <w:basedOn w:val="1"/>
    <w:link w:val="45"/>
    <w:autoRedefine/>
    <w:qFormat/>
    <w:uiPriority w:val="0"/>
    <w:pPr>
      <w:widowControl/>
      <w:textAlignment w:val="baseline"/>
    </w:pPr>
    <w:rPr>
      <w:rFonts w:ascii="仿宋_GB2312" w:hAnsi="Calibri" w:eastAsia="仿宋_GB2312" w:cs="Times New Roman"/>
      <w:b/>
      <w:sz w:val="32"/>
      <w:szCs w:val="32"/>
    </w:rPr>
  </w:style>
  <w:style w:type="paragraph" w:customStyle="1" w:styleId="47">
    <w:name w:val="UserStyle_5"/>
    <w:basedOn w:val="1"/>
    <w:link w:val="45"/>
    <w:autoRedefine/>
    <w:qFormat/>
    <w:uiPriority w:val="0"/>
    <w:pPr>
      <w:widowControl/>
      <w:spacing w:after="160" w:line="240" w:lineRule="exact"/>
      <w:jc w:val="left"/>
      <w:textAlignment w:val="baseline"/>
    </w:pPr>
  </w:style>
  <w:style w:type="character" w:customStyle="1" w:styleId="48">
    <w:name w:val="批注文字 Char"/>
    <w:link w:val="16"/>
    <w:autoRedefine/>
    <w:qFormat/>
    <w:uiPriority w:val="0"/>
    <w:rPr>
      <w:rFonts w:eastAsia="宋体"/>
      <w:kern w:val="2"/>
      <w:sz w:val="21"/>
      <w:szCs w:val="24"/>
      <w:lang w:val="en-US" w:eastAsia="zh-CN" w:bidi="ar-SA"/>
    </w:rPr>
  </w:style>
  <w:style w:type="character" w:customStyle="1" w:styleId="49">
    <w:name w:val="正文文本 Char"/>
    <w:link w:val="18"/>
    <w:autoRedefine/>
    <w:qFormat/>
    <w:uiPriority w:val="0"/>
    <w:rPr>
      <w:rFonts w:eastAsia="宋体"/>
      <w:kern w:val="2"/>
      <w:sz w:val="21"/>
      <w:szCs w:val="24"/>
      <w:lang w:val="en-US" w:eastAsia="zh-CN" w:bidi="ar-SA"/>
    </w:rPr>
  </w:style>
  <w:style w:type="character" w:customStyle="1" w:styleId="50">
    <w:name w:val="正文文本缩进 Char"/>
    <w:link w:val="20"/>
    <w:autoRedefine/>
    <w:qFormat/>
    <w:uiPriority w:val="0"/>
    <w:rPr>
      <w:rFonts w:eastAsia="宋体"/>
      <w:kern w:val="2"/>
      <w:sz w:val="24"/>
      <w:szCs w:val="24"/>
      <w:lang w:val="en-US" w:eastAsia="zh-CN" w:bidi="ar-SA"/>
    </w:rPr>
  </w:style>
  <w:style w:type="character" w:customStyle="1" w:styleId="51">
    <w:name w:val="纯文本 Char"/>
    <w:link w:val="24"/>
    <w:autoRedefine/>
    <w:qFormat/>
    <w:uiPriority w:val="0"/>
    <w:rPr>
      <w:rFonts w:ascii="宋体" w:hAnsi="Courier New" w:eastAsia="宋体"/>
      <w:kern w:val="2"/>
      <w:sz w:val="21"/>
      <w:szCs w:val="21"/>
      <w:lang w:val="en-US" w:eastAsia="zh-CN" w:bidi="ar-SA"/>
    </w:rPr>
  </w:style>
  <w:style w:type="character" w:customStyle="1" w:styleId="52">
    <w:name w:val="页脚 Char"/>
    <w:link w:val="27"/>
    <w:autoRedefine/>
    <w:qFormat/>
    <w:uiPriority w:val="99"/>
    <w:rPr>
      <w:kern w:val="2"/>
      <w:sz w:val="18"/>
      <w:szCs w:val="18"/>
    </w:rPr>
  </w:style>
  <w:style w:type="character" w:customStyle="1" w:styleId="53">
    <w:name w:val=" Char Char3"/>
    <w:autoRedefine/>
    <w:qFormat/>
    <w:uiPriority w:val="0"/>
    <w:rPr>
      <w:rFonts w:eastAsia="宋体"/>
      <w:kern w:val="2"/>
      <w:sz w:val="21"/>
      <w:szCs w:val="24"/>
      <w:lang w:val="en-US" w:eastAsia="zh-CN" w:bidi="ar-SA"/>
    </w:rPr>
  </w:style>
  <w:style w:type="character" w:customStyle="1" w:styleId="54">
    <w:name w:val="标题 3 Char_0"/>
    <w:link w:val="55"/>
    <w:autoRedefine/>
    <w:qFormat/>
    <w:uiPriority w:val="0"/>
    <w:rPr>
      <w:rFonts w:ascii="宋体" w:hAnsi="宋体"/>
      <w:b/>
      <w:kern w:val="2"/>
      <w:sz w:val="28"/>
      <w:szCs w:val="28"/>
    </w:rPr>
  </w:style>
  <w:style w:type="paragraph" w:customStyle="1" w:styleId="55">
    <w:name w:val="标题 3_0"/>
    <w:basedOn w:val="56"/>
    <w:next w:val="56"/>
    <w:link w:val="54"/>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56">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57">
    <w:name w:val=" Char Char6"/>
    <w:autoRedefine/>
    <w:qFormat/>
    <w:uiPriority w:val="0"/>
    <w:rPr>
      <w:rFonts w:eastAsia="宋体"/>
      <w:kern w:val="2"/>
      <w:sz w:val="21"/>
      <w:szCs w:val="24"/>
      <w:lang w:val="en-US" w:eastAsia="zh-CN" w:bidi="ar-SA"/>
    </w:rPr>
  </w:style>
  <w:style w:type="paragraph" w:customStyle="1" w:styleId="58">
    <w:name w:val="Char Char Char1 Char8"/>
    <w:basedOn w:val="1"/>
    <w:autoRedefine/>
    <w:semiHidden/>
    <w:qFormat/>
    <w:uiPriority w:val="0"/>
    <w:pPr>
      <w:spacing w:line="360" w:lineRule="auto"/>
      <w:ind w:firstLine="200" w:firstLineChars="200"/>
    </w:pPr>
    <w:rPr>
      <w:rFonts w:ascii="宋体" w:hAnsi="宋体" w:cs="宋体"/>
      <w:sz w:val="24"/>
    </w:rPr>
  </w:style>
  <w:style w:type="paragraph" w:customStyle="1" w:styleId="59">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1">
    <w:name w:val="Char Char Char Char Char Char"/>
    <w:basedOn w:val="15"/>
    <w:autoRedefine/>
    <w:qFormat/>
    <w:uiPriority w:val="0"/>
    <w:rPr>
      <w:rFonts w:ascii="Tahoma" w:hAnsi="Tahoma"/>
      <w:sz w:val="24"/>
    </w:rPr>
  </w:style>
  <w:style w:type="paragraph" w:customStyle="1" w:styleId="6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3">
    <w:name w:val="List Paragraph"/>
    <w:basedOn w:val="1"/>
    <w:autoRedefine/>
    <w:qFormat/>
    <w:uiPriority w:val="0"/>
    <w:pPr>
      <w:ind w:firstLine="420" w:firstLineChars="200"/>
    </w:pPr>
    <w:rPr>
      <w:rFonts w:ascii="Calibri" w:hAnsi="Calibri"/>
      <w:szCs w:val="22"/>
    </w:rPr>
  </w:style>
  <w:style w:type="paragraph" w:customStyle="1" w:styleId="64">
    <w:name w:val=" Char"/>
    <w:basedOn w:val="1"/>
    <w:autoRedefine/>
    <w:qFormat/>
    <w:uiPriority w:val="0"/>
    <w:pPr>
      <w:tabs>
        <w:tab w:val="left" w:pos="432"/>
      </w:tabs>
      <w:spacing w:before="156" w:beforeLines="50" w:after="156" w:afterLines="50"/>
      <w:ind w:left="432" w:hanging="432"/>
    </w:pPr>
  </w:style>
  <w:style w:type="paragraph" w:customStyle="1" w:styleId="65">
    <w:name w:val="样式 标题 2 + 宋体 五号 非加粗 黑色"/>
    <w:basedOn w:val="3"/>
    <w:autoRedefine/>
    <w:qFormat/>
    <w:uiPriority w:val="0"/>
    <w:rPr>
      <w:rFonts w:ascii="宋体" w:hAnsi="宋体" w:eastAsia="宋体"/>
      <w:b w:val="0"/>
      <w:bCs w:val="0"/>
      <w:color w:val="000000"/>
      <w:sz w:val="21"/>
    </w:rPr>
  </w:style>
  <w:style w:type="paragraph" w:customStyle="1" w:styleId="66">
    <w:name w:val="附件正文"/>
    <w:basedOn w:val="1"/>
    <w:autoRedefine/>
    <w:qFormat/>
    <w:uiPriority w:val="0"/>
    <w:pPr>
      <w:snapToGrid w:val="0"/>
      <w:spacing w:line="500" w:lineRule="exact"/>
      <w:ind w:firstLine="540" w:firstLineChars="225"/>
    </w:pPr>
    <w:rPr>
      <w:kern w:val="0"/>
      <w:sz w:val="24"/>
    </w:rPr>
  </w:style>
  <w:style w:type="paragraph" w:customStyle="1" w:styleId="67">
    <w:name w:val="默认段落字体 Para Char Char Char Char Char Char Char Char Char Char Char Char Char Char Char Char"/>
    <w:basedOn w:val="1"/>
    <w:autoRedefine/>
    <w:qFormat/>
    <w:uiPriority w:val="0"/>
    <w:rPr>
      <w:rFonts w:ascii="Tahoma" w:hAnsi="Tahoma"/>
      <w:sz w:val="24"/>
      <w:szCs w:val="20"/>
    </w:rPr>
  </w:style>
  <w:style w:type="paragraph" w:customStyle="1" w:styleId="68">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69">
    <w:name w:val="Char"/>
    <w:basedOn w:val="1"/>
    <w:autoRedefine/>
    <w:qFormat/>
    <w:uiPriority w:val="0"/>
    <w:pPr>
      <w:tabs>
        <w:tab w:val="left" w:pos="360"/>
      </w:tabs>
      <w:spacing w:line="360" w:lineRule="auto"/>
      <w:ind w:firstLine="480" w:firstLineChars="200"/>
    </w:pPr>
    <w:rPr>
      <w:rFonts w:ascii="楷体_GB2312" w:eastAsia="楷体_GB2312"/>
      <w:sz w:val="24"/>
    </w:rPr>
  </w:style>
  <w:style w:type="paragraph" w:customStyle="1" w:styleId="70">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71">
    <w:name w:val="Char Char Char"/>
    <w:basedOn w:val="1"/>
    <w:autoRedefine/>
    <w:qFormat/>
    <w:uiPriority w:val="0"/>
    <w:pPr>
      <w:widowControl/>
      <w:spacing w:after="160" w:line="240" w:lineRule="exact"/>
      <w:jc w:val="left"/>
    </w:pPr>
  </w:style>
  <w:style w:type="paragraph" w:customStyle="1" w:styleId="72">
    <w:name w:val="_Style 71"/>
    <w:basedOn w:val="2"/>
    <w:next w:val="1"/>
    <w:autoRedefine/>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3">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74">
    <w:name w:val="UserStyle_22"/>
    <w:basedOn w:val="75"/>
    <w:autoRedefine/>
    <w:qFormat/>
    <w:uiPriority w:val="0"/>
    <w:pPr>
      <w:jc w:val="both"/>
      <w:textAlignment w:val="baseline"/>
    </w:pPr>
    <w:rPr>
      <w:kern w:val="2"/>
      <w:sz w:val="21"/>
      <w:szCs w:val="24"/>
      <w:lang w:val="en-US" w:eastAsia="zh-CN" w:bidi="ar-SA"/>
    </w:rPr>
  </w:style>
  <w:style w:type="paragraph" w:customStyle="1" w:styleId="75">
    <w:name w:val="UserStyle_2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6">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77">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78">
    <w:name w:val="Normal_0"/>
    <w:autoRedefine/>
    <w:qFormat/>
    <w:uiPriority w:val="0"/>
    <w:rPr>
      <w:rFonts w:ascii="Times New Roman" w:hAnsi="Times New Roman" w:eastAsia="Times New Roman" w:cs="Times New Roman"/>
      <w:sz w:val="24"/>
      <w:szCs w:val="24"/>
      <w:lang w:bidi="ar-SA"/>
    </w:rPr>
  </w:style>
  <w:style w:type="paragraph" w:customStyle="1" w:styleId="79">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80">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81">
    <w:name w:val="UserStyle_66"/>
    <w:basedOn w:val="82"/>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82">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3">
    <w:name w:val="UserStyle_122"/>
    <w:basedOn w:val="82"/>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4">
    <w:name w:val="UserStyle_123"/>
    <w:basedOn w:val="82"/>
    <w:next w:val="85"/>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5">
    <w:name w:val="UserStyle_124"/>
    <w:basedOn w:val="84"/>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6">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7">
    <w:name w:val="UserStyle_125"/>
    <w:basedOn w:val="82"/>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8">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89">
    <w:name w:val="正"/>
    <w:basedOn w:val="90"/>
    <w:autoRedefine/>
    <w:qFormat/>
    <w:uiPriority w:val="0"/>
    <w:pPr>
      <w:ind w:firstLine="525"/>
    </w:pPr>
    <w:rPr>
      <w:spacing w:val="20"/>
      <w:szCs w:val="20"/>
    </w:rPr>
  </w:style>
  <w:style w:type="paragraph" w:customStyle="1" w:styleId="90">
    <w:name w:val="正文_1"/>
    <w:basedOn w:val="91"/>
    <w:next w:val="89"/>
    <w:autoRedefine/>
    <w:qFormat/>
    <w:uiPriority w:val="0"/>
    <w:rPr>
      <w:rFonts w:ascii="Calibri" w:hAnsi="Calibri" w:cs="Calibri"/>
      <w:szCs w:val="21"/>
    </w:rPr>
  </w:style>
  <w:style w:type="paragraph" w:customStyle="1" w:styleId="91">
    <w:name w:val="正文_2"/>
    <w:basedOn w:val="9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3_0"/>
    <w:next w:val="9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文本_2_0"/>
    <w:basedOn w:val="93"/>
    <w:autoRedefine/>
    <w:qFormat/>
    <w:uiPriority w:val="0"/>
    <w:pPr>
      <w:spacing w:after="120"/>
    </w:pPr>
  </w:style>
  <w:style w:type="paragraph" w:customStyle="1" w:styleId="95">
    <w:name w:val="UserStyle_34"/>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8">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99">
    <w:name w:val="正文_1_0"/>
    <w:basedOn w:val="90"/>
    <w:next w:val="100"/>
    <w:autoRedefine/>
    <w:qFormat/>
    <w:uiPriority w:val="0"/>
    <w:rPr>
      <w:rFonts w:ascii="Calibri" w:hAnsi="Calibri"/>
    </w:rPr>
  </w:style>
  <w:style w:type="paragraph" w:customStyle="1" w:styleId="100">
    <w:name w:val="正文首行缩进1"/>
    <w:basedOn w:val="101"/>
    <w:autoRedefine/>
    <w:unhideWhenUsed/>
    <w:qFormat/>
    <w:uiPriority w:val="99"/>
    <w:pPr>
      <w:ind w:firstLine="420" w:firstLineChars="100"/>
    </w:pPr>
    <w:rPr>
      <w:szCs w:val="22"/>
    </w:rPr>
  </w:style>
  <w:style w:type="paragraph" w:customStyle="1" w:styleId="101">
    <w:name w:val="正文文本_0_0"/>
    <w:basedOn w:val="102"/>
    <w:autoRedefine/>
    <w:qFormat/>
    <w:uiPriority w:val="0"/>
    <w:pPr>
      <w:spacing w:after="120"/>
    </w:pPr>
    <w:rPr>
      <w:kern w:val="0"/>
      <w:sz w:val="20"/>
    </w:rPr>
  </w:style>
  <w:style w:type="paragraph" w:customStyle="1" w:styleId="102">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3">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5">
    <w:name w:val="索引 11"/>
    <w:basedOn w:val="1"/>
    <w:next w:val="1"/>
    <w:autoRedefine/>
    <w:qFormat/>
    <w:uiPriority w:val="0"/>
    <w:pPr>
      <w:spacing w:line="360" w:lineRule="auto"/>
    </w:pPr>
    <w:rPr>
      <w:rFonts w:ascii="仿宋_GB2312" w:eastAsia="仿宋_GB2312"/>
      <w:sz w:val="24"/>
      <w:szCs w:val="20"/>
    </w:rPr>
  </w:style>
  <w:style w:type="paragraph" w:customStyle="1" w:styleId="106">
    <w:name w:val="纯文本1"/>
    <w:basedOn w:val="1"/>
    <w:autoRedefine/>
    <w:qFormat/>
    <w:uiPriority w:val="0"/>
    <w:rPr>
      <w:rFonts w:ascii="宋体" w:hAnsi="Courier New"/>
      <w:kern w:val="0"/>
      <w:sz w:val="20"/>
      <w:szCs w:val="20"/>
    </w:rPr>
  </w:style>
  <w:style w:type="paragraph" w:customStyle="1" w:styleId="107">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108">
    <w:name w:val="日期_0"/>
    <w:basedOn w:val="96"/>
    <w:next w:val="96"/>
    <w:autoRedefine/>
    <w:qFormat/>
    <w:uiPriority w:val="0"/>
    <w:pPr>
      <w:ind w:left="100" w:leftChars="2500"/>
    </w:pPr>
    <w:rPr>
      <w:kern w:val="0"/>
      <w:sz w:val="20"/>
    </w:rPr>
  </w:style>
  <w:style w:type="paragraph" w:customStyle="1" w:styleId="109">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110">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11">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35595</Words>
  <Characters>37748</Characters>
  <Lines>250</Lines>
  <Paragraphs>70</Paragraphs>
  <TotalTime>2</TotalTime>
  <ScaleCrop>false</ScaleCrop>
  <LinksUpToDate>false</LinksUpToDate>
  <CharactersWithSpaces>40853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2015-04-19T07:05:00Z</dcterms:created>
  <dc:creator>王峰</dc:creator>
  <cp:lastModifiedBy>马琴琴琴琴琴</cp:lastModifiedBy>
  <cp:lastPrinted>2013-12-16T03:12:00Z</cp:lastPrinted>
  <dcterms:modified xsi:type="dcterms:W3CDTF">2024-04-29T07:56:54Z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3DBB181CAD214364A0FDAE2AB3D6C4E8_13</vt:lpwstr>
  </property>
</Properties>
</file>