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autoSpaceDE w:val="0"/>
        <w:autoSpaceDN w:val="0"/>
        <w:adjustRightInd w:val="0"/>
        <w:spacing w:line="360" w:lineRule="auto"/>
        <w:ind w:firstLine="1200" w:firstLineChars="500"/>
        <w:rPr>
          <w:rFonts w:ascii="宋体" w:cs="宋体"/>
          <w:iCs w:val="0"/>
          <w:color w:val="000000"/>
          <w:kern w:val="0"/>
          <w:szCs w:val="22"/>
          <w:highlight w:val="none"/>
        </w:rPr>
      </w:pPr>
      <w:r>
        <w:rPr>
          <w:rFonts w:ascii="宋体" w:cs="宋体"/>
          <w:iCs w:val="0"/>
          <w:color w:val="000000"/>
          <w:kern w:val="0"/>
          <w:szCs w:val="22"/>
          <w:highlight w:val="none"/>
        </w:rPr>
        <w:t>民丰县人民医院救治能力提升建设项目-</w:t>
      </w:r>
      <w:r>
        <w:rPr>
          <w:rFonts w:hint="eastAsia" w:ascii="宋体" w:cs="宋体"/>
          <w:iCs w:val="0"/>
          <w:color w:val="000000"/>
          <w:kern w:val="0"/>
          <w:szCs w:val="22"/>
          <w:highlight w:val="none"/>
        </w:rPr>
        <w:t>设备采购招标公告</w:t>
      </w:r>
    </w:p>
    <w:p>
      <w:pPr>
        <w:pBdr>
          <w:top w:val="single" w:color="auto" w:sz="4" w:space="1"/>
          <w:left w:val="single" w:color="auto" w:sz="4" w:space="4"/>
          <w:bottom w:val="single" w:color="auto" w:sz="4" w:space="1"/>
          <w:right w:val="single" w:color="auto" w:sz="4" w:space="4"/>
        </w:pBd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设备采购的潜在供应商应在新疆政府采购网（http://www.ccgp-xinjiang.gov.cn/）获取采购文件，并于2020年12月2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日 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 （北京时间）前提交（上传）响应文件。</w:t>
      </w:r>
    </w:p>
    <w:p>
      <w:pPr>
        <w:rPr>
          <w:rFonts w:ascii="宋体" w:cs="宋体"/>
          <w:color w:val="000000"/>
          <w:kern w:val="0"/>
          <w:sz w:val="24"/>
          <w:szCs w:val="22"/>
          <w:highlight w:val="none"/>
        </w:rPr>
      </w:pPr>
      <w:bookmarkStart w:id="0" w:name="_Toc35393790"/>
      <w:bookmarkStart w:id="1" w:name="_Toc35393621"/>
      <w:bookmarkStart w:id="2" w:name="_Toc28359002"/>
      <w:bookmarkStart w:id="3" w:name="_Toc28359079"/>
      <w:bookmarkStart w:id="4" w:name="_Hlk24379207"/>
      <w:r>
        <w:rPr>
          <w:rFonts w:hint="eastAsia" w:ascii="宋体" w:cs="宋体"/>
          <w:color w:val="000000"/>
          <w:kern w:val="0"/>
          <w:sz w:val="24"/>
          <w:szCs w:val="22"/>
          <w:highlight w:val="none"/>
        </w:rPr>
        <w:t>一、项目基本情况</w:t>
      </w:r>
      <w:bookmarkEnd w:id="0"/>
      <w:bookmarkEnd w:id="1"/>
      <w:bookmarkEnd w:id="2"/>
      <w:bookmarkEnd w:id="3"/>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项目编号：XJZH-2020MFX-01号</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项目名称：民丰县人民医院救治能力提升建设项目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w:t>
      </w:r>
    </w:p>
    <w:bookmarkEnd w:id="4"/>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预算金额：706.77万元</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最高限价：706.77万元</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采购需求：</w:t>
      </w:r>
    </w:p>
    <w:tbl>
      <w:tblPr>
        <w:tblStyle w:val="9"/>
        <w:tblW w:w="50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24"/>
        <w:gridCol w:w="939"/>
        <w:gridCol w:w="671"/>
        <w:gridCol w:w="1500"/>
        <w:gridCol w:w="758"/>
        <w:gridCol w:w="3238"/>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22" w:hRule="atLeast"/>
        </w:trPr>
        <w:tc>
          <w:tcPr>
            <w:tcW w:w="49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标项序号</w:t>
            </w:r>
          </w:p>
        </w:tc>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标项名称</w:t>
            </w:r>
          </w:p>
        </w:tc>
        <w:tc>
          <w:tcPr>
            <w:tcW w:w="40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数量</w:t>
            </w:r>
          </w:p>
        </w:tc>
        <w:tc>
          <w:tcPr>
            <w:tcW w:w="72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预算金额(元)</w:t>
            </w:r>
          </w:p>
        </w:tc>
        <w:tc>
          <w:tcPr>
            <w:tcW w:w="45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单位</w:t>
            </w:r>
          </w:p>
        </w:tc>
        <w:tc>
          <w:tcPr>
            <w:tcW w:w="188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简要规格描述</w:t>
            </w:r>
          </w:p>
        </w:tc>
        <w:tc>
          <w:tcPr>
            <w:tcW w:w="4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444" w:hRule="atLeast"/>
        </w:trPr>
        <w:tc>
          <w:tcPr>
            <w:tcW w:w="497"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1</w:t>
            </w:r>
          </w:p>
        </w:tc>
        <w:tc>
          <w:tcPr>
            <w:tcW w:w="56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left"/>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民丰县人民医院救治能力提升建设项目-设备采购</w:t>
            </w:r>
          </w:p>
        </w:tc>
        <w:tc>
          <w:tcPr>
            <w:tcW w:w="40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1</w:t>
            </w:r>
          </w:p>
        </w:tc>
        <w:tc>
          <w:tcPr>
            <w:tcW w:w="720"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7067700.00</w:t>
            </w:r>
          </w:p>
        </w:tc>
        <w:tc>
          <w:tcPr>
            <w:tcW w:w="459"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批</w:t>
            </w:r>
          </w:p>
        </w:tc>
        <w:tc>
          <w:tcPr>
            <w:tcW w:w="1883"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hint="eastAsia" w:ascii="宋体" w:cs="宋体"/>
                <w:color w:val="000000"/>
                <w:kern w:val="0"/>
                <w:sz w:val="24"/>
                <w:szCs w:val="22"/>
                <w:highlight w:val="none"/>
              </w:rPr>
              <w:t>无创呼吸机5台，新生儿有创呼吸机1台，成人有创呼吸机2台，普通监护仪20台；可视喉镜3台；连续性血液透析机1台，注射泵10</w:t>
            </w:r>
            <w:r>
              <w:rPr>
                <w:rFonts w:hint="eastAsia" w:ascii="宋体" w:cs="宋体"/>
                <w:color w:val="000000"/>
                <w:kern w:val="0"/>
                <w:sz w:val="24"/>
                <w:szCs w:val="22"/>
                <w:highlight w:val="none"/>
                <w:lang w:val="en-US" w:eastAsia="zh-CN"/>
              </w:rPr>
              <w:t>台</w:t>
            </w:r>
            <w:r>
              <w:rPr>
                <w:rFonts w:hint="eastAsia" w:ascii="宋体" w:cs="宋体"/>
                <w:color w:val="000000"/>
                <w:kern w:val="0"/>
                <w:sz w:val="24"/>
                <w:szCs w:val="22"/>
                <w:highlight w:val="none"/>
              </w:rPr>
              <w:t>，输液泵14台，除颤仪5台，移动式空气消毒机15台；紫外线消毒车20台，移动DR一台；床旁血气分析仪5台；生物安全柜一台、离心机2台，超低温冰箱1台</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lang w:val="en-US" w:eastAsia="zh-CN"/>
              </w:rPr>
              <w:t>-80°</w:t>
            </w:r>
            <w:r>
              <w:rPr>
                <w:rFonts w:hint="eastAsia" w:ascii="宋体" w:cs="宋体"/>
                <w:color w:val="000000"/>
                <w:kern w:val="0"/>
                <w:sz w:val="24"/>
                <w:szCs w:val="22"/>
                <w:highlight w:val="none"/>
                <w:lang w:eastAsia="zh-CN"/>
              </w:rPr>
              <w:t>）</w:t>
            </w:r>
            <w:r>
              <w:rPr>
                <w:rFonts w:hint="eastAsia" w:ascii="宋体" w:cs="宋体"/>
                <w:color w:val="000000"/>
                <w:kern w:val="0"/>
                <w:sz w:val="24"/>
                <w:szCs w:val="22"/>
                <w:highlight w:val="none"/>
              </w:rPr>
              <w:t>，全自动荧光定量PCR仪1台；全自动核酸提取仪1台，额温枪50只；多重呼吸道病原体快速核酸检测系统1套；麻醉监护仪2台，15立方制氧机一台及相关设备。</w:t>
            </w:r>
          </w:p>
        </w:tc>
        <w:tc>
          <w:tcPr>
            <w:tcW w:w="466" w:type="pct"/>
            <w:tcBorders>
              <w:top w:val="single" w:color="DDDDDD" w:sz="6" w:space="0"/>
              <w:left w:val="single" w:color="DDDDDD" w:sz="6" w:space="0"/>
              <w:bottom w:val="single" w:color="DDDDDD" w:sz="6" w:space="0"/>
              <w:right w:val="single" w:color="DDDDDD" w:sz="6" w:space="0"/>
            </w:tcBorders>
            <w:tcMar>
              <w:top w:w="75" w:type="dxa"/>
              <w:left w:w="150" w:type="dxa"/>
              <w:bottom w:w="75" w:type="dxa"/>
              <w:right w:w="150" w:type="dxa"/>
            </w:tcMar>
            <w:vAlign w:val="center"/>
          </w:tcPr>
          <w:p>
            <w:pPr>
              <w:spacing w:after="150"/>
              <w:jc w:val="center"/>
              <w:rPr>
                <w:rFonts w:ascii="宋体" w:cs="宋体"/>
                <w:color w:val="000000"/>
                <w:kern w:val="0"/>
                <w:sz w:val="24"/>
                <w:szCs w:val="22"/>
                <w:highlight w:val="none"/>
              </w:rPr>
            </w:pPr>
            <w:r>
              <w:rPr>
                <w:rFonts w:ascii="宋体" w:cs="宋体"/>
                <w:color w:val="000000"/>
                <w:kern w:val="0"/>
                <w:sz w:val="24"/>
                <w:szCs w:val="22"/>
                <w:highlight w:val="none"/>
              </w:rPr>
              <w:t>具体参数详见招标文件</w:t>
            </w:r>
          </w:p>
        </w:tc>
      </w:tr>
    </w:tbl>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合同履行期限：签订合同后30个日历日内安装调试完毕</w:t>
      </w:r>
    </w:p>
    <w:p>
      <w:pPr>
        <w:spacing w:line="360" w:lineRule="auto"/>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本项目不接受联合体投标。</w:t>
      </w:r>
      <w:bookmarkStart w:id="5" w:name="_Toc28359080"/>
      <w:bookmarkStart w:id="6" w:name="_Toc35393622"/>
      <w:bookmarkStart w:id="7" w:name="_Toc28359003"/>
      <w:bookmarkStart w:id="8" w:name="_Toc35393791"/>
    </w:p>
    <w:bookmarkEnd w:id="5"/>
    <w:bookmarkEnd w:id="6"/>
    <w:bookmarkEnd w:id="7"/>
    <w:bookmarkEnd w:id="8"/>
    <w:p>
      <w:pPr>
        <w:spacing w:line="360" w:lineRule="auto"/>
        <w:rPr>
          <w:rFonts w:ascii="宋体" w:cs="宋体"/>
          <w:color w:val="000000"/>
          <w:kern w:val="0"/>
          <w:sz w:val="24"/>
          <w:szCs w:val="22"/>
          <w:highlight w:val="none"/>
        </w:rPr>
      </w:pPr>
      <w:r>
        <w:rPr>
          <w:rFonts w:hint="eastAsia" w:ascii="宋体" w:cs="宋体"/>
          <w:color w:val="000000"/>
          <w:kern w:val="0"/>
          <w:sz w:val="24"/>
          <w:szCs w:val="22"/>
          <w:highlight w:val="none"/>
        </w:rPr>
        <w:t>二、申请人的资格要求：</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1.满足《中华人民共和国政府采购法》第二十二条规定；</w:t>
      </w:r>
    </w:p>
    <w:p>
      <w:pPr>
        <w:ind w:firstLine="480" w:firstLineChars="200"/>
        <w:rPr>
          <w:rFonts w:ascii="宋体" w:cs="宋体"/>
          <w:color w:val="000000"/>
          <w:kern w:val="0"/>
          <w:sz w:val="24"/>
          <w:szCs w:val="22"/>
          <w:highlight w:val="none"/>
        </w:rPr>
      </w:pPr>
      <w:r>
        <w:rPr>
          <w:rFonts w:ascii="宋体" w:cs="宋体"/>
          <w:color w:val="000000"/>
          <w:kern w:val="0"/>
          <w:sz w:val="24"/>
          <w:szCs w:val="22"/>
          <w:highlight w:val="none"/>
        </w:rPr>
        <w:t>2</w:t>
      </w:r>
      <w:r>
        <w:rPr>
          <w:rFonts w:hint="eastAsia" w:ascii="宋体" w:cs="宋体"/>
          <w:color w:val="000000"/>
          <w:kern w:val="0"/>
          <w:sz w:val="24"/>
          <w:szCs w:val="22"/>
          <w:highlight w:val="none"/>
        </w:rPr>
        <w:t>.落实政府采购政策需满足的资格要求：中小企业优惠、监狱企业、节能产品、环境标志产品等（一）财政部、国家发展改革委《关于印发《节能产品政府采购实施意见》的通知》（财库[2004]185号文）；（二《财政部发展改革委 生态环境部 市场监管总局关于调整优化节能产品 环境标志产品政府采购执行机制的通知》（财库〔2019〕9号）;（三）财政部、工业和信息化部《关于印发《政府采购促进中小企业展暂行办法》的通知》（财库[2011]181号文）；（四）财政部、民政部、中国残疾人联合会《关于促进残疾人就业政府采购政策的通知》（财库[2017]141号）；（五）财政部、司法部《关于政府采购支持监狱企业发展有关问题的通知》（财库[2014]68号文）。</w:t>
      </w:r>
    </w:p>
    <w:p>
      <w:pPr>
        <w:pStyle w:val="8"/>
        <w:spacing w:before="43" w:beforeAutospacing="0" w:after="43" w:afterAutospacing="0"/>
        <w:ind w:firstLine="480" w:firstLineChars="200"/>
        <w:rPr>
          <w:color w:val="000000"/>
          <w:szCs w:val="22"/>
          <w:highlight w:val="none"/>
        </w:rPr>
      </w:pPr>
      <w:bookmarkStart w:id="9" w:name="_GoBack"/>
      <w:bookmarkEnd w:id="9"/>
      <w:r>
        <w:rPr>
          <w:rFonts w:hint="eastAsia"/>
          <w:color w:val="000000"/>
          <w:szCs w:val="22"/>
          <w:highlight w:val="none"/>
        </w:rPr>
        <w:t>3.本项目的特定资格要求：</w:t>
      </w:r>
    </w:p>
    <w:p>
      <w:pPr>
        <w:pStyle w:val="8"/>
        <w:spacing w:before="60" w:beforeAutospacing="0" w:after="60" w:afterAutospacing="0"/>
        <w:rPr>
          <w:color w:val="000000"/>
          <w:szCs w:val="22"/>
          <w:highlight w:val="none"/>
        </w:rPr>
      </w:pPr>
      <w:r>
        <w:rPr>
          <w:rFonts w:hint="eastAsia"/>
          <w:color w:val="000000"/>
          <w:szCs w:val="22"/>
          <w:highlight w:val="none"/>
        </w:rPr>
        <w:t>（1）具有有效的营业执照且经营范围内包含此次采购内容；</w:t>
      </w:r>
    </w:p>
    <w:p>
      <w:pPr>
        <w:pStyle w:val="8"/>
        <w:spacing w:before="60" w:beforeAutospacing="0" w:after="60" w:afterAutospacing="0"/>
        <w:rPr>
          <w:color w:val="000000"/>
          <w:szCs w:val="22"/>
          <w:highlight w:val="none"/>
        </w:rPr>
      </w:pPr>
      <w:r>
        <w:rPr>
          <w:rFonts w:hint="eastAsia"/>
          <w:color w:val="000000"/>
          <w:szCs w:val="22"/>
          <w:highlight w:val="none"/>
        </w:rPr>
        <w:t>（2）所投产品属于第二类医疗器械的，需提供有效的行政主管部门颁发的第二类医疗器械经营备案凭证（或医疗器械生产许可证或医疗器械经营许可证，经营范围需包含本次项目的内容）；所投产品属于第三类医疗器械的，需提供有效的行政主管部门颁发的医疗器械生产许可证（或医疗器械经营许可证，经营范围需包含本次项目的内容）；</w:t>
      </w:r>
    </w:p>
    <w:p>
      <w:pPr>
        <w:pStyle w:val="8"/>
        <w:spacing w:before="60" w:beforeAutospacing="0" w:after="60" w:afterAutospacing="0"/>
        <w:rPr>
          <w:color w:val="000000"/>
          <w:szCs w:val="22"/>
          <w:highlight w:val="none"/>
        </w:rPr>
      </w:pPr>
      <w:r>
        <w:rPr>
          <w:rFonts w:hint="eastAsia"/>
          <w:color w:val="000000"/>
          <w:szCs w:val="22"/>
          <w:highlight w:val="none"/>
        </w:rPr>
        <w:t>（3）进口设备投标人需提供行政主管部门颁发且有效的医疗器械注册证；制造或生产商投标的需提供本企业介绍信或授权书原件；代理商投标的，须提供制造或生产商出具的针对本次投标的有效的投标授权书原件；</w:t>
      </w:r>
    </w:p>
    <w:p>
      <w:pPr>
        <w:pStyle w:val="8"/>
        <w:spacing w:before="60" w:beforeAutospacing="0" w:after="60" w:afterAutospacing="0"/>
        <w:rPr>
          <w:color w:val="000000"/>
          <w:szCs w:val="22"/>
          <w:highlight w:val="none"/>
        </w:rPr>
      </w:pPr>
      <w:r>
        <w:rPr>
          <w:rFonts w:hint="eastAsia"/>
          <w:color w:val="000000"/>
          <w:szCs w:val="22"/>
          <w:highlight w:val="none"/>
        </w:rPr>
        <w:t>（4）近三年内（本项目投标截止期前）如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rFonts w:hint="eastAsia"/>
          <w:color w:val="000000"/>
          <w:szCs w:val="22"/>
          <w:highlight w:val="none"/>
        </w:rPr>
        <w:fldChar w:fldCharType="begin"/>
      </w:r>
      <w:r>
        <w:rPr>
          <w:highlight w:val="none"/>
        </w:rPr>
        <w:instrText xml:space="preserve">HYPERLINK "http://www.gsxt.gov.cn/"</w:instrText>
      </w:r>
      <w:r>
        <w:rPr>
          <w:rFonts w:hint="eastAsia"/>
          <w:color w:val="000000"/>
          <w:szCs w:val="22"/>
          <w:highlight w:val="none"/>
        </w:rPr>
        <w:fldChar w:fldCharType="separate"/>
      </w:r>
      <w:r>
        <w:rPr>
          <w:rFonts w:hint="eastAsia"/>
          <w:color w:val="000000"/>
          <w:szCs w:val="22"/>
          <w:highlight w:val="none"/>
        </w:rPr>
        <w:t>http://www.gsxt.gov.cn</w:t>
      </w:r>
      <w:r>
        <w:rPr>
          <w:rFonts w:hint="eastAsia"/>
          <w:color w:val="000000"/>
          <w:szCs w:val="22"/>
          <w:highlight w:val="none"/>
        </w:rPr>
        <w:fldChar w:fldCharType="end"/>
      </w:r>
      <w:r>
        <w:rPr>
          <w:rFonts w:hint="eastAsia"/>
          <w:color w:val="000000"/>
          <w:szCs w:val="22"/>
          <w:highlight w:val="none"/>
        </w:rPr>
        <w:t>）”列入经营异常名录信息、列入严重违法失信企业名单（黑名单）信息的将拒绝其参本次政府采购活动（开标现场查询）；</w:t>
      </w:r>
    </w:p>
    <w:p>
      <w:pPr>
        <w:pStyle w:val="8"/>
        <w:spacing w:before="60" w:beforeAutospacing="0" w:after="60" w:afterAutospacing="0"/>
        <w:rPr>
          <w:color w:val="000000"/>
          <w:szCs w:val="22"/>
          <w:highlight w:val="none"/>
        </w:rPr>
      </w:pPr>
      <w:r>
        <w:rPr>
          <w:rFonts w:hint="eastAsia"/>
          <w:color w:val="000000"/>
          <w:szCs w:val="22"/>
          <w:highlight w:val="none"/>
        </w:rPr>
        <w:t>（5）提供2019年度由第三方财务审计机构出具的财务审计报告（2019年9月后新成立公司提供银行资信证明）和健全的财务会计制度；</w:t>
      </w:r>
    </w:p>
    <w:p>
      <w:pPr>
        <w:pStyle w:val="8"/>
        <w:spacing w:before="60" w:beforeAutospacing="0" w:after="60" w:afterAutospacing="0"/>
        <w:rPr>
          <w:color w:val="000000"/>
          <w:szCs w:val="22"/>
          <w:highlight w:val="none"/>
        </w:rPr>
      </w:pPr>
      <w:r>
        <w:rPr>
          <w:rFonts w:hint="eastAsia"/>
          <w:color w:val="000000"/>
          <w:szCs w:val="22"/>
          <w:highlight w:val="none"/>
        </w:rPr>
        <w:t>（6）提供2020年近3个月的完税证明； </w:t>
      </w:r>
    </w:p>
    <w:p>
      <w:pPr>
        <w:pStyle w:val="8"/>
        <w:spacing w:before="60" w:beforeAutospacing="0" w:after="60" w:afterAutospacing="0"/>
        <w:rPr>
          <w:color w:val="000000"/>
          <w:szCs w:val="22"/>
          <w:highlight w:val="none"/>
        </w:rPr>
      </w:pPr>
      <w:r>
        <w:rPr>
          <w:rFonts w:hint="eastAsia"/>
          <w:color w:val="000000"/>
          <w:szCs w:val="22"/>
          <w:highlight w:val="none"/>
        </w:rPr>
        <w:t>（7）法人应携带《法定代表人身份证明书》原件及身份证原件，委托代理人应携带《法定代表人授权委托书》原件及身份证原件；</w:t>
      </w:r>
    </w:p>
    <w:p>
      <w:pPr>
        <w:pStyle w:val="8"/>
        <w:spacing w:before="60" w:beforeAutospacing="0" w:after="60" w:afterAutospacing="0"/>
        <w:rPr>
          <w:color w:val="000000"/>
          <w:szCs w:val="22"/>
          <w:highlight w:val="none"/>
        </w:rPr>
      </w:pPr>
      <w:r>
        <w:rPr>
          <w:rFonts w:hint="eastAsia"/>
          <w:color w:val="000000"/>
          <w:szCs w:val="22"/>
          <w:highlight w:val="none"/>
        </w:rPr>
        <w:t>（8）被授权委托人在本单位缴纳的近3月社保缴纳证明（单位社保缴费凭证原件和个人明细表原件）；</w:t>
      </w:r>
    </w:p>
    <w:p>
      <w:pPr>
        <w:pStyle w:val="8"/>
        <w:spacing w:before="60" w:beforeAutospacing="0" w:after="60" w:afterAutospacing="0"/>
        <w:rPr>
          <w:color w:val="000000"/>
          <w:szCs w:val="22"/>
          <w:highlight w:val="none"/>
        </w:rPr>
      </w:pPr>
      <w:r>
        <w:rPr>
          <w:rFonts w:hint="eastAsia"/>
          <w:color w:val="000000"/>
          <w:szCs w:val="22"/>
          <w:highlight w:val="none"/>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三、获取（下载）采购文件</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1、时间： 2020年12月</w:t>
      </w:r>
      <w:r>
        <w:rPr>
          <w:rFonts w:hint="eastAsia" w:ascii="宋体" w:cs="宋体"/>
          <w:color w:val="000000"/>
          <w:kern w:val="0"/>
          <w:sz w:val="24"/>
          <w:szCs w:val="22"/>
          <w:highlight w:val="none"/>
          <w:lang w:val="en-US" w:eastAsia="zh-CN"/>
        </w:rPr>
        <w:t>05</w:t>
      </w:r>
      <w:r>
        <w:rPr>
          <w:rFonts w:hint="eastAsia" w:ascii="宋体" w:cs="宋体"/>
          <w:color w:val="000000"/>
          <w:kern w:val="0"/>
          <w:sz w:val="24"/>
          <w:szCs w:val="22"/>
          <w:highlight w:val="none"/>
        </w:rPr>
        <w:t>日至2020年12月</w:t>
      </w:r>
      <w:r>
        <w:rPr>
          <w:rFonts w:hint="eastAsia" w:ascii="宋体" w:cs="宋体"/>
          <w:color w:val="000000"/>
          <w:kern w:val="0"/>
          <w:sz w:val="24"/>
          <w:szCs w:val="22"/>
          <w:highlight w:val="none"/>
          <w:lang w:val="en-US" w:eastAsia="zh-CN"/>
        </w:rPr>
        <w:t>27</w:t>
      </w:r>
      <w:r>
        <w:rPr>
          <w:rFonts w:hint="eastAsia" w:ascii="宋体" w:cs="宋体"/>
          <w:color w:val="000000"/>
          <w:kern w:val="0"/>
          <w:sz w:val="24"/>
          <w:szCs w:val="22"/>
          <w:highlight w:val="none"/>
        </w:rPr>
        <w:t xml:space="preserve">日 ，每天上午10:00至14:00 ，下午 15:30至19:30 （北京时间，线上获取法定节假日均可）。  </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2、地点（网址）： https:// www.ccgp-xinjiang.gov.cn。</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3、方式：在符合该招标（采购）公告投标人资格要求条件的前提下，可于本公告发布之日起在新疆政府采购网（http://www.ccgp-xinjiang.gov.cn/）的该采购公告附件中直接下载招标（采购）文件并参与投标，不再需要报名，在开标时一并进行资格审核。</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4、售价：200/份（开标现场缴纳招标文件费）。</w:t>
      </w:r>
    </w:p>
    <w:p>
      <w:pPr>
        <w:spacing w:line="360" w:lineRule="auto"/>
        <w:ind w:firstLine="540"/>
        <w:rPr>
          <w:rFonts w:ascii="宋体" w:cs="宋体"/>
          <w:color w:val="000000"/>
          <w:kern w:val="0"/>
          <w:sz w:val="24"/>
          <w:szCs w:val="22"/>
          <w:highlight w:val="none"/>
        </w:rPr>
      </w:pPr>
      <w:r>
        <w:rPr>
          <w:rFonts w:hint="eastAsia" w:ascii="宋体" w:cs="宋体"/>
          <w:color w:val="000000"/>
          <w:kern w:val="0"/>
          <w:sz w:val="24"/>
          <w:szCs w:val="22"/>
          <w:highlight w:val="none"/>
        </w:rPr>
        <w:t>5、投标人购买标书时应提交的资料：无，在开标时一并进行资格审核（详见投标供应商资格）。</w:t>
      </w:r>
    </w:p>
    <w:p>
      <w:pPr>
        <w:spacing w:line="360" w:lineRule="auto"/>
        <w:rPr>
          <w:rFonts w:ascii="宋体" w:cs="宋体"/>
          <w:color w:val="000000"/>
          <w:kern w:val="0"/>
          <w:sz w:val="24"/>
          <w:szCs w:val="22"/>
          <w:highlight w:val="none"/>
        </w:rPr>
      </w:pPr>
      <w:r>
        <w:rPr>
          <w:rFonts w:hint="eastAsia" w:ascii="宋体" w:cs="宋体"/>
          <w:color w:val="000000"/>
          <w:kern w:val="0"/>
          <w:sz w:val="24"/>
          <w:szCs w:val="22"/>
          <w:highlight w:val="none"/>
        </w:rPr>
        <w:t>四、响应文件提交</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截止时间：</w:t>
      </w:r>
      <w:r>
        <w:rPr>
          <w:rFonts w:ascii="宋体" w:cs="宋体"/>
          <w:color w:val="000000"/>
          <w:kern w:val="0"/>
          <w:sz w:val="24"/>
          <w:szCs w:val="22"/>
          <w:highlight w:val="none"/>
        </w:rPr>
        <w:t>2020</w:t>
      </w:r>
      <w:r>
        <w:rPr>
          <w:rFonts w:hint="eastAsia" w:ascii="宋体" w:cs="宋体"/>
          <w:color w:val="000000"/>
          <w:kern w:val="0"/>
          <w:sz w:val="24"/>
          <w:szCs w:val="22"/>
          <w:highlight w:val="none"/>
        </w:rPr>
        <w:t>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 xml:space="preserve"> 日1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点</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0分（北京时间）</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提交地点：民丰县行政服务和公共资源交易中心（民丰县买迪尼也提东路7号民丰县青少年活动中心二楼）</w:t>
      </w:r>
    </w:p>
    <w:p>
      <w:pPr>
        <w:rPr>
          <w:rFonts w:ascii="宋体" w:cs="宋体"/>
          <w:color w:val="000000"/>
          <w:kern w:val="0"/>
          <w:sz w:val="24"/>
          <w:szCs w:val="22"/>
          <w:highlight w:val="none"/>
        </w:rPr>
      </w:pPr>
      <w:r>
        <w:rPr>
          <w:rFonts w:hint="eastAsia" w:ascii="宋体" w:cs="宋体"/>
          <w:color w:val="000000"/>
          <w:kern w:val="0"/>
          <w:sz w:val="24"/>
          <w:szCs w:val="22"/>
          <w:highlight w:val="none"/>
        </w:rPr>
        <w:t>五、响应文件开启</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开启时间：</w:t>
      </w:r>
      <w:r>
        <w:rPr>
          <w:rFonts w:ascii="宋体" w:cs="宋体"/>
          <w:color w:val="000000"/>
          <w:kern w:val="0"/>
          <w:sz w:val="24"/>
          <w:szCs w:val="22"/>
          <w:highlight w:val="none"/>
        </w:rPr>
        <w:t>2020</w:t>
      </w:r>
      <w:r>
        <w:rPr>
          <w:rFonts w:hint="eastAsia" w:ascii="宋体" w:cs="宋体"/>
          <w:color w:val="000000"/>
          <w:kern w:val="0"/>
          <w:sz w:val="24"/>
          <w:szCs w:val="22"/>
          <w:highlight w:val="none"/>
        </w:rPr>
        <w:t>年12月2</w:t>
      </w:r>
      <w:r>
        <w:rPr>
          <w:rFonts w:hint="eastAsia" w:ascii="宋体" w:cs="宋体"/>
          <w:color w:val="000000"/>
          <w:kern w:val="0"/>
          <w:sz w:val="24"/>
          <w:szCs w:val="22"/>
          <w:highlight w:val="none"/>
          <w:lang w:val="en-US" w:eastAsia="zh-CN"/>
        </w:rPr>
        <w:t>8</w:t>
      </w:r>
      <w:r>
        <w:rPr>
          <w:rFonts w:hint="eastAsia" w:ascii="宋体" w:cs="宋体"/>
          <w:color w:val="000000"/>
          <w:kern w:val="0"/>
          <w:sz w:val="24"/>
          <w:szCs w:val="22"/>
          <w:highlight w:val="none"/>
        </w:rPr>
        <w:t>日1</w:t>
      </w:r>
      <w:r>
        <w:rPr>
          <w:rFonts w:hint="eastAsia" w:ascii="宋体" w:cs="宋体"/>
          <w:color w:val="000000"/>
          <w:kern w:val="0"/>
          <w:sz w:val="24"/>
          <w:szCs w:val="22"/>
          <w:highlight w:val="none"/>
          <w:lang w:val="en-US" w:eastAsia="zh-CN"/>
        </w:rPr>
        <w:t>0</w:t>
      </w:r>
      <w:r>
        <w:rPr>
          <w:rFonts w:hint="eastAsia" w:ascii="宋体" w:cs="宋体"/>
          <w:color w:val="000000"/>
          <w:kern w:val="0"/>
          <w:sz w:val="24"/>
          <w:szCs w:val="22"/>
          <w:highlight w:val="none"/>
        </w:rPr>
        <w:t>点</w:t>
      </w:r>
      <w:r>
        <w:rPr>
          <w:rFonts w:hint="eastAsia" w:ascii="宋体" w:cs="宋体"/>
          <w:color w:val="000000"/>
          <w:kern w:val="0"/>
          <w:sz w:val="24"/>
          <w:szCs w:val="22"/>
          <w:highlight w:val="none"/>
          <w:lang w:val="en-US" w:eastAsia="zh-CN"/>
        </w:rPr>
        <w:t>3</w:t>
      </w:r>
      <w:r>
        <w:rPr>
          <w:rFonts w:hint="eastAsia" w:ascii="宋体" w:cs="宋体"/>
          <w:color w:val="000000"/>
          <w:kern w:val="0"/>
          <w:sz w:val="24"/>
          <w:szCs w:val="22"/>
          <w:highlight w:val="none"/>
        </w:rPr>
        <w:t>0分（北京时间）</w:t>
      </w:r>
    </w:p>
    <w:p>
      <w:pPr>
        <w:ind w:firstLine="480" w:firstLineChars="200"/>
        <w:rPr>
          <w:rFonts w:ascii="宋体" w:cs="宋体"/>
          <w:color w:val="000000"/>
          <w:kern w:val="0"/>
          <w:sz w:val="24"/>
          <w:szCs w:val="22"/>
          <w:highlight w:val="none"/>
        </w:rPr>
      </w:pPr>
      <w:r>
        <w:rPr>
          <w:rFonts w:hint="eastAsia" w:ascii="宋体" w:cs="宋体"/>
          <w:color w:val="000000"/>
          <w:kern w:val="0"/>
          <w:sz w:val="24"/>
          <w:szCs w:val="22"/>
          <w:highlight w:val="none"/>
        </w:rPr>
        <w:t>投标地点：民丰县行政服务和公共资源交易中心（民丰县买迪尼也提东路7号民丰县青少年活动中心二楼）</w:t>
      </w:r>
    </w:p>
    <w:p>
      <w:pPr>
        <w:rPr>
          <w:rFonts w:ascii="宋体" w:cs="宋体"/>
          <w:color w:val="000000"/>
          <w:kern w:val="0"/>
          <w:sz w:val="24"/>
          <w:szCs w:val="22"/>
          <w:highlight w:val="none"/>
        </w:rPr>
      </w:pPr>
      <w:r>
        <w:rPr>
          <w:rFonts w:hint="eastAsia" w:ascii="宋体" w:cs="宋体"/>
          <w:color w:val="000000"/>
          <w:kern w:val="0"/>
          <w:sz w:val="24"/>
          <w:szCs w:val="22"/>
          <w:highlight w:val="none"/>
        </w:rPr>
        <w:t>六、公告期限</w:t>
      </w:r>
    </w:p>
    <w:p>
      <w:pPr>
        <w:pStyle w:val="8"/>
        <w:spacing w:beforeAutospacing="0" w:afterAutospacing="0" w:line="320" w:lineRule="exact"/>
        <w:rPr>
          <w:color w:val="000000"/>
          <w:szCs w:val="22"/>
          <w:highlight w:val="none"/>
        </w:rPr>
      </w:pPr>
      <w:r>
        <w:rPr>
          <w:rFonts w:hint="eastAsia"/>
          <w:color w:val="000000"/>
          <w:szCs w:val="22"/>
          <w:highlight w:val="none"/>
        </w:rPr>
        <w:t>自本公告发布之日起5个工作日。</w:t>
      </w:r>
    </w:p>
    <w:p>
      <w:pPr>
        <w:pStyle w:val="8"/>
        <w:spacing w:beforeAutospacing="0" w:afterAutospacing="0" w:line="320" w:lineRule="exact"/>
        <w:rPr>
          <w:color w:val="000000"/>
          <w:szCs w:val="22"/>
          <w:highlight w:val="none"/>
        </w:rPr>
      </w:pPr>
      <w:r>
        <w:rPr>
          <w:rFonts w:hint="eastAsia"/>
          <w:color w:val="000000"/>
          <w:szCs w:val="22"/>
          <w:highlight w:val="none"/>
        </w:rPr>
        <w:t>七</w:t>
      </w:r>
      <w:r>
        <w:rPr>
          <w:color w:val="000000"/>
          <w:szCs w:val="22"/>
          <w:highlight w:val="none"/>
        </w:rPr>
        <w:t>、 投标保证金</w:t>
      </w:r>
    </w:p>
    <w:tbl>
      <w:tblPr>
        <w:tblStyle w:val="9"/>
        <w:tblW w:w="9156"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5"/>
        <w:gridCol w:w="1068"/>
        <w:gridCol w:w="1000"/>
        <w:gridCol w:w="1547"/>
        <w:gridCol w:w="1303"/>
        <w:gridCol w:w="1397"/>
        <w:gridCol w:w="2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8" w:hRule="atLeast"/>
        </w:trPr>
        <w:tc>
          <w:tcPr>
            <w:tcW w:w="425"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序号</w:t>
            </w:r>
          </w:p>
        </w:tc>
        <w:tc>
          <w:tcPr>
            <w:tcW w:w="1068"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标项名称</w:t>
            </w:r>
          </w:p>
        </w:tc>
        <w:tc>
          <w:tcPr>
            <w:tcW w:w="1000"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投标保证金金额（元）</w:t>
            </w:r>
          </w:p>
        </w:tc>
        <w:tc>
          <w:tcPr>
            <w:tcW w:w="1547"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开户银行</w:t>
            </w:r>
          </w:p>
        </w:tc>
        <w:tc>
          <w:tcPr>
            <w:tcW w:w="1303"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收款账号</w:t>
            </w:r>
          </w:p>
        </w:tc>
        <w:tc>
          <w:tcPr>
            <w:tcW w:w="1397"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交付方式</w:t>
            </w:r>
          </w:p>
        </w:tc>
        <w:tc>
          <w:tcPr>
            <w:tcW w:w="2416"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66" w:hRule="atLeast"/>
        </w:trPr>
        <w:tc>
          <w:tcPr>
            <w:tcW w:w="425"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1</w:t>
            </w:r>
          </w:p>
        </w:tc>
        <w:tc>
          <w:tcPr>
            <w:tcW w:w="1068" w:type="dxa"/>
            <w:tcBorders>
              <w:tl2br w:val="nil"/>
              <w:tr2bl w:val="nil"/>
            </w:tcBorders>
            <w:shd w:val="clear" w:color="auto" w:fill="auto"/>
            <w:tcMar>
              <w:top w:w="60" w:type="dxa"/>
              <w:left w:w="120" w:type="dxa"/>
              <w:bottom w:w="60" w:type="dxa"/>
              <w:right w:w="120" w:type="dxa"/>
            </w:tcMar>
            <w:vAlign w:val="center"/>
          </w:tcPr>
          <w:p>
            <w:pPr>
              <w:spacing w:after="150"/>
              <w:jc w:val="left"/>
              <w:rPr>
                <w:rFonts w:ascii="宋体" w:cs="宋体"/>
                <w:color w:val="000000"/>
                <w:kern w:val="0"/>
                <w:sz w:val="24"/>
                <w:szCs w:val="22"/>
                <w:highlight w:val="none"/>
              </w:rPr>
            </w:pPr>
            <w:r>
              <w:rPr>
                <w:rFonts w:hint="eastAsia" w:ascii="宋体" w:cs="宋体"/>
                <w:color w:val="000000"/>
                <w:kern w:val="0"/>
                <w:sz w:val="24"/>
                <w:szCs w:val="22"/>
                <w:highlight w:val="none"/>
              </w:rPr>
              <w:t>民丰县人民医院救治能力提升建设项目</w:t>
            </w:r>
            <w:r>
              <w:rPr>
                <w:rFonts w:hint="eastAsia" w:ascii="宋体" w:cs="宋体"/>
                <w:color w:val="000000"/>
                <w:kern w:val="0"/>
                <w:sz w:val="24"/>
                <w:szCs w:val="22"/>
                <w:highlight w:val="none"/>
                <w:lang w:val="en-US" w:eastAsia="zh-CN"/>
              </w:rPr>
              <w:t>-</w:t>
            </w:r>
            <w:r>
              <w:rPr>
                <w:rFonts w:hint="eastAsia" w:ascii="宋体" w:cs="宋体"/>
                <w:color w:val="000000"/>
                <w:kern w:val="0"/>
                <w:sz w:val="24"/>
                <w:szCs w:val="22"/>
                <w:highlight w:val="none"/>
              </w:rPr>
              <w:t>设备采购</w:t>
            </w:r>
          </w:p>
        </w:tc>
        <w:tc>
          <w:tcPr>
            <w:tcW w:w="1000"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140000.00</w:t>
            </w:r>
          </w:p>
        </w:tc>
        <w:tc>
          <w:tcPr>
            <w:tcW w:w="1547"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ascii="宋体" w:cs="宋体"/>
                <w:color w:val="000000"/>
                <w:kern w:val="0"/>
                <w:sz w:val="24"/>
                <w:szCs w:val="22"/>
                <w:highlight w:val="none"/>
              </w:rPr>
              <w:t>中国农业银行股份有限公司民丰县支行</w:t>
            </w:r>
          </w:p>
        </w:tc>
        <w:tc>
          <w:tcPr>
            <w:tcW w:w="1303"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ascii="宋体" w:cs="宋体"/>
                <w:color w:val="000000"/>
                <w:kern w:val="0"/>
                <w:sz w:val="24"/>
                <w:szCs w:val="22"/>
                <w:highlight w:val="none"/>
              </w:rPr>
              <w:t>30582301040020842</w:t>
            </w:r>
          </w:p>
        </w:tc>
        <w:tc>
          <w:tcPr>
            <w:tcW w:w="1397" w:type="dxa"/>
            <w:tcBorders>
              <w:tl2br w:val="nil"/>
              <w:tr2bl w:val="nil"/>
            </w:tcBorders>
            <w:shd w:val="clear" w:color="auto" w:fill="auto"/>
            <w:tcMar>
              <w:top w:w="60" w:type="dxa"/>
              <w:left w:w="120" w:type="dxa"/>
              <w:bottom w:w="60" w:type="dxa"/>
              <w:right w:w="120" w:type="dxa"/>
            </w:tcMar>
            <w:vAlign w:val="center"/>
          </w:tcPr>
          <w:p>
            <w:pPr>
              <w:spacing w:line="320" w:lineRule="exact"/>
              <w:jc w:val="center"/>
              <w:rPr>
                <w:rFonts w:ascii="宋体" w:cs="宋体"/>
                <w:color w:val="000000"/>
                <w:kern w:val="0"/>
                <w:sz w:val="24"/>
                <w:szCs w:val="22"/>
                <w:highlight w:val="none"/>
              </w:rPr>
            </w:pPr>
            <w:r>
              <w:rPr>
                <w:rFonts w:hint="eastAsia" w:ascii="宋体" w:cs="宋体"/>
                <w:color w:val="000000"/>
                <w:kern w:val="0"/>
                <w:sz w:val="24"/>
                <w:szCs w:val="22"/>
                <w:highlight w:val="none"/>
              </w:rPr>
              <w:t>网银、电汇</w:t>
            </w:r>
          </w:p>
        </w:tc>
        <w:tc>
          <w:tcPr>
            <w:tcW w:w="2416" w:type="dxa"/>
            <w:tcBorders>
              <w:tl2br w:val="nil"/>
              <w:tr2bl w:val="nil"/>
            </w:tcBorders>
            <w:shd w:val="clear" w:color="auto" w:fill="auto"/>
            <w:tcMar>
              <w:top w:w="60" w:type="dxa"/>
              <w:left w:w="120" w:type="dxa"/>
              <w:bottom w:w="60" w:type="dxa"/>
              <w:right w:w="120" w:type="dxa"/>
            </w:tcMar>
            <w:vAlign w:val="center"/>
          </w:tcPr>
          <w:p>
            <w:pPr>
              <w:spacing w:line="320" w:lineRule="exact"/>
              <w:jc w:val="left"/>
              <w:rPr>
                <w:rFonts w:ascii="宋体" w:cs="宋体"/>
                <w:color w:val="000000"/>
                <w:kern w:val="0"/>
                <w:sz w:val="24"/>
                <w:szCs w:val="22"/>
                <w:highlight w:val="none"/>
              </w:rPr>
            </w:pPr>
            <w:r>
              <w:rPr>
                <w:rFonts w:hint="eastAsia" w:ascii="宋体" w:cs="宋体"/>
                <w:color w:val="000000"/>
                <w:kern w:val="0"/>
                <w:sz w:val="24"/>
                <w:szCs w:val="22"/>
                <w:highlight w:val="none"/>
              </w:rPr>
              <w:t>由投标单位的基本账户转至指定账户（必须注明项目名称及用途，以进账时间为准，无须到民丰县行政服务和公共资源交易中心换取收据，开标时需携带投标保证金电子回单）。</w:t>
            </w:r>
          </w:p>
          <w:p>
            <w:pPr>
              <w:spacing w:line="320" w:lineRule="exact"/>
              <w:jc w:val="left"/>
              <w:rPr>
                <w:rFonts w:ascii="宋体" w:cs="宋体"/>
                <w:color w:val="000000"/>
                <w:kern w:val="0"/>
                <w:sz w:val="24"/>
                <w:szCs w:val="22"/>
                <w:highlight w:val="none"/>
              </w:rPr>
            </w:pPr>
            <w:r>
              <w:rPr>
                <w:rFonts w:hint="eastAsia" w:ascii="宋体" w:cs="宋体"/>
                <w:color w:val="000000"/>
                <w:kern w:val="0"/>
                <w:sz w:val="24"/>
                <w:szCs w:val="22"/>
                <w:highlight w:val="none"/>
              </w:rPr>
              <w:t>注：账户名称：民丰县行政服务和公共资源交易中心</w:t>
            </w:r>
          </w:p>
        </w:tc>
      </w:tr>
    </w:tbl>
    <w:p>
      <w:pPr>
        <w:rPr>
          <w:rFonts w:ascii="宋体" w:cs="宋体"/>
          <w:color w:val="000000"/>
          <w:kern w:val="0"/>
          <w:sz w:val="24"/>
          <w:szCs w:val="22"/>
          <w:highlight w:val="none"/>
        </w:rPr>
      </w:pPr>
      <w:r>
        <w:rPr>
          <w:rFonts w:hint="eastAsia" w:ascii="宋体" w:cs="宋体"/>
          <w:color w:val="000000"/>
          <w:kern w:val="0"/>
          <w:sz w:val="24"/>
          <w:szCs w:val="22"/>
          <w:highlight w:val="none"/>
        </w:rPr>
        <w:t>八、其他补充事宜</w:t>
      </w:r>
    </w:p>
    <w:p>
      <w:pPr>
        <w:pStyle w:val="8"/>
        <w:spacing w:before="60" w:beforeAutospacing="0" w:after="60" w:afterAutospacing="0"/>
        <w:ind w:firstLine="480" w:firstLineChars="200"/>
        <w:rPr>
          <w:color w:val="000000"/>
          <w:szCs w:val="22"/>
          <w:highlight w:val="none"/>
        </w:rPr>
      </w:pPr>
      <w:r>
        <w:rPr>
          <w:rFonts w:hint="eastAsia"/>
          <w:color w:val="000000"/>
          <w:szCs w:val="22"/>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8"/>
        <w:spacing w:before="60" w:beforeAutospacing="0" w:after="60" w:afterAutospacing="0"/>
        <w:ind w:firstLine="480" w:firstLineChars="200"/>
        <w:rPr>
          <w:color w:val="000000"/>
          <w:szCs w:val="22"/>
          <w:highlight w:val="none"/>
        </w:rPr>
      </w:pPr>
      <w:r>
        <w:rPr>
          <w:rFonts w:hint="eastAsia"/>
          <w:color w:val="000000"/>
          <w:szCs w:val="22"/>
          <w:highlight w:val="none"/>
        </w:rPr>
        <w:t>2、采购项目需要落实的政府采购政策</w:t>
      </w:r>
    </w:p>
    <w:p>
      <w:pPr>
        <w:pStyle w:val="8"/>
        <w:spacing w:before="60" w:beforeAutospacing="0" w:after="60" w:afterAutospacing="0"/>
        <w:ind w:firstLine="240" w:firstLineChars="100"/>
        <w:rPr>
          <w:color w:val="000000"/>
          <w:szCs w:val="22"/>
          <w:highlight w:val="none"/>
        </w:rPr>
      </w:pPr>
      <w:r>
        <w:rPr>
          <w:rFonts w:hint="eastAsia"/>
          <w:color w:val="000000"/>
          <w:szCs w:val="22"/>
          <w:highlight w:val="none"/>
        </w:rPr>
        <w:t>（1）根据财政部发布的《政府采购促进中小企业发展暂行办法》（财库[2011]181 号）的规定，本项目对满足价格扣除条件且在投标文件中提交了《投标人企业类型声明函》，并满足相关规定的投标人，其投标报价扣除 6%后参与评审。</w:t>
      </w:r>
    </w:p>
    <w:p>
      <w:pPr>
        <w:pStyle w:val="8"/>
        <w:spacing w:before="60" w:beforeAutospacing="0" w:after="60" w:afterAutospacing="0"/>
        <w:ind w:firstLine="240" w:firstLineChars="100"/>
        <w:rPr>
          <w:color w:val="000000"/>
          <w:szCs w:val="22"/>
          <w:highlight w:val="none"/>
        </w:rPr>
      </w:pPr>
      <w:r>
        <w:rPr>
          <w:rFonts w:hint="eastAsia"/>
          <w:color w:val="000000"/>
          <w:szCs w:val="22"/>
          <w:highlight w:val="none"/>
        </w:rPr>
        <w:t>（2）根据财政部发布的《关于政府采购支持监狱企业发展有关问题的通知》（财库[2014]68号）的规定，本项目对满足价格扣除条件且在投标文件中提交了《投标人企业类型声明函》，并满足相关规定的投标人，其投标报价扣除 6%后参与评审。</w:t>
      </w:r>
    </w:p>
    <w:p>
      <w:pPr>
        <w:pStyle w:val="8"/>
        <w:spacing w:before="60" w:beforeAutospacing="0" w:after="60" w:afterAutospacing="0"/>
        <w:ind w:firstLine="240" w:firstLineChars="100"/>
        <w:rPr>
          <w:color w:val="000000"/>
          <w:szCs w:val="22"/>
          <w:highlight w:val="none"/>
        </w:rPr>
      </w:pPr>
      <w:r>
        <w:rPr>
          <w:rFonts w:hint="eastAsia"/>
          <w:color w:val="000000"/>
          <w:szCs w:val="22"/>
          <w:highlight w:val="none"/>
        </w:rPr>
        <w:t>（3）根据《财政部、民政部、中国残疾人联合会关于促进残疾人就业政府采购政策的通知》(财库[2017]141 号)的规定，对满足价格扣除条件且在投标文件中提交了《残疾人福利性单位声明函》，并满足相关规定的投标人，其投标报价扣除6%后参与评审。残疾人福利性单位属于小型、微型企业的，不重复享受政策。</w:t>
      </w:r>
    </w:p>
    <w:p>
      <w:pPr>
        <w:pStyle w:val="8"/>
        <w:spacing w:before="60" w:beforeAutospacing="0" w:after="60" w:afterAutospacing="0"/>
        <w:rPr>
          <w:color w:val="000000"/>
          <w:szCs w:val="22"/>
          <w:highlight w:val="none"/>
        </w:rPr>
      </w:pPr>
      <w:r>
        <w:rPr>
          <w:rFonts w:hint="eastAsia"/>
          <w:color w:val="000000"/>
          <w:szCs w:val="22"/>
          <w:highlight w:val="none"/>
        </w:rPr>
        <w:t>十、联系方式</w:t>
      </w:r>
    </w:p>
    <w:p>
      <w:pPr>
        <w:pStyle w:val="8"/>
        <w:spacing w:before="60" w:beforeAutospacing="0" w:after="60" w:afterAutospacing="0"/>
        <w:rPr>
          <w:color w:val="000000"/>
          <w:szCs w:val="22"/>
          <w:highlight w:val="none"/>
        </w:rPr>
      </w:pPr>
      <w:r>
        <w:rPr>
          <w:rFonts w:hint="eastAsia"/>
          <w:color w:val="000000"/>
          <w:szCs w:val="22"/>
          <w:highlight w:val="none"/>
        </w:rPr>
        <w:t>1、采购代理机构名称：新疆正昊建设工程项目管理有限公司 </w:t>
      </w:r>
    </w:p>
    <w:p>
      <w:pPr>
        <w:pStyle w:val="8"/>
        <w:spacing w:before="60" w:beforeAutospacing="0" w:after="60" w:afterAutospacing="0"/>
        <w:rPr>
          <w:color w:val="000000"/>
          <w:szCs w:val="22"/>
          <w:highlight w:val="none"/>
        </w:rPr>
      </w:pPr>
      <w:r>
        <w:rPr>
          <w:rFonts w:hint="eastAsia"/>
          <w:color w:val="000000"/>
          <w:szCs w:val="22"/>
          <w:highlight w:val="none"/>
        </w:rPr>
        <w:t>联系人：王玲 </w:t>
      </w:r>
    </w:p>
    <w:p>
      <w:pPr>
        <w:pStyle w:val="8"/>
        <w:spacing w:before="60" w:beforeAutospacing="0" w:after="60" w:afterAutospacing="0"/>
        <w:rPr>
          <w:color w:val="000000"/>
          <w:szCs w:val="22"/>
          <w:highlight w:val="none"/>
        </w:rPr>
      </w:pPr>
      <w:r>
        <w:rPr>
          <w:rFonts w:hint="eastAsia"/>
          <w:color w:val="000000"/>
          <w:szCs w:val="22"/>
          <w:highlight w:val="none"/>
        </w:rPr>
        <w:t>联系电话：0903-2529366/13319038899</w:t>
      </w:r>
    </w:p>
    <w:p>
      <w:pPr>
        <w:pStyle w:val="8"/>
        <w:spacing w:before="60" w:beforeAutospacing="0" w:after="60" w:afterAutospacing="0"/>
        <w:rPr>
          <w:color w:val="000000"/>
          <w:szCs w:val="22"/>
          <w:highlight w:val="none"/>
        </w:rPr>
      </w:pPr>
      <w:r>
        <w:rPr>
          <w:rFonts w:hint="eastAsia"/>
          <w:color w:val="000000"/>
          <w:szCs w:val="22"/>
          <w:highlight w:val="none"/>
        </w:rPr>
        <w:t>地址：和田地区和田市台北西路354号1栋2号 </w:t>
      </w:r>
    </w:p>
    <w:p>
      <w:pPr>
        <w:pStyle w:val="8"/>
        <w:spacing w:before="60" w:beforeAutospacing="0" w:after="60" w:afterAutospacing="0"/>
        <w:rPr>
          <w:color w:val="000000"/>
          <w:szCs w:val="22"/>
          <w:highlight w:val="none"/>
        </w:rPr>
      </w:pPr>
      <w:r>
        <w:rPr>
          <w:rFonts w:hint="eastAsia"/>
          <w:color w:val="000000"/>
          <w:szCs w:val="22"/>
          <w:highlight w:val="none"/>
        </w:rPr>
        <w:t xml:space="preserve">2、采购人名称：民丰县人民医院   </w:t>
      </w:r>
    </w:p>
    <w:p>
      <w:pPr>
        <w:pStyle w:val="8"/>
        <w:spacing w:before="60" w:beforeAutospacing="0" w:after="60" w:afterAutospacing="0"/>
        <w:rPr>
          <w:color w:val="000000"/>
          <w:szCs w:val="22"/>
          <w:highlight w:val="none"/>
        </w:rPr>
      </w:pPr>
      <w:r>
        <w:rPr>
          <w:rFonts w:hint="eastAsia"/>
          <w:color w:val="000000"/>
          <w:szCs w:val="22"/>
          <w:highlight w:val="none"/>
        </w:rPr>
        <w:t>联系人：罗治华</w:t>
      </w:r>
    </w:p>
    <w:p>
      <w:pPr>
        <w:pStyle w:val="8"/>
        <w:spacing w:before="60" w:beforeAutospacing="0" w:after="60" w:afterAutospacing="0"/>
        <w:rPr>
          <w:color w:val="000000"/>
          <w:szCs w:val="22"/>
          <w:highlight w:val="none"/>
        </w:rPr>
      </w:pPr>
      <w:r>
        <w:rPr>
          <w:rFonts w:hint="eastAsia"/>
          <w:color w:val="000000"/>
          <w:szCs w:val="22"/>
          <w:highlight w:val="none"/>
        </w:rPr>
        <w:t>联系电话：18139173866</w:t>
      </w:r>
    </w:p>
    <w:p>
      <w:pPr>
        <w:pStyle w:val="8"/>
        <w:spacing w:before="60" w:beforeAutospacing="0" w:after="60" w:afterAutospacing="0"/>
        <w:rPr>
          <w:color w:val="000000"/>
          <w:szCs w:val="22"/>
          <w:highlight w:val="none"/>
        </w:rPr>
      </w:pPr>
      <w:r>
        <w:rPr>
          <w:rFonts w:hint="eastAsia"/>
          <w:color w:val="000000"/>
          <w:szCs w:val="22"/>
          <w:highlight w:val="none"/>
        </w:rPr>
        <w:t>地址：民丰县人民医院</w:t>
      </w:r>
    </w:p>
    <w:p>
      <w:pPr>
        <w:pStyle w:val="8"/>
        <w:spacing w:before="60" w:beforeAutospacing="0" w:after="60" w:afterAutospacing="0"/>
        <w:rPr>
          <w:color w:val="000000"/>
          <w:szCs w:val="22"/>
          <w:highlight w:val="none"/>
        </w:rPr>
      </w:pPr>
      <w:r>
        <w:rPr>
          <w:rFonts w:hint="eastAsia"/>
          <w:color w:val="000000"/>
          <w:szCs w:val="22"/>
          <w:highlight w:val="none"/>
        </w:rPr>
        <w:t>3、同级政府采购监督管理部门名称：民丰县人民政府采购办 </w:t>
      </w:r>
    </w:p>
    <w:p>
      <w:pPr>
        <w:pStyle w:val="8"/>
        <w:spacing w:before="60" w:beforeAutospacing="0" w:after="60" w:afterAutospacing="0"/>
        <w:rPr>
          <w:color w:val="000000"/>
          <w:szCs w:val="22"/>
          <w:highlight w:val="none"/>
        </w:rPr>
      </w:pPr>
      <w:r>
        <w:rPr>
          <w:rFonts w:hint="eastAsia"/>
          <w:color w:val="000000"/>
          <w:szCs w:val="22"/>
          <w:highlight w:val="none"/>
        </w:rPr>
        <w:t>联系人：官政 </w:t>
      </w:r>
    </w:p>
    <w:p>
      <w:pPr>
        <w:pStyle w:val="8"/>
        <w:spacing w:before="60" w:beforeAutospacing="0" w:after="60" w:afterAutospacing="0"/>
        <w:rPr>
          <w:color w:val="000000"/>
          <w:szCs w:val="22"/>
          <w:highlight w:val="none"/>
        </w:rPr>
      </w:pPr>
      <w:r>
        <w:rPr>
          <w:rFonts w:hint="eastAsia"/>
          <w:color w:val="000000"/>
          <w:szCs w:val="22"/>
          <w:highlight w:val="none"/>
        </w:rPr>
        <w:t xml:space="preserve">监督投诉电话：0903-6750787                   </w:t>
      </w:r>
    </w:p>
    <w:p>
      <w:pPr>
        <w:pStyle w:val="8"/>
        <w:spacing w:before="60" w:beforeAutospacing="0" w:after="60" w:afterAutospacing="0"/>
        <w:rPr>
          <w:color w:val="000000"/>
          <w:szCs w:val="22"/>
          <w:highlight w:val="none"/>
        </w:rPr>
      </w:pPr>
    </w:p>
    <w:p>
      <w:pPr>
        <w:pStyle w:val="8"/>
        <w:spacing w:before="60" w:beforeAutospacing="0" w:after="60" w:afterAutospacing="0"/>
        <w:rPr>
          <w:rFonts w:hint="eastAsia"/>
          <w:color w:val="000000"/>
          <w:szCs w:val="22"/>
          <w:highlight w:val="none"/>
        </w:rPr>
      </w:pPr>
    </w:p>
    <w:p>
      <w:pPr>
        <w:pStyle w:val="8"/>
        <w:spacing w:before="60" w:beforeAutospacing="0" w:after="60" w:afterAutospacing="0"/>
      </w:pPr>
      <w:r>
        <w:rPr>
          <w:rFonts w:hint="eastAsia"/>
          <w:color w:val="000000"/>
          <w:szCs w:val="22"/>
          <w:highlight w:val="none"/>
        </w:rPr>
        <w:t>民丰县人民医院                       新疆正昊建设工程项目管理有限公司 2020年1</w:t>
      </w:r>
      <w:r>
        <w:rPr>
          <w:rFonts w:hint="eastAsia"/>
          <w:color w:val="000000"/>
          <w:szCs w:val="22"/>
          <w:highlight w:val="none"/>
          <w:lang w:val="en-US" w:eastAsia="zh-CN"/>
        </w:rPr>
        <w:t>2月04</w:t>
      </w:r>
      <w:r>
        <w:rPr>
          <w:rFonts w:hint="eastAsia"/>
          <w:color w:val="000000"/>
          <w:szCs w:val="22"/>
          <w:highlight w:val="none"/>
        </w:rPr>
        <w:t>日                                2020年1</w:t>
      </w:r>
      <w:r>
        <w:rPr>
          <w:rFonts w:hint="eastAsia"/>
          <w:color w:val="000000"/>
          <w:szCs w:val="22"/>
          <w:highlight w:val="none"/>
          <w:lang w:val="en-US" w:eastAsia="zh-CN"/>
        </w:rPr>
        <w:t>2月04</w:t>
      </w:r>
      <w:r>
        <w:rPr>
          <w:rFonts w:hint="eastAsia"/>
          <w:color w:val="000000"/>
          <w:szCs w:val="2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5AB1"/>
    <w:multiLevelType w:val="multilevel"/>
    <w:tmpl w:val="9DDC5AB1"/>
    <w:lvl w:ilvl="0" w:tentative="0">
      <w:start w:val="1"/>
      <w:numFmt w:val="decimal"/>
      <w:pStyle w:val="5"/>
      <w:lvlText w:val="%1"/>
      <w:lvlJc w:val="left"/>
      <w:pPr>
        <w:tabs>
          <w:tab w:val="left" w:pos="0"/>
        </w:tabs>
        <w:ind w:left="432" w:hanging="432"/>
      </w:pPr>
    </w:lvl>
    <w:lvl w:ilvl="1" w:tentative="0">
      <w:start w:val="1"/>
      <w:numFmt w:val="decimal"/>
      <w:lvlText w:val="%1.%2"/>
      <w:lvlJc w:val="left"/>
      <w:pPr>
        <w:tabs>
          <w:tab w:val="left" w:pos="0"/>
        </w:tabs>
        <w:ind w:left="576" w:hanging="576"/>
      </w:pPr>
      <w:rPr>
        <w:b/>
        <w:i w:val="0"/>
      </w:r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864" w:hanging="864"/>
      </w:p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20A4F"/>
    <w:rsid w:val="0FD34CB6"/>
    <w:rsid w:val="36B920FE"/>
    <w:rsid w:val="3B120A4F"/>
    <w:rsid w:val="40522138"/>
    <w:rsid w:val="4944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Calibri" w:hAnsi="Calibri" w:eastAsia="宋体" w:cs="Times New Roman"/>
      <w:kern w:val="2"/>
      <w:sz w:val="21"/>
      <w:szCs w:val="20"/>
      <w:lang w:val="en-US" w:eastAsia="zh-CN" w:bidi="ar-SA"/>
    </w:rPr>
  </w:style>
  <w:style w:type="paragraph" w:styleId="5">
    <w:name w:val="heading 1"/>
    <w:basedOn w:val="1"/>
    <w:next w:val="1"/>
    <w:qFormat/>
    <w:uiPriority w:val="0"/>
    <w:pPr>
      <w:keepNext/>
      <w:numPr>
        <w:ilvl w:val="0"/>
        <w:numId w:val="1"/>
      </w:numPr>
      <w:spacing w:before="240" w:after="60"/>
      <w:ind w:left="0" w:firstLine="0"/>
      <w:jc w:val="left"/>
      <w:outlineLvl w:val="0"/>
    </w:pPr>
    <w:rPr>
      <w:iCs/>
      <w:kern w:val="32"/>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rPr>
      <w:rFonts w:ascii="Times New Roman" w:hAnsi="Times New Roman"/>
      <w:sz w:val="21"/>
      <w:szCs w:val="24"/>
    </w:rPr>
  </w:style>
  <w:style w:type="paragraph" w:styleId="3">
    <w:name w:val="Body Text Indent"/>
    <w:basedOn w:val="1"/>
    <w:next w:val="2"/>
    <w:qFormat/>
    <w:uiPriority w:val="0"/>
    <w:pPr>
      <w:spacing w:after="120"/>
      <w:ind w:left="200" w:leftChars="200"/>
    </w:pPr>
    <w:rPr>
      <w:kern w:val="0"/>
      <w:sz w:val="20"/>
    </w:rPr>
  </w:style>
  <w:style w:type="paragraph" w:styleId="4">
    <w:name w:val="Normal Indent"/>
    <w:basedOn w:val="1"/>
    <w:next w:val="1"/>
    <w:qFormat/>
    <w:uiPriority w:val="0"/>
    <w:pPr>
      <w:ind w:firstLine="200" w:firstLineChars="200"/>
    </w:pPr>
    <w:rPr>
      <w:szCs w:val="24"/>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bottom w:val="single" w:color="000000" w:sz="6" w:space="1"/>
      </w:pBdr>
      <w:tabs>
        <w:tab w:val="center" w:pos="4153"/>
        <w:tab w:val="right" w:pos="8306"/>
      </w:tabs>
      <w:snapToGrid w:val="0"/>
      <w:jc w:val="center"/>
    </w:pPr>
    <w:rPr>
      <w:kern w:val="0"/>
      <w:sz w:val="18"/>
    </w:rPr>
  </w:style>
  <w:style w:type="paragraph" w:styleId="8">
    <w:name w:val="Normal (Web)"/>
    <w:basedOn w:val="1"/>
    <w:qFormat/>
    <w:uiPriority w:val="0"/>
    <w:pPr>
      <w:spacing w:before="100" w:beforeAutospacing="1" w:after="100" w:afterAutospacing="1"/>
      <w:jc w:val="left"/>
    </w:pPr>
    <w:rPr>
      <w:rFonts w:ascii="宋体" w:cs="宋体"/>
      <w:kern w:val="0"/>
      <w:sz w:val="24"/>
      <w:szCs w:val="24"/>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2020-12-04T11:35:00Z</dcterms:created>
  <dc:creator>蓬蓬莲子</dc:creator>
  <cp:lastModifiedBy>蓬蓬莲子</cp:lastModifiedBy>
  <dcterms:modified xsi:type="dcterms:W3CDTF">2020-12-04T12:48:19Z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