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p>
    <w:p>
      <w:pPr>
        <w:jc w:val="center"/>
        <w:rPr>
          <w:rFonts w:ascii="楷体_GB2312"/>
          <w:b/>
          <w:color w:val="000000" w:themeColor="text1"/>
          <w:sz w:val="72"/>
          <w14:textFill>
            <w14:solidFill>
              <w14:schemeClr w14:val="tx1"/>
            </w14:solidFill>
          </w14:textFill>
        </w:rPr>
      </w:pPr>
      <w:r>
        <w:rPr>
          <w:rFonts w:hint="eastAsia" w:ascii="楷体_GB2312"/>
          <w:b/>
          <w:color w:val="000000" w:themeColor="text1"/>
          <w:sz w:val="72"/>
          <w14:textFill>
            <w14:solidFill>
              <w14:schemeClr w14:val="tx1"/>
            </w14:solidFill>
          </w14:textFill>
        </w:rPr>
        <w:t>政  府  采  购</w:t>
      </w:r>
    </w:p>
    <w:p>
      <w:pPr>
        <w:jc w:val="center"/>
        <w:rPr>
          <w:rFonts w:ascii="楷体_GB2312"/>
          <w:b/>
          <w:color w:val="000000" w:themeColor="text1"/>
          <w:sz w:val="100"/>
          <w14:textFill>
            <w14:solidFill>
              <w14:schemeClr w14:val="tx1"/>
            </w14:solidFill>
          </w14:textFill>
        </w:rPr>
      </w:pPr>
      <w:r>
        <w:rPr>
          <w:rFonts w:hint="eastAsia" w:ascii="楷体_GB2312"/>
          <w:b/>
          <w:color w:val="000000" w:themeColor="text1"/>
          <w:sz w:val="100"/>
          <w14:textFill>
            <w14:solidFill>
              <w14:schemeClr w14:val="tx1"/>
            </w14:solidFill>
          </w14:textFill>
        </w:rPr>
        <w:t>招　标　文　件</w:t>
      </w:r>
    </w:p>
    <w:p>
      <w:pPr>
        <w:rPr>
          <w:b/>
          <w:bCs/>
          <w:color w:val="000000" w:themeColor="text1"/>
          <w:sz w:val="32"/>
          <w:szCs w:val="32"/>
          <w14:textFill>
            <w14:solidFill>
              <w14:schemeClr w14:val="tx1"/>
            </w14:solidFill>
          </w14:textFill>
        </w:rPr>
      </w:pPr>
    </w:p>
    <w:p>
      <w:pPr>
        <w:rPr>
          <w:b/>
          <w:bCs/>
          <w:color w:val="000000" w:themeColor="text1"/>
          <w:sz w:val="32"/>
          <w:szCs w:val="32"/>
          <w14:textFill>
            <w14:solidFill>
              <w14:schemeClr w14:val="tx1"/>
            </w14:solidFill>
          </w14:textFill>
        </w:rPr>
      </w:pPr>
    </w:p>
    <w:p>
      <w:pPr>
        <w:rPr>
          <w:b/>
          <w:bCs/>
          <w:color w:val="000000" w:themeColor="text1"/>
          <w:sz w:val="32"/>
          <w:szCs w:val="32"/>
          <w14:textFill>
            <w14:solidFill>
              <w14:schemeClr w14:val="tx1"/>
            </w14:solidFill>
          </w14:textFill>
        </w:rPr>
      </w:pPr>
    </w:p>
    <w:p>
      <w:pPr>
        <w:pStyle w:val="11"/>
        <w:rPr>
          <w:color w:val="000000" w:themeColor="text1"/>
          <w14:textFill>
            <w14:solidFill>
              <w14:schemeClr w14:val="tx1"/>
            </w14:solidFill>
          </w14:textFill>
        </w:rPr>
      </w:pPr>
    </w:p>
    <w:p>
      <w:pPr>
        <w:rPr>
          <w:b/>
          <w:bCs/>
          <w:color w:val="000000" w:themeColor="text1"/>
          <w:sz w:val="32"/>
          <w:szCs w:val="32"/>
          <w14:textFill>
            <w14:solidFill>
              <w14:schemeClr w14:val="tx1"/>
            </w14:solidFill>
          </w14:textFill>
        </w:rPr>
      </w:pPr>
    </w:p>
    <w:p>
      <w:pP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p>
    <w:p>
      <w:pPr>
        <w:pStyle w:val="2"/>
        <w:rPr>
          <w:color w:val="000000" w:themeColor="text1"/>
          <w14:textFill>
            <w14:solidFill>
              <w14:schemeClr w14:val="tx1"/>
            </w14:solidFill>
          </w14:textFill>
        </w:rPr>
      </w:pPr>
    </w:p>
    <w:p>
      <w:pPr>
        <w:rPr>
          <w:b/>
          <w:color w:val="000000" w:themeColor="text1"/>
          <w:sz w:val="30"/>
          <w:szCs w:val="30"/>
          <w14:textFill>
            <w14:solidFill>
              <w14:schemeClr w14:val="tx1"/>
            </w14:solidFill>
          </w14:textFill>
        </w:rPr>
      </w:pPr>
    </w:p>
    <w:p>
      <w:pPr>
        <w:rPr>
          <w:b/>
          <w:color w:val="000000" w:themeColor="text1"/>
          <w:sz w:val="30"/>
          <w:szCs w:val="30"/>
          <w14:textFill>
            <w14:solidFill>
              <w14:schemeClr w14:val="tx1"/>
            </w14:solidFill>
          </w14:textFill>
        </w:rPr>
      </w:pPr>
    </w:p>
    <w:p>
      <w:pPr>
        <w:pStyle w:val="11"/>
        <w:rPr>
          <w:b/>
          <w:color w:val="000000" w:themeColor="text1"/>
          <w:sz w:val="30"/>
          <w:szCs w:val="30"/>
          <w14:textFill>
            <w14:solidFill>
              <w14:schemeClr w14:val="tx1"/>
            </w14:solidFill>
          </w14:textFill>
        </w:rPr>
      </w:pPr>
    </w:p>
    <w:p>
      <w:pPr>
        <w:pStyle w:val="11"/>
        <w:ind w:firstLine="0"/>
        <w:rPr>
          <w:b/>
          <w:color w:val="000000" w:themeColor="text1"/>
          <w:sz w:val="30"/>
          <w:szCs w:val="30"/>
          <w14:textFill>
            <w14:solidFill>
              <w14:schemeClr w14:val="tx1"/>
            </w14:solidFill>
          </w14:textFill>
        </w:rPr>
      </w:pPr>
    </w:p>
    <w:p>
      <w:pP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jc w:val="center"/>
        <w:rPr>
          <w:b/>
          <w:color w:val="000000" w:themeColor="text1"/>
          <w:sz w:val="30"/>
          <w:szCs w:val="30"/>
          <w14:textFill>
            <w14:solidFill>
              <w14:schemeClr w14:val="tx1"/>
            </w14:solidFill>
          </w14:textFill>
        </w:rPr>
      </w:pPr>
    </w:p>
    <w:p>
      <w:pPr>
        <w:ind w:firstLine="1205" w:firstLineChars="400"/>
        <w:jc w:val="both"/>
        <w:rPr>
          <w:rFonts w:hint="default" w:eastAsia="宋体"/>
          <w:b/>
          <w:color w:val="000000" w:themeColor="text1"/>
          <w:sz w:val="30"/>
          <w:szCs w:val="30"/>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招标代理：</w:t>
      </w:r>
      <w:r>
        <w:rPr>
          <w:rFonts w:hint="eastAsia"/>
          <w:b/>
          <w:color w:val="000000" w:themeColor="text1"/>
          <w:sz w:val="30"/>
          <w:szCs w:val="30"/>
          <w:lang w:val="en-US" w:eastAsia="zh-CN"/>
          <w14:textFill>
            <w14:solidFill>
              <w14:schemeClr w14:val="tx1"/>
            </w14:solidFill>
          </w14:textFill>
        </w:rPr>
        <w:t>新疆诚成工程项目管理有限公司</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02</w:t>
      </w:r>
      <w:r>
        <w:rPr>
          <w:rFonts w:hint="eastAsia"/>
          <w:color w:val="000000" w:themeColor="text1"/>
          <w14:textFill>
            <w14:solidFill>
              <w14:schemeClr w14:val="tx1"/>
            </w14:solidFill>
          </w14:textFill>
        </w:rPr>
        <w:t>月</w:t>
      </w:r>
    </w:p>
    <w:p>
      <w:pPr>
        <w:rPr>
          <w:b/>
          <w:color w:val="000000" w:themeColor="text1"/>
          <w:sz w:val="30"/>
          <w:szCs w:val="30"/>
          <w14:textFill>
            <w14:solidFill>
              <w14:schemeClr w14:val="tx1"/>
            </w14:solidFill>
          </w14:textFill>
        </w:rPr>
      </w:pPr>
    </w:p>
    <w:p>
      <w:pPr>
        <w:autoSpaceDE w:val="0"/>
        <w:autoSpaceDN w:val="0"/>
        <w:rPr>
          <w:rFonts w:ascii="宋体" w:hAnsi="宋体" w:cs="宋体"/>
          <w:bCs/>
          <w:color w:val="000000" w:themeColor="text1"/>
          <w:sz w:val="44"/>
          <w:szCs w:val="44"/>
          <w:lang w:val="zh-CN"/>
          <w14:textFill>
            <w14:solidFill>
              <w14:schemeClr w14:val="tx1"/>
            </w14:solidFill>
          </w14:textFill>
        </w:rPr>
        <w:sectPr>
          <w:headerReference r:id="rId5" w:type="default"/>
          <w:footerReference r:id="rId6"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autoSpaceDE w:val="0"/>
        <w:autoSpaceDN w:val="0"/>
        <w:jc w:val="center"/>
        <w:rPr>
          <w:rFonts w:hint="eastAsia" w:ascii="宋体" w:hAnsi="宋体" w:cs="宋体"/>
          <w:bCs/>
          <w:color w:val="000000" w:themeColor="text1"/>
          <w:sz w:val="44"/>
          <w:szCs w:val="44"/>
          <w:lang w:val="zh-CN"/>
          <w14:textFill>
            <w14:solidFill>
              <w14:schemeClr w14:val="tx1"/>
            </w14:solidFill>
          </w14:textFill>
        </w:rPr>
      </w:pPr>
    </w:p>
    <w:p>
      <w:pPr>
        <w:autoSpaceDE w:val="0"/>
        <w:autoSpaceDN w:val="0"/>
        <w:jc w:val="center"/>
        <w:rPr>
          <w:rFonts w:ascii="宋体" w:hAnsi="宋体"/>
          <w:bCs/>
          <w:color w:val="000000" w:themeColor="text1"/>
          <w:sz w:val="44"/>
          <w:szCs w:val="44"/>
          <w:lang w:val="zh-CN"/>
          <w14:textFill>
            <w14:solidFill>
              <w14:schemeClr w14:val="tx1"/>
            </w14:solidFill>
          </w14:textFill>
        </w:rPr>
      </w:pPr>
      <w:r>
        <w:rPr>
          <w:rFonts w:hint="eastAsia" w:ascii="宋体" w:hAnsi="宋体" w:cs="宋体"/>
          <w:bCs/>
          <w:color w:val="000000" w:themeColor="text1"/>
          <w:sz w:val="44"/>
          <w:szCs w:val="44"/>
          <w:lang w:val="zh-CN"/>
          <w14:textFill>
            <w14:solidFill>
              <w14:schemeClr w14:val="tx1"/>
            </w14:solidFill>
          </w14:textFill>
        </w:rPr>
        <w:t>招标文件</w:t>
      </w:r>
    </w:p>
    <w:p>
      <w:pPr>
        <w:autoSpaceDE w:val="0"/>
        <w:autoSpaceDN w:val="0"/>
        <w:adjustRightInd w:val="0"/>
        <w:ind w:left="4375" w:leftChars="150" w:hanging="4060" w:hangingChars="1450"/>
        <w:rPr>
          <w:rFonts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ind w:left="4375" w:leftChars="150" w:hanging="4060" w:hangingChars="1450"/>
        <w:rPr>
          <w:rFonts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spacing w:line="480" w:lineRule="auto"/>
        <w:ind w:left="1680" w:hanging="1680" w:hangingChars="600"/>
        <w:rPr>
          <w:rFonts w:hint="eastAsia"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工 程 名 称：皮山县葡萄基地建设项目—（水泥桩、架设镀锌铁丝）第</w:t>
      </w:r>
      <w:r>
        <w:rPr>
          <w:rFonts w:hint="eastAsia" w:ascii="宋体" w:hAnsi="宋体" w:cs="宋体"/>
          <w:bCs/>
          <w:color w:val="000000" w:themeColor="text1"/>
          <w:sz w:val="28"/>
          <w:szCs w:val="28"/>
          <w:lang w:val="en-US" w:eastAsia="zh-CN"/>
          <w14:textFill>
            <w14:solidFill>
              <w14:schemeClr w14:val="tx1"/>
            </w14:solidFill>
          </w14:textFill>
        </w:rPr>
        <w:t>二</w:t>
      </w:r>
      <w:r>
        <w:rPr>
          <w:rFonts w:hint="eastAsia" w:ascii="宋体" w:hAnsi="宋体" w:cs="宋体"/>
          <w:bCs/>
          <w:color w:val="000000" w:themeColor="text1"/>
          <w:sz w:val="28"/>
          <w:szCs w:val="28"/>
          <w:lang w:val="zh-CN"/>
          <w14:textFill>
            <w14:solidFill>
              <w14:schemeClr w14:val="tx1"/>
            </w14:solidFill>
          </w14:textFill>
        </w:rPr>
        <w:t>标段</w:t>
      </w:r>
    </w:p>
    <w:p>
      <w:pPr>
        <w:autoSpaceDE w:val="0"/>
        <w:autoSpaceDN w:val="0"/>
        <w:adjustRightInd w:val="0"/>
        <w:spacing w:line="480" w:lineRule="auto"/>
        <w:rPr>
          <w:rFonts w:hint="eastAsia"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招 标 人（盖章）：皮山县林业和草原局</w:t>
      </w:r>
    </w:p>
    <w:p>
      <w:pPr>
        <w:autoSpaceDE w:val="0"/>
        <w:autoSpaceDN w:val="0"/>
        <w:adjustRightInd w:val="0"/>
        <w:spacing w:line="480" w:lineRule="auto"/>
        <w:rPr>
          <w:rFonts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联 系 人：阿布拉·买买提            </w:t>
      </w:r>
    </w:p>
    <w:p>
      <w:pPr>
        <w:autoSpaceDE w:val="0"/>
        <w:autoSpaceDN w:val="0"/>
        <w:adjustRightInd w:val="0"/>
        <w:spacing w:line="48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电    话：13899463493</w:t>
      </w:r>
    </w:p>
    <w:p>
      <w:pPr>
        <w:autoSpaceDE w:val="0"/>
        <w:autoSpaceDN w:val="0"/>
        <w:adjustRightInd w:val="0"/>
        <w:rPr>
          <w:rFonts w:ascii="宋体" w:hAnsi="宋体" w:cs="宋体"/>
          <w:bCs/>
          <w:color w:val="000000" w:themeColor="text1"/>
          <w:sz w:val="28"/>
          <w:szCs w:val="28"/>
          <w:lang w:val="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详细地址：皮山县</w:t>
      </w:r>
    </w:p>
    <w:p>
      <w:pPr>
        <w:autoSpaceDE w:val="0"/>
        <w:autoSpaceDN w:val="0"/>
        <w:adjustRightInd w:val="0"/>
        <w:rPr>
          <w:rFonts w:ascii="宋体" w:hAnsi="宋体"/>
          <w:bCs/>
          <w:color w:val="000000" w:themeColor="text1"/>
          <w:sz w:val="28"/>
          <w:szCs w:val="28"/>
          <w:u w:val="single"/>
          <w14:textFill>
            <w14:solidFill>
              <w14:schemeClr w14:val="tx1"/>
            </w14:solidFill>
          </w14:textFill>
        </w:rPr>
      </w:pPr>
    </w:p>
    <w:p>
      <w:pPr>
        <w:autoSpaceDE w:val="0"/>
        <w:autoSpaceDN w:val="0"/>
        <w:adjustRightInd w:val="0"/>
        <w:rPr>
          <w:rFonts w:ascii="宋体" w:hAnsi="宋体"/>
          <w:bCs/>
          <w:color w:val="000000" w:themeColor="text1"/>
          <w:sz w:val="28"/>
          <w:szCs w:val="28"/>
          <w:u w:val="single"/>
          <w14:textFill>
            <w14:solidFill>
              <w14:schemeClr w14:val="tx1"/>
            </w14:solidFill>
          </w14:textFill>
        </w:rPr>
      </w:pPr>
    </w:p>
    <w:p>
      <w:pPr>
        <w:autoSpaceDE w:val="0"/>
        <w:autoSpaceDN w:val="0"/>
        <w:adjustRightInd w:val="0"/>
        <w:rPr>
          <w:rFonts w:ascii="宋体" w:hAnsi="宋体" w:cs="宋体"/>
          <w:bCs/>
          <w:color w:val="000000" w:themeColor="text1"/>
          <w:sz w:val="28"/>
          <w:szCs w:val="28"/>
          <w:lang w:val="zh-CN"/>
          <w14:textFill>
            <w14:solidFill>
              <w14:schemeClr w14:val="tx1"/>
            </w14:solidFill>
          </w14:textFill>
        </w:rPr>
      </w:pP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 xml:space="preserve">                                                  </w:t>
      </w:r>
    </w:p>
    <w:p>
      <w:pPr>
        <w:autoSpaceDE w:val="0"/>
        <w:autoSpaceDN w:val="0"/>
        <w:adjustRightInd w:val="0"/>
        <w:spacing w:line="480" w:lineRule="auto"/>
        <w:ind w:left="4375" w:leftChars="150" w:hanging="4060" w:hangingChars="1450"/>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lang w:val="zh-CN"/>
          <w14:textFill>
            <w14:solidFill>
              <w14:schemeClr w14:val="tx1"/>
            </w14:solidFill>
          </w14:textFill>
        </w:rPr>
        <w:t>招标代理机构</w:t>
      </w:r>
      <w:r>
        <w:rPr>
          <w:rFonts w:hint="eastAsia" w:ascii="宋体" w:hAnsi="宋体" w:cs="宋体"/>
          <w:color w:val="000000" w:themeColor="text1"/>
          <w:sz w:val="28"/>
          <w:szCs w:val="28"/>
          <w:lang w:val="zh-CN"/>
          <w14:textFill>
            <w14:solidFill>
              <w14:schemeClr w14:val="tx1"/>
            </w14:solidFill>
          </w14:textFill>
        </w:rPr>
        <w:t>（盖章）</w:t>
      </w:r>
      <w:r>
        <w:rPr>
          <w:rFonts w:hint="eastAsia" w:ascii="宋体" w:hAnsi="宋体" w:cs="宋体"/>
          <w:bCs/>
          <w:color w:val="000000" w:themeColor="text1"/>
          <w:sz w:val="28"/>
          <w:szCs w:val="28"/>
          <w:lang w:val="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新疆诚成工程项目管理有限公司</w:t>
      </w:r>
    </w:p>
    <w:p>
      <w:pPr>
        <w:autoSpaceDE w:val="0"/>
        <w:autoSpaceDN w:val="0"/>
        <w:adjustRightInd w:val="0"/>
        <w:spacing w:line="480" w:lineRule="auto"/>
        <w:ind w:left="315" w:leftChars="150"/>
        <w:rPr>
          <w:rFonts w:hint="eastAsia" w:ascii="宋体" w:hAnsi="宋体" w:cs="宋体"/>
          <w:bCs/>
          <w:color w:val="000000" w:themeColor="text1"/>
          <w:kern w:val="0"/>
          <w:sz w:val="28"/>
          <w:szCs w:val="28"/>
          <w:lang w:val="zh-CN"/>
          <w14:textFill>
            <w14:solidFill>
              <w14:schemeClr w14:val="tx1"/>
            </w14:solidFill>
          </w14:textFill>
        </w:rPr>
      </w:pPr>
    </w:p>
    <w:p>
      <w:pPr>
        <w:autoSpaceDE w:val="0"/>
        <w:autoSpaceDN w:val="0"/>
        <w:adjustRightInd w:val="0"/>
        <w:spacing w:line="480" w:lineRule="auto"/>
        <w:ind w:left="315" w:leftChars="150"/>
        <w:rPr>
          <w:rFonts w:hint="eastAsia" w:ascii="宋体" w:hAnsi="宋体" w:eastAsia="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项目负责人</w:t>
      </w:r>
      <w:r>
        <w:rPr>
          <w:rFonts w:hint="eastAsia" w:ascii="宋体" w:hAnsi="宋体" w:cs="宋体"/>
          <w:bCs/>
          <w:color w:val="000000" w:themeColor="text1"/>
          <w:sz w:val="28"/>
          <w:szCs w:val="28"/>
          <w:lang w:val="zh-CN"/>
          <w14:textFill>
            <w14:solidFill>
              <w14:schemeClr w14:val="tx1"/>
            </w14:solidFill>
          </w14:textFill>
        </w:rPr>
        <w:t>：</w:t>
      </w:r>
      <w:r>
        <w:rPr>
          <w:rFonts w:hint="eastAsia" w:ascii="宋体" w:hAnsi="宋体" w:cs="宋体"/>
          <w:bCs/>
          <w:color w:val="000000" w:themeColor="text1"/>
          <w:sz w:val="28"/>
          <w:szCs w:val="28"/>
          <w:lang w:val="en-US" w:eastAsia="zh-CN"/>
          <w14:textFill>
            <w14:solidFill>
              <w14:schemeClr w14:val="tx1"/>
            </w14:solidFill>
          </w14:textFill>
        </w:rPr>
        <w:t>张国东</w:t>
      </w:r>
    </w:p>
    <w:tbl>
      <w:tblPr>
        <w:tblStyle w:val="26"/>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color w:val="000000" w:themeColor="text1"/>
                <w:kern w:val="0"/>
                <w:sz w:val="28"/>
                <w:szCs w:val="28"/>
                <w:lang w:val="zh-CN"/>
                <w14:textFill>
                  <w14:solidFill>
                    <w14:schemeClr w14:val="tx1"/>
                  </w14:solidFill>
                </w14:textFill>
              </w:rPr>
            </w:pPr>
          </w:p>
        </w:tc>
      </w:tr>
    </w:tbl>
    <w:p>
      <w:pPr>
        <w:autoSpaceDE w:val="0"/>
        <w:autoSpaceDN w:val="0"/>
        <w:adjustRightInd w:val="0"/>
        <w:spacing w:line="480" w:lineRule="auto"/>
        <w:ind w:left="315" w:leftChars="150"/>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电    话</w:t>
      </w:r>
      <w:r>
        <w:rPr>
          <w:rFonts w:hint="eastAsia" w:ascii="宋体" w:hAnsi="宋体" w:cs="宋体"/>
          <w:bCs/>
          <w:color w:val="000000" w:themeColor="text1"/>
          <w:sz w:val="28"/>
          <w:szCs w:val="28"/>
          <w:lang w:val="zh-CN"/>
          <w14:textFill>
            <w14:solidFill>
              <w14:schemeClr w14:val="tx1"/>
            </w14:solidFill>
          </w14:textFill>
        </w:rPr>
        <w:t>：0903-</w:t>
      </w:r>
      <w:r>
        <w:rPr>
          <w:rFonts w:hint="eastAsia" w:ascii="宋体" w:hAnsi="宋体" w:cs="宋体"/>
          <w:bCs/>
          <w:color w:val="000000" w:themeColor="text1"/>
          <w:sz w:val="28"/>
          <w:szCs w:val="28"/>
          <w:lang w:val="en-US" w:eastAsia="zh-CN"/>
          <w14:textFill>
            <w14:solidFill>
              <w14:schemeClr w14:val="tx1"/>
            </w14:solidFill>
          </w14:textFill>
        </w:rPr>
        <w:t>6182688</w:t>
      </w:r>
    </w:p>
    <w:p>
      <w:pPr>
        <w:autoSpaceDE w:val="0"/>
        <w:autoSpaceDN w:val="0"/>
        <w:adjustRightInd w:val="0"/>
        <w:spacing w:line="480" w:lineRule="auto"/>
        <w:ind w:left="315" w:leftChars="150"/>
        <w:rPr>
          <w:rFonts w:hint="default" w:ascii="宋体" w:hAnsi="宋体" w:eastAsia="宋体" w:cs="宋体"/>
          <w:bCs/>
          <w:color w:val="000000" w:themeColor="text1"/>
          <w:kern w:val="0"/>
          <w:sz w:val="28"/>
          <w:szCs w:val="28"/>
          <w:lang w:val="en-US" w:eastAsia="zh-CN"/>
          <w14:textFill>
            <w14:solidFill>
              <w14:schemeClr w14:val="tx1"/>
            </w14:solidFill>
          </w14:textFill>
        </w:rPr>
      </w:pPr>
      <w:r>
        <w:rPr>
          <w:rFonts w:hint="eastAsia" w:ascii="宋体" w:hAnsi="宋体" w:cs="宋体"/>
          <w:bCs/>
          <w:color w:val="000000" w:themeColor="text1"/>
          <w:kern w:val="0"/>
          <w:sz w:val="28"/>
          <w:szCs w:val="28"/>
          <w:lang w:val="zh-CN"/>
          <w14:textFill>
            <w14:solidFill>
              <w14:schemeClr w14:val="tx1"/>
            </w14:solidFill>
          </w14:textFill>
        </w:rPr>
        <w:t>详细地址：和田市</w:t>
      </w:r>
      <w:r>
        <w:rPr>
          <w:rFonts w:hint="eastAsia" w:ascii="宋体" w:hAnsi="宋体" w:cs="宋体"/>
          <w:bCs/>
          <w:color w:val="000000" w:themeColor="text1"/>
          <w:kern w:val="0"/>
          <w:sz w:val="28"/>
          <w:szCs w:val="28"/>
          <w:lang w:val="en-US" w:eastAsia="zh-CN"/>
          <w14:textFill>
            <w14:solidFill>
              <w14:schemeClr w14:val="tx1"/>
            </w14:solidFill>
          </w14:textFill>
        </w:rPr>
        <w:t>玉洲花园小区1栋2单元201室</w:t>
      </w: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hint="eastAsia" w:ascii="宋体" w:hAnsi="宋体"/>
          <w:b/>
          <w:bCs/>
          <w:color w:val="000000" w:themeColor="text1"/>
          <w:sz w:val="28"/>
          <w:szCs w:val="28"/>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采购办备案登记栏</w:t>
      </w:r>
    </w:p>
    <w:tbl>
      <w:tblPr>
        <w:tblStyle w:val="25"/>
        <w:tblpPr w:leftFromText="180" w:rightFromText="180" w:vertAnchor="text" w:horzAnchor="page" w:tblpX="1811" w:tblpY="368"/>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294" w:hRule="atLeast"/>
        </w:trPr>
        <w:tc>
          <w:tcPr>
            <w:tcW w:w="8600" w:type="dxa"/>
            <w:tcBorders>
              <w:tl2br w:val="nil"/>
              <w:tr2bl w:val="nil"/>
            </w:tcBorders>
          </w:tcPr>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本招标文件已报备</w:t>
            </w: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jc w:val="center"/>
              <w:rPr>
                <w:rFonts w:ascii="宋体"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b/>
                <w:bCs/>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工程名称：</w:t>
            </w:r>
            <w:r>
              <w:rPr>
                <w:rFonts w:hint="eastAsia" w:ascii="宋体" w:hAnsi="宋体" w:cs="宋体"/>
                <w:bCs/>
                <w:color w:val="000000" w:themeColor="text1"/>
                <w:sz w:val="28"/>
                <w:szCs w:val="28"/>
                <w:lang w:val="zh-CN"/>
                <w14:textFill>
                  <w14:solidFill>
                    <w14:schemeClr w14:val="tx1"/>
                  </w14:solidFill>
                </w14:textFill>
              </w:rPr>
              <w:t>皮山县葡萄基地建设项目—（水泥桩、架设镀锌铁丝）第</w:t>
            </w:r>
            <w:r>
              <w:rPr>
                <w:rFonts w:hint="eastAsia" w:ascii="宋体" w:hAnsi="宋体" w:cs="宋体"/>
                <w:bCs/>
                <w:color w:val="000000" w:themeColor="text1"/>
                <w:sz w:val="28"/>
                <w:szCs w:val="28"/>
                <w:lang w:val="en-US" w:eastAsia="zh-CN"/>
                <w14:textFill>
                  <w14:solidFill>
                    <w14:schemeClr w14:val="tx1"/>
                  </w14:solidFill>
                </w14:textFill>
              </w:rPr>
              <w:t>二</w:t>
            </w:r>
            <w:r>
              <w:rPr>
                <w:rFonts w:hint="eastAsia" w:ascii="宋体" w:hAnsi="宋体" w:cs="宋体"/>
                <w:bCs/>
                <w:color w:val="000000" w:themeColor="text1"/>
                <w:sz w:val="28"/>
                <w:szCs w:val="28"/>
                <w:lang w:val="zh-CN"/>
                <w14:textFill>
                  <w14:solidFill>
                    <w14:schemeClr w14:val="tx1"/>
                  </w14:solidFill>
                </w14:textFill>
              </w:rPr>
              <w:t>标段</w:t>
            </w:r>
          </w:p>
          <w:p>
            <w:pPr>
              <w:ind w:firstLine="1120" w:firstLineChars="400"/>
              <w:rPr>
                <w:rFonts w:ascii="宋体" w:hAnsi="宋体"/>
                <w:bCs/>
                <w:color w:val="000000" w:themeColor="text1"/>
                <w:sz w:val="28"/>
                <w:szCs w:val="28"/>
                <w14:textFill>
                  <w14:solidFill>
                    <w14:schemeClr w14:val="tx1"/>
                  </w14:solidFill>
                </w14:textFill>
              </w:rPr>
            </w:pPr>
          </w:p>
          <w:p>
            <w:pPr>
              <w:ind w:firstLine="1120" w:firstLineChars="400"/>
              <w:rPr>
                <w:rFonts w:ascii="宋体" w:hAnsi="宋体"/>
                <w:bCs/>
                <w:color w:val="000000" w:themeColor="text1"/>
                <w:sz w:val="28"/>
                <w:szCs w:val="28"/>
                <w14:textFill>
                  <w14:solidFill>
                    <w14:schemeClr w14:val="tx1"/>
                  </w14:solidFill>
                </w14:textFill>
              </w:rPr>
            </w:pPr>
          </w:p>
          <w:p>
            <w:pPr>
              <w:pStyle w:val="2"/>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p>
          <w:p>
            <w:pPr>
              <w:pStyle w:val="2"/>
            </w:pPr>
          </w:p>
          <w:p/>
          <w:p>
            <w:pPr>
              <w:ind w:firstLine="1120" w:firstLineChars="400"/>
              <w:rPr>
                <w:rFonts w:ascii="宋体" w:hAnsi="宋体"/>
                <w:bCs/>
                <w:color w:val="000000" w:themeColor="text1"/>
                <w:sz w:val="28"/>
                <w:szCs w:val="28"/>
                <w14:textFill>
                  <w14:solidFill>
                    <w14:schemeClr w14:val="tx1"/>
                  </w14:solidFill>
                </w14:textFill>
              </w:rPr>
            </w:pPr>
          </w:p>
          <w:p>
            <w:pPr>
              <w:jc w:val="left"/>
              <w:rPr>
                <w:rFonts w:ascii="宋体" w:hAnsi="宋体"/>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备案日期：</w:t>
            </w:r>
          </w:p>
        </w:tc>
      </w:tr>
    </w:tbl>
    <w:p>
      <w:pPr>
        <w:shd w:val="clear"/>
        <w:ind w:right="4" w:rightChars="2"/>
        <w:jc w:val="center"/>
        <w:rPr>
          <w:rFonts w:ascii="宋体" w:hAnsi="宋体"/>
          <w:b/>
          <w:color w:val="000000" w:themeColor="text1"/>
          <w:sz w:val="44"/>
          <w:highlight w:val="none"/>
          <w14:textFill>
            <w14:solidFill>
              <w14:schemeClr w14:val="tx1"/>
            </w14:solidFill>
          </w14:textFill>
        </w:rPr>
      </w:pPr>
    </w:p>
    <w:p>
      <w:pPr>
        <w:shd w:val="clear"/>
        <w:ind w:right="4" w:rightChars="2"/>
        <w:jc w:val="center"/>
        <w:rPr>
          <w:rFonts w:hint="eastAsia" w:ascii="宋体" w:hAnsi="宋体"/>
          <w:b/>
          <w:color w:val="000000" w:themeColor="text1"/>
          <w:sz w:val="44"/>
          <w:highlight w:val="none"/>
          <w14:textFill>
            <w14:solidFill>
              <w14:schemeClr w14:val="tx1"/>
            </w14:solidFill>
          </w14:textFill>
        </w:rPr>
      </w:pPr>
    </w:p>
    <w:p>
      <w:pPr>
        <w:shd w:val="clear"/>
        <w:ind w:right="4" w:rightChars="2"/>
        <w:jc w:val="center"/>
        <w:rPr>
          <w:rFonts w:hint="eastAsia" w:ascii="宋体" w:hAnsi="宋体"/>
          <w:b/>
          <w:color w:val="000000" w:themeColor="text1"/>
          <w:sz w:val="44"/>
          <w:highlight w:val="none"/>
          <w14:textFill>
            <w14:solidFill>
              <w14:schemeClr w14:val="tx1"/>
            </w14:solidFill>
          </w14:textFill>
        </w:rPr>
      </w:pPr>
    </w:p>
    <w:p>
      <w:pPr>
        <w:shd w:val="clear"/>
        <w:ind w:right="4" w:rightChars="2"/>
        <w:jc w:val="center"/>
        <w:rPr>
          <w:rFonts w:asci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目　　录</w:t>
      </w:r>
    </w:p>
    <w:p>
      <w:pPr>
        <w:shd w:val="clear"/>
        <w:rPr>
          <w:rFonts w:ascii="宋体"/>
          <w:color w:val="000000" w:themeColor="text1"/>
          <w:sz w:val="24"/>
          <w:highlight w:val="none"/>
          <w14:textFill>
            <w14:solidFill>
              <w14:schemeClr w14:val="tx1"/>
            </w14:solidFill>
          </w14:textFill>
        </w:rPr>
      </w:pP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第一部分　采购公告</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第二部分　投标须知</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A</w:t>
      </w:r>
      <w:r>
        <w:rPr>
          <w:rFonts w:hint="eastAsia" w:ascii="宋体" w:hAnsi="宋体"/>
          <w:bCs/>
          <w:color w:val="000000" w:themeColor="text1"/>
          <w:sz w:val="24"/>
          <w:highlight w:val="none"/>
          <w14:textFill>
            <w14:solidFill>
              <w14:schemeClr w14:val="tx1"/>
            </w14:solidFill>
          </w14:textFill>
        </w:rPr>
        <w:t>　说明及注意事项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．适用范围</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．定义</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．合格的投标人</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．联合体投标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．投标保证金</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．投标有效期</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7</w:t>
      </w:r>
      <w:r>
        <w:rPr>
          <w:rFonts w:hint="eastAsia" w:ascii="宋体" w:hAnsi="宋体"/>
          <w:bCs/>
          <w:color w:val="000000" w:themeColor="text1"/>
          <w:sz w:val="24"/>
          <w:highlight w:val="none"/>
          <w14:textFill>
            <w14:solidFill>
              <w14:schemeClr w14:val="tx1"/>
            </w14:solidFill>
          </w14:textFill>
        </w:rPr>
        <w:t>．招标文件的澄清</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8</w:t>
      </w:r>
      <w:r>
        <w:rPr>
          <w:rFonts w:hint="eastAsia" w:ascii="宋体" w:hAnsi="宋体"/>
          <w:bCs/>
          <w:color w:val="000000" w:themeColor="text1"/>
          <w:sz w:val="24"/>
          <w:highlight w:val="none"/>
          <w14:textFill>
            <w14:solidFill>
              <w14:schemeClr w14:val="tx1"/>
            </w14:solidFill>
          </w14:textFill>
        </w:rPr>
        <w:t>．招标文件的修改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．投标费用</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B</w:t>
      </w:r>
      <w:r>
        <w:rPr>
          <w:rFonts w:hint="eastAsia" w:ascii="宋体" w:hAnsi="宋体"/>
          <w:bCs/>
          <w:color w:val="000000" w:themeColor="text1"/>
          <w:sz w:val="24"/>
          <w:highlight w:val="none"/>
          <w14:textFill>
            <w14:solidFill>
              <w14:schemeClr w14:val="tx1"/>
            </w14:solidFill>
          </w14:textFill>
        </w:rPr>
        <w:t>　投标文件的编写</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10</w:t>
      </w:r>
      <w:r>
        <w:rPr>
          <w:rFonts w:hint="eastAsia" w:ascii="宋体" w:hAnsi="宋体"/>
          <w:bCs/>
          <w:color w:val="000000" w:themeColor="text1"/>
          <w:sz w:val="24"/>
          <w:highlight w:val="none"/>
          <w14:textFill>
            <w14:solidFill>
              <w14:schemeClr w14:val="tx1"/>
            </w14:solidFill>
          </w14:textFill>
        </w:rPr>
        <w:t>．一般要求</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11</w:t>
      </w:r>
      <w:r>
        <w:rPr>
          <w:rFonts w:hint="eastAsia" w:ascii="宋体" w:hAnsi="宋体"/>
          <w:bCs/>
          <w:color w:val="000000" w:themeColor="text1"/>
          <w:sz w:val="24"/>
          <w:highlight w:val="none"/>
          <w14:textFill>
            <w14:solidFill>
              <w14:schemeClr w14:val="tx1"/>
            </w14:solidFill>
          </w14:textFill>
        </w:rPr>
        <w:t>．投标文件由以下部分构成</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12</w:t>
      </w:r>
      <w:r>
        <w:rPr>
          <w:rFonts w:hint="eastAsia" w:ascii="宋体" w:hAnsi="宋体"/>
          <w:bCs/>
          <w:color w:val="000000" w:themeColor="text1"/>
          <w:sz w:val="24"/>
          <w:highlight w:val="none"/>
          <w14:textFill>
            <w14:solidFill>
              <w14:schemeClr w14:val="tx1"/>
            </w14:solidFill>
          </w14:textFill>
        </w:rPr>
        <w:t>．报价</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13</w:t>
      </w:r>
      <w:r>
        <w:rPr>
          <w:rFonts w:hint="eastAsia" w:ascii="宋体" w:hAnsi="宋体"/>
          <w:bCs/>
          <w:color w:val="000000" w:themeColor="text1"/>
          <w:sz w:val="24"/>
          <w:highlight w:val="none"/>
          <w14:textFill>
            <w14:solidFill>
              <w14:schemeClr w14:val="tx1"/>
            </w14:solidFill>
          </w14:textFill>
        </w:rPr>
        <w:t>．投标文件的签署及规定</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C</w:t>
      </w:r>
      <w:r>
        <w:rPr>
          <w:rFonts w:hint="eastAsia" w:ascii="宋体" w:hAnsi="宋体"/>
          <w:bCs/>
          <w:color w:val="000000" w:themeColor="text1"/>
          <w:sz w:val="24"/>
          <w:highlight w:val="none"/>
          <w14:textFill>
            <w14:solidFill>
              <w14:schemeClr w14:val="tx1"/>
            </w14:solidFill>
          </w14:textFill>
        </w:rPr>
        <w:t>　投标文件的递交</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14</w:t>
      </w:r>
      <w:r>
        <w:rPr>
          <w:rFonts w:hint="eastAsia" w:ascii="宋体" w:hAnsi="宋体"/>
          <w:bCs/>
          <w:color w:val="000000" w:themeColor="text1"/>
          <w:sz w:val="24"/>
          <w:highlight w:val="none"/>
          <w14:textFill>
            <w14:solidFill>
              <w14:schemeClr w14:val="tx1"/>
            </w14:solidFill>
          </w14:textFill>
        </w:rPr>
        <w:t>．投标文件的密封和标记</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．投标文件的递交</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16</w:t>
      </w:r>
      <w:r>
        <w:rPr>
          <w:rFonts w:hint="eastAsia" w:ascii="宋体" w:hAnsi="宋体"/>
          <w:bCs/>
          <w:color w:val="000000" w:themeColor="text1"/>
          <w:sz w:val="24"/>
          <w:highlight w:val="none"/>
          <w14:textFill>
            <w14:solidFill>
              <w14:schemeClr w14:val="tx1"/>
            </w14:solidFill>
          </w14:textFill>
        </w:rPr>
        <w:t>．投标文件的修改</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17</w:t>
      </w:r>
      <w:r>
        <w:rPr>
          <w:rFonts w:hint="eastAsia" w:ascii="宋体" w:hAnsi="宋体"/>
          <w:bCs/>
          <w:color w:val="000000" w:themeColor="text1"/>
          <w:sz w:val="24"/>
          <w:highlight w:val="none"/>
          <w14:textFill>
            <w14:solidFill>
              <w14:schemeClr w14:val="tx1"/>
            </w14:solidFill>
          </w14:textFill>
        </w:rPr>
        <w:t>．投标文件的撤回、修改、补充</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18</w:t>
      </w:r>
      <w:r>
        <w:rPr>
          <w:rFonts w:hint="eastAsia" w:ascii="宋体" w:hAnsi="宋体"/>
          <w:bCs/>
          <w:color w:val="000000" w:themeColor="text1"/>
          <w:sz w:val="24"/>
          <w:highlight w:val="none"/>
          <w14:textFill>
            <w14:solidFill>
              <w14:schemeClr w14:val="tx1"/>
            </w14:solidFill>
          </w14:textFill>
        </w:rPr>
        <w:t>．迟到的投标文件</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D</w:t>
      </w:r>
      <w:r>
        <w:rPr>
          <w:rFonts w:hint="eastAsia" w:ascii="宋体" w:hAnsi="宋体"/>
          <w:bCs/>
          <w:color w:val="000000" w:themeColor="text1"/>
          <w:sz w:val="24"/>
          <w:highlight w:val="none"/>
          <w14:textFill>
            <w14:solidFill>
              <w14:schemeClr w14:val="tx1"/>
            </w14:solidFill>
          </w14:textFill>
        </w:rPr>
        <w:t>　开标和评标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19</w:t>
      </w:r>
      <w:r>
        <w:rPr>
          <w:rFonts w:hint="eastAsia" w:ascii="宋体" w:hAnsi="宋体"/>
          <w:bCs/>
          <w:color w:val="000000" w:themeColor="text1"/>
          <w:sz w:val="24"/>
          <w:highlight w:val="none"/>
          <w14:textFill>
            <w14:solidFill>
              <w14:schemeClr w14:val="tx1"/>
            </w14:solidFill>
          </w14:textFill>
        </w:rPr>
        <w:t>．开标</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20</w:t>
      </w:r>
      <w:r>
        <w:rPr>
          <w:rFonts w:hint="eastAsia" w:ascii="宋体" w:hAnsi="宋体"/>
          <w:bCs/>
          <w:color w:val="000000" w:themeColor="text1"/>
          <w:sz w:val="24"/>
          <w:highlight w:val="none"/>
          <w14:textFill>
            <w14:solidFill>
              <w14:schemeClr w14:val="tx1"/>
            </w14:solidFill>
          </w14:textFill>
        </w:rPr>
        <w:t>．评标委员会组成及职责</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．评标委员会履行的义务</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．评标工作程序</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．评标过程的保密性</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E</w:t>
      </w:r>
      <w:r>
        <w:rPr>
          <w:rFonts w:hint="eastAsia" w:ascii="宋体" w:hAnsi="宋体"/>
          <w:bCs/>
          <w:color w:val="000000" w:themeColor="text1"/>
          <w:sz w:val="24"/>
          <w:highlight w:val="none"/>
          <w14:textFill>
            <w14:solidFill>
              <w14:schemeClr w14:val="tx1"/>
            </w14:solidFill>
          </w14:textFill>
        </w:rPr>
        <w:t>　评标文件及标准</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．评标方法</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25</w:t>
      </w:r>
      <w:r>
        <w:rPr>
          <w:rFonts w:hint="eastAsia" w:ascii="宋体" w:hAnsi="宋体"/>
          <w:bCs/>
          <w:color w:val="000000" w:themeColor="text1"/>
          <w:sz w:val="24"/>
          <w:highlight w:val="none"/>
          <w14:textFill>
            <w14:solidFill>
              <w14:schemeClr w14:val="tx1"/>
            </w14:solidFill>
          </w14:textFill>
        </w:rPr>
        <w:t>．授受和拒绝任何或所有投标的权力</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F</w:t>
      </w:r>
      <w:r>
        <w:rPr>
          <w:rFonts w:hint="eastAsia" w:ascii="宋体" w:hAnsi="宋体"/>
          <w:bCs/>
          <w:color w:val="000000" w:themeColor="text1"/>
          <w:sz w:val="24"/>
          <w:highlight w:val="none"/>
          <w14:textFill>
            <w14:solidFill>
              <w14:schemeClr w14:val="tx1"/>
            </w14:solidFill>
          </w14:textFill>
        </w:rPr>
        <w:t>　中标及合同签订</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26</w:t>
      </w:r>
      <w:r>
        <w:rPr>
          <w:rFonts w:hint="eastAsia" w:ascii="宋体" w:hAnsi="宋体"/>
          <w:bCs/>
          <w:color w:val="000000" w:themeColor="text1"/>
          <w:sz w:val="24"/>
          <w:highlight w:val="none"/>
          <w14:textFill>
            <w14:solidFill>
              <w14:schemeClr w14:val="tx1"/>
            </w14:solidFill>
          </w14:textFill>
        </w:rPr>
        <w:t>．中标通知</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27</w:t>
      </w:r>
      <w:r>
        <w:rPr>
          <w:rFonts w:hint="eastAsia" w:ascii="宋体" w:hAnsi="宋体"/>
          <w:bCs/>
          <w:color w:val="000000" w:themeColor="text1"/>
          <w:sz w:val="24"/>
          <w:highlight w:val="none"/>
          <w14:textFill>
            <w14:solidFill>
              <w14:schemeClr w14:val="tx1"/>
            </w14:solidFill>
          </w14:textFill>
        </w:rPr>
        <w:t>．合同签订</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G</w:t>
      </w:r>
      <w:r>
        <w:rPr>
          <w:rFonts w:hint="eastAsia" w:ascii="宋体" w:hAnsi="宋体"/>
          <w:bCs/>
          <w:color w:val="000000" w:themeColor="text1"/>
          <w:sz w:val="24"/>
          <w:highlight w:val="none"/>
          <w14:textFill>
            <w14:solidFill>
              <w14:schemeClr w14:val="tx1"/>
            </w14:solidFill>
          </w14:textFill>
        </w:rPr>
        <w:t>　法律责任</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28</w:t>
      </w:r>
      <w:r>
        <w:rPr>
          <w:rFonts w:hint="eastAsia" w:ascii="宋体" w:hAnsi="宋体"/>
          <w:bCs/>
          <w:color w:val="000000" w:themeColor="text1"/>
          <w:sz w:val="24"/>
          <w:highlight w:val="none"/>
          <w14:textFill>
            <w14:solidFill>
              <w14:schemeClr w14:val="tx1"/>
            </w14:solidFill>
          </w14:textFill>
        </w:rPr>
        <w:t>．法律责任</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H</w:t>
      </w:r>
      <w:r>
        <w:rPr>
          <w:rFonts w:hint="eastAsia" w:ascii="宋体" w:hAnsi="宋体"/>
          <w:bCs/>
          <w:color w:val="000000" w:themeColor="text1"/>
          <w:sz w:val="24"/>
          <w:highlight w:val="none"/>
          <w14:textFill>
            <w14:solidFill>
              <w14:schemeClr w14:val="tx1"/>
            </w14:solidFill>
          </w14:textFill>
        </w:rPr>
        <w:t>　验收</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29</w:t>
      </w:r>
      <w:r>
        <w:rPr>
          <w:rFonts w:hint="eastAsia" w:ascii="宋体" w:hAnsi="宋体"/>
          <w:bCs/>
          <w:color w:val="000000" w:themeColor="text1"/>
          <w:sz w:val="24"/>
          <w:highlight w:val="none"/>
          <w14:textFill>
            <w14:solidFill>
              <w14:schemeClr w14:val="tx1"/>
            </w14:solidFill>
          </w14:textFill>
        </w:rPr>
        <w:t>．货物验收</w:t>
      </w:r>
    </w:p>
    <w:p>
      <w:pPr>
        <w:shd w:val="clear"/>
        <w:ind w:firstLine="42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I</w:t>
      </w:r>
      <w:r>
        <w:rPr>
          <w:rFonts w:hint="eastAsia" w:ascii="宋体" w:hAnsi="宋体"/>
          <w:bCs/>
          <w:color w:val="000000" w:themeColor="text1"/>
          <w:sz w:val="24"/>
          <w:highlight w:val="none"/>
          <w14:textFill>
            <w14:solidFill>
              <w14:schemeClr w14:val="tx1"/>
            </w14:solidFill>
          </w14:textFill>
        </w:rPr>
        <w:t>　质疑与投诉</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30</w:t>
      </w:r>
      <w:r>
        <w:rPr>
          <w:rFonts w:hint="eastAsia" w:ascii="宋体" w:hAnsi="宋体"/>
          <w:bCs/>
          <w:color w:val="000000" w:themeColor="text1"/>
          <w:sz w:val="24"/>
          <w:highlight w:val="none"/>
          <w14:textFill>
            <w14:solidFill>
              <w14:schemeClr w14:val="tx1"/>
            </w14:solidFill>
          </w14:textFill>
        </w:rPr>
        <w:t>．质疑</w:t>
      </w:r>
    </w:p>
    <w:p>
      <w:pPr>
        <w:shd w:val="clear"/>
        <w:ind w:firstLine="63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．投诉</w:t>
      </w:r>
    </w:p>
    <w:p>
      <w:pPr>
        <w:shd w:val="clea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第三部分　货物采购要求、技术参数、规格及需求表</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第四部分　采购合同（范本）</w:t>
      </w:r>
    </w:p>
    <w:p>
      <w:pPr>
        <w:shd w:val="clea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第五部分　投标文件内容及格式</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2、投标一览表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3、投标货物报价表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4、技术规格功能要求偏离表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5、商务条款偏离表</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6、银行转账回执单复印件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7、投标方的资格声明</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8、法人营业执照</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9、法定代表人证明书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10、法定代表人授权书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11、质量保证书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12、售后服务承诺书</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13、投标人证明投标资格合格的相关证件证明的复印件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14、投标人证明货物合格的相关证件证明复印件</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15、投标单位（供应商）反商业贿赂承诺书</w:t>
      </w:r>
    </w:p>
    <w:p>
      <w:pPr>
        <w:shd w:val="clear"/>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16、经年审计的上年度会计报表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新成立的公司可不提供</w:t>
      </w:r>
      <w:r>
        <w:rPr>
          <w:rFonts w:hint="eastAsia" w:ascii="宋体" w:hAnsi="宋体"/>
          <w:color w:val="000000" w:themeColor="text1"/>
          <w:sz w:val="24"/>
          <w:highlight w:val="none"/>
          <w:lang w:eastAsia="zh-CN"/>
          <w14:textFill>
            <w14:solidFill>
              <w14:schemeClr w14:val="tx1"/>
            </w14:solidFill>
          </w14:textFill>
        </w:rPr>
        <w:t>）</w:t>
      </w:r>
    </w:p>
    <w:p>
      <w:pPr>
        <w:shd w:val="clea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17、其它必须的资料及有利于投标的资料</w:t>
      </w:r>
    </w:p>
    <w:p>
      <w:pPr>
        <w:shd w:val="clear"/>
        <w:spacing w:line="360" w:lineRule="auto"/>
        <w:ind w:firstLine="565" w:firstLineChars="201"/>
        <w:rPr>
          <w:rFonts w:ascii="宋体" w:hAnsi="宋体"/>
          <w:b/>
          <w:color w:val="000000" w:themeColor="text1"/>
          <w:sz w:val="28"/>
          <w:szCs w:val="28"/>
          <w:highlight w:val="none"/>
          <w14:textFill>
            <w14:solidFill>
              <w14:schemeClr w14:val="tx1"/>
            </w14:solidFill>
          </w14:textFill>
        </w:rPr>
        <w:sectPr>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start="1"/>
          <w:cols w:space="720" w:num="1"/>
          <w:docGrid w:linePitch="462" w:charSpace="0"/>
        </w:sectPr>
      </w:pPr>
    </w:p>
    <w:p>
      <w:pPr>
        <w:shd w:val="clear"/>
        <w:spacing w:line="500" w:lineRule="exact"/>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第一部分</w:t>
      </w: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采购公告</w:t>
      </w:r>
    </w:p>
    <w:p>
      <w:pPr>
        <w:jc w:val="center"/>
        <w:rPr>
          <w:rFonts w:hint="default" w:eastAsia="宋体"/>
          <w:b/>
          <w:bCs/>
          <w:sz w:val="28"/>
          <w:szCs w:val="28"/>
          <w:lang w:val="en-US" w:eastAsia="zh-CN"/>
        </w:rPr>
      </w:pPr>
      <w:r>
        <w:rPr>
          <w:rFonts w:hint="eastAsia"/>
          <w:b/>
          <w:bCs/>
          <w:sz w:val="28"/>
          <w:szCs w:val="28"/>
        </w:rPr>
        <w:t>皮山县葡萄基地建设项目—（水泥桩、架设镀锌铁丝）</w:t>
      </w:r>
    </w:p>
    <w:p>
      <w:pPr>
        <w:jc w:val="center"/>
        <w:rPr>
          <w:rFonts w:hint="eastAsia"/>
          <w:b/>
          <w:bCs/>
          <w:sz w:val="28"/>
          <w:szCs w:val="28"/>
        </w:rPr>
      </w:pPr>
      <w:r>
        <w:rPr>
          <w:rFonts w:hint="eastAsia"/>
          <w:b/>
          <w:bCs/>
          <w:sz w:val="28"/>
          <w:szCs w:val="28"/>
        </w:rPr>
        <w:t>公开招标公告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一、招标项目编号：PSXZC2</w:t>
      </w:r>
      <w:r>
        <w:rPr>
          <w:rFonts w:hint="eastAsia"/>
          <w:lang w:val="en-US" w:eastAsia="zh-CN"/>
        </w:rPr>
        <w:t>020-006</w:t>
      </w:r>
      <w:r>
        <w:rPr>
          <w:rFonts w:hint="eastAsia"/>
        </w:rPr>
        <w:t xml:space="preserve">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二、采购组织类型：分散采购-分散委托中介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default"/>
        </w:rPr>
        <w:t>三、招标项目概况</w:t>
      </w:r>
    </w:p>
    <w:tbl>
      <w:tblPr>
        <w:tblStyle w:val="25"/>
        <w:tblW w:w="543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15" w:type="dxa"/>
          <w:left w:w="15" w:type="dxa"/>
          <w:bottom w:w="15" w:type="dxa"/>
          <w:right w:w="15" w:type="dxa"/>
        </w:tblCellMar>
      </w:tblPr>
      <w:tblGrid>
        <w:gridCol w:w="793"/>
        <w:gridCol w:w="1151"/>
        <w:gridCol w:w="964"/>
        <w:gridCol w:w="1453"/>
        <w:gridCol w:w="743"/>
        <w:gridCol w:w="2569"/>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685" w:hRule="atLeast"/>
        </w:trPr>
        <w:tc>
          <w:tcPr>
            <w:tcW w:w="42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标项序号</w:t>
            </w:r>
          </w:p>
        </w:tc>
        <w:tc>
          <w:tcPr>
            <w:tcW w:w="62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标项名称</w:t>
            </w:r>
          </w:p>
        </w:tc>
        <w:tc>
          <w:tcPr>
            <w:tcW w:w="52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数量</w:t>
            </w:r>
          </w:p>
        </w:tc>
        <w:tc>
          <w:tcPr>
            <w:tcW w:w="78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预算金额(元)</w:t>
            </w:r>
          </w:p>
        </w:tc>
        <w:tc>
          <w:tcPr>
            <w:tcW w:w="40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单位</w:t>
            </w:r>
          </w:p>
        </w:tc>
        <w:tc>
          <w:tcPr>
            <w:tcW w:w="138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简要规格描述</w:t>
            </w:r>
          </w:p>
        </w:tc>
        <w:tc>
          <w:tcPr>
            <w:tcW w:w="85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1261" w:hRule="atLeast"/>
        </w:trPr>
        <w:tc>
          <w:tcPr>
            <w:tcW w:w="42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62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皮山县葡萄基地建设项目—（水泥桩、架设镀锌铁丝）第一标段</w:t>
            </w:r>
          </w:p>
        </w:tc>
        <w:tc>
          <w:tcPr>
            <w:tcW w:w="52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78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default"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5362000</w:t>
            </w:r>
          </w:p>
        </w:tc>
        <w:tc>
          <w:tcPr>
            <w:tcW w:w="40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项</w:t>
            </w:r>
          </w:p>
        </w:tc>
        <w:tc>
          <w:tcPr>
            <w:tcW w:w="138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default"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855000根水泥桩、角铁采购及安装；1500亩镀锌铁丝架设；两块铁质宣传牌采购及安装</w:t>
            </w:r>
          </w:p>
        </w:tc>
        <w:tc>
          <w:tcPr>
            <w:tcW w:w="858"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具体规格、数量、参数详见招标文件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1261" w:hRule="atLeast"/>
        </w:trPr>
        <w:tc>
          <w:tcPr>
            <w:tcW w:w="79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2</w:t>
            </w:r>
          </w:p>
        </w:tc>
        <w:tc>
          <w:tcPr>
            <w:tcW w:w="1151"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皮山县葡萄基地建设项目—（水泥桩、架设镀锌铁丝）第二标段</w:t>
            </w:r>
          </w:p>
        </w:tc>
        <w:tc>
          <w:tcPr>
            <w:tcW w:w="964"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145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5355000.00</w:t>
            </w:r>
          </w:p>
        </w:tc>
        <w:tc>
          <w:tcPr>
            <w:tcW w:w="743"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项</w:t>
            </w:r>
          </w:p>
        </w:tc>
        <w:tc>
          <w:tcPr>
            <w:tcW w:w="256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855000根水泥桩、角铁采购及安装；1500亩镀锌铁丝架设；</w:t>
            </w:r>
          </w:p>
        </w:tc>
        <w:tc>
          <w:tcPr>
            <w:tcW w:w="1591"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具体规格、数量、参数详见招标文件</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四、投标供应商资格要求:</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2、经年审合格三证合一的营业执照（须具有和本项目相应的经营范围）；</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3、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4、企业负责人为同一人或者存在直接控股、管理关系的不同投标人，不得参加同一合同项下的政府采购活动。否则，皆取消投标资格；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rPr>
      </w:pPr>
      <w:r>
        <w:rPr>
          <w:rFonts w:hint="eastAsia"/>
        </w:rPr>
        <w:t xml:space="preserve">5、本项目不接受联合体投标。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五、招标文件的报名/发售时间、地址、售价: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rPr>
      </w:pPr>
      <w:r>
        <w:rPr>
          <w:rFonts w:hint="eastAsia"/>
          <w:color w:val="auto"/>
        </w:rPr>
        <w:t>1． 报名（发售／获取）时间：</w:t>
      </w:r>
      <w:r>
        <w:rPr>
          <w:rFonts w:hint="eastAsia"/>
          <w:color w:val="auto"/>
          <w:lang w:val="en-US" w:eastAsia="zh-CN"/>
        </w:rPr>
        <w:t>2020-02-05</w:t>
      </w:r>
      <w:r>
        <w:rPr>
          <w:rFonts w:hint="eastAsia"/>
          <w:color w:val="auto"/>
        </w:rPr>
        <w:t>至2020-</w:t>
      </w:r>
      <w:r>
        <w:rPr>
          <w:rFonts w:hint="eastAsia"/>
          <w:color w:val="auto"/>
          <w:lang w:val="en-US" w:eastAsia="zh-CN"/>
        </w:rPr>
        <w:t xml:space="preserve">02-14   </w:t>
      </w:r>
      <w:r>
        <w:rPr>
          <w:rFonts w:hint="eastAsia"/>
          <w:color w:val="auto"/>
        </w:rPr>
        <w:t>19:</w:t>
      </w:r>
      <w:r>
        <w:rPr>
          <w:rFonts w:hint="eastAsia"/>
          <w:color w:val="auto"/>
          <w:lang w:val="en-US" w:eastAsia="zh-CN"/>
        </w:rPr>
        <w:t>30</w:t>
      </w:r>
      <w:r>
        <w:rPr>
          <w:rFonts w:hint="eastAsia"/>
          <w:color w:val="auto"/>
        </w:rPr>
        <w:t xml:space="preserve">:00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rPr>
      </w:pPr>
      <w:r>
        <w:rPr>
          <w:rFonts w:hint="eastAsia"/>
          <w:color w:val="auto"/>
        </w:rPr>
        <w:t>上午：</w:t>
      </w:r>
      <w:r>
        <w:rPr>
          <w:rFonts w:hint="eastAsia"/>
          <w:color w:val="auto"/>
          <w:lang w:val="en-US" w:eastAsia="zh-CN"/>
        </w:rPr>
        <w:t>10</w:t>
      </w:r>
      <w:r>
        <w:rPr>
          <w:rFonts w:hint="eastAsia"/>
          <w:color w:val="auto"/>
        </w:rPr>
        <w:t>:00-</w:t>
      </w:r>
      <w:r>
        <w:rPr>
          <w:rFonts w:hint="eastAsia"/>
          <w:color w:val="auto"/>
          <w:lang w:val="en-US" w:eastAsia="zh-CN"/>
        </w:rPr>
        <w:t>14</w:t>
      </w:r>
      <w:r>
        <w:rPr>
          <w:rFonts w:hint="eastAsia"/>
          <w:color w:val="auto"/>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eastAsia="宋体"/>
          <w:color w:val="auto"/>
          <w:lang w:val="en-US" w:eastAsia="zh-CN"/>
        </w:rPr>
      </w:pPr>
      <w:r>
        <w:rPr>
          <w:rFonts w:hint="eastAsia"/>
          <w:color w:val="auto"/>
        </w:rPr>
        <w:t>下午：15:</w:t>
      </w:r>
      <w:r>
        <w:rPr>
          <w:rFonts w:hint="eastAsia"/>
          <w:color w:val="auto"/>
          <w:lang w:val="en-US" w:eastAsia="zh-CN"/>
        </w:rPr>
        <w:t>30</w:t>
      </w:r>
      <w:r>
        <w:rPr>
          <w:rFonts w:hint="eastAsia"/>
          <w:color w:val="auto"/>
        </w:rPr>
        <w:t>-</w:t>
      </w:r>
      <w:r>
        <w:rPr>
          <w:rFonts w:hint="eastAsia"/>
          <w:color w:val="auto"/>
          <w:lang w:val="en-US" w:eastAsia="zh-CN"/>
        </w:rPr>
        <w:t>19:30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2．报名（发售／获取）地址：在新疆政府采购网该采购公告附件中的招标（采购）文件可直接下载。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3．标书售价(元)：200元/本（开标现场收取）</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4．投标人购买标书时应提交的资料：无，在开标时一并进行资格审核。</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六、投标截止时间： 2020-0</w:t>
      </w:r>
      <w:r>
        <w:rPr>
          <w:rFonts w:hint="eastAsia"/>
          <w:lang w:val="en-US" w:eastAsia="zh-CN"/>
        </w:rPr>
        <w:t>2</w:t>
      </w:r>
      <w:r>
        <w:rPr>
          <w:rFonts w:hint="eastAsia"/>
        </w:rPr>
        <w:t>-</w:t>
      </w:r>
      <w:r>
        <w:rPr>
          <w:rFonts w:hint="eastAsia"/>
          <w:lang w:val="en-US" w:eastAsia="zh-CN"/>
        </w:rPr>
        <w:t xml:space="preserve">25  </w:t>
      </w:r>
      <w:r>
        <w:rPr>
          <w:rFonts w:hint="eastAsia"/>
        </w:rPr>
        <w:t>11:</w:t>
      </w:r>
      <w:r>
        <w:rPr>
          <w:rFonts w:hint="eastAsia"/>
          <w:lang w:val="en-US" w:eastAsia="zh-CN"/>
        </w:rPr>
        <w:t>00</w:t>
      </w:r>
      <w:r>
        <w:rPr>
          <w:rFonts w:hint="eastAsia"/>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七、投标地址：皮山县政府投资交易中心四楼开标二室（新城区东经2路南端）</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八、开标时间： 2020-0</w:t>
      </w:r>
      <w:r>
        <w:rPr>
          <w:rFonts w:hint="eastAsia"/>
          <w:lang w:val="en-US" w:eastAsia="zh-CN"/>
        </w:rPr>
        <w:t>2</w:t>
      </w:r>
      <w:r>
        <w:rPr>
          <w:rFonts w:hint="eastAsia"/>
        </w:rPr>
        <w:t>-</w:t>
      </w:r>
      <w:r>
        <w:rPr>
          <w:rFonts w:hint="eastAsia"/>
          <w:lang w:val="en-US" w:eastAsia="zh-CN"/>
        </w:rPr>
        <w:t xml:space="preserve">25  </w:t>
      </w:r>
      <w:r>
        <w:rPr>
          <w:rFonts w:hint="eastAsia"/>
        </w:rPr>
        <w:t>11:</w:t>
      </w:r>
      <w:r>
        <w:rPr>
          <w:rFonts w:hint="eastAsia"/>
          <w:lang w:val="en-US" w:eastAsia="zh-CN"/>
        </w:rPr>
        <w:t>00</w:t>
      </w:r>
      <w:r>
        <w:rPr>
          <w:rFonts w:hint="eastAsia"/>
        </w:rPr>
        <w:t>:00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rPr>
      </w:pPr>
      <w:r>
        <w:rPr>
          <w:rFonts w:hint="eastAsia"/>
        </w:rPr>
        <w:t>九、开标地址：皮山县政府投资交易中心四楼开标二室（新城区东经2路南端）</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rPr>
      </w:pPr>
      <w:r>
        <w:rPr>
          <w:rFonts w:hint="default"/>
        </w:rPr>
        <w:t>十、投标保证金：</w:t>
      </w:r>
    </w:p>
    <w:p>
      <w:pPr>
        <w:rPr>
          <w:rFonts w:hint="eastAsia"/>
        </w:rPr>
      </w:pPr>
    </w:p>
    <w:tbl>
      <w:tblPr>
        <w:tblStyle w:val="25"/>
        <w:tblW w:w="524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509"/>
        <w:gridCol w:w="1399"/>
        <w:gridCol w:w="1316"/>
        <w:gridCol w:w="1256"/>
        <w:gridCol w:w="657"/>
        <w:gridCol w:w="2836"/>
        <w:gridCol w:w="9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序号</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标项名称</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投标保证金金额（元）</w:t>
            </w:r>
          </w:p>
        </w:tc>
        <w:tc>
          <w:tcPr>
            <w:tcW w:w="125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开户银行</w:t>
            </w:r>
          </w:p>
        </w:tc>
        <w:tc>
          <w:tcPr>
            <w:tcW w:w="657"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收款账号</w:t>
            </w:r>
          </w:p>
        </w:tc>
        <w:tc>
          <w:tcPr>
            <w:tcW w:w="283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交付方式</w:t>
            </w:r>
          </w:p>
        </w:tc>
        <w:tc>
          <w:tcPr>
            <w:tcW w:w="96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1</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皮山县葡萄基地建设项目—（水泥桩、架设镀锌铁丝）第一标段</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sz w:val="21"/>
                <w:szCs w:val="21"/>
                <w:u w:val="none"/>
                <w:lang w:val="en-US"/>
              </w:rPr>
            </w:pPr>
            <w:r>
              <w:rPr>
                <w:rFonts w:hint="eastAsia" w:ascii="华文宋体" w:hAnsi="华文宋体" w:eastAsia="华文宋体" w:cs="华文宋体"/>
                <w:i w:val="0"/>
                <w:caps w:val="0"/>
                <w:color w:val="000000"/>
                <w:spacing w:val="0"/>
                <w:kern w:val="0"/>
                <w:sz w:val="21"/>
                <w:szCs w:val="21"/>
                <w:u w:val="none"/>
                <w:lang w:val="en-US" w:eastAsia="zh-CN" w:bidi="ar"/>
              </w:rPr>
              <w:t>100000</w:t>
            </w:r>
          </w:p>
        </w:tc>
        <w:tc>
          <w:tcPr>
            <w:tcW w:w="1256"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新疆皮山县农村信用合作联社</w:t>
            </w:r>
          </w:p>
        </w:tc>
        <w:tc>
          <w:tcPr>
            <w:tcW w:w="657"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kern w:val="0"/>
                <w:sz w:val="21"/>
                <w:szCs w:val="21"/>
                <w:u w:val="none"/>
                <w:lang w:val="en-US" w:eastAsia="zh-CN" w:bidi="ar"/>
              </w:rPr>
              <w:t>878010012010101011990</w:t>
            </w:r>
          </w:p>
        </w:tc>
        <w:tc>
          <w:tcPr>
            <w:tcW w:w="2836"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1、由投标人基本账户汇出，且不得以分公司的名义转账；2、投标保证金需在2020年02月24日20：00前到账，超过时间则不予认可； 3、投标单位须在汇款单备注栏标明：XXX项目XXX包段（标段）或项目编号； 4、账户名称：皮山县政府投资交易中心，行号：402896400017</w:t>
            </w:r>
          </w:p>
        </w:tc>
        <w:tc>
          <w:tcPr>
            <w:tcW w:w="969"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sz w:val="21"/>
                <w:szCs w:val="21"/>
                <w:u w:val="none"/>
              </w:rPr>
            </w:pPr>
            <w:r>
              <w:rPr>
                <w:rFonts w:hint="eastAsia" w:ascii="华文宋体" w:hAnsi="华文宋体" w:eastAsia="华文宋体" w:cs="华文宋体"/>
                <w:i w:val="0"/>
                <w:caps w:val="0"/>
                <w:color w:val="000000"/>
                <w:spacing w:val="0"/>
                <w:sz w:val="21"/>
                <w:szCs w:val="21"/>
                <w:u w:val="none"/>
              </w:rPr>
              <w:t>投标保证金通过基本账户一笔汇出，</w:t>
            </w:r>
            <w:r>
              <w:rPr>
                <w:rFonts w:hint="eastAsia" w:ascii="华文宋体" w:hAnsi="华文宋体" w:eastAsia="华文宋体" w:cs="华文宋体"/>
                <w:i w:val="0"/>
                <w:caps w:val="0"/>
                <w:color w:val="000000"/>
                <w:spacing w:val="0"/>
                <w:sz w:val="21"/>
                <w:szCs w:val="21"/>
                <w:u w:val="none"/>
                <w:lang w:val="en-US" w:eastAsia="zh-CN"/>
              </w:rPr>
              <w:t>按标段缴纳，</w:t>
            </w:r>
            <w:r>
              <w:rPr>
                <w:rFonts w:hint="eastAsia" w:ascii="华文宋体" w:hAnsi="华文宋体" w:eastAsia="华文宋体" w:cs="华文宋体"/>
                <w:i w:val="0"/>
                <w:caps w:val="0"/>
                <w:color w:val="000000"/>
                <w:spacing w:val="0"/>
                <w:sz w:val="21"/>
                <w:szCs w:val="21"/>
                <w:u w:val="none"/>
              </w:rPr>
              <w:t>分笔汇出银行系统将不予统计</w:t>
            </w:r>
          </w:p>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0"/>
                <w:sz w:val="21"/>
                <w:szCs w:val="21"/>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c>
          <w:tcPr>
            <w:tcW w:w="50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2</w:t>
            </w:r>
          </w:p>
        </w:tc>
        <w:tc>
          <w:tcPr>
            <w:tcW w:w="1399"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2"/>
                <w:sz w:val="21"/>
                <w:szCs w:val="21"/>
                <w:u w:val="none"/>
                <w:lang w:val="en-US" w:eastAsia="zh-CN" w:bidi="ar-SA"/>
              </w:rPr>
            </w:pPr>
            <w:r>
              <w:rPr>
                <w:rFonts w:hint="eastAsia" w:ascii="华文宋体" w:hAnsi="华文宋体" w:eastAsia="华文宋体" w:cs="华文宋体"/>
                <w:i w:val="0"/>
                <w:caps w:val="0"/>
                <w:color w:val="000000"/>
                <w:spacing w:val="0"/>
                <w:kern w:val="2"/>
                <w:sz w:val="21"/>
                <w:szCs w:val="21"/>
                <w:u w:val="none"/>
                <w:lang w:val="en-US" w:eastAsia="zh-CN" w:bidi="ar-SA"/>
              </w:rPr>
              <w:t>皮山县葡萄基地建设项目—（水泥桩、架设镀锌铁丝）第二标段</w:t>
            </w:r>
          </w:p>
        </w:tc>
        <w:tc>
          <w:tcPr>
            <w:tcW w:w="1316" w:type="dxa"/>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default" w:ascii="华文宋体" w:hAnsi="华文宋体" w:eastAsia="华文宋体" w:cs="华文宋体"/>
                <w:i w:val="0"/>
                <w:caps w:val="0"/>
                <w:color w:val="000000"/>
                <w:spacing w:val="0"/>
                <w:kern w:val="0"/>
                <w:sz w:val="21"/>
                <w:szCs w:val="21"/>
                <w:u w:val="none"/>
                <w:lang w:val="en-US" w:eastAsia="zh-CN" w:bidi="ar"/>
              </w:rPr>
            </w:pPr>
            <w:r>
              <w:rPr>
                <w:rFonts w:hint="eastAsia" w:ascii="华文宋体" w:hAnsi="华文宋体" w:eastAsia="华文宋体" w:cs="华文宋体"/>
                <w:i w:val="0"/>
                <w:caps w:val="0"/>
                <w:color w:val="000000"/>
                <w:spacing w:val="0"/>
                <w:kern w:val="0"/>
                <w:sz w:val="21"/>
                <w:szCs w:val="21"/>
                <w:u w:val="none"/>
                <w:lang w:val="en-US" w:eastAsia="zh-CN" w:bidi="ar"/>
              </w:rPr>
              <w:t>100000</w:t>
            </w:r>
          </w:p>
        </w:tc>
        <w:tc>
          <w:tcPr>
            <w:tcW w:w="1256"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65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firstLine="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2836"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p>
        </w:tc>
        <w:tc>
          <w:tcPr>
            <w:tcW w:w="969"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ind w:left="0" w:leftChars="0" w:firstLine="0" w:firstLineChars="0"/>
              <w:jc w:val="center"/>
              <w:rPr>
                <w:rFonts w:hint="eastAsia" w:ascii="华文宋体" w:hAnsi="华文宋体" w:eastAsia="华文宋体" w:cs="华文宋体"/>
                <w:i w:val="0"/>
                <w:caps w:val="0"/>
                <w:color w:val="000000"/>
                <w:spacing w:val="0"/>
                <w:kern w:val="0"/>
                <w:sz w:val="21"/>
                <w:szCs w:val="21"/>
                <w:u w:val="none"/>
                <w:lang w:val="en-US" w:eastAsia="zh-CN" w:bidi="ar"/>
              </w:rPr>
            </w:pPr>
          </w:p>
        </w:tc>
      </w:tr>
    </w:tbl>
    <w:p>
      <w:pPr>
        <w:rPr>
          <w:rFonts w:hint="eastAsia"/>
        </w:rPr>
      </w:pPr>
      <w:r>
        <w:rPr>
          <w:rFonts w:hint="eastAsia"/>
        </w:rPr>
        <w:t>十一、其他事项：</w:t>
      </w:r>
    </w:p>
    <w:p>
      <w:pPr>
        <w:rPr>
          <w:rFonts w:hint="eastAsia"/>
        </w:rPr>
      </w:pPr>
      <w:r>
        <w:rPr>
          <w:rFonts w:hint="eastAsia"/>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rPr>
          <w:rFonts w:hint="eastAsia"/>
        </w:rPr>
      </w:pPr>
      <w:r>
        <w:rPr>
          <w:rFonts w:hint="eastAsia"/>
        </w:rPr>
        <w:t>2、采购项目需要落实的政府采购政策</w:t>
      </w:r>
    </w:p>
    <w:p>
      <w:pPr>
        <w:ind w:firstLine="210" w:firstLineChars="100"/>
        <w:rPr>
          <w:rFonts w:hint="eastAsia"/>
        </w:rPr>
      </w:pPr>
      <w:r>
        <w:rPr>
          <w:rFonts w:hint="eastAsia"/>
        </w:rPr>
        <w:t>《政府采购促进中小企业发展暂行办法》（财库〔2011〕181号）、《财政部、司法部关于政府采购支持监狱企业发展有关问题的通知》（财库[2014]68号）。</w:t>
      </w:r>
    </w:p>
    <w:p>
      <w:pPr>
        <w:rPr>
          <w:rFonts w:hint="eastAsia"/>
        </w:rPr>
      </w:pPr>
      <w:r>
        <w:rPr>
          <w:rFonts w:hint="eastAsia"/>
        </w:rPr>
        <w:t>十二、联系方式</w:t>
      </w:r>
    </w:p>
    <w:p>
      <w:pPr>
        <w:rPr>
          <w:rFonts w:hint="eastAsia"/>
        </w:rPr>
      </w:pPr>
      <w:r>
        <w:rPr>
          <w:rFonts w:hint="eastAsia"/>
        </w:rPr>
        <w:t xml:space="preserve">1、采购代理机构名称：新疆诚成工程项目管理有限公司 </w:t>
      </w:r>
    </w:p>
    <w:p>
      <w:pPr>
        <w:rPr>
          <w:rFonts w:hint="eastAsia"/>
        </w:rPr>
      </w:pPr>
      <w:r>
        <w:rPr>
          <w:rFonts w:hint="eastAsia"/>
        </w:rPr>
        <w:t xml:space="preserve">联系人：张国东 </w:t>
      </w:r>
    </w:p>
    <w:p>
      <w:pPr>
        <w:rPr>
          <w:rFonts w:hint="eastAsia"/>
        </w:rPr>
      </w:pPr>
      <w:r>
        <w:rPr>
          <w:rFonts w:hint="eastAsia"/>
        </w:rPr>
        <w:t>联系电话：0903-6182688</w:t>
      </w:r>
    </w:p>
    <w:p>
      <w:pPr>
        <w:rPr>
          <w:rFonts w:hint="eastAsia"/>
        </w:rPr>
      </w:pPr>
      <w:r>
        <w:rPr>
          <w:rFonts w:hint="eastAsia"/>
        </w:rPr>
        <w:t>传真：0903-6182688</w:t>
      </w:r>
    </w:p>
    <w:p>
      <w:pPr>
        <w:rPr>
          <w:rFonts w:hint="eastAsia"/>
        </w:rPr>
      </w:pPr>
      <w:r>
        <w:rPr>
          <w:rFonts w:hint="eastAsia"/>
        </w:rPr>
        <w:t>地址：和田市玉洲花园小区1栋2单元201室</w:t>
      </w:r>
    </w:p>
    <w:p>
      <w:pPr>
        <w:rPr>
          <w:rFonts w:hint="eastAsia"/>
        </w:rPr>
      </w:pPr>
      <w:r>
        <w:rPr>
          <w:rFonts w:hint="eastAsia"/>
        </w:rPr>
        <w:t xml:space="preserve">2、采购人名称： 皮山县林业和草原局 </w:t>
      </w:r>
    </w:p>
    <w:p>
      <w:pPr>
        <w:rPr>
          <w:rFonts w:hint="eastAsia"/>
        </w:rPr>
      </w:pPr>
      <w:r>
        <w:rPr>
          <w:rFonts w:hint="eastAsia"/>
        </w:rPr>
        <w:t>联系人：阿布拉·买买提</w:t>
      </w:r>
    </w:p>
    <w:p>
      <w:pPr>
        <w:rPr>
          <w:rFonts w:hint="eastAsia"/>
        </w:rPr>
      </w:pPr>
      <w:r>
        <w:rPr>
          <w:rFonts w:hint="eastAsia"/>
        </w:rPr>
        <w:t>电  话：</w:t>
      </w:r>
      <w:r>
        <w:rPr>
          <w:rFonts w:hint="eastAsia"/>
          <w:lang w:val="en-US" w:eastAsia="zh-CN"/>
        </w:rPr>
        <w:t>0903-6422470</w:t>
      </w:r>
    </w:p>
    <w:p>
      <w:pPr>
        <w:rPr>
          <w:rFonts w:hint="eastAsia"/>
        </w:rPr>
      </w:pPr>
      <w:r>
        <w:rPr>
          <w:rFonts w:hint="eastAsia"/>
        </w:rPr>
        <w:t xml:space="preserve">地址：皮山县 </w:t>
      </w:r>
    </w:p>
    <w:p>
      <w:pPr>
        <w:rPr>
          <w:rFonts w:hint="eastAsia"/>
        </w:rPr>
      </w:pPr>
      <w:r>
        <w:rPr>
          <w:rFonts w:hint="eastAsia"/>
        </w:rPr>
        <w:t xml:space="preserve">3、同级政府采购监督管理部门名称： 皮山县政府采购办  </w:t>
      </w:r>
    </w:p>
    <w:p>
      <w:pPr>
        <w:rPr>
          <w:rFonts w:hint="default" w:eastAsia="宋体"/>
          <w:lang w:val="en-US" w:eastAsia="zh-CN"/>
        </w:rPr>
      </w:pPr>
      <w:r>
        <w:rPr>
          <w:rFonts w:hint="eastAsia"/>
        </w:rPr>
        <w:t>联系人：</w:t>
      </w:r>
      <w:r>
        <w:rPr>
          <w:rFonts w:hint="eastAsia"/>
          <w:lang w:val="en-US" w:eastAsia="zh-CN"/>
        </w:rPr>
        <w:t xml:space="preserve"> 张勇</w:t>
      </w:r>
    </w:p>
    <w:p>
      <w:pPr>
        <w:rPr>
          <w:rFonts w:hint="eastAsia"/>
        </w:rPr>
      </w:pPr>
      <w:r>
        <w:rPr>
          <w:rFonts w:hint="eastAsia"/>
        </w:rPr>
        <w:t>监督投诉电话：0903-7864616</w:t>
      </w:r>
    </w:p>
    <w:p>
      <w:pPr>
        <w:rPr>
          <w:rFonts w:hint="eastAsia" w:ascii="宋体" w:hAnsi="宋体" w:eastAsia="宋体" w:cs="宋体"/>
          <w:sz w:val="21"/>
          <w:szCs w:val="21"/>
          <w:lang w:val="en-US" w:eastAsia="zh-CN"/>
        </w:rPr>
      </w:pPr>
      <w:r>
        <w:rPr>
          <w:rFonts w:hint="eastAsia"/>
        </w:rPr>
        <w:t>地址：</w:t>
      </w:r>
      <w:bookmarkStart w:id="188" w:name="_GoBack"/>
      <w:r>
        <w:rPr>
          <w:rFonts w:hint="eastAsia"/>
        </w:rPr>
        <w:t>皮山县政府投资交易中心四楼</w:t>
      </w:r>
      <w:bookmarkEnd w:id="188"/>
    </w:p>
    <w:p>
      <w:pPr>
        <w:keepNext w:val="0"/>
        <w:keepLines w:val="0"/>
        <w:pageBreakBefore w:val="0"/>
        <w:widowControl/>
        <w:kinsoku/>
        <w:wordWrap/>
        <w:overflowPunct/>
        <w:topLinePunct w:val="0"/>
        <w:autoSpaceDE/>
        <w:autoSpaceDN/>
        <w:bidi w:val="0"/>
        <w:adjustRightInd w:val="0"/>
        <w:snapToGrid w:val="0"/>
        <w:spacing w:line="240" w:lineRule="auto"/>
        <w:ind w:firstLine="220" w:firstLineChars="100"/>
        <w:jc w:val="left"/>
        <w:textAlignment w:val="auto"/>
        <w:rPr>
          <w:rFonts w:hint="eastAsia" w:ascii="宋体" w:hAnsi="宋体" w:eastAsia="宋体" w:cs="宋体"/>
          <w:color w:val="000000"/>
          <w:kern w:val="0"/>
          <w:sz w:val="22"/>
          <w:szCs w:val="22"/>
          <w:shd w:val="clear" w:color="auto" w:fill="FFFFFF"/>
        </w:rPr>
      </w:pPr>
      <w:r>
        <w:rPr>
          <w:rFonts w:hint="eastAsia" w:ascii="宋体" w:hAnsi="宋体" w:eastAsia="宋体" w:cs="宋体"/>
          <w:color w:val="000000"/>
          <w:kern w:val="0"/>
          <w:sz w:val="22"/>
          <w:szCs w:val="22"/>
          <w:shd w:val="clear" w:color="auto" w:fill="FFFFFF"/>
        </w:rPr>
        <w:t>皮山县林业和草原局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rPr>
        <w:t>新疆诚成工程项目管理有限公司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40" w:firstLineChars="200"/>
        <w:jc w:val="left"/>
        <w:textAlignment w:val="auto"/>
        <w:rPr>
          <w:rFonts w:hint="eastAsia" w:ascii="宋体" w:hAnsi="宋体" w:eastAsia="宋体" w:cs="宋体"/>
        </w:rPr>
      </w:pPr>
      <w:r>
        <w:rPr>
          <w:rFonts w:hint="eastAsia" w:ascii="宋体" w:hAnsi="宋体" w:eastAsia="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eastAsia="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eastAsia="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05</w:t>
      </w:r>
      <w:r>
        <w:rPr>
          <w:rFonts w:hint="eastAsia" w:ascii="宋体" w:hAnsi="宋体" w:eastAsia="宋体" w:cs="宋体"/>
          <w:color w:val="000000"/>
          <w:kern w:val="0"/>
          <w:sz w:val="22"/>
          <w:szCs w:val="22"/>
          <w:shd w:val="clear" w:color="auto" w:fill="FFFFFF"/>
        </w:rPr>
        <w:t>日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eastAsia="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eastAsia="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eastAsia="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05</w:t>
      </w:r>
      <w:r>
        <w:rPr>
          <w:rFonts w:hint="eastAsia" w:ascii="宋体" w:hAnsi="宋体" w:eastAsia="宋体" w:cs="宋体"/>
          <w:color w:val="000000"/>
          <w:kern w:val="0"/>
          <w:sz w:val="22"/>
          <w:szCs w:val="22"/>
          <w:shd w:val="clear" w:color="auto" w:fill="FFFFFF"/>
        </w:rPr>
        <w:t>日</w:t>
      </w: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hint="eastAsia" w:ascii="黑体" w:hAnsi="黑体" w:eastAsia="黑体" w:cs="宋体"/>
          <w:b/>
          <w:bCs/>
          <w:color w:val="FF0000"/>
          <w:sz w:val="32"/>
        </w:rPr>
      </w:pPr>
    </w:p>
    <w:p>
      <w:pPr>
        <w:pStyle w:val="11"/>
        <w:ind w:firstLine="0"/>
        <w:rPr>
          <w:rFonts w:ascii="黑体" w:hAnsi="黑体" w:eastAsia="黑体" w:cs="宋体"/>
          <w:b/>
          <w:bCs/>
          <w:color w:val="FF0000"/>
          <w:sz w:val="32"/>
        </w:rPr>
      </w:pPr>
      <w:r>
        <w:rPr>
          <w:rFonts w:hint="eastAsia" w:ascii="黑体" w:hAnsi="黑体" w:eastAsia="黑体" w:cs="宋体"/>
          <w:b/>
          <w:bCs/>
          <w:color w:val="FF0000"/>
          <w:sz w:val="32"/>
        </w:rPr>
        <w:t>特别提醒：</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投标企业请认真核实营业执照经营范围，开标时监督小组将严格按照营业执照经营范围核实，无经营范围的企业一切责任将由贵公司自行承担。</w:t>
      </w:r>
    </w:p>
    <w:p>
      <w:pPr>
        <w:pStyle w:val="11"/>
        <w:numPr>
          <w:ilvl w:val="0"/>
          <w:numId w:val="3"/>
        </w:numPr>
        <w:ind w:firstLine="0"/>
        <w:rPr>
          <w:rFonts w:hint="eastAsia" w:ascii="黑体" w:hAnsi="黑体" w:eastAsia="黑体" w:cs="宋体"/>
          <w:b/>
          <w:color w:val="FF0000"/>
          <w:sz w:val="32"/>
        </w:rPr>
      </w:pPr>
      <w:r>
        <w:rPr>
          <w:rFonts w:hint="eastAsia" w:ascii="黑体" w:hAnsi="黑体" w:eastAsia="黑体" w:cs="宋体"/>
          <w:b/>
          <w:color w:val="FF0000"/>
          <w:sz w:val="32"/>
        </w:rPr>
        <w:t>由投标人基本账户汇出（</w:t>
      </w:r>
      <w:r>
        <w:rPr>
          <w:rFonts w:hint="eastAsia" w:ascii="黑体" w:hAnsi="黑体" w:eastAsia="黑体" w:cs="宋体"/>
          <w:b/>
          <w:color w:val="FF0000"/>
          <w:sz w:val="32"/>
          <w:szCs w:val="21"/>
        </w:rPr>
        <w:t>投标保证金需一笔汇出，分笔汇出银行系统将不予统计</w:t>
      </w:r>
      <w:r>
        <w:rPr>
          <w:rFonts w:hint="eastAsia" w:ascii="黑体" w:hAnsi="黑体" w:eastAsia="黑体" w:cs="宋体"/>
          <w:b/>
          <w:color w:val="FF0000"/>
          <w:sz w:val="32"/>
        </w:rPr>
        <w:t>），且不得以分公司的名义转账，投标保证金需在</w:t>
      </w:r>
      <w:r>
        <w:rPr>
          <w:rFonts w:hint="eastAsia" w:ascii="黑体" w:hAnsi="黑体" w:eastAsia="黑体" w:cs="宋体"/>
          <w:b/>
          <w:color w:val="FF0000"/>
          <w:sz w:val="32"/>
          <w:highlight w:val="yellow"/>
        </w:rPr>
        <w:t>20</w:t>
      </w:r>
      <w:r>
        <w:rPr>
          <w:rFonts w:hint="eastAsia" w:ascii="黑体" w:hAnsi="黑体" w:eastAsia="黑体" w:cs="宋体"/>
          <w:b/>
          <w:color w:val="FF0000"/>
          <w:sz w:val="32"/>
          <w:highlight w:val="yellow"/>
          <w:lang w:val="en-US" w:eastAsia="zh-CN"/>
        </w:rPr>
        <w:t>20</w:t>
      </w:r>
      <w:r>
        <w:rPr>
          <w:rFonts w:hint="eastAsia" w:ascii="黑体" w:hAnsi="黑体" w:eastAsia="黑体" w:cs="宋体"/>
          <w:b/>
          <w:color w:val="FF0000"/>
          <w:sz w:val="32"/>
          <w:highlight w:val="yellow"/>
        </w:rPr>
        <w:t>年</w:t>
      </w:r>
      <w:r>
        <w:rPr>
          <w:rFonts w:hint="eastAsia" w:ascii="黑体" w:hAnsi="黑体" w:eastAsia="黑体" w:cs="宋体"/>
          <w:b/>
          <w:color w:val="FF0000"/>
          <w:sz w:val="32"/>
          <w:highlight w:val="yellow"/>
          <w:lang w:val="en-US" w:eastAsia="zh-CN"/>
        </w:rPr>
        <w:t>02</w:t>
      </w:r>
      <w:r>
        <w:rPr>
          <w:rFonts w:hint="eastAsia" w:ascii="黑体" w:hAnsi="黑体" w:eastAsia="黑体" w:cs="宋体"/>
          <w:b/>
          <w:color w:val="FF0000"/>
          <w:sz w:val="32"/>
          <w:highlight w:val="yellow"/>
        </w:rPr>
        <w:t>月</w:t>
      </w:r>
      <w:r>
        <w:rPr>
          <w:rFonts w:hint="eastAsia" w:ascii="黑体" w:hAnsi="黑体" w:eastAsia="黑体" w:cs="宋体"/>
          <w:b/>
          <w:color w:val="FF0000"/>
          <w:sz w:val="32"/>
          <w:highlight w:val="yellow"/>
          <w:lang w:val="en-US" w:eastAsia="zh-CN"/>
        </w:rPr>
        <w:t>24</w:t>
      </w:r>
      <w:r>
        <w:rPr>
          <w:rFonts w:hint="eastAsia" w:ascii="黑体" w:hAnsi="黑体" w:eastAsia="黑体" w:cs="宋体"/>
          <w:b/>
          <w:color w:val="FF0000"/>
          <w:sz w:val="32"/>
          <w:highlight w:val="yellow"/>
        </w:rPr>
        <w:t>日</w:t>
      </w:r>
      <w:r>
        <w:rPr>
          <w:rFonts w:hint="eastAsia" w:ascii="黑体" w:hAnsi="黑体" w:eastAsia="黑体" w:cs="宋体"/>
          <w:b/>
          <w:color w:val="FF0000"/>
          <w:sz w:val="32"/>
          <w:highlight w:val="yellow"/>
          <w:lang w:val="en-US" w:eastAsia="zh-CN"/>
        </w:rPr>
        <w:t>20</w:t>
      </w:r>
      <w:r>
        <w:rPr>
          <w:rFonts w:hint="eastAsia" w:ascii="黑体" w:hAnsi="黑体" w:eastAsia="黑体" w:cs="宋体"/>
          <w:b/>
          <w:color w:val="FF0000"/>
          <w:sz w:val="32"/>
          <w:highlight w:val="yellow"/>
        </w:rPr>
        <w:t>：00前到账，</w:t>
      </w:r>
      <w:r>
        <w:rPr>
          <w:rFonts w:hint="eastAsia" w:ascii="黑体" w:hAnsi="黑体" w:eastAsia="黑体" w:cs="宋体"/>
          <w:b/>
          <w:color w:val="FF0000"/>
          <w:sz w:val="32"/>
        </w:rPr>
        <w:t>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pStyle w:val="11"/>
        <w:numPr>
          <w:ilvl w:val="0"/>
          <w:numId w:val="3"/>
        </w:numPr>
        <w:ind w:firstLine="0"/>
        <w:rPr>
          <w:rFonts w:ascii="黑体" w:hAnsi="黑体" w:eastAsia="黑体" w:cs="宋体"/>
          <w:b/>
          <w:color w:val="FF0000"/>
          <w:sz w:val="32"/>
        </w:rPr>
      </w:pPr>
      <w:r>
        <w:rPr>
          <w:rFonts w:hint="eastAsia" w:ascii="黑体" w:hAnsi="黑体" w:eastAsia="黑体" w:cs="宋体"/>
          <w:b/>
          <w:color w:val="FF0000"/>
          <w:sz w:val="32"/>
        </w:rPr>
        <w:t>投标企业下载招标文件后请仔细阅读，如对招标文件内容有质疑，投标人应在投标截止10日前按招标文件中载明的邮箱：</w:t>
      </w:r>
      <w:r>
        <w:rPr>
          <w:rFonts w:hint="eastAsia" w:ascii="黑体" w:hAnsi="黑体" w:eastAsia="黑体" w:cs="宋体"/>
          <w:b/>
          <w:color w:val="FF0000"/>
          <w:sz w:val="32"/>
          <w:highlight w:val="yellow"/>
          <w:lang w:val="en-US" w:eastAsia="zh-CN"/>
        </w:rPr>
        <w:t>891327509</w:t>
      </w:r>
      <w:r>
        <w:rPr>
          <w:rFonts w:hint="eastAsia" w:ascii="黑体" w:hAnsi="黑体" w:eastAsia="黑体" w:cs="宋体"/>
          <w:b/>
          <w:color w:val="FF0000"/>
          <w:sz w:val="32"/>
          <w:highlight w:val="yellow"/>
        </w:rPr>
        <w:t>@qq.com地址，</w:t>
      </w:r>
      <w:r>
        <w:rPr>
          <w:rFonts w:hint="eastAsia" w:ascii="黑体" w:hAnsi="黑体" w:eastAsia="黑体" w:cs="宋体"/>
          <w:b/>
          <w:color w:val="FF0000"/>
          <w:sz w:val="32"/>
        </w:rPr>
        <w:t>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pStyle w:val="11"/>
        <w:ind w:firstLine="0"/>
        <w:rPr>
          <w:rFonts w:ascii="黑体" w:hAnsi="黑体" w:eastAsia="黑体" w:cs="宋体"/>
          <w:b/>
          <w:color w:val="FF0000"/>
          <w:sz w:val="32"/>
        </w:rPr>
      </w:pPr>
      <w:r>
        <w:rPr>
          <w:rFonts w:hint="eastAsia" w:ascii="黑体" w:hAnsi="黑体" w:eastAsia="黑体" w:cs="宋体"/>
          <w:b/>
          <w:color w:val="FF0000"/>
          <w:sz w:val="32"/>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both"/>
        <w:rPr>
          <w:rFonts w:hint="eastAsia" w:ascii="宋体" w:hAnsi="宋体"/>
          <w:b/>
          <w:color w:val="000000" w:themeColor="text1"/>
          <w:sz w:val="28"/>
          <w:szCs w:val="28"/>
          <w14:textFill>
            <w14:solidFill>
              <w14:schemeClr w14:val="tx1"/>
            </w14:solidFill>
          </w14:textFill>
        </w:rPr>
      </w:pPr>
    </w:p>
    <w:p>
      <w:pPr>
        <w:spacing w:line="360" w:lineRule="auto"/>
        <w:jc w:val="center"/>
        <w:rPr>
          <w:rFonts w:hint="eastAsia" w:ascii="宋体" w:hAnsi="宋体"/>
          <w:b/>
          <w:color w:val="000000" w:themeColor="text1"/>
          <w:sz w:val="28"/>
          <w:szCs w:val="28"/>
          <w14:textFill>
            <w14:solidFill>
              <w14:schemeClr w14:val="tx1"/>
            </w14:solidFill>
          </w14:textFill>
        </w:rPr>
      </w:pPr>
    </w:p>
    <w:p>
      <w:pPr>
        <w:spacing w:line="360" w:lineRule="auto"/>
        <w:jc w:val="center"/>
        <w:rPr>
          <w:rFonts w:hint="eastAsia" w:ascii="宋体" w:hAnsi="宋体"/>
          <w:b/>
          <w:color w:val="000000" w:themeColor="text1"/>
          <w:sz w:val="28"/>
          <w:szCs w:val="28"/>
          <w14:textFill>
            <w14:solidFill>
              <w14:schemeClr w14:val="tx1"/>
            </w14:solidFill>
          </w14:textFill>
        </w:rPr>
      </w:pPr>
    </w:p>
    <w:p>
      <w:pPr>
        <w:spacing w:line="360" w:lineRule="auto"/>
        <w:jc w:val="center"/>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第二部分</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投标须知前附表</w:t>
      </w:r>
    </w:p>
    <w:tbl>
      <w:tblPr>
        <w:tblStyle w:val="25"/>
        <w:tblW w:w="96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2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trPr>
        <w:tc>
          <w:tcPr>
            <w:tcW w:w="823" w:type="dxa"/>
            <w:tcBorders>
              <w:top w:val="single" w:color="auto" w:sz="12"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497" w:type="dxa"/>
            <w:tcBorders>
              <w:top w:val="single" w:color="auto" w:sz="12" w:space="0"/>
              <w:right w:val="single" w:color="auto" w:sz="4"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条款名称</w:t>
            </w:r>
          </w:p>
        </w:tc>
        <w:tc>
          <w:tcPr>
            <w:tcW w:w="7290" w:type="dxa"/>
            <w:tcBorders>
              <w:top w:val="single" w:color="auto" w:sz="12" w:space="0"/>
              <w:left w:val="single" w:color="auto" w:sz="4" w:space="0"/>
            </w:tcBorders>
            <w:vAlign w:val="center"/>
          </w:tcPr>
          <w:p>
            <w:pPr>
              <w:spacing w:line="36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1497" w:type="dxa"/>
            <w:tcBorders>
              <w:right w:val="single" w:color="auto" w:sz="4" w:space="0"/>
            </w:tcBorders>
            <w:vAlign w:val="center"/>
          </w:tcPr>
          <w:p>
            <w:pPr>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p>
        </w:tc>
        <w:tc>
          <w:tcPr>
            <w:tcW w:w="7290" w:type="dxa"/>
            <w:tcBorders>
              <w:left w:val="single" w:color="auto" w:sz="4" w:space="0"/>
            </w:tcBorders>
            <w:vAlign w:val="center"/>
          </w:tcPr>
          <w:p>
            <w:pPr>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称：皮山县林业和草原局</w:t>
            </w:r>
          </w:p>
          <w:p>
            <w:pPr>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阿布拉·买买提</w:t>
            </w:r>
          </w:p>
          <w:p>
            <w:pPr>
              <w:spacing w:beforeLines="10" w:afterLines="10" w:line="360" w:lineRule="exac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  话：0903-6422470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代理机构</w:t>
            </w:r>
          </w:p>
        </w:tc>
        <w:tc>
          <w:tcPr>
            <w:tcW w:w="7290" w:type="dxa"/>
            <w:tcBorders>
              <w:left w:val="single" w:color="auto" w:sz="4" w:space="0"/>
            </w:tcBorders>
            <w:vAlign w:val="center"/>
          </w:tcPr>
          <w:p>
            <w:pPr>
              <w:spacing w:beforeLines="10" w:afterLines="10" w:line="360" w:lineRule="exac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称：新疆</w:t>
            </w:r>
            <w:r>
              <w:rPr>
                <w:rFonts w:hint="eastAsia" w:ascii="宋体" w:hAnsi="宋体"/>
                <w:color w:val="000000" w:themeColor="text1"/>
                <w:sz w:val="24"/>
                <w:lang w:val="en-US" w:eastAsia="zh-CN"/>
                <w14:textFill>
                  <w14:solidFill>
                    <w14:schemeClr w14:val="tx1"/>
                  </w14:solidFill>
                </w14:textFill>
              </w:rPr>
              <w:t>诚成工程项目管理有限公司</w:t>
            </w:r>
          </w:p>
          <w:p>
            <w:pPr>
              <w:spacing w:beforeLines="10" w:afterLines="10" w:line="360" w:lineRule="exact"/>
              <w:rPr>
                <w:rFonts w:hint="default" w:asci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址：和田市</w:t>
            </w:r>
            <w:r>
              <w:rPr>
                <w:rFonts w:hint="eastAsia" w:ascii="宋体" w:hAnsi="宋体"/>
                <w:color w:val="000000" w:themeColor="text1"/>
                <w:sz w:val="24"/>
                <w:lang w:val="en-US" w:eastAsia="zh-CN"/>
                <w14:textFill>
                  <w14:solidFill>
                    <w14:schemeClr w14:val="tx1"/>
                  </w14:solidFill>
                </w14:textFill>
              </w:rPr>
              <w:t>玉洲花园小区1栋2单元201室</w:t>
            </w:r>
          </w:p>
          <w:p>
            <w:pPr>
              <w:spacing w:beforeLines="10" w:afterLines="10" w:line="360" w:lineRule="exact"/>
              <w:rPr>
                <w:rFonts w:hint="eastAsia" w:asci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张国东</w:t>
            </w:r>
          </w:p>
          <w:p>
            <w:pPr>
              <w:spacing w:beforeLines="10" w:afterLines="10" w:line="360" w:lineRule="exact"/>
              <w:rPr>
                <w:rFonts w:hint="default" w:asci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话：0903-</w:t>
            </w:r>
            <w:r>
              <w:rPr>
                <w:rFonts w:hint="eastAsia" w:ascii="宋体" w:hAnsi="宋体"/>
                <w:color w:val="000000" w:themeColor="text1"/>
                <w:sz w:val="24"/>
                <w:lang w:val="en-US" w:eastAsia="zh-CN"/>
                <w14:textFill>
                  <w14:solidFill>
                    <w14:schemeClr w14:val="tx1"/>
                  </w14:solidFill>
                </w14:textFill>
              </w:rPr>
              <w:t>6182688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1497" w:type="dxa"/>
            <w:tcBorders>
              <w:righ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p>
        </w:tc>
        <w:tc>
          <w:tcPr>
            <w:tcW w:w="7290" w:type="dxa"/>
            <w:tcBorders>
              <w:left w:val="single" w:color="auto" w:sz="4" w:space="0"/>
            </w:tcBorders>
            <w:vAlign w:val="center"/>
          </w:tcPr>
          <w:p>
            <w:pPr>
              <w:widowControl/>
              <w:spacing w:line="360" w:lineRule="auto"/>
              <w:jc w:val="left"/>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皮山县葡萄基地建设项目—（水泥桩、架设镀锌铁丝）第</w:t>
            </w:r>
            <w:r>
              <w:rPr>
                <w:rFonts w:hint="eastAsia" w:ascii="新宋体" w:hAnsi="新宋体" w:eastAsia="新宋体" w:cs="宋体"/>
                <w:bCs/>
                <w:color w:val="000000" w:themeColor="text1"/>
                <w:kern w:val="0"/>
                <w:sz w:val="24"/>
                <w:lang w:val="en-US" w:eastAsia="zh-CN"/>
                <w14:textFill>
                  <w14:solidFill>
                    <w14:schemeClr w14:val="tx1"/>
                  </w14:solidFill>
                </w14:textFill>
              </w:rPr>
              <w:t>二</w:t>
            </w:r>
            <w:r>
              <w:rPr>
                <w:rFonts w:hint="eastAsia" w:ascii="新宋体" w:hAnsi="新宋体" w:eastAsia="新宋体" w:cs="宋体"/>
                <w:bCs/>
                <w:color w:val="000000" w:themeColor="text1"/>
                <w:kern w:val="0"/>
                <w:sz w:val="24"/>
                <w14:textFill>
                  <w14:solidFill>
                    <w14:schemeClr w14:val="tx1"/>
                  </w14:solidFill>
                </w14:textFill>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trPr>
        <w:tc>
          <w:tcPr>
            <w:tcW w:w="823" w:type="dxa"/>
            <w:vAlign w:val="center"/>
          </w:tcPr>
          <w:p>
            <w:pPr>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497" w:type="dxa"/>
            <w:tcBorders>
              <w:right w:val="single" w:color="auto" w:sz="4" w:space="0"/>
            </w:tcBorders>
            <w:vAlign w:val="center"/>
          </w:tcPr>
          <w:p>
            <w:pPr>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w:t>
            </w:r>
          </w:p>
        </w:tc>
        <w:tc>
          <w:tcPr>
            <w:tcW w:w="7290" w:type="dxa"/>
            <w:tcBorders>
              <w:left w:val="single" w:color="auto" w:sz="4" w:space="0"/>
            </w:tcBorders>
            <w:vAlign w:val="center"/>
          </w:tcPr>
          <w:p>
            <w:pPr>
              <w:widowControl/>
              <w:spacing w:line="360" w:lineRule="auto"/>
              <w:jc w:val="left"/>
              <w:rPr>
                <w:rFonts w:ascii="新宋体" w:hAnsi="新宋体" w:eastAsia="新宋体" w:cs="宋体"/>
                <w:bCs/>
                <w:color w:val="000000" w:themeColor="text1"/>
                <w:kern w:val="0"/>
                <w:sz w:val="24"/>
                <w14:textFill>
                  <w14:solidFill>
                    <w14:schemeClr w14:val="tx1"/>
                  </w14:solidFill>
                </w14:textFill>
              </w:rPr>
            </w:pPr>
            <w:r>
              <w:rPr>
                <w:rFonts w:hint="eastAsia" w:ascii="新宋体" w:hAnsi="新宋体" w:eastAsia="新宋体" w:cs="宋体"/>
                <w:bCs/>
                <w:color w:val="000000" w:themeColor="text1"/>
                <w:kern w:val="0"/>
                <w:sz w:val="24"/>
                <w14:textFill>
                  <w14:solidFill>
                    <w14:schemeClr w14:val="tx1"/>
                  </w14:solidFill>
                </w14:textFill>
              </w:rPr>
              <w:t>855000根水泥桩</w:t>
            </w:r>
            <w:r>
              <w:rPr>
                <w:rFonts w:hint="eastAsia" w:ascii="新宋体" w:hAnsi="新宋体" w:eastAsia="新宋体" w:cs="宋体"/>
                <w:bCs/>
                <w:color w:val="000000" w:themeColor="text1"/>
                <w:kern w:val="0"/>
                <w:sz w:val="24"/>
                <w:lang w:eastAsia="zh-CN"/>
                <w14:textFill>
                  <w14:solidFill>
                    <w14:schemeClr w14:val="tx1"/>
                  </w14:solidFill>
                </w14:textFill>
              </w:rPr>
              <w:t>、</w:t>
            </w:r>
            <w:r>
              <w:rPr>
                <w:rFonts w:hint="eastAsia" w:ascii="新宋体" w:hAnsi="新宋体" w:eastAsia="新宋体" w:cs="宋体"/>
                <w:bCs/>
                <w:color w:val="000000" w:themeColor="text1"/>
                <w:kern w:val="0"/>
                <w:sz w:val="24"/>
                <w:lang w:val="en-US" w:eastAsia="zh-CN"/>
                <w14:textFill>
                  <w14:solidFill>
                    <w14:schemeClr w14:val="tx1"/>
                  </w14:solidFill>
                </w14:textFill>
              </w:rPr>
              <w:t>角铁</w:t>
            </w:r>
            <w:r>
              <w:rPr>
                <w:rFonts w:hint="eastAsia" w:ascii="新宋体" w:hAnsi="新宋体" w:eastAsia="新宋体" w:cs="宋体"/>
                <w:bCs/>
                <w:color w:val="000000" w:themeColor="text1"/>
                <w:kern w:val="0"/>
                <w:sz w:val="24"/>
                <w14:textFill>
                  <w14:solidFill>
                    <w14:schemeClr w14:val="tx1"/>
                  </w14:solidFill>
                </w14:textFill>
              </w:rPr>
              <w:t>采购及安装；1500亩镀锌铁丝架设；（</w:t>
            </w:r>
            <w:r>
              <w:rPr>
                <w:rFonts w:hint="eastAsia" w:ascii="新宋体" w:hAnsi="新宋体" w:eastAsia="新宋体" w:cs="宋体"/>
                <w:bCs/>
                <w:color w:val="000000" w:themeColor="text1"/>
                <w:kern w:val="0"/>
                <w:sz w:val="24"/>
                <w:lang w:val="en-US" w:eastAsia="zh-CN"/>
                <w14:textFill>
                  <w14:solidFill>
                    <w14:schemeClr w14:val="tx1"/>
                  </w14:solidFill>
                </w14:textFill>
              </w:rPr>
              <w:t>具体规格、数量、参数</w:t>
            </w:r>
            <w:r>
              <w:rPr>
                <w:rFonts w:hint="eastAsia" w:ascii="新宋体" w:hAnsi="新宋体" w:eastAsia="新宋体" w:cs="宋体"/>
                <w:bCs/>
                <w:color w:val="000000" w:themeColor="text1"/>
                <w:kern w:val="0"/>
                <w:sz w:val="24"/>
                <w14:textFill>
                  <w14:solidFill>
                    <w14:schemeClr w14:val="tx1"/>
                  </w14:solidFill>
                </w14:textFill>
              </w:rPr>
              <w:t>详见招标文件参数）。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7290" w:type="dxa"/>
            <w:tcBorders>
              <w:left w:val="single" w:color="auto" w:sz="4" w:space="0"/>
            </w:tcBorders>
            <w:vAlign w:val="bottom"/>
          </w:tcPr>
          <w:p>
            <w:pPr>
              <w:widowControl/>
              <w:spacing w:line="360" w:lineRule="auto"/>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财政专项扶贫资金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采购概算价</w:t>
            </w:r>
          </w:p>
        </w:tc>
        <w:tc>
          <w:tcPr>
            <w:tcW w:w="7290" w:type="dxa"/>
            <w:tcBorders>
              <w:left w:val="single" w:color="auto" w:sz="4" w:space="0"/>
            </w:tcBorders>
            <w:vAlign w:val="center"/>
          </w:tcPr>
          <w:p>
            <w:pPr>
              <w:tabs>
                <w:tab w:val="left" w:pos="900"/>
              </w:tabs>
              <w:spacing w:beforeLines="10" w:afterLines="10" w:line="360" w:lineRule="exact"/>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5355000.00</w:t>
            </w:r>
            <w:r>
              <w:rPr>
                <w:rFonts w:hint="eastAsia" w:ascii="宋体" w:cs="宋体"/>
                <w:color w:val="000000" w:themeColor="text1"/>
                <w:kern w:val="0"/>
                <w:sz w:val="24"/>
                <w14:textFill>
                  <w14:solidFill>
                    <w14:schemeClr w14:val="tx1"/>
                  </w14:solidFill>
                </w14:textFill>
              </w:rPr>
              <w:t>元（此报价为最高报价，超过为无效报价）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采购方式</w:t>
            </w:r>
          </w:p>
        </w:tc>
        <w:tc>
          <w:tcPr>
            <w:tcW w:w="7290" w:type="dxa"/>
            <w:tcBorders>
              <w:left w:val="single" w:color="auto" w:sz="4" w:space="0"/>
            </w:tcBorders>
            <w:vAlign w:val="center"/>
          </w:tcPr>
          <w:p>
            <w:pPr>
              <w:spacing w:line="360" w:lineRule="exact"/>
              <w:jc w:val="left"/>
              <w:rPr>
                <w:rFonts w:asci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评标方法</w:t>
            </w:r>
          </w:p>
        </w:tc>
        <w:tc>
          <w:tcPr>
            <w:tcW w:w="7290" w:type="dxa"/>
            <w:tcBorders>
              <w:left w:val="single" w:color="auto" w:sz="4" w:space="0"/>
            </w:tcBorders>
            <w:vAlign w:val="center"/>
          </w:tcPr>
          <w:p>
            <w:pPr>
              <w:spacing w:line="360" w:lineRule="exact"/>
              <w:jc w:val="left"/>
              <w:rPr>
                <w:rFonts w:hint="default" w:ascii="宋体" w:eastAsia="宋体"/>
                <w:color w:val="000000" w:themeColor="text1"/>
                <w:sz w:val="24"/>
                <w:lang w:val="en-US" w:eastAsia="zh-CN"/>
                <w14:textFill>
                  <w14:solidFill>
                    <w14:schemeClr w14:val="tx1"/>
                  </w14:solidFill>
                </w14:textFill>
              </w:rPr>
            </w:pPr>
            <w:r>
              <w:rPr>
                <w:rFonts w:hint="eastAsia" w:ascii="宋体"/>
                <w:color w:val="000000" w:themeColor="text1"/>
                <w:sz w:val="24"/>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供货期限</w:t>
            </w:r>
            <w:r>
              <w:rPr>
                <w:rFonts w:hint="eastAsia" w:ascii="宋体" w:hAnsi="宋体"/>
                <w:color w:val="000000" w:themeColor="text1"/>
                <w:sz w:val="24"/>
                <w14:textFill>
                  <w14:solidFill>
                    <w14:schemeClr w14:val="tx1"/>
                  </w14:solidFill>
                </w14:textFill>
              </w:rPr>
              <w:t>及地点</w:t>
            </w:r>
          </w:p>
        </w:tc>
        <w:tc>
          <w:tcPr>
            <w:tcW w:w="7290" w:type="dxa"/>
            <w:tcBorders>
              <w:lef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供货期限：按照业主要求期限供货</w:t>
            </w:r>
            <w:r>
              <w:rPr>
                <w:rFonts w:hint="eastAsia" w:ascii="宋体" w:hAnsi="宋体"/>
                <w:color w:val="000000" w:themeColor="text1"/>
                <w:sz w:val="24"/>
                <w14:textFill>
                  <w14:solidFill>
                    <w14:schemeClr w14:val="tx1"/>
                  </w14:solidFill>
                </w14:textFill>
              </w:rPr>
              <w:t>，交货地点：业主指定地点；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10</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11</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考察现场</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3</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投标人对招标文件提出质疑的时间</w:t>
            </w:r>
          </w:p>
        </w:tc>
        <w:tc>
          <w:tcPr>
            <w:tcW w:w="7290" w:type="dxa"/>
            <w:tcBorders>
              <w:left w:val="single" w:color="auto" w:sz="4" w:space="0"/>
            </w:tcBorders>
            <w:vAlign w:val="center"/>
          </w:tcPr>
          <w:p>
            <w:pPr>
              <w:spacing w:line="36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4</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构成招标文件的其他文件</w:t>
            </w:r>
          </w:p>
        </w:tc>
        <w:tc>
          <w:tcPr>
            <w:tcW w:w="7290" w:type="dxa"/>
            <w:tcBorders>
              <w:left w:val="single" w:color="auto" w:sz="4" w:space="0"/>
            </w:tcBorders>
            <w:vAlign w:val="center"/>
          </w:tcPr>
          <w:p>
            <w:pPr>
              <w:spacing w:line="360" w:lineRule="auto"/>
              <w:rPr>
                <w:rFonts w:asci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w:t>
            </w:r>
          </w:p>
        </w:tc>
        <w:tc>
          <w:tcPr>
            <w:tcW w:w="7290" w:type="dxa"/>
            <w:tcBorders>
              <w:left w:val="single" w:color="auto" w:sz="4" w:space="0"/>
            </w:tcBorders>
            <w:vAlign w:val="center"/>
          </w:tcPr>
          <w:p>
            <w:pPr>
              <w:spacing w:line="360" w:lineRule="auto"/>
              <w:ind w:left="714" w:leftChars="1" w:hanging="712" w:hangingChars="297"/>
              <w:jc w:val="left"/>
              <w:rPr>
                <w:rFonts w:ascii="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w:t>
            </w:r>
            <w:r>
              <w:rPr>
                <w:rFonts w:hint="eastAsia" w:ascii="宋体" w:hAnsi="宋体" w:cs="宋体"/>
                <w:color w:val="000000" w:themeColor="text1"/>
                <w:kern w:val="0"/>
                <w:sz w:val="24"/>
                <w:lang w:val="en-US" w:eastAsia="zh-CN"/>
                <w14:textFill>
                  <w14:solidFill>
                    <w14:schemeClr w14:val="tx1"/>
                  </w14:solidFill>
                </w14:textFill>
              </w:rPr>
              <w:t>02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25</w:t>
            </w:r>
            <w:r>
              <w:rPr>
                <w:rFonts w:hint="eastAsia" w:ascii="宋体" w:hAnsi="宋体" w:cs="宋体"/>
                <w:color w:val="000000" w:themeColor="text1"/>
                <w:kern w:val="0"/>
                <w:sz w:val="24"/>
                <w14:textFill>
                  <w14:solidFill>
                    <w14:schemeClr w14:val="tx1"/>
                  </w14:solidFill>
                </w14:textFill>
              </w:rPr>
              <w:t>日 11:</w:t>
            </w:r>
            <w:r>
              <w:rPr>
                <w:rFonts w:hint="eastAsia" w:ascii="宋体" w:hAnsi="宋体" w:cs="宋体"/>
                <w:color w:val="000000" w:themeColor="text1"/>
                <w:kern w:val="0"/>
                <w:sz w:val="24"/>
                <w:lang w:val="en-US" w:eastAsia="zh-CN"/>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7290" w:type="dxa"/>
            <w:tcBorders>
              <w:left w:val="single" w:color="auto" w:sz="4" w:space="0"/>
            </w:tcBorders>
            <w:vAlign w:val="center"/>
          </w:tcPr>
          <w:p>
            <w:pPr>
              <w:spacing w:line="360" w:lineRule="auto"/>
              <w:ind w:left="714" w:leftChars="1" w:hanging="712" w:hangingChars="297"/>
              <w:jc w:val="left"/>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投标保证金</w:t>
            </w:r>
          </w:p>
        </w:tc>
        <w:tc>
          <w:tcPr>
            <w:tcW w:w="7290" w:type="dxa"/>
            <w:tcBorders>
              <w:left w:val="single" w:color="auto" w:sz="4" w:space="0"/>
            </w:tcBorders>
            <w:vAlign w:val="center"/>
          </w:tcPr>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投标保证金的形式：转账</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投标保证金的金额：</w:t>
            </w:r>
            <w:r>
              <w:rPr>
                <w:rFonts w:hint="eastAsia" w:ascii="宋体"/>
                <w:bCs/>
                <w:color w:val="000000" w:themeColor="text1"/>
                <w:sz w:val="24"/>
                <w:lang w:val="en-US" w:eastAsia="zh-CN"/>
                <w14:textFill>
                  <w14:solidFill>
                    <w14:schemeClr w14:val="tx1"/>
                  </w14:solidFill>
                </w14:textFill>
              </w:rPr>
              <w:t>100</w:t>
            </w:r>
            <w:r>
              <w:rPr>
                <w:rFonts w:hint="eastAsia" w:ascii="宋体"/>
                <w:bCs/>
                <w:color w:val="000000" w:themeColor="text1"/>
                <w:sz w:val="24"/>
                <w14:textFill>
                  <w14:solidFill>
                    <w14:schemeClr w14:val="tx1"/>
                  </w14:solidFill>
                </w14:textFill>
              </w:rPr>
              <w:t>000.00元整（</w:t>
            </w:r>
            <w:r>
              <w:rPr>
                <w:rFonts w:hint="eastAsia" w:ascii="宋体"/>
                <w:bCs/>
                <w:color w:val="000000" w:themeColor="text1"/>
                <w:sz w:val="24"/>
                <w:lang w:val="en-US" w:eastAsia="zh-CN"/>
                <w14:textFill>
                  <w14:solidFill>
                    <w14:schemeClr w14:val="tx1"/>
                  </w14:solidFill>
                </w14:textFill>
              </w:rPr>
              <w:t>壹拾万元整</w:t>
            </w:r>
            <w:r>
              <w:rPr>
                <w:rFonts w:hint="eastAsia" w:ascii="宋体"/>
                <w:bCs/>
                <w:color w:val="000000" w:themeColor="text1"/>
                <w:sz w:val="24"/>
                <w14:textFill>
                  <w14:solidFill>
                    <w14:schemeClr w14:val="tx1"/>
                  </w14:solidFill>
                </w14:textFill>
              </w:rPr>
              <w:t>）</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投标保证金缴纳账户：</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账户名称：皮山县政府投资交易中心</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帐号：8780 1001 2010 1010 11990</w:t>
            </w:r>
          </w:p>
          <w:p>
            <w:p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开户银行：新疆皮山县农村信用合作联社</w:t>
            </w:r>
          </w:p>
          <w:p>
            <w:pPr>
              <w:spacing w:line="360" w:lineRule="auto"/>
              <w:rPr>
                <w:rFonts w:ascii="宋体"/>
                <w:bCs/>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行号：402896400017</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注：1、由投标人基本账户汇出，且不得以分公司的名义转账；</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 2、投标保证金需在20</w:t>
            </w:r>
            <w:r>
              <w:rPr>
                <w:rFonts w:hint="eastAsia" w:ascii="宋体"/>
                <w:b/>
                <w:color w:val="000000" w:themeColor="text1"/>
                <w:sz w:val="24"/>
                <w:lang w:val="en-US" w:eastAsia="zh-CN"/>
                <w14:textFill>
                  <w14:solidFill>
                    <w14:schemeClr w14:val="tx1"/>
                  </w14:solidFill>
                </w14:textFill>
              </w:rPr>
              <w:t>20</w:t>
            </w:r>
            <w:r>
              <w:rPr>
                <w:rFonts w:hint="eastAsia" w:ascii="宋体"/>
                <w:b/>
                <w:color w:val="000000" w:themeColor="text1"/>
                <w:sz w:val="24"/>
                <w14:textFill>
                  <w14:solidFill>
                    <w14:schemeClr w14:val="tx1"/>
                  </w14:solidFill>
                </w14:textFill>
              </w:rPr>
              <w:t>年</w:t>
            </w:r>
            <w:r>
              <w:rPr>
                <w:rFonts w:hint="eastAsia" w:ascii="宋体"/>
                <w:b/>
                <w:color w:val="000000" w:themeColor="text1"/>
                <w:sz w:val="24"/>
                <w:lang w:val="en-US" w:eastAsia="zh-CN"/>
                <w14:textFill>
                  <w14:solidFill>
                    <w14:schemeClr w14:val="tx1"/>
                  </w14:solidFill>
                </w14:textFill>
              </w:rPr>
              <w:t>02</w:t>
            </w:r>
            <w:r>
              <w:rPr>
                <w:rFonts w:hint="eastAsia" w:ascii="宋体"/>
                <w:b/>
                <w:color w:val="000000" w:themeColor="text1"/>
                <w:sz w:val="24"/>
                <w14:textFill>
                  <w14:solidFill>
                    <w14:schemeClr w14:val="tx1"/>
                  </w14:solidFill>
                </w14:textFill>
              </w:rPr>
              <w:t>月</w:t>
            </w:r>
            <w:r>
              <w:rPr>
                <w:rFonts w:hint="eastAsia" w:ascii="宋体"/>
                <w:b/>
                <w:color w:val="000000" w:themeColor="text1"/>
                <w:sz w:val="24"/>
                <w:lang w:val="en-US" w:eastAsia="zh-CN"/>
                <w14:textFill>
                  <w14:solidFill>
                    <w14:schemeClr w14:val="tx1"/>
                  </w14:solidFill>
                </w14:textFill>
              </w:rPr>
              <w:t>24</w:t>
            </w:r>
            <w:r>
              <w:rPr>
                <w:rFonts w:hint="eastAsia" w:ascii="宋体"/>
                <w:b/>
                <w:color w:val="000000" w:themeColor="text1"/>
                <w:sz w:val="24"/>
                <w14:textFill>
                  <w14:solidFill>
                    <w14:schemeClr w14:val="tx1"/>
                  </w14:solidFill>
                </w14:textFill>
              </w:rPr>
              <w:t>日</w:t>
            </w:r>
            <w:r>
              <w:rPr>
                <w:rFonts w:hint="eastAsia" w:ascii="宋体"/>
                <w:b/>
                <w:color w:val="000000" w:themeColor="text1"/>
                <w:sz w:val="24"/>
                <w:lang w:val="en-US" w:eastAsia="zh-CN"/>
                <w14:textFill>
                  <w14:solidFill>
                    <w14:schemeClr w14:val="tx1"/>
                  </w14:solidFill>
                </w14:textFill>
              </w:rPr>
              <w:t>20</w:t>
            </w:r>
            <w:r>
              <w:rPr>
                <w:rFonts w:hint="eastAsia" w:ascii="宋体"/>
                <w:b/>
                <w:color w:val="000000" w:themeColor="text1"/>
                <w:sz w:val="24"/>
                <w14:textFill>
                  <w14:solidFill>
                    <w14:schemeClr w14:val="tx1"/>
                  </w14:solidFill>
                </w14:textFill>
              </w:rPr>
              <w:t xml:space="preserve">：00前到账，超过时间则不予认可； </w:t>
            </w:r>
          </w:p>
          <w:p>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3、投标单位须在汇款单备注栏标明：XXX项目XXX包段（标段）或项目编号；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备选投标方案和报价</w:t>
            </w:r>
          </w:p>
        </w:tc>
        <w:tc>
          <w:tcPr>
            <w:tcW w:w="7290" w:type="dxa"/>
            <w:tcBorders>
              <w:left w:val="single" w:color="auto" w:sz="4" w:space="0"/>
            </w:tcBorders>
            <w:vAlign w:val="center"/>
          </w:tcPr>
          <w:p>
            <w:pP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p>
        </w:tc>
        <w:tc>
          <w:tcPr>
            <w:tcW w:w="1497" w:type="dxa"/>
            <w:tcBorders>
              <w:right w:val="single" w:color="auto" w:sz="4" w:space="0"/>
            </w:tcBorders>
            <w:vAlign w:val="center"/>
          </w:tcPr>
          <w:p>
            <w:pPr>
              <w:spacing w:line="3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签字盖章</w:t>
            </w:r>
          </w:p>
        </w:tc>
        <w:tc>
          <w:tcPr>
            <w:tcW w:w="7290" w:type="dxa"/>
            <w:tcBorders>
              <w:left w:val="single" w:color="auto" w:sz="4" w:space="0"/>
            </w:tcBorders>
            <w:vAlign w:val="center"/>
          </w:tcPr>
          <w:p>
            <w:pPr>
              <w:spacing w:line="360" w:lineRule="auto"/>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投标人必须按照招标文件的规定和要求签字、盖章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497" w:type="dxa"/>
            <w:tcBorders>
              <w:right w:val="single" w:color="auto" w:sz="4" w:space="0"/>
            </w:tcBorders>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投标文件份数</w:t>
            </w:r>
          </w:p>
        </w:tc>
        <w:tc>
          <w:tcPr>
            <w:tcW w:w="7290" w:type="dxa"/>
            <w:tcBorders>
              <w:left w:val="single" w:color="auto" w:sz="4" w:space="0"/>
            </w:tcBorders>
            <w:vAlign w:val="center"/>
          </w:tcPr>
          <w:p>
            <w:pPr>
              <w:widowControl/>
              <w:numPr>
                <w:ilvl w:val="0"/>
                <w:numId w:val="4"/>
              </w:numPr>
              <w:autoSpaceDE w:val="0"/>
              <w:autoSpaceDN w:val="0"/>
              <w:jc w:val="left"/>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投标文件：正本壹份加电子版</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电子版投标文件为PDF格式</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（密封）</w:t>
            </w:r>
            <w:r>
              <w:rPr>
                <w:rFonts w:hint="eastAsia" w:ascii="宋体" w:hAnsi="宋体"/>
                <w:color w:val="000000" w:themeColor="text1"/>
                <w:kern w:val="0"/>
                <w:sz w:val="24"/>
                <w:lang w:eastAsia="zh-CN"/>
                <w14:textFill>
                  <w14:solidFill>
                    <w14:schemeClr w14:val="tx1"/>
                  </w14:solidFill>
                </w14:textFill>
              </w:rPr>
              <w:t>；</w:t>
            </w:r>
          </w:p>
          <w:p>
            <w:pPr>
              <w:widowControl/>
              <w:numPr>
                <w:ilvl w:val="0"/>
                <w:numId w:val="4"/>
              </w:numPr>
              <w:autoSpaceDE w:val="0"/>
              <w:autoSpaceDN w:val="0"/>
              <w:ind w:left="0" w:leftChars="0" w:firstLine="0" w:firstLineChars="0"/>
              <w:jc w:val="left"/>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副本肆份（密封）</w:t>
            </w:r>
            <w:r>
              <w:rPr>
                <w:rFonts w:hint="eastAsia" w:ascii="宋体" w:hAnsi="宋体"/>
                <w:color w:val="000000" w:themeColor="text1"/>
                <w:kern w:val="0"/>
                <w:sz w:val="24"/>
                <w:lang w:eastAsia="zh-CN"/>
                <w14:textFill>
                  <w14:solidFill>
                    <w14:schemeClr w14:val="tx1"/>
                  </w14:solidFill>
                </w14:textFill>
              </w:rPr>
              <w:t>；</w:t>
            </w:r>
          </w:p>
          <w:p>
            <w:pPr>
              <w:widowControl/>
              <w:numPr>
                <w:ilvl w:val="0"/>
                <w:numId w:val="4"/>
              </w:numPr>
              <w:autoSpaceDE w:val="0"/>
              <w:autoSpaceDN w:val="0"/>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各类证件原件及复印件（密封）（含：1、经年审合格（三证合一）的营业执照</w:t>
            </w:r>
            <w:r>
              <w:rPr>
                <w:rFonts w:hint="eastAsia" w:ascii="宋体" w:hAnsi="宋体"/>
                <w:color w:val="000000" w:themeColor="text1"/>
                <w:kern w:val="0"/>
                <w:sz w:val="24"/>
                <w:lang w:val="en-US" w:eastAsia="zh-CN"/>
                <w14:textFill>
                  <w14:solidFill>
                    <w14:schemeClr w14:val="tx1"/>
                  </w14:solidFill>
                </w14:textFill>
              </w:rPr>
              <w:t>原件</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、被委托人必须是正式员工，需提供社保部门出具</w:t>
            </w:r>
            <w:r>
              <w:rPr>
                <w:rFonts w:hint="eastAsia" w:ascii="宋体" w:hAnsi="宋体"/>
                <w:color w:val="FF0000"/>
                <w:kern w:val="0"/>
                <w:sz w:val="24"/>
                <w:highlight w:val="yellow"/>
              </w:rPr>
              <w:t>最少近一个月</w:t>
            </w:r>
            <w:r>
              <w:rPr>
                <w:rFonts w:hint="eastAsia" w:ascii="宋体" w:hAnsi="宋体"/>
                <w:color w:val="000000" w:themeColor="text1"/>
                <w:kern w:val="0"/>
                <w:sz w:val="24"/>
                <w14:textFill>
                  <w14:solidFill>
                    <w14:schemeClr w14:val="tx1"/>
                  </w14:solidFill>
                </w14:textFill>
              </w:rPr>
              <w:t>的缴纳社保证明（</w:t>
            </w:r>
            <w:r>
              <w:rPr>
                <w:rFonts w:hint="eastAsia" w:ascii="宋体" w:hAnsi="宋体"/>
                <w:color w:val="FF0000"/>
                <w:kern w:val="0"/>
                <w:sz w:val="24"/>
                <w:highlight w:val="yellow"/>
              </w:rPr>
              <w:t>社保缴费凭证及个人明细表）</w:t>
            </w:r>
            <w:r>
              <w:rPr>
                <w:rFonts w:hint="eastAsia" w:ascii="宋体" w:hAnsi="宋体"/>
                <w:color w:val="FF0000"/>
                <w:kern w:val="0"/>
                <w:sz w:val="24"/>
                <w:highlight w:val="yellow"/>
                <w:lang w:eastAsia="zh-CN"/>
              </w:rPr>
              <w:t>；</w:t>
            </w:r>
          </w:p>
          <w:p>
            <w:pPr>
              <w:widowControl/>
              <w:numPr>
                <w:ilvl w:val="0"/>
                <w:numId w:val="0"/>
              </w:numPr>
              <w:autoSpaceDE w:val="0"/>
              <w:autoSpaceDN w:val="0"/>
              <w:ind w:leftChars="0"/>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四、</w:t>
            </w:r>
            <w:r>
              <w:rPr>
                <w:rFonts w:hint="eastAsia" w:ascii="宋体" w:hAnsi="宋体"/>
                <w:color w:val="000000" w:themeColor="text1"/>
                <w:kern w:val="0"/>
                <w:sz w:val="24"/>
                <w14:textFill>
                  <w14:solidFill>
                    <w14:schemeClr w14:val="tx1"/>
                  </w14:solidFill>
                </w14:textFill>
              </w:rPr>
              <w:t>法定代表人</w:t>
            </w:r>
            <w:r>
              <w:rPr>
                <w:rFonts w:hint="eastAsia" w:ascii="宋体" w:hAnsi="宋体"/>
                <w:color w:val="000000" w:themeColor="text1"/>
                <w:kern w:val="0"/>
                <w:sz w:val="24"/>
                <w:lang w:val="en-US" w:eastAsia="zh-CN"/>
                <w14:textFill>
                  <w14:solidFill>
                    <w14:schemeClr w14:val="tx1"/>
                  </w14:solidFill>
                </w14:textFill>
              </w:rPr>
              <w:t>作</w:t>
            </w:r>
            <w:r>
              <w:rPr>
                <w:rFonts w:hint="eastAsia" w:ascii="宋体" w:hAnsi="宋体"/>
                <w:color w:val="000000" w:themeColor="text1"/>
                <w:kern w:val="0"/>
                <w:sz w:val="24"/>
                <w14:textFill>
                  <w14:solidFill>
                    <w14:schemeClr w14:val="tx1"/>
                  </w14:solidFill>
                </w14:textFill>
              </w:rPr>
              <w:t>为投标人</w:t>
            </w:r>
            <w:r>
              <w:rPr>
                <w:rFonts w:hint="eastAsia" w:ascii="宋体" w:hAnsi="宋体"/>
                <w:color w:val="000000" w:themeColor="text1"/>
                <w:kern w:val="0"/>
                <w:sz w:val="24"/>
                <w:lang w:val="en-US" w:eastAsia="zh-CN"/>
                <w14:textFill>
                  <w14:solidFill>
                    <w14:schemeClr w14:val="tx1"/>
                  </w14:solidFill>
                </w14:textFill>
              </w:rPr>
              <w:t>代表</w:t>
            </w:r>
            <w:r>
              <w:rPr>
                <w:rFonts w:hint="eastAsia" w:ascii="宋体" w:hAnsi="宋体"/>
                <w:color w:val="000000" w:themeColor="text1"/>
                <w:kern w:val="0"/>
                <w:sz w:val="24"/>
                <w14:textFill>
                  <w14:solidFill>
                    <w14:schemeClr w14:val="tx1"/>
                  </w14:solidFill>
                </w14:textFill>
              </w:rPr>
              <w:t>的需提交法</w:t>
            </w:r>
            <w:r>
              <w:rPr>
                <w:rFonts w:hint="eastAsia" w:ascii="宋体" w:hAnsi="宋体"/>
                <w:color w:val="000000" w:themeColor="text1"/>
                <w:kern w:val="0"/>
                <w:sz w:val="24"/>
                <w:lang w:val="en-US" w:eastAsia="zh-CN"/>
                <w14:textFill>
                  <w14:solidFill>
                    <w14:schemeClr w14:val="tx1"/>
                  </w14:solidFill>
                </w14:textFill>
              </w:rPr>
              <w:t>定代表人</w:t>
            </w:r>
            <w:r>
              <w:rPr>
                <w:rFonts w:hint="eastAsia" w:ascii="宋体" w:hAnsi="宋体"/>
                <w:color w:val="000000" w:themeColor="text1"/>
                <w:kern w:val="0"/>
                <w:sz w:val="24"/>
                <w14:textFill>
                  <w14:solidFill>
                    <w14:schemeClr w14:val="tx1"/>
                  </w14:solidFill>
                </w14:textFill>
              </w:rPr>
              <w:t>身份证和法定代表人身份证明</w:t>
            </w:r>
            <w:r>
              <w:rPr>
                <w:rFonts w:hint="eastAsia" w:ascii="宋体" w:hAnsi="宋体"/>
                <w:color w:val="000000" w:themeColor="text1"/>
                <w:kern w:val="0"/>
                <w:sz w:val="24"/>
                <w:lang w:val="en-US" w:eastAsia="zh-CN"/>
                <w14:textFill>
                  <w14:solidFill>
                    <w14:schemeClr w14:val="tx1"/>
                  </w14:solidFill>
                </w14:textFill>
              </w:rPr>
              <w:t>书</w:t>
            </w:r>
            <w:r>
              <w:rPr>
                <w:rFonts w:hint="eastAsia" w:ascii="宋体" w:hAnsi="宋体"/>
                <w:color w:val="000000" w:themeColor="text1"/>
                <w:kern w:val="0"/>
                <w:sz w:val="24"/>
                <w14:textFill>
                  <w14:solidFill>
                    <w14:schemeClr w14:val="tx1"/>
                  </w14:solidFill>
                </w14:textFill>
              </w:rPr>
              <w:t>；授权委托人作为投标人</w:t>
            </w:r>
            <w:r>
              <w:rPr>
                <w:rFonts w:hint="eastAsia" w:ascii="宋体" w:hAnsi="宋体"/>
                <w:color w:val="000000" w:themeColor="text1"/>
                <w:kern w:val="0"/>
                <w:sz w:val="24"/>
                <w:lang w:val="en-US" w:eastAsia="zh-CN"/>
                <w14:textFill>
                  <w14:solidFill>
                    <w14:schemeClr w14:val="tx1"/>
                  </w14:solidFill>
                </w14:textFill>
              </w:rPr>
              <w:t>代表的</w:t>
            </w:r>
            <w:r>
              <w:rPr>
                <w:rFonts w:hint="eastAsia" w:ascii="宋体" w:hAnsi="宋体"/>
                <w:color w:val="000000" w:themeColor="text1"/>
                <w:kern w:val="0"/>
                <w:sz w:val="24"/>
                <w14:textFill>
                  <w14:solidFill>
                    <w14:schemeClr w14:val="tx1"/>
                  </w14:solidFill>
                </w14:textFill>
              </w:rPr>
              <w:t>需提交法定代表人授权委托书及身份证并签字加盖公章</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递交投标文件时单独提供</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pPr>
              <w:widowControl/>
              <w:numPr>
                <w:ilvl w:val="0"/>
                <w:numId w:val="0"/>
              </w:numPr>
              <w:autoSpaceDE w:val="0"/>
              <w:autoSpaceDN w:val="0"/>
              <w:ind w:leftChars="0"/>
              <w:jc w:val="left"/>
              <w:rPr>
                <w:rFonts w:hint="eastAsia" w:ascii="宋体" w:hAnsi="宋体"/>
                <w:color w:val="FF0000"/>
                <w:kern w:val="0"/>
                <w:sz w:val="24"/>
                <w:highlight w:val="yellow"/>
                <w:lang w:eastAsia="zh-CN"/>
              </w:rPr>
            </w:pPr>
            <w:r>
              <w:rPr>
                <w:rFonts w:hint="eastAsia" w:ascii="宋体" w:hAnsi="宋体"/>
                <w:color w:val="000000" w:themeColor="text1"/>
                <w:kern w:val="0"/>
                <w:sz w:val="24"/>
                <w:lang w:val="en-US" w:eastAsia="zh-CN"/>
                <w14:textFill>
                  <w14:solidFill>
                    <w14:schemeClr w14:val="tx1"/>
                  </w14:solidFill>
                </w14:textFill>
              </w:rPr>
              <w:t>五、</w:t>
            </w:r>
            <w:r>
              <w:rPr>
                <w:rFonts w:hint="eastAsia" w:ascii="宋体" w:hAnsi="宋体"/>
                <w:color w:val="FF0000"/>
                <w:kern w:val="0"/>
                <w:sz w:val="24"/>
                <w:highlight w:val="yellow"/>
                <w:lang w:val="en-US" w:eastAsia="zh-CN"/>
              </w:rPr>
              <w:t>以上一至三项</w:t>
            </w:r>
            <w:r>
              <w:rPr>
                <w:rFonts w:hint="eastAsia" w:ascii="宋体" w:hAnsi="宋体"/>
                <w:color w:val="FF0000"/>
                <w:kern w:val="0"/>
                <w:sz w:val="24"/>
                <w:highlight w:val="yellow"/>
              </w:rPr>
              <w:t>密封递交</w:t>
            </w:r>
            <w:r>
              <w:rPr>
                <w:rFonts w:hint="eastAsia" w:ascii="宋体" w:hAnsi="宋体"/>
                <w:color w:val="FF0000"/>
                <w:kern w:val="0"/>
                <w:sz w:val="24"/>
                <w:highlight w:val="yellow"/>
                <w:lang w:eastAsia="zh-CN"/>
              </w:rPr>
              <w:t>；</w:t>
            </w:r>
          </w:p>
          <w:p>
            <w:pPr>
              <w:widowControl/>
              <w:numPr>
                <w:ilvl w:val="0"/>
                <w:numId w:val="0"/>
              </w:numPr>
              <w:autoSpaceDE w:val="0"/>
              <w:autoSpaceDN w:val="0"/>
              <w:ind w:leftChars="0"/>
              <w:jc w:val="left"/>
              <w:rPr>
                <w:rFonts w:hint="eastAsia" w:ascii="宋体" w:hAnsi="宋体"/>
                <w:color w:val="000000" w:themeColor="text1"/>
                <w:kern w:val="0"/>
                <w:sz w:val="24"/>
                <w14:textFill>
                  <w14:solidFill>
                    <w14:schemeClr w14:val="tx1"/>
                  </w14:solidFill>
                </w14:textFill>
              </w:rPr>
            </w:pPr>
            <w:r>
              <w:rPr>
                <w:rFonts w:hint="eastAsia" w:ascii="宋体" w:hAnsi="宋体"/>
                <w:color w:val="FF0000"/>
                <w:kern w:val="0"/>
                <w:sz w:val="24"/>
                <w:highlight w:val="yellow"/>
                <w:lang w:val="en-US" w:eastAsia="zh-CN"/>
              </w:rPr>
              <w:t>六、三、四项须</w:t>
            </w:r>
            <w:r>
              <w:rPr>
                <w:rFonts w:hint="eastAsia" w:ascii="宋体" w:hAnsi="宋体"/>
                <w:color w:val="FF0000"/>
                <w:kern w:val="0"/>
                <w:sz w:val="24"/>
                <w:highlight w:val="yellow"/>
              </w:rPr>
              <w:t>与投标文件中所提供的一致。</w:t>
            </w:r>
          </w:p>
          <w:p>
            <w:pPr>
              <w:widowControl/>
              <w:numPr>
                <w:ilvl w:val="0"/>
                <w:numId w:val="0"/>
              </w:numPr>
              <w:autoSpaceDE w:val="0"/>
              <w:autoSpaceDN w:val="0"/>
              <w:ind w:leftChars="0"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bCs/>
                <w:color w:val="FF0000"/>
                <w:kern w:val="0"/>
                <w:sz w:val="24"/>
              </w:rPr>
              <w:t>投标文件份数为投标企业递交投标文件时由招标代理查验份数，未按照此项提供投标文件份数的将拒绝接受投标文件；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投标文件的装订</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823" w:type="dxa"/>
            <w:vAlign w:val="center"/>
          </w:tcPr>
          <w:p>
            <w:pPr>
              <w:spacing w:line="360" w:lineRule="exact"/>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2</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投标文件封面的标注</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投标文件正本和副本的封面上均应标明：投标项目名称、项目编号、分包号（如有分包）、投标人名称、年月日；并分别在右上角标明“正本”和“副本</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3</w:t>
            </w:r>
          </w:p>
        </w:tc>
        <w:tc>
          <w:tcPr>
            <w:tcW w:w="1497" w:type="dxa"/>
            <w:tcBorders>
              <w:right w:val="single" w:color="auto" w:sz="4" w:space="0"/>
            </w:tcBorders>
            <w:vAlign w:val="center"/>
          </w:tcPr>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投标文件的密封</w:t>
            </w:r>
          </w:p>
        </w:tc>
        <w:tc>
          <w:tcPr>
            <w:tcW w:w="7290" w:type="dxa"/>
            <w:tcBorders>
              <w:left w:val="single" w:color="auto" w:sz="4" w:space="0"/>
            </w:tcBorders>
            <w:vAlign w:val="center"/>
          </w:tcPr>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在密封袋上注明项目名称、项目编号、分包号(如有分包）、单位名称、地址、联系人、联系电及及正本、副本、“各类证件原件及复印件”等字样，密封袋须加盖法人公章或投标专用章以及法定代表人或委托代理人印章，并应确保密封完好。</w:t>
            </w:r>
          </w:p>
          <w:p>
            <w:pPr>
              <w:widowControl/>
              <w:autoSpaceDE w:val="0"/>
              <w:autoSpaceDN w:val="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每一密封袋上注明“于2020年</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月</w:t>
            </w:r>
            <w:r>
              <w:rPr>
                <w:rFonts w:hint="eastAsia" w:ascii="宋体" w:hAnsi="宋体"/>
                <w:color w:val="000000" w:themeColor="text1"/>
                <w:kern w:val="0"/>
                <w:sz w:val="24"/>
                <w:highlight w:val="none"/>
                <w:lang w:val="en-US" w:eastAsia="zh-CN"/>
                <w14:textFill>
                  <w14:solidFill>
                    <w14:schemeClr w14:val="tx1"/>
                  </w14:solidFill>
                </w14:textFill>
              </w:rPr>
              <w:t>25</w:t>
            </w:r>
            <w:r>
              <w:rPr>
                <w:rFonts w:hint="eastAsia" w:ascii="宋体" w:hAnsi="宋体"/>
                <w:color w:val="000000" w:themeColor="text1"/>
                <w:kern w:val="0"/>
                <w:sz w:val="24"/>
                <w:highlight w:val="none"/>
                <w14:textFill>
                  <w14:solidFill>
                    <w14:schemeClr w14:val="tx1"/>
                  </w14:solidFill>
                </w14:textFill>
              </w:rPr>
              <w:t>日11:</w:t>
            </w:r>
            <w:r>
              <w:rPr>
                <w:rFonts w:hint="eastAsia" w:ascii="宋体" w:hAnsi="宋体"/>
                <w:color w:val="000000" w:themeColor="text1"/>
                <w:kern w:val="0"/>
                <w:sz w:val="24"/>
                <w:highlight w:val="none"/>
                <w:lang w:val="en-US" w:eastAsia="zh-CN"/>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开标之前不准启封”字样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4</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递交投标文件的地点</w:t>
            </w:r>
          </w:p>
        </w:tc>
        <w:tc>
          <w:tcPr>
            <w:tcW w:w="7290"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5</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评标委员的组建</w:t>
            </w:r>
          </w:p>
        </w:tc>
        <w:tc>
          <w:tcPr>
            <w:tcW w:w="7290" w:type="dxa"/>
            <w:tcBorders>
              <w:left w:val="single" w:color="auto" w:sz="4" w:space="0"/>
            </w:tcBorders>
            <w:vAlign w:val="center"/>
          </w:tcPr>
          <w:p>
            <w:pPr>
              <w:spacing w:line="360" w:lineRule="auto"/>
              <w:ind w:left="714" w:leftChars="1" w:hanging="712" w:hangingChars="29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评标委员会构成：</w:t>
            </w:r>
            <w:r>
              <w:rPr>
                <w:rFonts w:hint="eastAsia" w:ascii="宋体" w:hAnsi="宋体"/>
                <w:color w:val="000000" w:themeColor="text1"/>
                <w:sz w:val="24"/>
                <w:szCs w:val="20"/>
                <w:highlight w:val="none"/>
                <w:lang w:val="en-US" w:eastAsia="zh-CN"/>
                <w14:textFill>
                  <w14:solidFill>
                    <w14:schemeClr w14:val="tx1"/>
                  </w14:solidFill>
                </w14:textFill>
              </w:rPr>
              <w:t>七人</w:t>
            </w:r>
            <w:r>
              <w:rPr>
                <w:rFonts w:hint="eastAsia" w:ascii="宋体" w:hAnsi="宋体"/>
                <w:color w:val="000000" w:themeColor="text1"/>
                <w:sz w:val="24"/>
                <w:szCs w:val="20"/>
                <w:highlight w:val="none"/>
                <w14:textFill>
                  <w14:solidFill>
                    <w14:schemeClr w14:val="tx1"/>
                  </w14:solidFill>
                </w14:textFill>
              </w:rPr>
              <w:t>以上（含</w:t>
            </w:r>
            <w:r>
              <w:rPr>
                <w:rFonts w:hint="eastAsia" w:ascii="宋体" w:hAnsi="宋体"/>
                <w:color w:val="000000" w:themeColor="text1"/>
                <w:sz w:val="24"/>
                <w:szCs w:val="20"/>
                <w:highlight w:val="none"/>
                <w:lang w:val="en-US" w:eastAsia="zh-CN"/>
                <w14:textFill>
                  <w14:solidFill>
                    <w14:schemeClr w14:val="tx1"/>
                  </w14:solidFill>
                </w14:textFill>
              </w:rPr>
              <w:t>7</w:t>
            </w:r>
            <w:r>
              <w:rPr>
                <w:rFonts w:hint="eastAsia" w:ascii="宋体" w:hAnsi="宋体"/>
                <w:color w:val="000000" w:themeColor="text1"/>
                <w:sz w:val="24"/>
                <w:szCs w:val="20"/>
                <w:highlight w:val="none"/>
                <w14:textFill>
                  <w14:solidFill>
                    <w14:schemeClr w14:val="tx1"/>
                  </w14:solidFill>
                </w14:textFill>
              </w:rPr>
              <w:t>人）</w:t>
            </w:r>
            <w:r>
              <w:rPr>
                <w:rFonts w:hint="eastAsia" w:ascii="宋体" w:hAnsi="宋体"/>
                <w:bCs/>
                <w:color w:val="000000" w:themeColor="text1"/>
                <w:sz w:val="24"/>
                <w:highlight w:val="none"/>
                <w14:textFill>
                  <w14:solidFill>
                    <w14:schemeClr w14:val="tx1"/>
                  </w14:solidFill>
                </w14:textFill>
              </w:rPr>
              <w:t>单数组成，业主专家</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人；</w:t>
            </w:r>
          </w:p>
          <w:p>
            <w:pPr>
              <w:spacing w:line="360" w:lineRule="auto"/>
              <w:ind w:left="714" w:leftChars="1" w:hanging="712" w:hangingChars="297"/>
              <w:jc w:val="both"/>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评标专家确定方式：由招标代理在开标前72小时在新疆维吾尔自治区政府采购专家库中随机抽取此次评标专家。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9"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6</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开标时间和地点</w:t>
            </w:r>
          </w:p>
        </w:tc>
        <w:tc>
          <w:tcPr>
            <w:tcW w:w="7290" w:type="dxa"/>
            <w:tcBorders>
              <w:left w:val="single" w:color="auto" w:sz="4" w:space="0"/>
            </w:tcBorders>
            <w:vAlign w:val="center"/>
          </w:tcPr>
          <w:p>
            <w:pPr>
              <w:spacing w:line="360" w:lineRule="auto"/>
              <w:ind w:left="714" w:leftChars="1" w:hanging="712" w:hangingChars="297"/>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开标时间：2020年</w:t>
            </w:r>
            <w:r>
              <w:rPr>
                <w:rFonts w:hint="eastAsia" w:ascii="宋体" w:hAnsi="宋体"/>
                <w:bCs/>
                <w:color w:val="000000" w:themeColor="text1"/>
                <w:sz w:val="24"/>
                <w:highlight w:val="none"/>
                <w:lang w:val="en-US" w:eastAsia="zh-CN"/>
                <w14:textFill>
                  <w14:solidFill>
                    <w14:schemeClr w14:val="tx1"/>
                  </w14:solidFill>
                </w14:textFill>
              </w:rPr>
              <w:t>02</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lang w:val="en-US" w:eastAsia="zh-CN"/>
                <w14:textFill>
                  <w14:solidFill>
                    <w14:schemeClr w14:val="tx1"/>
                  </w14:solidFill>
                </w14:textFill>
              </w:rPr>
              <w:t>25</w:t>
            </w:r>
            <w:r>
              <w:rPr>
                <w:rFonts w:hint="eastAsia" w:ascii="宋体" w:hAnsi="宋体"/>
                <w:bCs/>
                <w:color w:val="000000" w:themeColor="text1"/>
                <w:sz w:val="24"/>
                <w:highlight w:val="none"/>
                <w14:textFill>
                  <w14:solidFill>
                    <w14:schemeClr w14:val="tx1"/>
                  </w14:solidFill>
                </w14:textFill>
              </w:rPr>
              <w:t>日11:</w:t>
            </w:r>
            <w:r>
              <w:rPr>
                <w:rFonts w:hint="eastAsia" w:ascii="宋体" w:hAnsi="宋体"/>
                <w:bCs/>
                <w:color w:val="000000" w:themeColor="text1"/>
                <w:sz w:val="24"/>
                <w:highlight w:val="none"/>
                <w:lang w:val="en-US" w:eastAsia="zh-CN"/>
                <w14:textFill>
                  <w14:solidFill>
                    <w14:schemeClr w14:val="tx1"/>
                  </w14:solidFill>
                </w14:textFill>
              </w:rPr>
              <w:t>00</w:t>
            </w:r>
            <w:r>
              <w:rPr>
                <w:rFonts w:hint="eastAsia" w:ascii="宋体" w:hAnsi="宋体"/>
                <w:bCs/>
                <w:color w:val="000000" w:themeColor="text1"/>
                <w:sz w:val="24"/>
                <w:highlight w:val="none"/>
                <w14:textFill>
                  <w14:solidFill>
                    <w14:schemeClr w14:val="tx1"/>
                  </w14:solidFill>
                </w14:textFill>
              </w:rPr>
              <w:t>（北京时间）</w:t>
            </w:r>
          </w:p>
          <w:p>
            <w:pPr>
              <w:spacing w:line="360" w:lineRule="auto"/>
              <w:ind w:left="714" w:leftChars="1" w:hanging="712" w:hangingChars="297"/>
              <w:jc w:val="left"/>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开标地点：皮山县政府投资交易中心四楼开标二室（新城区东经二路南端</w:t>
            </w:r>
            <w:r>
              <w:rPr>
                <w:rFonts w:hint="eastAsia" w:ascii="宋体" w:hAnsi="宋体"/>
                <w:bCs/>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7</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关于操作说明</w:t>
            </w:r>
          </w:p>
        </w:tc>
        <w:tc>
          <w:tcPr>
            <w:tcW w:w="7290"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投标单位所提供关于产品的操作说明如果是英文必须附翻译后中文</w:t>
            </w:r>
          </w:p>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trPr>
        <w:tc>
          <w:tcPr>
            <w:tcW w:w="823" w:type="dxa"/>
            <w:tcBorders>
              <w:bottom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8</w:t>
            </w:r>
          </w:p>
        </w:tc>
        <w:tc>
          <w:tcPr>
            <w:tcW w:w="1497" w:type="dxa"/>
            <w:tcBorders>
              <w:bottom w:val="single" w:color="auto" w:sz="4" w:space="0"/>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关于运距补充说明</w:t>
            </w:r>
          </w:p>
        </w:tc>
        <w:tc>
          <w:tcPr>
            <w:tcW w:w="7290" w:type="dxa"/>
            <w:tcBorders>
              <w:left w:val="single" w:color="auto" w:sz="4" w:space="0"/>
              <w:bottom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trPr>
        <w:tc>
          <w:tcPr>
            <w:tcW w:w="823" w:type="dxa"/>
            <w:tcBorders>
              <w:top w:val="single" w:color="auto" w:sz="4" w:space="0"/>
            </w:tcBorders>
            <w:vAlign w:val="center"/>
          </w:tcPr>
          <w:p>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w:t>
            </w:r>
          </w:p>
        </w:tc>
        <w:tc>
          <w:tcPr>
            <w:tcW w:w="1497" w:type="dxa"/>
            <w:tcBorders>
              <w:top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履约保证金</w:t>
            </w:r>
          </w:p>
        </w:tc>
        <w:tc>
          <w:tcPr>
            <w:tcW w:w="7290" w:type="dxa"/>
            <w:tcBorders>
              <w:top w:val="single" w:color="auto" w:sz="4" w:space="0"/>
              <w:left w:val="single" w:color="auto" w:sz="4" w:space="0"/>
            </w:tcBorders>
            <w:vAlign w:val="center"/>
          </w:tcPr>
          <w:p>
            <w:pPr>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8" w:hRule="atLeast"/>
        </w:trPr>
        <w:tc>
          <w:tcPr>
            <w:tcW w:w="823" w:type="dxa"/>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其他说明</w:t>
            </w:r>
          </w:p>
        </w:tc>
        <w:tc>
          <w:tcPr>
            <w:tcW w:w="7290" w:type="dxa"/>
            <w:tcBorders>
              <w:left w:val="single" w:color="auto" w:sz="4" w:space="0"/>
            </w:tcBorders>
            <w:vAlign w:val="center"/>
          </w:tcPr>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特别提醒：</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1、所有投标人的报价高于采购预算额度视为无效报价（即作否决投</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标处理）。</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2、所有投标人的报价明显低于其他投标报价或者在设有标底时明显</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低于标底，使得其投标报价可能低于其个别成本的，应当要求该投标</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人作出书面说明并提供相应证明材料。投标人不能合理或者不能提供</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相应证明材料的，由评标委员会认定该投标人以低于成本报价竞标，</w:t>
            </w:r>
          </w:p>
          <w:p>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0" w:type="dxa"/>
            <w:gridSpan w:val="3"/>
            <w:tcBorders>
              <w:bottom w:val="single" w:color="auto" w:sz="12" w:space="0"/>
            </w:tcBorders>
          </w:tcPr>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投标人应保证在本项目使用的任何产品和服务（包括部分使用）时，不会产生因第三方提</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出侵犯其专利权、商标权或其它知识产权而引起的法律和经济纠纷，如因专利权、商标权</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或其它知识产权而引起法律和经济纠纷，由投标人承担所有相关责任的同时不得耽误本项</w:t>
            </w:r>
          </w:p>
          <w:p>
            <w:pPr>
              <w:spacing w:line="360" w:lineRule="auto"/>
              <w:ind w:left="718" w:leftChars="1" w:hanging="716" w:hangingChars="29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目供货。</w:t>
            </w:r>
          </w:p>
        </w:tc>
      </w:tr>
    </w:tbl>
    <w:p>
      <w:pPr>
        <w:spacing w:line="44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备注：</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、本须知前附表的条款号是与后面招标文件的内容相对应，如有矛盾，应以投标须知前附表为准。</w:t>
      </w: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ascii="宋体" w:hAnsi="宋体"/>
          <w:b/>
          <w:color w:val="000000" w:themeColor="text1"/>
          <w:sz w:val="24"/>
          <w:highlight w:val="none"/>
          <w14:textFill>
            <w14:solidFill>
              <w14:schemeClr w14:val="tx1"/>
            </w14:solidFill>
          </w14:textFill>
        </w:rPr>
      </w:pPr>
    </w:p>
    <w:p>
      <w:pPr>
        <w:spacing w:line="360" w:lineRule="auto"/>
        <w:jc w:val="center"/>
        <w:rPr>
          <w:rFonts w:ascii="宋体" w:hAnsi="宋体"/>
          <w:b/>
          <w:color w:val="000000" w:themeColor="text1"/>
          <w:sz w:val="24"/>
          <w:highlight w:val="none"/>
          <w14:textFill>
            <w14:solidFill>
              <w14:schemeClr w14:val="tx1"/>
            </w14:solidFill>
          </w14:textFill>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A   </w:t>
      </w:r>
      <w:r>
        <w:rPr>
          <w:rFonts w:hint="eastAsia" w:ascii="宋体" w:hAnsi="宋体"/>
          <w:b/>
          <w:color w:val="000000" w:themeColor="text1"/>
          <w:sz w:val="24"/>
          <w:highlight w:val="none"/>
          <w14:textFill>
            <w14:solidFill>
              <w14:schemeClr w14:val="tx1"/>
            </w14:solidFill>
          </w14:textFill>
        </w:rPr>
        <w:t>说明及注意事项</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适用范围</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本招标文件仅适用于本招标公告中所述的招标项目。</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定义</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“招标人”系指皮山县林业和草原局</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“投标人”系指向招标人提交投标文件的制造商或供应商；</w:t>
      </w:r>
    </w:p>
    <w:p>
      <w:pPr>
        <w:spacing w:line="360" w:lineRule="auto"/>
        <w:ind w:left="714" w:leftChars="1" w:hanging="712" w:hangingChars="297"/>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“采购人”系指实际购买使用标的物的单位即皮山县林业和草原局</w:t>
      </w:r>
    </w:p>
    <w:p>
      <w:pPr>
        <w:spacing w:line="360" w:lineRule="auto"/>
        <w:ind w:left="714" w:leftChars="1" w:hanging="712" w:hangingChars="297"/>
        <w:jc w:val="left"/>
        <w:rPr>
          <w:rFonts w:asci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   </w:t>
      </w:r>
      <w:r>
        <w:rPr>
          <w:rFonts w:hint="eastAsia" w:ascii="宋体" w:hAnsi="宋体"/>
          <w:color w:val="000000" w:themeColor="text1"/>
          <w:sz w:val="24"/>
          <w:highlight w:val="none"/>
          <w14:textFill>
            <w14:solidFill>
              <w14:schemeClr w14:val="tx1"/>
            </w14:solidFill>
          </w14:textFill>
        </w:rPr>
        <w:t>“采购项目”</w:t>
      </w:r>
      <w:r>
        <w:rPr>
          <w:rFonts w:hint="eastAsia" w:ascii="宋体" w:hAnsi="宋体"/>
          <w:color w:val="000000" w:themeColor="text1"/>
          <w:spacing w:val="-18"/>
          <w:sz w:val="24"/>
          <w:highlight w:val="none"/>
          <w14:textFill>
            <w14:solidFill>
              <w14:schemeClr w14:val="tx1"/>
            </w14:solidFill>
          </w14:textFill>
        </w:rPr>
        <w:t>“皮山县葡萄基地建设项目—（水泥桩、架设镀锌铁丝）第</w:t>
      </w:r>
      <w:r>
        <w:rPr>
          <w:rFonts w:hint="eastAsia" w:ascii="宋体" w:hAnsi="宋体"/>
          <w:color w:val="000000" w:themeColor="text1"/>
          <w:spacing w:val="-18"/>
          <w:sz w:val="24"/>
          <w:highlight w:val="none"/>
          <w:lang w:val="en-US" w:eastAsia="zh-CN"/>
          <w14:textFill>
            <w14:solidFill>
              <w14:schemeClr w14:val="tx1"/>
            </w14:solidFill>
          </w14:textFill>
        </w:rPr>
        <w:t>二</w:t>
      </w:r>
      <w:r>
        <w:rPr>
          <w:rFonts w:hint="eastAsia" w:ascii="宋体" w:hAnsi="宋体"/>
          <w:color w:val="000000" w:themeColor="text1"/>
          <w:spacing w:val="-18"/>
          <w:sz w:val="24"/>
          <w:highlight w:val="none"/>
          <w14:textFill>
            <w14:solidFill>
              <w14:schemeClr w14:val="tx1"/>
            </w14:solidFill>
          </w14:textFill>
        </w:rPr>
        <w:t xml:space="preserve">标段 </w:t>
      </w:r>
      <w:r>
        <w:rPr>
          <w:rFonts w:hint="eastAsia" w:ascii="宋体" w:hAnsi="宋体" w:cs="宋体"/>
          <w:bCs/>
          <w:color w:val="000000" w:themeColor="text1"/>
          <w:kern w:val="0"/>
          <w:sz w:val="24"/>
          <w:highlight w:val="none"/>
          <w14:textFill>
            <w14:solidFill>
              <w14:schemeClr w14:val="tx1"/>
            </w14:solidFill>
          </w14:textFill>
        </w:rPr>
        <w:t>”</w:t>
      </w:r>
    </w:p>
    <w:p>
      <w:pPr>
        <w:spacing w:line="360" w:lineRule="auto"/>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“服务”系指招标文件规定投标人须承担的运输、技术服务、售后服务和其它类似的义务。</w:t>
      </w:r>
    </w:p>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2.6   </w:t>
      </w:r>
      <w:r>
        <w:rPr>
          <w:rFonts w:hint="eastAsia" w:ascii="宋体" w:hAnsi="宋体"/>
          <w:bCs/>
          <w:color w:val="000000" w:themeColor="text1"/>
          <w:sz w:val="24"/>
          <w:szCs w:val="20"/>
          <w:highlight w:val="none"/>
          <w14:textFill>
            <w14:solidFill>
              <w14:schemeClr w14:val="tx1"/>
            </w14:solidFill>
          </w14:textFill>
        </w:rPr>
        <w:t>投标人需在合同签订后在合同约定期限内将所有货物送至招标人指定地点。</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合格的投标人</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具有独立法人资格，且有独立承担民事责任的能力，有相关的经营范围。</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承诺履行中华人民共和国政府采购有关规定；</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具有履行合同的能力和良好的履行合同的记录，及履行合同所必需的设备和专业技术能力</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良好的资金、财务状况健全的财务会计制度</w:t>
      </w:r>
    </w:p>
    <w:p>
      <w:pPr>
        <w:spacing w:line="360" w:lineRule="auto"/>
        <w:ind w:left="691" w:leftChars="1" w:hanging="689" w:hangingChars="297"/>
        <w:rPr>
          <w:rFonts w:ascii="宋体"/>
          <w:color w:val="000000" w:themeColor="text1"/>
          <w:spacing w:val="-4"/>
          <w:sz w:val="24"/>
          <w:highlight w:val="none"/>
          <w14:textFill>
            <w14:solidFill>
              <w14:schemeClr w14:val="tx1"/>
            </w14:solidFill>
          </w14:textFill>
        </w:rPr>
      </w:pPr>
      <w:r>
        <w:rPr>
          <w:rFonts w:ascii="宋体" w:hAnsi="宋体"/>
          <w:color w:val="000000" w:themeColor="text1"/>
          <w:spacing w:val="-4"/>
          <w:sz w:val="24"/>
          <w:highlight w:val="none"/>
          <w14:textFill>
            <w14:solidFill>
              <w14:schemeClr w14:val="tx1"/>
            </w14:solidFill>
          </w14:textFill>
        </w:rPr>
        <w:t>3.6</w:t>
      </w:r>
      <w:r>
        <w:rPr>
          <w:rFonts w:ascii="宋体" w:hAnsi="宋体"/>
          <w:color w:val="000000" w:themeColor="text1"/>
          <w:spacing w:val="-4"/>
          <w:sz w:val="24"/>
          <w:highlight w:val="none"/>
          <w14:textFill>
            <w14:solidFill>
              <w14:schemeClr w14:val="tx1"/>
            </w14:solidFill>
          </w14:textFill>
        </w:rPr>
        <w:tab/>
      </w:r>
      <w:r>
        <w:rPr>
          <w:rFonts w:hint="eastAsia" w:ascii="宋体" w:hAnsi="宋体"/>
          <w:color w:val="000000" w:themeColor="text1"/>
          <w:spacing w:val="-4"/>
          <w:sz w:val="24"/>
          <w:highlight w:val="none"/>
          <w14:textFill>
            <w14:solidFill>
              <w14:schemeClr w14:val="tx1"/>
            </w14:solidFill>
          </w14:textFill>
        </w:rPr>
        <w:t>生产或销售的产品符合中国政府规定的相应技术标准和环保标准；</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3.7</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参加政府采购活动近三年内，在经营活动中没有重大违法记录。</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3.8</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满足本招标文件规定的要求。</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财政部及省级人民政府规定的其它条件。</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制造商出具的有效授权委托书。</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4.</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联合体投标</w:t>
      </w:r>
    </w:p>
    <w:p>
      <w:pPr>
        <w:spacing w:line="360" w:lineRule="auto"/>
        <w:ind w:left="718" w:leftChars="1" w:hanging="716" w:hangingChars="297"/>
        <w:rPr>
          <w:rFonts w:ascii="宋体" w:cs="Arial Unicode MS"/>
          <w:color w:val="000000" w:themeColor="text1"/>
          <w:sz w:val="24"/>
          <w:highlight w:val="none"/>
          <w14:textFill>
            <w14:solidFill>
              <w14:schemeClr w14:val="tx1"/>
            </w14:solidFill>
          </w14:textFill>
        </w:rPr>
      </w:pPr>
      <w:r>
        <w:rPr>
          <w:rFonts w:hint="eastAsia" w:ascii="宋体" w:hAnsi="宋体" w:cs="Arial Unicode MS"/>
          <w:b/>
          <w:color w:val="000000" w:themeColor="text1"/>
          <w:sz w:val="24"/>
          <w:highlight w:val="none"/>
          <w14:textFill>
            <w14:solidFill>
              <w14:schemeClr w14:val="tx1"/>
            </w14:solidFill>
          </w14:textFill>
        </w:rPr>
        <w:t>本项目不接受联合投标体。</w:t>
      </w:r>
    </w:p>
    <w:p>
      <w:pPr>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投标保证金</w:t>
      </w:r>
    </w:p>
    <w:p>
      <w:pPr>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投标保证金的形式：转账</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投标保证金的金额：</w:t>
      </w:r>
      <w:r>
        <w:rPr>
          <w:rFonts w:hint="eastAsia" w:ascii="宋体" w:hAnsi="宋体"/>
          <w:color w:val="000000" w:themeColor="text1"/>
          <w:sz w:val="24"/>
          <w:highlight w:val="none"/>
          <w:lang w:val="en-US" w:eastAsia="zh-CN"/>
          <w14:textFill>
            <w14:solidFill>
              <w14:schemeClr w14:val="tx1"/>
            </w14:solidFill>
          </w14:textFill>
        </w:rPr>
        <w:t>100</w:t>
      </w:r>
      <w:r>
        <w:rPr>
          <w:rFonts w:hint="eastAsia" w:ascii="宋体" w:hAnsi="宋体"/>
          <w:color w:val="000000" w:themeColor="text1"/>
          <w:sz w:val="24"/>
          <w:highlight w:val="none"/>
          <w14:textFill>
            <w14:solidFill>
              <w14:schemeClr w14:val="tx1"/>
            </w14:solidFill>
          </w14:textFill>
        </w:rPr>
        <w:t>000.00元整（大写：</w:t>
      </w:r>
      <w:r>
        <w:rPr>
          <w:rFonts w:hint="eastAsia" w:ascii="宋体" w:hAnsi="宋体"/>
          <w:color w:val="000000" w:themeColor="text1"/>
          <w:sz w:val="24"/>
          <w:highlight w:val="none"/>
          <w:lang w:val="en-US" w:eastAsia="zh-CN"/>
          <w14:textFill>
            <w14:solidFill>
              <w14:schemeClr w14:val="tx1"/>
            </w14:solidFill>
          </w14:textFill>
        </w:rPr>
        <w:t>壹拾</w:t>
      </w:r>
      <w:r>
        <w:rPr>
          <w:rFonts w:hint="eastAsia" w:ascii="宋体" w:hAnsi="宋体"/>
          <w:color w:val="000000" w:themeColor="text1"/>
          <w:sz w:val="24"/>
          <w:highlight w:val="none"/>
          <w14:textFill>
            <w14:solidFill>
              <w14:schemeClr w14:val="tx1"/>
            </w14:solidFill>
          </w14:textFill>
        </w:rPr>
        <w:t>万元整）</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投标保证金缴纳账户：</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账户名称：皮山县政府投资交易中心</w:t>
      </w:r>
    </w:p>
    <w:p>
      <w:pPr>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w:t>
      </w:r>
      <w:r>
        <w:rPr>
          <w:rFonts w:hint="eastAsia" w:ascii="宋体"/>
          <w:bCs/>
          <w:color w:val="000000" w:themeColor="text1"/>
          <w:sz w:val="24"/>
          <w:highlight w:val="none"/>
          <w14:textFill>
            <w14:solidFill>
              <w14:schemeClr w14:val="tx1"/>
            </w14:solidFill>
          </w14:textFill>
        </w:rPr>
        <w:t>8780 1001 2010 1010 11990</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行号：402896400017</w:t>
      </w:r>
    </w:p>
    <w:p>
      <w:pPr>
        <w:spacing w:line="360" w:lineRule="auto"/>
        <w:ind w:left="720" w:leftChars="343" w:firstLine="4" w:firstLineChars="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开户银行：新疆皮山县农村信用合作联社</w:t>
      </w:r>
    </w:p>
    <w:p>
      <w:pPr>
        <w:spacing w:line="360" w:lineRule="auto"/>
        <w:ind w:left="720" w:leftChars="343" w:firstLine="4" w:firstLineChars="2"/>
        <w:rPr>
          <w:rFonts w:ascii="宋体" w:hAnsi="宋体"/>
          <w:color w:val="FF0000"/>
          <w:sz w:val="24"/>
          <w:highlight w:val="yellow"/>
        </w:rPr>
      </w:pPr>
      <w:r>
        <w:rPr>
          <w:rFonts w:hint="eastAsia" w:ascii="宋体" w:hAnsi="宋体"/>
          <w:color w:val="000000" w:themeColor="text1"/>
          <w:sz w:val="24"/>
          <w:highlight w:val="none"/>
          <w14:textFill>
            <w14:solidFill>
              <w14:schemeClr w14:val="tx1"/>
            </w14:solidFill>
          </w14:textFill>
        </w:rPr>
        <w:t>注：投标保证金在下载招标文件后的第二日，由投标单位的基本账户转至皮山县政府采购办指定账户，保证金到账截至时间为2020年</w:t>
      </w:r>
      <w:r>
        <w:rPr>
          <w:rFonts w:hint="eastAsia" w:ascii="宋体" w:hAnsi="宋体"/>
          <w:color w:val="000000" w:themeColor="text1"/>
          <w:sz w:val="24"/>
          <w:highlight w:val="none"/>
          <w:lang w:val="en-US" w:eastAsia="zh-CN"/>
          <w14:textFill>
            <w14:solidFill>
              <w14:schemeClr w14:val="tx1"/>
            </w14:solidFill>
          </w14:textFill>
        </w:rPr>
        <w:t>02</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日北京时间</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：00之前。</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5.2</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招标人不接受非银行款项以外的有价证券抵押、货物抵押、存单抵押、往来款项抵押等形式作为投标保证金；</w:t>
      </w:r>
      <w:r>
        <w:rPr>
          <w:rFonts w:ascii="宋体" w:hAnsi="宋体"/>
          <w:color w:val="000000" w:themeColor="text1"/>
          <w:sz w:val="24"/>
          <w14:textFill>
            <w14:solidFill>
              <w14:schemeClr w14:val="tx1"/>
            </w14:solidFill>
          </w14:textFill>
        </w:rPr>
        <w:t xml:space="preserve"> </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3</w:t>
      </w:r>
      <w:r>
        <w:rPr>
          <w:rFonts w:asci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中标人的投标保证金，在签订采购合同后，7个工作日内无息退还。</w:t>
      </w:r>
    </w:p>
    <w:p>
      <w:pPr>
        <w:spacing w:line="360" w:lineRule="auto"/>
        <w:ind w:left="718" w:leftChars="1" w:hanging="716" w:hangingChars="297"/>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6</w:t>
      </w:r>
      <w:r>
        <w:rPr>
          <w:rFonts w:hint="eastAsia" w:ascii="宋体" w:hAnsi="宋体"/>
          <w:b/>
          <w:bCs/>
          <w:color w:val="000000" w:themeColor="text1"/>
          <w:sz w:val="24"/>
          <w14:textFill>
            <w14:solidFill>
              <w14:schemeClr w14:val="tx1"/>
            </w14:solidFill>
          </w14:textFill>
        </w:rPr>
        <w:t>．</w:t>
      </w:r>
      <w:r>
        <w:rPr>
          <w:rFonts w:ascii="宋体"/>
          <w:b/>
          <w:bCs/>
          <w:color w:val="000000" w:themeColor="text1"/>
          <w:sz w:val="24"/>
          <w14:textFill>
            <w14:solidFill>
              <w14:schemeClr w14:val="tx1"/>
            </w14:solidFill>
          </w14:textFill>
        </w:rPr>
        <w:tab/>
      </w:r>
      <w:r>
        <w:rPr>
          <w:rFonts w:hint="eastAsia" w:ascii="宋体" w:hAnsi="宋体"/>
          <w:b/>
          <w:bCs/>
          <w:color w:val="000000" w:themeColor="text1"/>
          <w:sz w:val="24"/>
          <w14:textFill>
            <w14:solidFill>
              <w14:schemeClr w14:val="tx1"/>
            </w14:solidFill>
          </w14:textFill>
        </w:rPr>
        <w:t>投标有效期</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从投标截止起，投标报价的有效期为30天；</w:t>
      </w:r>
    </w:p>
    <w:p>
      <w:pPr>
        <w:spacing w:line="360" w:lineRule="auto"/>
        <w:ind w:left="714" w:leftChars="1" w:hanging="712" w:hangingChars="297"/>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7</w:t>
      </w:r>
      <w:r>
        <w:rPr>
          <w:rFonts w:hint="eastAsia" w:ascii="宋体" w:hAnsi="宋体"/>
          <w:b/>
          <w:bCs/>
          <w:color w:val="000000" w:themeColor="text1"/>
          <w:sz w:val="24"/>
          <w14:textFill>
            <w14:solidFill>
              <w14:schemeClr w14:val="tx1"/>
            </w14:solidFill>
          </w14:textFill>
        </w:rPr>
        <w:t>．</w:t>
      </w:r>
      <w:r>
        <w:rPr>
          <w:rFonts w:ascii="宋体"/>
          <w:b/>
          <w:bCs/>
          <w:color w:val="000000" w:themeColor="text1"/>
          <w:sz w:val="24"/>
          <w14:textFill>
            <w14:solidFill>
              <w14:schemeClr w14:val="tx1"/>
            </w14:solidFill>
          </w14:textFill>
        </w:rPr>
        <w:tab/>
      </w:r>
      <w:r>
        <w:rPr>
          <w:rFonts w:hint="eastAsia" w:ascii="宋体" w:hAnsi="宋体"/>
          <w:b/>
          <w:bCs/>
          <w:color w:val="000000" w:themeColor="text1"/>
          <w:sz w:val="24"/>
          <w14:textFill>
            <w14:solidFill>
              <w14:schemeClr w14:val="tx1"/>
            </w14:solidFill>
          </w14:textFill>
        </w:rPr>
        <w:t>招标文件的澄清</w:t>
      </w:r>
    </w:p>
    <w:p>
      <w:pPr>
        <w:shd w:val="clear" w:fill="FFFFFF" w:themeFill="background1"/>
        <w:spacing w:line="360" w:lineRule="auto"/>
        <w:ind w:left="714" w:leftChars="1" w:hanging="712" w:hangingChars="297"/>
        <w:rPr>
          <w:rFonts w:ascii="宋体"/>
          <w:b/>
          <w:bCs/>
          <w:color w:val="000000" w:themeColor="text1"/>
          <w:sz w:val="24"/>
          <w:highlight w:val="none"/>
          <w14:textFill>
            <w14:solidFill>
              <w14:schemeClr w14:val="tx1"/>
            </w14:solidFill>
          </w14:textFill>
        </w:rPr>
      </w:pPr>
      <w:r>
        <w:rPr>
          <w:rFonts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澄清是指招标人对招标文</w:t>
      </w:r>
      <w:r>
        <w:rPr>
          <w:rFonts w:hint="eastAsia" w:ascii="宋体" w:hAnsi="宋体"/>
          <w:color w:val="000000" w:themeColor="text1"/>
          <w:sz w:val="24"/>
          <w:highlight w:val="none"/>
          <w14:textFill>
            <w14:solidFill>
              <w14:schemeClr w14:val="tx1"/>
            </w14:solidFill>
          </w14:textFill>
        </w:rPr>
        <w:t>件中的遗漏、词义表述不清或对比较复杂的事项进行说明；</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投标人对招标文件如有疑点，可要求澄清。如对招标文件内容有质疑，投标人应在投标截止10</w:t>
      </w: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前按招标文件中载明的邮箱：</w:t>
      </w:r>
      <w:r>
        <w:rPr>
          <w:rFonts w:hint="eastAsia" w:ascii="宋体" w:hAnsi="宋体"/>
          <w:color w:val="000000" w:themeColor="text1"/>
          <w:sz w:val="24"/>
          <w:highlight w:val="none"/>
          <w:lang w:val="en-US" w:eastAsia="zh-CN"/>
          <w14:textFill>
            <w14:solidFill>
              <w14:schemeClr w14:val="tx1"/>
            </w14:solidFill>
          </w14:textFill>
        </w:rPr>
        <w:t>891327509</w:t>
      </w:r>
      <w:r>
        <w:rPr>
          <w:rFonts w:hint="eastAsia" w:ascii="宋体" w:hAnsi="宋体"/>
          <w:color w:val="000000" w:themeColor="text1"/>
          <w:sz w:val="24"/>
          <w:highlight w:val="none"/>
          <w14:textFill>
            <w14:solidFill>
              <w14:schemeClr w14:val="tx1"/>
            </w14:solidFill>
          </w14:textFill>
        </w:rPr>
        <w:t>@qq.com地址，以书面形式通知招标人。招标人认为必要时，将（澄清）修改后的公告发布在新疆政府采购网，敬请投标企业及时关注。</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招标文件的修改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在投标截止前，招标人可主动地或在解答投标人提出的澄清问题时对招标文件进行修改；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pacing w:val="-4"/>
          <w:sz w:val="24"/>
          <w:highlight w:val="none"/>
          <w14:textFill>
            <w14:solidFill>
              <w14:schemeClr w14:val="tx1"/>
            </w14:solidFill>
          </w14:textFill>
        </w:rPr>
        <w:t>招标文件的修改内容称为修改文件，是招标文件的组成部分。如有修改文件，招标人应当在提交投标文件截止时间十五日前，在新疆政府采购网</w:t>
      </w:r>
      <w:r>
        <w:rPr>
          <w:rFonts w:hint="eastAsia" w:ascii="宋体" w:hAnsi="宋体"/>
          <w:color w:val="000000" w:themeColor="text1"/>
          <w:spacing w:val="-4"/>
          <w:sz w:val="24"/>
          <w:highlight w:val="none"/>
          <w:lang w:eastAsia="zh-CN"/>
          <w14:textFill>
            <w14:solidFill>
              <w14:schemeClr w14:val="tx1"/>
            </w14:solidFill>
          </w14:textFill>
        </w:rPr>
        <w:t>上</w:t>
      </w:r>
      <w:r>
        <w:rPr>
          <w:rFonts w:hint="eastAsia" w:ascii="宋体" w:hAnsi="宋体"/>
          <w:color w:val="000000" w:themeColor="text1"/>
          <w:spacing w:val="-4"/>
          <w:sz w:val="24"/>
          <w:highlight w:val="none"/>
          <w14:textFill>
            <w14:solidFill>
              <w14:schemeClr w14:val="tx1"/>
            </w14:solidFill>
          </w14:textFill>
        </w:rPr>
        <w:t>发布媒体上发布更正公告，并以书面形式（包括信函、传真）告知所有招标文件的收受人。投标人则应以传真、信函等书面形式确认已收到修改文件；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为使投标人有充分时间对招标文件进行研究，招标人可酌情延长投标截止日期，但至少应当在提交投标文件的截止时间三日前，将变更时间书面通知所有招标文件收受人，并在新疆政府采购网</w:t>
      </w:r>
      <w:r>
        <w:rPr>
          <w:rFonts w:hint="eastAsia" w:ascii="宋体" w:hAnsi="宋体"/>
          <w:color w:val="000000" w:themeColor="text1"/>
          <w:sz w:val="24"/>
          <w:highlight w:val="none"/>
          <w:lang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发布变更公告。</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投标费用</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投标人参加投标，无论投标结果如何，投标人自行承担所有与投标有关的全部费用</w:t>
      </w:r>
    </w:p>
    <w:p>
      <w:pPr>
        <w:shd w:val="clear" w:fill="FFFFFF" w:themeFill="background1"/>
        <w:spacing w:line="360" w:lineRule="auto"/>
        <w:rPr>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9.2   </w:t>
      </w:r>
      <w:r>
        <w:rPr>
          <w:rFonts w:hint="eastAsia" w:ascii="宋体" w:hAnsi="宋体"/>
          <w:color w:val="000000" w:themeColor="text1"/>
          <w:sz w:val="24"/>
          <w:highlight w:val="none"/>
          <w14:textFill>
            <w14:solidFill>
              <w14:schemeClr w14:val="tx1"/>
            </w14:solidFill>
          </w14:textFill>
        </w:rPr>
        <w:t>本项目招标文件</w:t>
      </w:r>
      <w:r>
        <w:rPr>
          <w:rFonts w:hint="eastAsia"/>
          <w:color w:val="000000" w:themeColor="text1"/>
          <w:sz w:val="24"/>
          <w:highlight w:val="none"/>
          <w14:textFill>
            <w14:solidFill>
              <w14:schemeClr w14:val="tx1"/>
            </w14:solidFill>
          </w14:textFill>
        </w:rPr>
        <w:t>每份售价人民币</w:t>
      </w:r>
      <w:r>
        <w:rPr>
          <w:color w:val="000000" w:themeColor="text1"/>
          <w:sz w:val="24"/>
          <w:highlight w:val="none"/>
          <w14:textFill>
            <w14:solidFill>
              <w14:schemeClr w14:val="tx1"/>
            </w14:solidFill>
          </w14:textFill>
        </w:rPr>
        <w:t>200.00</w:t>
      </w:r>
      <w:r>
        <w:rPr>
          <w:rFonts w:hint="eastAsia"/>
          <w:color w:val="000000" w:themeColor="text1"/>
          <w:sz w:val="24"/>
          <w:highlight w:val="none"/>
          <w14:textFill>
            <w14:solidFill>
              <w14:schemeClr w14:val="tx1"/>
            </w14:solidFill>
          </w14:textFill>
        </w:rPr>
        <w:t>元/份 （贰佰元整）（开标现场缴纳招标文件费）。</w:t>
      </w:r>
    </w:p>
    <w:p>
      <w:pPr>
        <w:shd w:val="clear" w:fill="FFFFFF" w:themeFill="background1"/>
        <w:spacing w:line="360" w:lineRule="auto"/>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9.3  </w:t>
      </w:r>
      <w:r>
        <w:rPr>
          <w:rFonts w:hint="eastAsia" w:ascii="宋体" w:hAnsi="宋体"/>
          <w:color w:val="000000" w:themeColor="text1"/>
          <w:sz w:val="24"/>
          <w:highlight w:val="none"/>
          <w14:textFill>
            <w14:solidFill>
              <w14:schemeClr w14:val="tx1"/>
            </w14:solidFill>
          </w14:textFill>
        </w:rPr>
        <w:t>本项目招标代理费与采购人签订合同约定。</w:t>
      </w:r>
    </w:p>
    <w:p>
      <w:pPr>
        <w:shd w:val="clear" w:fill="FFFFFF" w:themeFill="background1"/>
        <w:spacing w:line="360" w:lineRule="auto"/>
        <w:ind w:left="482" w:leftChars="1" w:hanging="480" w:hanging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应招标人要求不组织踏勘项目现场。</w:t>
      </w:r>
    </w:p>
    <w:p>
      <w:pPr>
        <w:shd w:val="clear" w:fill="FFFFFF" w:themeFill="background1"/>
        <w:spacing w:line="360" w:lineRule="auto"/>
        <w:ind w:left="484" w:leftChars="1" w:hanging="482" w:hanging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9.</w:t>
      </w:r>
      <w:r>
        <w:rPr>
          <w:rFonts w:hint="eastAsia" w:ascii="宋体" w:hAnsi="宋体"/>
          <w:b/>
          <w:color w:val="000000" w:themeColor="text1"/>
          <w:sz w:val="24"/>
          <w:highlight w:val="none"/>
          <w14:textFill>
            <w14:solidFill>
              <w14:schemeClr w14:val="tx1"/>
            </w14:solidFill>
          </w14:textFill>
        </w:rPr>
        <w:t>5  本项目采购概算价为：</w:t>
      </w:r>
      <w:r>
        <w:rPr>
          <w:rFonts w:hint="eastAsia" w:ascii="宋体" w:hAnsi="宋体"/>
          <w:b/>
          <w:color w:val="000000" w:themeColor="text1"/>
          <w:sz w:val="24"/>
          <w:highlight w:val="none"/>
          <w:lang w:val="en-US" w:eastAsia="zh-CN"/>
          <w14:textFill>
            <w14:solidFill>
              <w14:schemeClr w14:val="tx1"/>
            </w14:solidFill>
          </w14:textFill>
        </w:rPr>
        <w:t>5355000</w:t>
      </w:r>
      <w:r>
        <w:rPr>
          <w:rFonts w:hint="eastAsia" w:ascii="宋体" w:hAnsi="宋体"/>
          <w:b/>
          <w:color w:val="000000" w:themeColor="text1"/>
          <w:sz w:val="24"/>
          <w:highlight w:val="none"/>
          <w14:textFill>
            <w14:solidFill>
              <w14:schemeClr w14:val="tx1"/>
            </w14:solidFill>
          </w14:textFill>
        </w:rPr>
        <w:t>.00元整，投标人投标报价超出此采购概算价做废标处理。</w:t>
      </w:r>
    </w:p>
    <w:p>
      <w:pPr>
        <w:shd w:val="clear" w:fill="FFFFFF" w:themeFill="background1"/>
        <w:spacing w:line="360" w:lineRule="auto"/>
        <w:jc w:val="center"/>
        <w:rPr>
          <w:rFonts w:ascii="宋体" w:hAnsi="宋体"/>
          <w:b/>
          <w:color w:val="000000" w:themeColor="text1"/>
          <w:sz w:val="24"/>
          <w:highlight w:val="none"/>
          <w14:textFill>
            <w14:solidFill>
              <w14:schemeClr w14:val="tx1"/>
            </w14:solidFill>
          </w14:textFill>
        </w:rPr>
      </w:pP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B   </w:t>
      </w:r>
      <w:r>
        <w:rPr>
          <w:rFonts w:hint="eastAsia" w:ascii="宋体" w:hAnsi="宋体"/>
          <w:b/>
          <w:color w:val="000000" w:themeColor="text1"/>
          <w:sz w:val="24"/>
          <w:highlight w:val="none"/>
          <w14:textFill>
            <w14:solidFill>
              <w14:schemeClr w14:val="tx1"/>
            </w14:solidFill>
          </w14:textFill>
        </w:rPr>
        <w:t>投标文件的编写</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一般要求</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投标人应仔细阅读招标文件的所有内容，按招标文件的要求提供投标文件，并保证所提供的全部资料真实有效；</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投标文件的语言文字为中文汉字，外语或少数民族文字，必须译成中文汉字；</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投标文件的书面内容不得有模糊不清、加行、涂抹或改写；</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投标文件采用书面方式，采用电子投标文件，如</w:t>
      </w:r>
      <w:r>
        <w:rPr>
          <w:rFonts w:ascii="宋体" w:hAnsi="宋体"/>
          <w:color w:val="000000" w:themeColor="text1"/>
          <w:sz w:val="24"/>
          <w:highlight w:val="none"/>
          <w14:textFill>
            <w14:solidFill>
              <w14:schemeClr w14:val="tx1"/>
            </w14:solidFill>
          </w14:textFill>
        </w:rPr>
        <w:t>U</w:t>
      </w:r>
      <w:r>
        <w:rPr>
          <w:rFonts w:hint="eastAsia" w:ascii="宋体" w:hAnsi="宋体"/>
          <w:color w:val="000000" w:themeColor="text1"/>
          <w:sz w:val="24"/>
          <w:highlight w:val="none"/>
          <w14:textFill>
            <w14:solidFill>
              <w14:schemeClr w14:val="tx1"/>
            </w14:solidFill>
          </w14:textFill>
        </w:rPr>
        <w:t>盘等形式，须同时提供书面投标文件；使用电话投标一概不予接受。</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投标文件由以下部分构成</w:t>
      </w:r>
    </w:p>
    <w:p>
      <w:pPr>
        <w:shd w:val="clear" w:fill="FFFFFF" w:themeFill="background1"/>
        <w:spacing w:line="360" w:lineRule="auto"/>
        <w:ind w:left="714" w:leftChars="1" w:hanging="712" w:hangingChars="297"/>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法</w:t>
      </w:r>
      <w:r>
        <w:rPr>
          <w:rFonts w:hint="eastAsia" w:ascii="宋体" w:hAnsi="宋体"/>
          <w:color w:val="000000" w:themeColor="text1"/>
          <w:sz w:val="24"/>
          <w:highlight w:val="none"/>
          <w:lang w:val="en-US" w:eastAsia="zh-CN"/>
          <w14:textFill>
            <w14:solidFill>
              <w14:schemeClr w14:val="tx1"/>
            </w14:solidFill>
          </w14:textFill>
        </w:rPr>
        <w:t>定代表</w:t>
      </w:r>
      <w:r>
        <w:rPr>
          <w:rFonts w:hint="eastAsia" w:ascii="宋体" w:hAnsi="宋体"/>
          <w:color w:val="000000" w:themeColor="text1"/>
          <w:sz w:val="24"/>
          <w:highlight w:val="none"/>
          <w14:textFill>
            <w14:solidFill>
              <w14:schemeClr w14:val="tx1"/>
            </w14:solidFill>
          </w14:textFill>
        </w:rPr>
        <w:t>人或正式员工，需提供社保部门出具最少提供近一个月的缴纳社保证明（社保缴费凭证及个人明细表）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被委托人是投标单位的法定代表人的无需提供社保证明</w:t>
      </w:r>
      <w:r>
        <w:rPr>
          <w:rFonts w:hint="eastAsia" w:ascii="宋体" w:hAnsi="宋体"/>
          <w:color w:val="000000" w:themeColor="text1"/>
          <w:sz w:val="24"/>
          <w:highlight w:val="none"/>
          <w14:textFill>
            <w14:solidFill>
              <w14:schemeClr w14:val="tx1"/>
            </w14:solidFill>
          </w14:textFill>
        </w:rPr>
        <w:t>、质量保证书、售后服务承诺书、投标人证明投标资格合格的相关证件证明的复印件、投标人证明货物合格的相关证件证明复印件、投标单位（供应商）反商业贿赂承诺书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经年审计的上年度会计报表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新成立的公司可不提供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以及投标人认为需要加以说明的其他内容等。详见本招标文件第五部分投标文件的内容及格式。签字盖章后</w:t>
      </w:r>
      <w:r>
        <w:rPr>
          <w:rFonts w:hint="eastAsia" w:ascii="宋体" w:hAnsi="宋体"/>
          <w:b/>
          <w:color w:val="000000" w:themeColor="text1"/>
          <w:sz w:val="24"/>
          <w:highlight w:val="none"/>
          <w14:textFill>
            <w14:solidFill>
              <w14:schemeClr w14:val="tx1"/>
            </w14:solidFill>
          </w14:textFill>
        </w:rPr>
        <w:t>，将投标文件采用</w:t>
      </w:r>
      <w:r>
        <w:rPr>
          <w:rFonts w:hint="eastAsia" w:ascii="宋体" w:hAnsi="宋体"/>
          <w:b/>
          <w:color w:val="000000" w:themeColor="text1"/>
          <w:sz w:val="24"/>
          <w:highlight w:val="none"/>
          <w:u w:val="single"/>
          <w14:textFill>
            <w14:solidFill>
              <w14:schemeClr w14:val="tx1"/>
            </w14:solidFill>
          </w14:textFill>
        </w:rPr>
        <w:t>死页胶装方式</w:t>
      </w:r>
      <w:r>
        <w:rPr>
          <w:rFonts w:hint="eastAsia" w:ascii="宋体" w:hAnsi="宋体"/>
          <w:b/>
          <w:color w:val="000000" w:themeColor="text1"/>
          <w:sz w:val="24"/>
          <w:highlight w:val="none"/>
          <w14:textFill>
            <w14:solidFill>
              <w14:schemeClr w14:val="tx1"/>
            </w14:solidFill>
          </w14:textFill>
        </w:rPr>
        <w:t>装订成册</w:t>
      </w:r>
      <w:r>
        <w:rPr>
          <w:rFonts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装订应牢固、不易拆散和换页，不得采用活页装订，否则按无效标处理。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报价</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除招标文件中另有规定外，计量单位为我国法定计量单位；</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投标报价、货款一律使用人民币，以“元”为单位；</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w:t>
      </w:r>
      <w:r>
        <w:rPr>
          <w:rFonts w:ascii="宋体" w:hAnsi="宋体"/>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投标人对每一标的只允许有一个报价，如有优惠折扣等，即在投标承诺书中注明，并做到投标承诺书的总价与投标报价表中的总价一致；</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除非本招标文件约定，对同一标的项目允许提供备选方案而出现二个或以上的报价外，投标人对同一个标的项目有选择的报价，将被拒绝。</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13</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投标文件的签署及规定</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投标人应印制投标文件</w:t>
      </w:r>
      <w:r>
        <w:rPr>
          <w:rFonts w:hint="eastAsia" w:ascii="宋体" w:hAnsi="宋体"/>
          <w:b/>
          <w:color w:val="000000" w:themeColor="text1"/>
          <w:sz w:val="24"/>
          <w:highlight w:val="none"/>
          <w14:textFill>
            <w14:solidFill>
              <w14:schemeClr w14:val="tx1"/>
            </w14:solidFill>
          </w14:textFill>
        </w:rPr>
        <w:t>正本壹份、副本肆份</w:t>
      </w:r>
      <w:r>
        <w:rPr>
          <w:rFonts w:hint="eastAsia" w:ascii="宋体" w:hAnsi="宋体"/>
          <w:color w:val="000000" w:themeColor="text1"/>
          <w:sz w:val="24"/>
          <w:highlight w:val="none"/>
          <w14:textFill>
            <w14:solidFill>
              <w14:schemeClr w14:val="tx1"/>
            </w14:solidFill>
          </w14:textFill>
        </w:rPr>
        <w:t>。每一份投标文件注明“正本”或“副本”字样。若正本与副本有差异，以正本为准。</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投标人如在招标文件提供的格式样本上或格式样本复印件上填写数据和文字作为投标书的，其投标将被拒绝。</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投标文件正本和副本须由投标人法人代表或由法人代表正式授权的投标人代表签字，按规定必须逐页盖章。否则将被视为无效投标。</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C   </w:t>
      </w:r>
      <w:r>
        <w:rPr>
          <w:rFonts w:hint="eastAsia" w:ascii="宋体" w:hAnsi="宋体"/>
          <w:b/>
          <w:color w:val="000000" w:themeColor="text1"/>
          <w:sz w:val="24"/>
          <w:highlight w:val="none"/>
          <w14:textFill>
            <w14:solidFill>
              <w14:schemeClr w14:val="tx1"/>
            </w14:solidFill>
          </w14:textFill>
        </w:rPr>
        <w:t>投标文件的递交</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投标文件的密封和标记</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w:t>
      </w:r>
      <w:r>
        <w:rPr>
          <w:rFonts w:ascii="宋体" w:hAnsi="宋体"/>
          <w:color w:val="000000" w:themeColor="text1"/>
          <w:sz w:val="24"/>
          <w:highlight w:val="none"/>
          <w14:textFill>
            <w14:solidFill>
              <w14:schemeClr w14:val="tx1"/>
            </w14:solidFill>
          </w14:textFill>
        </w:rPr>
        <w:tab/>
      </w:r>
      <w:r>
        <w:rPr>
          <w:rFonts w:asci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投标人应将投标文件</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正本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副本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“各类证件原件及复印件”</w:t>
      </w:r>
      <w:r>
        <w:rPr>
          <w:rFonts w:hint="eastAsia" w:ascii="宋体" w:hAnsi="宋体"/>
          <w:color w:val="000000" w:themeColor="text1"/>
          <w:sz w:val="24"/>
          <w:highlight w:val="none"/>
          <w14:textFill>
            <w14:solidFill>
              <w14:schemeClr w14:val="tx1"/>
            </w14:solidFill>
          </w14:textFill>
        </w:rPr>
        <w:t>分别密封，在密封袋上注明项目名称、单位名称、地址、联系人、联系电话及</w:t>
      </w:r>
      <w:r>
        <w:rPr>
          <w:rFonts w:hint="eastAsia" w:ascii="宋体" w:hAnsi="宋体"/>
          <w:b/>
          <w:color w:val="000000" w:themeColor="text1"/>
          <w:sz w:val="24"/>
          <w:highlight w:val="none"/>
          <w14:textFill>
            <w14:solidFill>
              <w14:schemeClr w14:val="tx1"/>
            </w14:solidFill>
          </w14:textFill>
        </w:rPr>
        <w:t>正本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副本</w:t>
      </w:r>
      <w:r>
        <w:rPr>
          <w:rFonts w:hint="eastAsia" w:asci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w:t>
      </w:r>
      <w:r>
        <w:rPr>
          <w:rFonts w:hint="eastAsia" w:ascii="宋体"/>
          <w:b/>
          <w:color w:val="000000" w:themeColor="text1"/>
          <w:sz w:val="24"/>
          <w:highlight w:val="none"/>
          <w14:textFill>
            <w14:solidFill>
              <w14:schemeClr w14:val="tx1"/>
            </w14:solidFill>
          </w14:textFill>
        </w:rPr>
        <w:t>“各类证件原件及复印件”</w:t>
      </w:r>
      <w:r>
        <w:rPr>
          <w:rFonts w:hint="eastAsia" w:ascii="宋体" w:hAnsi="宋体"/>
          <w:color w:val="000000" w:themeColor="text1"/>
          <w:sz w:val="24"/>
          <w:highlight w:val="none"/>
          <w14:textFill>
            <w14:solidFill>
              <w14:schemeClr w14:val="tx1"/>
            </w14:solidFill>
          </w14:textFill>
        </w:rPr>
        <w:t xml:space="preserve">等字样，密封袋须加盖公章及法人私章或投标专用章及委托代理人私章或签字，并应确保密封完好，加盖骑缝章。                                           </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每一密封袋上注明“</w:t>
      </w:r>
      <w:r>
        <w:rPr>
          <w:rFonts w:hint="eastAsia" w:ascii="宋体" w:hAnsi="宋体"/>
          <w:color w:val="000000" w:themeColor="text1"/>
          <w:sz w:val="24"/>
          <w:highlight w:val="none"/>
          <w:u w:val="single"/>
          <w14:textFill>
            <w14:solidFill>
              <w14:schemeClr w14:val="tx1"/>
            </w14:solidFill>
          </w14:textFill>
        </w:rPr>
        <w:t>2020年</w:t>
      </w:r>
      <w:r>
        <w:rPr>
          <w:rFonts w:hint="eastAsia" w:ascii="宋体" w:hAnsi="宋体"/>
          <w:color w:val="000000" w:themeColor="text1"/>
          <w:sz w:val="24"/>
          <w:highlight w:val="none"/>
          <w:u w:val="single"/>
          <w:lang w:val="en-US" w:eastAsia="zh-CN"/>
          <w14:textFill>
            <w14:solidFill>
              <w14:schemeClr w14:val="tx1"/>
            </w14:solidFill>
          </w14:textFill>
        </w:rPr>
        <w:t>2</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25</w:t>
      </w:r>
      <w:r>
        <w:rPr>
          <w:rFonts w:hint="eastAsia" w:ascii="宋体" w:hAnsi="宋体"/>
          <w:color w:val="000000" w:themeColor="text1"/>
          <w:sz w:val="24"/>
          <w:highlight w:val="none"/>
          <w:u w:val="single"/>
          <w14:textFill>
            <w14:solidFill>
              <w14:schemeClr w14:val="tx1"/>
            </w14:solidFill>
          </w14:textFill>
        </w:rPr>
        <w:t>日 11:</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开标之前不准启封”字样。</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15</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投标文件的递交</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投标文件应派专人在招标文件中规定的截止时间前送达招标人，由招标人工作人员签收保存。逾期送达的或者未送达指定地点的投标文件招标人不予受理。</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任何单位和个人不得在开标前开启投标文件。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16</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投标文件的修改</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投标人递交投标文件后，可以修改投标文件，但必须在规定的投标截止时间前，用书面形式将修改文本送交招标人。修改文本同样用密封袋密封，注明“修改文件”字样，并按第</w:t>
      </w: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条和第</w:t>
      </w:r>
      <w:r>
        <w:rPr>
          <w:rFonts w:ascii="宋体" w:hAnsi="宋体"/>
          <w:color w:val="000000" w:themeColor="text1"/>
          <w:sz w:val="24"/>
          <w:highlight w:val="none"/>
          <w14:textFill>
            <w14:solidFill>
              <w14:schemeClr w14:val="tx1"/>
            </w14:solidFill>
          </w14:textFill>
        </w:rPr>
        <w:t>14.1</w:t>
      </w:r>
      <w:r>
        <w:rPr>
          <w:rFonts w:hint="eastAsia" w:ascii="宋体" w:hAnsi="宋体"/>
          <w:color w:val="000000" w:themeColor="text1"/>
          <w:sz w:val="24"/>
          <w:highlight w:val="none"/>
          <w14:textFill>
            <w14:solidFill>
              <w14:schemeClr w14:val="tx1"/>
            </w14:solidFill>
          </w14:textFill>
        </w:rPr>
        <w:t>条以及第</w:t>
      </w:r>
      <w:r>
        <w:rPr>
          <w:rFonts w:ascii="宋体" w:hAnsi="宋体"/>
          <w:color w:val="000000" w:themeColor="text1"/>
          <w:sz w:val="24"/>
          <w:highlight w:val="none"/>
          <w14:textFill>
            <w14:solidFill>
              <w14:schemeClr w14:val="tx1"/>
            </w14:solidFill>
          </w14:textFill>
        </w:rPr>
        <w:t>14.3</w:t>
      </w:r>
      <w:r>
        <w:rPr>
          <w:rFonts w:hint="eastAsia" w:ascii="宋体" w:hAnsi="宋体"/>
          <w:color w:val="000000" w:themeColor="text1"/>
          <w:sz w:val="24"/>
          <w:highlight w:val="none"/>
          <w14:textFill>
            <w14:solidFill>
              <w14:schemeClr w14:val="tx1"/>
            </w14:solidFill>
          </w14:textFill>
        </w:rPr>
        <w:t>条要求签署盖章。修改文件是投标文件的组成部分。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17</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投标文件的撤回、修改、补充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投标人递交投标文件后，可以撤回、修改、补充投标文件，但必须在投标截止时间之前撤回、修改、补充；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投标人撤回、修改、补充投标文件时，须向招标人出示加盖有单位公章的公函，或由法人代表本人（出示法人代表证明）、法人代表授权人（出示法人代表授权证明）签字；</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投标截止后，开标前投标人不得撤回和修改补充投标文件。开标后的投标文件不得撤回。但开标前，书面形式通知放弃投标的投标文件除外。</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18</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迟到的投标文件</w:t>
      </w:r>
    </w:p>
    <w:p>
      <w:pPr>
        <w:shd w:val="clear" w:fill="FFFFFF" w:themeFill="background1"/>
        <w:spacing w:line="360" w:lineRule="auto"/>
        <w:ind w:left="714" w:leftChars="1" w:hanging="712" w:hangingChars="297"/>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招标人将拒绝接收在投标截止时间后送到的投标文件。</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D   </w:t>
      </w:r>
      <w:r>
        <w:rPr>
          <w:rFonts w:hint="eastAsia" w:ascii="宋体" w:hAnsi="宋体"/>
          <w:b/>
          <w:color w:val="000000" w:themeColor="text1"/>
          <w:sz w:val="24"/>
          <w:highlight w:val="none"/>
          <w14:textFill>
            <w14:solidFill>
              <w14:schemeClr w14:val="tx1"/>
            </w14:solidFill>
          </w14:textFill>
        </w:rPr>
        <w:t>开标和评标</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开标</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招标人按采购公告中规定的时间和地点公开开标。投标人必须由法人代表或法人代表授权人、技术代表</w:t>
      </w:r>
      <w:r>
        <w:rPr>
          <w:rFonts w:ascii="宋体" w:hAnsi="宋体"/>
          <w:color w:val="000000" w:themeColor="text1"/>
          <w:sz w:val="24"/>
          <w:highlight w:val="none"/>
          <w14:textFill>
            <w14:solidFill>
              <w14:schemeClr w14:val="tx1"/>
            </w14:solidFill>
          </w14:textFill>
        </w:rPr>
        <w:t>1</w:t>
      </w:r>
      <w:r>
        <w:rPr>
          <w:rFonts w:asci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名参加开标会。</w:t>
      </w:r>
    </w:p>
    <w:p>
      <w:pPr>
        <w:shd w:val="clear" w:fill="FFFFFF" w:themeFill="background1"/>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19.2  </w:t>
      </w:r>
      <w:r>
        <w:rPr>
          <w:rFonts w:hint="eastAsia" w:ascii="宋体" w:hAnsi="宋体"/>
          <w:color w:val="000000" w:themeColor="text1"/>
          <w:sz w:val="24"/>
          <w:highlight w:val="none"/>
          <w14:textFill>
            <w14:solidFill>
              <w14:schemeClr w14:val="tx1"/>
            </w14:solidFill>
          </w14:textFill>
        </w:rPr>
        <w:t>投标人当众查验投标文件的密封状况，经监委、投标人确认无误后，由</w:t>
      </w:r>
    </w:p>
    <w:p>
      <w:pPr>
        <w:shd w:val="clear" w:fill="FFFFFF" w:themeFill="background1"/>
        <w:spacing w:line="360" w:lineRule="auto"/>
        <w:ind w:left="239" w:leftChars="114"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招标工作人员根据递交标书的正顺序依次当众拆封，宣读投标人名称，</w:t>
      </w:r>
    </w:p>
    <w:p>
      <w:pPr>
        <w:shd w:val="clear" w:fill="FFFFFF" w:themeFill="background1"/>
        <w:spacing w:line="360" w:lineRule="auto"/>
        <w:ind w:left="239" w:leftChars="114"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投标价格、招标文件允许提供的备选投标方案</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如有</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以及投标文件的其他</w:t>
      </w:r>
    </w:p>
    <w:p>
      <w:pPr>
        <w:shd w:val="clear" w:fill="FFFFFF" w:themeFill="background1"/>
        <w:spacing w:line="360" w:lineRule="auto"/>
        <w:ind w:left="239" w:leftChars="114" w:firstLine="480" w:firstLineChars="200"/>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主要内容。</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19.3</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未宣读的投标价格、招标文件允许提供的备选投标方案</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如有的话</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等实质内容，评标时不予承认。</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19.4</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开标时，投标文件的大写金额和小写金额不一致的，以大写金额为准；对不同文字文本投标文件的解释发生异议的，以中文文本为准。</w:t>
      </w:r>
    </w:p>
    <w:p>
      <w:pPr>
        <w:shd w:val="clear" w:fill="FFFFFF" w:themeFill="background1"/>
        <w:spacing w:line="448" w:lineRule="atLeast"/>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19.5</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开标过程由招标人指定专人负责记录，并存档备查。</w:t>
      </w:r>
    </w:p>
    <w:p>
      <w:pPr>
        <w:shd w:val="clear" w:fill="FFFFFF" w:themeFill="background1"/>
        <w:spacing w:line="448" w:lineRule="atLeast"/>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19.6</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开、评标期间，出现符合专业条件的供应商或者对招标文件作出实质响应的供应商不足三家情形的，除采购任务取消情形外，招标人将报财政部门后按照以下原则处理：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（一）招标文件没有不合理条款、招标公告时间及程序符合规定的，同意采取竞争性谈判、询价或者单一来源方式采购；</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（二）招标文件存在不合理条款的，招标公告时间及程序不符合规定的，应予废标，并由招标人依法重新招标。</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19.7</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有下列情形之一的，视为无效投标处理：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（一）应交未交投标保证金的；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（二）未按照招标文件规定要求密封、签署、盖章的；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（三）不具备招标文件中规定资格要求的；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（四）不符合法律、法规和招标文件中规定的其他实质性要求的。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19.8</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有下列情形之一的，作废标处理：</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一</w:t>
      </w:r>
      <w:r>
        <w:rPr>
          <w:rFonts w:ascii="宋体" w:hAnsi="宋体"/>
          <w:color w:val="000000" w:themeColor="text1"/>
          <w:sz w:val="24"/>
          <w:szCs w:val="20"/>
          <w:highlight w:val="non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出现</w:t>
      </w:r>
      <w:r>
        <w:rPr>
          <w:rFonts w:ascii="宋体" w:hAnsi="宋体"/>
          <w:color w:val="000000" w:themeColor="text1"/>
          <w:sz w:val="24"/>
          <w:szCs w:val="20"/>
          <w:highlight w:val="none"/>
          <w14:textFill>
            <w14:solidFill>
              <w14:schemeClr w14:val="tx1"/>
            </w14:solidFill>
          </w14:textFill>
        </w:rPr>
        <w:t>10</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11</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13.3</w:t>
      </w:r>
      <w:r>
        <w:rPr>
          <w:rFonts w:hint="eastAsia" w:ascii="宋体" w:hAnsi="宋体"/>
          <w:color w:val="000000" w:themeColor="text1"/>
          <w:sz w:val="24"/>
          <w:szCs w:val="20"/>
          <w:highlight w:val="none"/>
          <w14:textFill>
            <w14:solidFill>
              <w14:schemeClr w14:val="tx1"/>
            </w14:solidFill>
          </w14:textFill>
        </w:rPr>
        <w:t>条、</w:t>
      </w:r>
      <w:r>
        <w:rPr>
          <w:rFonts w:ascii="宋体" w:hAnsi="宋体"/>
          <w:color w:val="000000" w:themeColor="text1"/>
          <w:sz w:val="24"/>
          <w:szCs w:val="20"/>
          <w:highlight w:val="none"/>
          <w14:textFill>
            <w14:solidFill>
              <w14:schemeClr w14:val="tx1"/>
            </w14:solidFill>
          </w14:textFill>
        </w:rPr>
        <w:t>19.6</w:t>
      </w:r>
      <w:r>
        <w:rPr>
          <w:rFonts w:hint="eastAsia" w:ascii="宋体" w:hAnsi="宋体"/>
          <w:color w:val="000000" w:themeColor="text1"/>
          <w:sz w:val="24"/>
          <w:szCs w:val="20"/>
          <w:highlight w:val="none"/>
          <w14:textFill>
            <w14:solidFill>
              <w14:schemeClr w14:val="tx1"/>
            </w14:solidFill>
          </w14:textFill>
        </w:rPr>
        <w:t>条第</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二</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款情形的；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二</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出现影响采购公正的违法、违规行为的；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三</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投标人的报价均超过了采购预算，采购人不能支付的；</w:t>
      </w:r>
    </w:p>
    <w:p>
      <w:pPr>
        <w:shd w:val="clear" w:fill="FFFFFF" w:themeFill="background1"/>
        <w:spacing w:line="360" w:lineRule="auto"/>
        <w:ind w:left="714" w:leftChars="340"/>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四</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 xml:space="preserve"> 因重大变故，采购任务取消的。</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评标委员会组成及职责</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评标工作由招标人负责组织组成评标委员会。评标委员会由采购人代表和有关技术、经济等方面的专家组成，成员人数应当为</w:t>
      </w:r>
      <w:r>
        <w:rPr>
          <w:rFonts w:hint="eastAsia" w:ascii="宋体" w:hAnsi="宋体"/>
          <w:color w:val="000000" w:themeColor="text1"/>
          <w:sz w:val="24"/>
          <w:szCs w:val="20"/>
          <w:highlight w:val="none"/>
          <w:lang w:val="en-US" w:eastAsia="zh-CN"/>
          <w14:textFill>
            <w14:solidFill>
              <w14:schemeClr w14:val="tx1"/>
            </w14:solidFill>
          </w14:textFill>
        </w:rPr>
        <w:t>七</w:t>
      </w:r>
      <w:r>
        <w:rPr>
          <w:rFonts w:hint="eastAsia" w:ascii="宋体" w:hAnsi="宋体"/>
          <w:color w:val="000000" w:themeColor="text1"/>
          <w:sz w:val="24"/>
          <w:szCs w:val="20"/>
          <w:highlight w:val="none"/>
          <w14:textFill>
            <w14:solidFill>
              <w14:schemeClr w14:val="tx1"/>
            </w14:solidFill>
          </w14:textFill>
        </w:rPr>
        <w:t>人以上（含</w:t>
      </w:r>
      <w:r>
        <w:rPr>
          <w:rFonts w:hint="eastAsia" w:ascii="宋体" w:hAnsi="宋体"/>
          <w:color w:val="000000" w:themeColor="text1"/>
          <w:sz w:val="24"/>
          <w:szCs w:val="20"/>
          <w:highlight w:val="none"/>
          <w:lang w:val="en-US" w:eastAsia="zh-CN"/>
          <w14:textFill>
            <w14:solidFill>
              <w14:schemeClr w14:val="tx1"/>
            </w14:solidFill>
          </w14:textFill>
        </w:rPr>
        <w:t>7</w:t>
      </w:r>
      <w:r>
        <w:rPr>
          <w:rFonts w:hint="eastAsia" w:ascii="宋体" w:hAnsi="宋体"/>
          <w:color w:val="000000" w:themeColor="text1"/>
          <w:sz w:val="24"/>
          <w:szCs w:val="20"/>
          <w:highlight w:val="none"/>
          <w14:textFill>
            <w14:solidFill>
              <w14:schemeClr w14:val="tx1"/>
            </w14:solidFill>
          </w14:textFill>
        </w:rPr>
        <w:t>人）单数。其中，技术、经济等方面的专家不得少于成员总数的三分之二。开标前随机抽取确定，并在招标结果确定前保密。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20.2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评标事务由评标委员会负责，并独立履行下列职责：</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（一）审查投标文件是否符合招标文件要求，并作出评价；</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（二）要求投标人对投标文件有关事项作出解释或者澄清；</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（三）推荐中标候选供应商名单，或者受招标人委托按照事先确定的办法直接确定中标人；</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（四）向招标人或者有关部门报告非法干预评标工作的行为。</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评标委员会履行的义务</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（一）遵纪守法，客观、公正、廉洁地履行职责；</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（二）按照招标文件规定的评标方法和评标标准进行评标，对评审意见承担个人责任；</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（三）对评标过程和结果，以及供应商的商业秘密保密；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（四）参与评标报告的起草；</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（五）配合财政部门的投诉处理工作；</w:t>
      </w:r>
    </w:p>
    <w:p>
      <w:pPr>
        <w:shd w:val="clear" w:fill="FFFFFF" w:themeFill="background1"/>
        <w:spacing w:line="360" w:lineRule="auto"/>
        <w:ind w:left="714" w:leftChars="1" w:hanging="712" w:hangingChars="297"/>
        <w:rPr>
          <w:rFonts w:ascii="宋体"/>
          <w:b/>
          <w:bC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（六）配合招标采购单位答复投标供应商提出的质疑。</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评标工作程序</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评标应当遵循下列工作程序：</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（一）投标文件初审。初审分为资格性检查和响应性检查。</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、资格性检查。依据法律法规和招标文件的规定，对投标人提供的资格证明文件、投标保证金等进行审查，以确定投标人是否具备投标资格</w:t>
      </w:r>
      <w:r>
        <w:rPr>
          <w:rFonts w:hint="eastAsia" w:ascii="宋体" w:hAnsi="宋体"/>
          <w:b/>
          <w:color w:val="000000" w:themeColor="text1"/>
          <w:sz w:val="24"/>
          <w:szCs w:val="20"/>
          <w:highlight w:val="none"/>
          <w14:textFill>
            <w14:solidFill>
              <w14:schemeClr w14:val="tx1"/>
            </w14:solidFill>
          </w14:textFill>
        </w:rPr>
        <w:t>（不接受二次提交证明文件资料）</w:t>
      </w:r>
      <w:r>
        <w:rPr>
          <w:rFonts w:hint="eastAsia" w:ascii="宋体" w:hAnsi="宋体"/>
          <w:color w:val="000000" w:themeColor="text1"/>
          <w:sz w:val="24"/>
          <w:szCs w:val="20"/>
          <w:highlight w:val="none"/>
          <w14:textFill>
            <w14:solidFill>
              <w14:schemeClr w14:val="tx1"/>
            </w14:solidFill>
          </w14:textFill>
        </w:rPr>
        <w:t>。如果确定投标人无资格或无能力履行合同，其投标将被拒绝。</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招标人将拒绝被确定为非实质性响应的投标人。</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（三）比较与评价。按规定的评标方法和标准，对资格性检查和符合性检查合格的投标文件进行商务和技术评估，综合比较与评价。</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（四）推荐中标候选供应商名单。中标候选供应商数量根据采购需要确定，并按顺序排列。</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五</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编写评标报告。评标报告是评标委员会根据全体评标成员签字的原始评标记录和评标结果编写的报告，其主要内容包括：</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、招标公告刊登的媒体名称、开标日期和地点；</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、购买招标文件的投标人名单和评标委员会成员名单；</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3</w:t>
      </w:r>
      <w:r>
        <w:rPr>
          <w:rFonts w:hint="eastAsia" w:ascii="宋体" w:hAnsi="宋体"/>
          <w:color w:val="000000" w:themeColor="text1"/>
          <w:sz w:val="24"/>
          <w:szCs w:val="20"/>
          <w:highlight w:val="none"/>
          <w14:textFill>
            <w14:solidFill>
              <w14:schemeClr w14:val="tx1"/>
            </w14:solidFill>
          </w14:textFill>
        </w:rPr>
        <w:t>、评标方法和标准；</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4</w:t>
      </w:r>
      <w:r>
        <w:rPr>
          <w:rFonts w:hint="eastAsia" w:ascii="宋体" w:hAnsi="宋体"/>
          <w:color w:val="000000" w:themeColor="text1"/>
          <w:sz w:val="24"/>
          <w:szCs w:val="20"/>
          <w:highlight w:val="none"/>
          <w14:textFill>
            <w14:solidFill>
              <w14:schemeClr w14:val="tx1"/>
            </w14:solidFill>
          </w14:textFill>
        </w:rPr>
        <w:t>、开标记录和评标情况及说明，包括投标无效投标人名单及原因；</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、评标结果和中标候选供应商排序表；</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ascii="宋体" w:hAnsi="宋体"/>
          <w:color w:val="000000" w:themeColor="text1"/>
          <w:sz w:val="24"/>
          <w:szCs w:val="20"/>
          <w:highlight w:val="none"/>
          <w14:textFill>
            <w14:solidFill>
              <w14:schemeClr w14:val="tx1"/>
            </w14:solidFill>
          </w14:textFill>
        </w:rPr>
        <w:t>6</w:t>
      </w:r>
      <w:r>
        <w:rPr>
          <w:rFonts w:hint="eastAsia" w:ascii="宋体" w:hAnsi="宋体"/>
          <w:color w:val="000000" w:themeColor="text1"/>
          <w:sz w:val="24"/>
          <w:szCs w:val="20"/>
          <w:highlight w:val="none"/>
          <w14:textFill>
            <w14:solidFill>
              <w14:schemeClr w14:val="tx1"/>
            </w14:solidFill>
          </w14:textFill>
        </w:rPr>
        <w:t>、评标委员会的授标建议。</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在评标中，不得改变已规定的评标标准、方法和中标条件。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评标过程的保密性</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在评标过程中和评标结束后，评委会的研究情况和所有投标人的商业秘密都属于保密内容；</w:t>
      </w:r>
    </w:p>
    <w:p>
      <w:pPr>
        <w:shd w:val="clear" w:fill="FFFFFF" w:themeFill="background1"/>
        <w:spacing w:line="360" w:lineRule="auto"/>
        <w:ind w:left="714" w:leftChars="1" w:hanging="712" w:hangingChars="297"/>
        <w:rPr>
          <w:rFonts w:ascii="宋体"/>
          <w:color w:val="000000" w:themeColor="text1"/>
          <w:spacing w:val="-2"/>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pacing w:val="-2"/>
          <w:sz w:val="24"/>
          <w:highlight w:val="none"/>
          <w14:textFill>
            <w14:solidFill>
              <w14:schemeClr w14:val="tx1"/>
            </w14:solidFill>
          </w14:textFill>
        </w:rPr>
        <w:t>有关投标文件的审查、澄清、评估和比较以及有关授予合同的意向一切情况都不得透露给任何投标人或与上述评标工作无关的人员；</w:t>
      </w:r>
    </w:p>
    <w:p>
      <w:pPr>
        <w:shd w:val="clear" w:fill="FFFFFF" w:themeFill="background1"/>
        <w:spacing w:line="360" w:lineRule="auto"/>
        <w:ind w:left="714" w:leftChars="1" w:hanging="712" w:hangingChars="297"/>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23.3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投标人不得干扰招标人的评标活动，否则将撤消其投标资格，并没收其投标保证金。</w:t>
      </w:r>
    </w:p>
    <w:p>
      <w:pPr>
        <w:shd w:val="clear" w:fill="FFFFFF" w:themeFill="background1"/>
        <w:spacing w:line="360" w:lineRule="auto"/>
        <w:ind w:left="718" w:leftChars="1" w:hanging="716" w:hangingChars="297"/>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E   </w:t>
      </w:r>
      <w:r>
        <w:rPr>
          <w:rFonts w:hint="eastAsia" w:ascii="宋体" w:hAnsi="宋体"/>
          <w:b/>
          <w:color w:val="000000" w:themeColor="text1"/>
          <w:sz w:val="24"/>
          <w:highlight w:val="none"/>
          <w14:textFill>
            <w14:solidFill>
              <w14:schemeClr w14:val="tx1"/>
            </w14:solidFill>
          </w14:textFill>
        </w:rPr>
        <w:t>评标方法及标准</w:t>
      </w:r>
    </w:p>
    <w:p>
      <w:pPr>
        <w:shd w:val="clear" w:fill="FFFFFF" w:themeFill="background1"/>
        <w:spacing w:line="360" w:lineRule="auto"/>
        <w:ind w:left="718" w:leftChars="1" w:hanging="716" w:hangingChars="297"/>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24</w:t>
      </w:r>
      <w:r>
        <w:rPr>
          <w:rFonts w:hint="eastAsia" w:ascii="宋体" w:hAnsi="宋体"/>
          <w:b/>
          <w:color w:val="000000" w:themeColor="text1"/>
          <w:sz w:val="24"/>
          <w:highlight w:val="none"/>
          <w14:textFill>
            <w14:solidFill>
              <w14:schemeClr w14:val="tx1"/>
            </w14:solidFill>
          </w14:textFill>
        </w:rPr>
        <w:t>．</w:t>
      </w:r>
      <w:r>
        <w:rPr>
          <w:rFonts w:asci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评标方法（最低评标价法）</w:t>
      </w:r>
    </w:p>
    <w:p>
      <w:pPr>
        <w:shd w:val="clear" w:fill="FFFFFF" w:themeFill="background1"/>
        <w:spacing w:line="360" w:lineRule="auto"/>
        <w:ind w:left="714" w:leftChars="1" w:hanging="712" w:hangingChars="297"/>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由采购人或者采购人委托评标委员会按照招标文件规定的方式确定一个参加评标的投标人，招标文件未规定的采取随机抽取方式确定，其他投标无效。</w:t>
      </w:r>
    </w:p>
    <w:p>
      <w:pPr>
        <w:shd w:val="clear" w:fill="FFFFFF" w:themeFill="background1"/>
        <w:spacing w:line="360" w:lineRule="auto"/>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ascii="宋体" w:hAns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接受和拒绝任何或所有投标的权力</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因政策调整或不可抭力因素的影响，为维护国家利益，招标人在授予合同前的任何时候仍有选择和拒绝所有投标和取消招标过程的权力，投标人不得因此而要求招标人承担任何责任。</w:t>
      </w:r>
    </w:p>
    <w:p>
      <w:pPr>
        <w:shd w:val="clear" w:fill="FFFFFF" w:themeFill="background1"/>
        <w:spacing w:line="360" w:lineRule="auto"/>
        <w:ind w:left="714" w:leftChars="1" w:hanging="712" w:hangingChars="297"/>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25.2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招标人有权根据评标情况决定接受其全部或部分的投标。</w:t>
      </w:r>
    </w:p>
    <w:p>
      <w:pPr>
        <w:shd w:val="clear" w:fill="FFFFFF" w:themeFill="background1"/>
        <w:spacing w:line="360" w:lineRule="auto"/>
        <w:ind w:left="718" w:leftChars="1" w:hanging="716" w:hangingChars="297"/>
        <w:jc w:val="center"/>
        <w:rPr>
          <w:rFonts w:asci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F   </w:t>
      </w:r>
      <w:r>
        <w:rPr>
          <w:rFonts w:hint="eastAsia" w:ascii="宋体" w:hAnsi="宋体"/>
          <w:b/>
          <w:color w:val="000000" w:themeColor="text1"/>
          <w:sz w:val="24"/>
          <w:highlight w:val="none"/>
          <w14:textFill>
            <w14:solidFill>
              <w14:schemeClr w14:val="tx1"/>
            </w14:solidFill>
          </w14:textFill>
        </w:rPr>
        <w:t>中标及合同签订</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中标通知</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评标结束后，招标人将当众宣布评标结果，并在“新疆维吾尔自治区政府采购网”（网址：http://www.ccgp-xinjiang.gov.cn/）上予以公告。公告有效期1个</w:t>
      </w:r>
      <w:r>
        <w:rPr>
          <w:rFonts w:hint="eastAsia" w:ascii="宋体" w:hAnsi="宋体"/>
          <w:color w:val="000000" w:themeColor="text1"/>
          <w:sz w:val="24"/>
          <w:highlight w:val="none"/>
          <w:lang w:val="en-US" w:eastAsia="zh-CN"/>
          <w14:textFill>
            <w14:solidFill>
              <w14:schemeClr w14:val="tx1"/>
            </w14:solidFill>
          </w14:textFill>
        </w:rPr>
        <w:t>工作日</w:t>
      </w:r>
      <w:r>
        <w:rPr>
          <w:rFonts w:hint="eastAsia" w:ascii="宋体" w:hAnsi="宋体"/>
          <w:color w:val="000000" w:themeColor="text1"/>
          <w:sz w:val="24"/>
          <w:highlight w:val="none"/>
          <w14:textFill>
            <w14:solidFill>
              <w14:schemeClr w14:val="tx1"/>
            </w14:solidFill>
          </w14:textFill>
        </w:rPr>
        <w:t>；</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公告期满后，招标人将签发《中标通知书》给中标人；</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招标人不向落标的投标人解释落标原因，不退还投标文件；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投标人对评标结果有异议的，按本招标文件第</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条办理。</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合同签订</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中标人依据《中标通知书》与采购人签订采购合同，签订时间为《中标通知书》发出之日起7个工作日内；</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27.2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采购人不得向中标人提出任何不合理的要求，作为签订合同的条件，不得与中标人私下订立背离合同实质性内容的协议；</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招标文件（含修改文件）、中标人的投标文件（含书面答疑文件）均为签订采购合同的依据；</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27.4</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招标人在授予合同时有权对货物的数量和服务予以适当的增加或减少，但不得对单价或其他条款和条件做任何改变；</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27.5</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政府采购合同履行中，采购人需追加与合同货物或服务的，在不改变合同其他条款前提下，签订补充合同，但所有补充合同的采购金额不得超过原合同采购金额的百分之十；</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27.6</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hd w:val="clear" w:fill="FFFFFF" w:themeFill="background1"/>
        <w:spacing w:line="360" w:lineRule="auto"/>
        <w:ind w:left="718" w:leftChars="1" w:hanging="716" w:hangingChars="297"/>
        <w:jc w:val="center"/>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 xml:space="preserve">G   </w:t>
      </w:r>
      <w:r>
        <w:rPr>
          <w:rFonts w:hint="eastAsia" w:ascii="宋体" w:hAnsi="宋体"/>
          <w:b/>
          <w:bCs/>
          <w:color w:val="000000" w:themeColor="text1"/>
          <w:sz w:val="24"/>
          <w:highlight w:val="none"/>
          <w14:textFill>
            <w14:solidFill>
              <w14:schemeClr w14:val="tx1"/>
            </w14:solidFill>
          </w14:textFill>
        </w:rPr>
        <w:t>法律责任</w:t>
      </w:r>
    </w:p>
    <w:p>
      <w:pPr>
        <w:shd w:val="clear" w:fill="FFFFFF" w:themeFill="background1"/>
        <w:spacing w:line="360" w:lineRule="auto"/>
        <w:ind w:left="718" w:leftChars="1" w:hanging="716" w:hangingChars="297"/>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28</w:t>
      </w:r>
      <w:r>
        <w:rPr>
          <w:rFonts w:hint="eastAsia" w:ascii="宋体" w:hAnsi="宋体"/>
          <w:b/>
          <w:color w:val="000000" w:themeColor="text1"/>
          <w:sz w:val="24"/>
          <w:highlight w:val="none"/>
          <w14:textFill>
            <w14:solidFill>
              <w14:schemeClr w14:val="tx1"/>
            </w14:solidFill>
          </w14:textFill>
        </w:rPr>
        <w:t>．</w:t>
      </w:r>
      <w:r>
        <w:rPr>
          <w:rFonts w:ascii="宋体"/>
          <w:b/>
          <w:color w:val="000000" w:themeColor="text1"/>
          <w:sz w:val="24"/>
          <w:highlight w:val="none"/>
          <w14:textFill>
            <w14:solidFill>
              <w14:schemeClr w14:val="tx1"/>
            </w14:solidFill>
          </w14:textFill>
        </w:rPr>
        <w:tab/>
      </w:r>
      <w:r>
        <w:rPr>
          <w:rFonts w:hint="eastAsia" w:ascii="宋体" w:hAnsi="宋体"/>
          <w:b/>
          <w:color w:val="000000" w:themeColor="text1"/>
          <w:sz w:val="24"/>
          <w:highlight w:val="none"/>
          <w14:textFill>
            <w14:solidFill>
              <w14:schemeClr w14:val="tx1"/>
            </w14:solidFill>
          </w14:textFill>
        </w:rPr>
        <w:t>法律责任</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28.1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（一）提供虚假材料谋取中标的；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（二）采取不正当手段诋毁、排挤其他投标人的；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（三）与招标人、采购人、其他投标人恶意串通的；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（四）向招标人、采购人行贿或者提供其他不正当利益的；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（五）在招标过程中与招标人、采购人进行协商谈判、不按照招标文件、投标文件订立合同，或者与采购人另行订立背离合同实质性内容的协议的；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（六）拒绝有关部门监督检查或者提供虚假情况的。</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投标人有前款第（一）至（五）项情形之一的，中标无效。</w:t>
      </w:r>
      <w:r>
        <w:rPr>
          <w:rFonts w:ascii="宋体" w:hAnsi="宋体"/>
          <w:color w:val="000000" w:themeColor="text1"/>
          <w:sz w:val="24"/>
          <w:szCs w:val="20"/>
          <w:highlight w:val="none"/>
          <w14:textFill>
            <w14:solidFill>
              <w14:schemeClr w14:val="tx1"/>
            </w14:solidFill>
          </w14:textFill>
        </w:rPr>
        <w:t xml:space="preserve"> </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28.2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中标人有下列情形之一的，招标人不予退还其交纳的投标保证金；情节严重的，由财政部门将其列入不良行为记录名单，在一至三年内禁止参加政府采购活动，并予以通报：</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w:t>
      </w:r>
      <w:r>
        <w:rPr>
          <w:rFonts w:asci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（一）中标后无正当理由不与采购人签订合同的；</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（二）将中标项目转让给他人，或者在投标文件中未说明，且未经招标人同意，将中标项目分包给他人的；</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（三）拒绝履行合同义务的。</w:t>
      </w: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H   </w:t>
      </w:r>
      <w:r>
        <w:rPr>
          <w:rFonts w:hint="eastAsia" w:ascii="宋体" w:hAnsi="宋体"/>
          <w:b/>
          <w:color w:val="000000" w:themeColor="text1"/>
          <w:sz w:val="24"/>
          <w:highlight w:val="none"/>
          <w14:textFill>
            <w14:solidFill>
              <w14:schemeClr w14:val="tx1"/>
            </w14:solidFill>
          </w14:textFill>
        </w:rPr>
        <w:t>验收</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货物验收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验收按本招标文件《采购合同》范本一般条款第2.17条的规定执行。</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验收过程中，采购人将委托专业检测部门对货物本身的性能进行检测验收。</w:t>
      </w:r>
    </w:p>
    <w:p>
      <w:pPr>
        <w:shd w:val="clear" w:fill="FFFFFF" w:themeFill="background1"/>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29.3</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一次性验收合格的项目</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另有规定除外</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；因为验收不合格而影响《采购合同》的正常履行，由违约方承担违约责任。</w:t>
      </w:r>
    </w:p>
    <w:p>
      <w:pPr>
        <w:shd w:val="clear" w:fill="FFFFFF" w:themeFill="background1"/>
        <w:spacing w:line="360" w:lineRule="auto"/>
        <w:jc w:val="center"/>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I   </w:t>
      </w:r>
      <w:r>
        <w:rPr>
          <w:rFonts w:hint="eastAsia" w:ascii="宋体" w:hAnsi="宋体"/>
          <w:b/>
          <w:color w:val="000000" w:themeColor="text1"/>
          <w:sz w:val="24"/>
          <w:highlight w:val="none"/>
          <w14:textFill>
            <w14:solidFill>
              <w14:schemeClr w14:val="tx1"/>
            </w14:solidFill>
          </w14:textFill>
        </w:rPr>
        <w:t>质疑与投诉</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质疑</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投标供应商对中标公告有异议的，应当在中标公告发布之日起三个工作日内，以书面形式向招标人提出质疑，质疑书应列明理由、依据，加盖单位公章；</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招标人应当在收到投标人书面质疑后七个工作日内，对质疑内容作出答复，但涉及商业秘密内容的除外；</w:t>
      </w:r>
    </w:p>
    <w:p>
      <w:pPr>
        <w:shd w:val="clear" w:fill="FFFFFF" w:themeFill="background1"/>
        <w:spacing w:line="360" w:lineRule="auto"/>
        <w:ind w:left="714" w:leftChars="1" w:hanging="712" w:hangingChars="297"/>
        <w:rPr>
          <w:rFonts w:asci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30.3</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投标人须对质疑内容的真实性承担责任。</w:t>
      </w:r>
    </w:p>
    <w:p>
      <w:pPr>
        <w:shd w:val="clear" w:fill="FFFFFF" w:themeFill="background1"/>
        <w:spacing w:line="360" w:lineRule="auto"/>
        <w:ind w:left="718" w:leftChars="1" w:hanging="716" w:hangingChars="297"/>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31</w:t>
      </w:r>
      <w:r>
        <w:rPr>
          <w:rFonts w:hint="eastAsia" w:ascii="宋体" w:hAnsi="宋体"/>
          <w:b/>
          <w:bCs/>
          <w:color w:val="000000" w:themeColor="text1"/>
          <w:sz w:val="24"/>
          <w:highlight w:val="none"/>
          <w14:textFill>
            <w14:solidFill>
              <w14:schemeClr w14:val="tx1"/>
            </w14:solidFill>
          </w14:textFill>
        </w:rPr>
        <w:t>．</w:t>
      </w:r>
      <w:r>
        <w:rPr>
          <w:rFonts w:ascii="宋体"/>
          <w:b/>
          <w:bCs/>
          <w:color w:val="000000" w:themeColor="text1"/>
          <w:sz w:val="24"/>
          <w:highlight w:val="none"/>
          <w14:textFill>
            <w14:solidFill>
              <w14:schemeClr w14:val="tx1"/>
            </w14:solidFill>
          </w14:textFill>
        </w:rPr>
        <w:tab/>
      </w:r>
      <w:r>
        <w:rPr>
          <w:rFonts w:hint="eastAsia" w:ascii="宋体" w:hAnsi="宋体"/>
          <w:b/>
          <w:bCs/>
          <w:color w:val="000000" w:themeColor="text1"/>
          <w:sz w:val="24"/>
          <w:highlight w:val="none"/>
          <w14:textFill>
            <w14:solidFill>
              <w14:schemeClr w14:val="tx1"/>
            </w14:solidFill>
          </w14:textFill>
        </w:rPr>
        <w:t>投诉</w:t>
      </w:r>
    </w:p>
    <w:p>
      <w:pPr>
        <w:shd w:val="clear" w:fill="FFFFFF" w:themeFill="background1"/>
        <w:spacing w:line="360" w:lineRule="auto"/>
        <w:ind w:left="714" w:leftChars="1" w:hanging="712" w:hangingChars="297"/>
        <w:rPr>
          <w:rFonts w:ascii="宋体" w:cs="Arial Unicode MS"/>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31.1</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hd w:val="clear" w:fill="FFFFFF" w:themeFill="background1"/>
        <w:spacing w:line="360" w:lineRule="auto"/>
        <w:ind w:left="714" w:leftChars="1" w:hanging="712" w:hangingChars="297"/>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31.2</w:t>
      </w:r>
      <w:r>
        <w:rPr>
          <w:rFonts w:ascii="宋体" w:hAnsi="宋体"/>
          <w:color w:val="000000" w:themeColor="text1"/>
          <w:sz w:val="24"/>
          <w:szCs w:val="20"/>
          <w:highlight w:val="none"/>
          <w14:textFill>
            <w14:solidFill>
              <w14:schemeClr w14:val="tx1"/>
            </w14:solidFill>
          </w14:textFill>
        </w:rPr>
        <w:tab/>
      </w:r>
      <w:r>
        <w:rPr>
          <w:rFonts w:hint="eastAsia" w:ascii="宋体" w:hAnsi="宋体"/>
          <w:color w:val="000000" w:themeColor="text1"/>
          <w:sz w:val="24"/>
          <w:szCs w:val="20"/>
          <w:highlight w:val="none"/>
          <w14:textFill>
            <w14:solidFill>
              <w14:schemeClr w14:val="tx1"/>
            </w14:solidFill>
          </w14:textFill>
        </w:rPr>
        <w:t>处理投诉事项期间，财政部门可以视具体情况书面通知招标采购单位暂停签订合同等活动，但暂停时间最长不得超过三十日。</w:t>
      </w: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pStyle w:val="79"/>
        <w:spacing w:line="360" w:lineRule="auto"/>
        <w:ind w:firstLine="0" w:firstLineChars="0"/>
        <w:rPr>
          <w:rFonts w:ascii="宋体" w:hAnsi="宋体" w:cs="宋体"/>
          <w:b/>
          <w:bCs/>
          <w:color w:val="000000" w:themeColor="text1"/>
          <w:sz w:val="32"/>
          <w:szCs w:val="32"/>
          <w14:textFill>
            <w14:solidFill>
              <w14:schemeClr w14:val="tx1"/>
            </w14:solidFill>
          </w14:textFill>
        </w:rPr>
      </w:pPr>
    </w:p>
    <w:p>
      <w:pPr>
        <w:widowControl/>
        <w:jc w:val="left"/>
        <w:rPr>
          <w:rFonts w:ascii="宋体" w:hAnsi="宋体" w:cs="宋体"/>
          <w:b/>
          <w:bCs/>
          <w:color w:val="000000" w:themeColor="text1"/>
          <w:sz w:val="32"/>
          <w:szCs w:val="32"/>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r>
        <w:rPr>
          <w:rFonts w:ascii="宋体" w:hAnsi="宋体" w:cs="宋体"/>
          <w:b/>
          <w:bCs/>
          <w:color w:val="000000" w:themeColor="text1"/>
          <w:sz w:val="32"/>
          <w:szCs w:val="32"/>
          <w14:textFill>
            <w14:solidFill>
              <w14:schemeClr w14:val="tx1"/>
            </w14:solidFill>
          </w14:textFill>
        </w:rPr>
        <w:br w:type="page"/>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第三部分 </w:t>
      </w:r>
      <w:r>
        <w:rPr>
          <w:rFonts w:hint="eastAsia" w:ascii="宋体" w:hAnsi="宋体" w:cs="宋体"/>
          <w:b/>
          <w:bCs/>
          <w:color w:val="auto"/>
          <w:sz w:val="32"/>
          <w:szCs w:val="32"/>
          <w:highlight w:val="none"/>
        </w:rPr>
        <w:t>货物采购要求、技术参数、规格及需求表</w:t>
      </w:r>
    </w:p>
    <w:tbl>
      <w:tblPr>
        <w:tblStyle w:val="25"/>
        <w:tblpPr w:leftFromText="180" w:rightFromText="180" w:vertAnchor="text" w:horzAnchor="page" w:tblpX="1605" w:tblpY="595"/>
        <w:tblOverlap w:val="never"/>
        <w:tblW w:w="9216" w:type="dxa"/>
        <w:tblInd w:w="0" w:type="dxa"/>
        <w:shd w:val="clear" w:color="auto" w:fill="auto"/>
        <w:tblLayout w:type="autofit"/>
        <w:tblCellMar>
          <w:top w:w="0" w:type="dxa"/>
          <w:left w:w="0" w:type="dxa"/>
          <w:bottom w:w="0" w:type="dxa"/>
          <w:right w:w="0" w:type="dxa"/>
        </w:tblCellMar>
      </w:tblPr>
      <w:tblGrid>
        <w:gridCol w:w="972"/>
        <w:gridCol w:w="972"/>
        <w:gridCol w:w="3384"/>
        <w:gridCol w:w="972"/>
        <w:gridCol w:w="972"/>
        <w:gridCol w:w="972"/>
        <w:gridCol w:w="972"/>
      </w:tblGrid>
      <w:tr>
        <w:tblPrEx>
          <w:tblCellMar>
            <w:top w:w="0" w:type="dxa"/>
            <w:left w:w="0" w:type="dxa"/>
            <w:bottom w:w="0" w:type="dxa"/>
            <w:right w:w="0" w:type="dxa"/>
          </w:tblCellMar>
        </w:tblPrEx>
        <w:trPr>
          <w:trHeight w:val="1020" w:hRule="atLeast"/>
        </w:trPr>
        <w:tc>
          <w:tcPr>
            <w:tcW w:w="9216"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皮山县葡萄基地建设项目—（水泥桩、架设镀锌铁丝）第</w:t>
            </w:r>
            <w:r>
              <w:rPr>
                <w:rFonts w:hint="eastAsia" w:ascii="宋体" w:hAnsi="宋体" w:cs="宋体"/>
                <w:i w:val="0"/>
                <w:color w:val="000000"/>
                <w:kern w:val="0"/>
                <w:sz w:val="22"/>
                <w:szCs w:val="22"/>
                <w:u w:val="none"/>
                <w:lang w:val="en-US" w:eastAsia="zh-CN" w:bidi="ar"/>
              </w:rPr>
              <w:t>二</w:t>
            </w:r>
            <w:r>
              <w:rPr>
                <w:rFonts w:hint="eastAsia" w:ascii="宋体" w:hAnsi="宋体" w:eastAsia="宋体" w:cs="宋体"/>
                <w:i w:val="0"/>
                <w:color w:val="000000"/>
                <w:kern w:val="0"/>
                <w:sz w:val="22"/>
                <w:szCs w:val="22"/>
                <w:u w:val="none"/>
                <w:lang w:val="en-US" w:eastAsia="zh-CN" w:bidi="ar"/>
              </w:rPr>
              <w:t xml:space="preserve">标段 </w:t>
            </w:r>
          </w:p>
        </w:tc>
      </w:tr>
      <w:tr>
        <w:tblPrEx>
          <w:tblCellMar>
            <w:top w:w="0" w:type="dxa"/>
            <w:left w:w="0" w:type="dxa"/>
            <w:bottom w:w="0" w:type="dxa"/>
            <w:right w:w="0" w:type="dxa"/>
          </w:tblCellMar>
        </w:tblPrEx>
        <w:trPr>
          <w:trHeight w:val="7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33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944"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shd w:val="clear" w:color="auto" w:fill="auto"/>
          <w:tblCellMar>
            <w:top w:w="0" w:type="dxa"/>
            <w:left w:w="0" w:type="dxa"/>
            <w:bottom w:w="0" w:type="dxa"/>
            <w:right w:w="0" w:type="dxa"/>
          </w:tblCellMar>
        </w:tblPrEx>
        <w:trPr>
          <w:trHeight w:val="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44" w:type="dxa"/>
            <w:gridSpan w:val="6"/>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水泥柱采购及安装</w:t>
            </w:r>
          </w:p>
        </w:tc>
      </w:tr>
      <w:tr>
        <w:tblPrEx>
          <w:shd w:val="clear" w:color="auto" w:fill="auto"/>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水泥柱采购及安装</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水泥桩规格：12*12*220cm,采用 C30 钢筋砼预制。水泥桩内钢筋为4根通长Φ8钢筋，挂钩Φ6钢筋呈L型预埋，箍筋Φ6 钢筋端部半圆形弯钩长 6.25d，共2道。混凝土中的粗骨料，粒径不大于2 厘米，水泥柱埋深50厘米。</w:t>
            </w:r>
            <w:r>
              <w:rPr>
                <w:rFonts w:hint="eastAsia" w:ascii="宋体" w:hAnsi="宋体" w:cs="宋体"/>
                <w:i w:val="0"/>
                <w:color w:val="FF0000"/>
                <w:kern w:val="0"/>
                <w:sz w:val="18"/>
                <w:szCs w:val="18"/>
                <w:highlight w:val="none"/>
                <w:u w:val="none"/>
                <w:lang w:val="en-US" w:eastAsia="zh-CN" w:bidi="ar"/>
              </w:rPr>
              <w:t>水泥桩每150米用拉线两头进行加固，每30米用拉线固定两侧。</w:t>
            </w:r>
            <w:r>
              <w:rPr>
                <w:rFonts w:hint="eastAsia" w:ascii="宋体" w:hAnsi="宋体" w:eastAsia="宋体" w:cs="宋体"/>
                <w:i w:val="0"/>
                <w:color w:val="000000"/>
                <w:kern w:val="0"/>
                <w:sz w:val="18"/>
                <w:szCs w:val="18"/>
                <w:u w:val="none"/>
                <w:lang w:val="en-US" w:eastAsia="zh-CN" w:bidi="ar"/>
              </w:rPr>
              <w:t>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3591000</w:t>
            </w:r>
          </w:p>
        </w:tc>
      </w:tr>
      <w:tr>
        <w:tblPrEx>
          <w:shd w:val="clear" w:color="auto" w:fill="auto"/>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角钢采购及安装</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角钢规格：规格为L40mmX40mm，角钢用 U 型螺丝固定在水泥桩上，水泥桩两侧各 60厘米，每隔30厘米处打固定铁丝孔，共4道道铁丝孔。包含安装过程中产生的全部费用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1111500</w:t>
            </w:r>
          </w:p>
        </w:tc>
      </w:tr>
      <w:tr>
        <w:tblPrEx>
          <w:tblCellMar>
            <w:top w:w="0" w:type="dxa"/>
            <w:left w:w="0" w:type="dxa"/>
            <w:bottom w:w="0" w:type="dxa"/>
            <w:right w:w="0"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架设镀锌铁丝</w:t>
            </w:r>
          </w:p>
        </w:tc>
        <w:tc>
          <w:tcPr>
            <w:tcW w:w="338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水泥桩上第一道铁丝距地面50厘米拉一道12#镀锌铁丝，共 1 道铁丝。水泥桩两侧各 60 厘米，每隔30厘米拉一道12#镀锌铁丝，共4道道铁丝，形成“Y”型架式水泥柱 每亩需要镀锌铁丝 ≥85公斤。包含安装过程中产生的全部费用。</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亩</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652500</w:t>
            </w:r>
          </w:p>
        </w:tc>
      </w:tr>
      <w:tr>
        <w:tblPrEx>
          <w:tblCellMar>
            <w:top w:w="0" w:type="dxa"/>
            <w:left w:w="0" w:type="dxa"/>
            <w:bottom w:w="0" w:type="dxa"/>
            <w:right w:w="0" w:type="dxa"/>
          </w:tblCellMar>
        </w:tblPrEx>
        <w:trPr>
          <w:trHeight w:val="900" w:hRule="atLeast"/>
        </w:trPr>
        <w:tc>
          <w:tcPr>
            <w:tcW w:w="8244" w:type="dxa"/>
            <w:gridSpan w:val="6"/>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r>
              <w:rPr>
                <w:rFonts w:hint="eastAsia" w:ascii="宋体" w:hAnsi="宋体" w:cs="宋体"/>
                <w:i w:val="0"/>
                <w:color w:val="000000"/>
                <w:kern w:val="0"/>
                <w:sz w:val="18"/>
                <w:szCs w:val="18"/>
                <w:u w:val="none"/>
                <w:lang w:val="en-US" w:eastAsia="zh-CN" w:bidi="ar"/>
              </w:rPr>
              <w:t>55</w:t>
            </w:r>
            <w:r>
              <w:rPr>
                <w:rFonts w:hint="eastAsia" w:ascii="宋体" w:hAnsi="宋体" w:eastAsia="宋体" w:cs="宋体"/>
                <w:i w:val="0"/>
                <w:color w:val="000000"/>
                <w:kern w:val="0"/>
                <w:sz w:val="18"/>
                <w:szCs w:val="18"/>
                <w:u w:val="none"/>
                <w:lang w:val="en-US" w:eastAsia="zh-CN" w:bidi="ar"/>
              </w:rPr>
              <w:t>000</w:t>
            </w:r>
          </w:p>
        </w:tc>
      </w:tr>
    </w:tbl>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rFonts w:hint="eastAsia" w:hAnsi="宋体"/>
          <w:color w:val="000000" w:themeColor="text1"/>
          <w:sz w:val="32"/>
          <w:szCs w:val="24"/>
          <w14:textFill>
            <w14:solidFill>
              <w14:schemeClr w14:val="tx1"/>
            </w14:solidFill>
          </w14:textFill>
        </w:rPr>
      </w:pPr>
    </w:p>
    <w:p>
      <w:pPr>
        <w:numPr>
          <w:ilvl w:val="0"/>
          <w:numId w:val="0"/>
        </w:numPr>
        <w:shd w:val="clear"/>
        <w:spacing w:line="560" w:lineRule="exact"/>
        <w:jc w:val="both"/>
        <w:rPr>
          <w:b/>
          <w:color w:val="000000" w:themeColor="text1"/>
          <w:kern w:val="0"/>
          <w:sz w:val="24"/>
          <w14:textFill>
            <w14:solidFill>
              <w14:schemeClr w14:val="tx1"/>
            </w14:solidFill>
          </w14:textFill>
        </w:rPr>
      </w:pPr>
      <w:r>
        <w:rPr>
          <w:rFonts w:hint="eastAsia" w:hAnsi="宋体"/>
          <w:color w:val="000000" w:themeColor="text1"/>
          <w:sz w:val="32"/>
          <w:szCs w:val="24"/>
          <w14:textFill>
            <w14:solidFill>
              <w14:schemeClr w14:val="tx1"/>
            </w14:solidFill>
          </w14:textFill>
        </w:rPr>
        <w:t>注：</w:t>
      </w:r>
      <w:r>
        <w:rPr>
          <w:rFonts w:hint="eastAsia" w:hAnsi="宋体"/>
          <w:b/>
          <w:color w:val="000000" w:themeColor="text1"/>
          <w:kern w:val="0"/>
          <w:sz w:val="24"/>
          <w14:textFill>
            <w14:solidFill>
              <w14:schemeClr w14:val="tx1"/>
            </w14:solidFill>
          </w14:textFill>
        </w:rPr>
        <w:t>服务要求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asci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⑴</w:t>
      </w:r>
      <w:r>
        <w:rPr>
          <w:rFonts w:hint="eastAsia" w:ascii="宋体" w:hAnsi="宋体"/>
          <w:color w:val="000000" w:themeColor="text1"/>
          <w:sz w:val="24"/>
          <w14:textFill>
            <w14:solidFill>
              <w14:schemeClr w14:val="tx1"/>
            </w14:solidFill>
          </w14:textFill>
        </w:rPr>
        <w:t>在项目实施过程中，将提供完整的质量保证流程，确保成果达到要求。对于项目终验，将有由业主方聘请有关机构的专家按照规范标准（无验收规范标准的按双方合同规定的要求）进行，验收过程产生的费用由中标人承担。</w:t>
      </w:r>
    </w:p>
    <w:p>
      <w:pPr>
        <w:pStyle w:val="11"/>
        <w:spacing w:after="0" w:line="0" w:lineRule="atLeast"/>
        <w:ind w:left="0" w:leftChars="0" w:firstLine="480" w:firstLineChars="200"/>
        <w:jc w:val="left"/>
        <w:rPr>
          <w:rFonts w:hint="eastAsia" w:ascii="宋体" w:hAnsi="宋体" w:eastAsia="宋体" w:cs="Times New Roman"/>
          <w:color w:val="FF0000"/>
          <w:kern w:val="2"/>
          <w:sz w:val="24"/>
          <w:szCs w:val="24"/>
          <w:highlight w:val="yellow"/>
          <w:lang w:val="en-US" w:eastAsia="zh-CN" w:bidi="ar-SA"/>
        </w:rPr>
      </w:pPr>
      <w:r>
        <w:rPr>
          <w:rFonts w:hint="eastAsia" w:hAnsi="宋体" w:cs="Times New Roman"/>
          <w:color w:val="FF0000"/>
          <w:kern w:val="2"/>
          <w:sz w:val="24"/>
          <w:szCs w:val="24"/>
          <w:highlight w:val="yellow"/>
          <w:lang w:val="en-US" w:eastAsia="zh-CN" w:bidi="ar-SA"/>
        </w:rPr>
        <w:t>(2)</w:t>
      </w:r>
      <w:r>
        <w:rPr>
          <w:rFonts w:hint="eastAsia" w:ascii="宋体" w:hAnsi="宋体" w:eastAsia="宋体" w:cs="Times New Roman"/>
          <w:color w:val="FF0000"/>
          <w:kern w:val="2"/>
          <w:sz w:val="24"/>
          <w:szCs w:val="24"/>
          <w:highlight w:val="yellow"/>
          <w:lang w:val="en-US" w:eastAsia="zh-CN" w:bidi="ar-SA"/>
        </w:rPr>
        <w:t>各投标企业每个分项不得超过每个分项的招标控制价，超过本项目分项招标控制价的视为无效报价，做否决投标处理。</w:t>
      </w:r>
    </w:p>
    <w:p>
      <w:pPr>
        <w:pStyle w:val="11"/>
        <w:spacing w:after="0" w:line="0" w:lineRule="atLeast"/>
        <w:ind w:left="0" w:leftChars="0" w:firstLine="480" w:firstLineChars="200"/>
        <w:jc w:val="left"/>
        <w:rPr>
          <w:rFonts w:hint="eastAsia" w:ascii="宋体" w:hAnsi="宋体" w:eastAsia="宋体" w:cs="Times New Roman"/>
          <w:color w:val="FF0000"/>
          <w:kern w:val="2"/>
          <w:sz w:val="24"/>
          <w:szCs w:val="24"/>
          <w:highlight w:val="yellow"/>
          <w:lang w:val="en-US" w:eastAsia="zh-CN" w:bidi="ar-SA"/>
        </w:rPr>
      </w:pPr>
      <w:r>
        <w:rPr>
          <w:rFonts w:hint="eastAsia" w:hAnsi="宋体" w:cs="Times New Roman"/>
          <w:color w:val="FF0000"/>
          <w:kern w:val="2"/>
          <w:sz w:val="24"/>
          <w:szCs w:val="24"/>
          <w:highlight w:val="yellow"/>
          <w:lang w:val="en-US" w:eastAsia="zh-CN" w:bidi="ar-SA"/>
        </w:rPr>
        <w:t>（3）</w:t>
      </w:r>
      <w:r>
        <w:rPr>
          <w:rFonts w:hint="eastAsia" w:ascii="宋体" w:hAnsi="宋体" w:eastAsia="宋体" w:cs="Times New Roman"/>
          <w:color w:val="FF0000"/>
          <w:kern w:val="2"/>
          <w:sz w:val="24"/>
          <w:szCs w:val="24"/>
          <w:highlight w:val="yellow"/>
          <w:lang w:val="en-US" w:eastAsia="zh-CN" w:bidi="ar-SA"/>
        </w:rPr>
        <w:t>各投标企业总投标报价不得高于本项目招标控制价，超过本项目招标控制价的视为无效报价，做否决投标处理。</w:t>
      </w:r>
    </w:p>
    <w:p>
      <w:pPr>
        <w:pStyle w:val="13"/>
        <w:spacing w:line="440" w:lineRule="exact"/>
        <w:rPr>
          <w:rFonts w:hAnsi="宋体"/>
          <w:b/>
          <w:color w:val="000000" w:themeColor="text1"/>
          <w:kern w:val="0"/>
          <w:sz w:val="24"/>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pStyle w:val="2"/>
        <w:rPr>
          <w:rFonts w:ascii="宋体" w:hAnsi="宋体"/>
          <w:b/>
          <w:color w:val="000000" w:themeColor="text1"/>
          <w14:textFill>
            <w14:solidFill>
              <w14:schemeClr w14:val="tx1"/>
            </w14:solidFill>
          </w14:textFill>
        </w:rPr>
        <w:sectPr>
          <w:type w:val="continuous"/>
          <w:pgSz w:w="11907" w:h="16840"/>
          <w:pgMar w:top="1361" w:right="964" w:bottom="1361" w:left="964" w:header="851" w:footer="851" w:gutter="0"/>
          <w:pgBorders>
            <w:top w:val="none" w:sz="0" w:space="0"/>
            <w:left w:val="none" w:sz="0" w:space="0"/>
            <w:bottom w:val="none" w:sz="0" w:space="0"/>
            <w:right w:val="none" w:sz="0" w:space="0"/>
          </w:pgBorders>
          <w:cols w:space="720" w:num="1"/>
          <w:docGrid w:linePitch="462" w:charSpace="0"/>
        </w:sectPr>
      </w:pPr>
    </w:p>
    <w:p>
      <w:pPr>
        <w:numPr>
          <w:ilvl w:val="0"/>
          <w:numId w:val="5"/>
        </w:numPr>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采购合同</w:t>
      </w:r>
      <w:r>
        <w:rPr>
          <w:rFonts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范本</w:t>
      </w:r>
      <w:r>
        <w:rPr>
          <w:rFonts w:ascii="宋体" w:hAnsi="宋体"/>
          <w:b/>
          <w:color w:val="000000" w:themeColor="text1"/>
          <w:sz w:val="32"/>
          <w:szCs w:val="32"/>
          <w14:textFill>
            <w14:solidFill>
              <w14:schemeClr w14:val="tx1"/>
            </w14:solidFill>
          </w14:textFill>
        </w:rPr>
        <w:t>)</w:t>
      </w:r>
    </w:p>
    <w:p>
      <w:pPr>
        <w:pStyle w:val="2"/>
        <w:rPr>
          <w:color w:val="000000" w:themeColor="text1"/>
          <w14:textFill>
            <w14:solidFill>
              <w14:schemeClr w14:val="tx1"/>
            </w14:solidFill>
          </w14:textFill>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t>政府采购合同</w:t>
      </w:r>
      <w:r>
        <w:rPr>
          <w:rFonts w:hint="eastAsia" w:ascii="楷体" w:hAnsi="楷体" w:eastAsia="楷体"/>
          <w:b/>
          <w:color w:val="000000" w:themeColor="text1"/>
          <w:sz w:val="44"/>
          <w:szCs w:val="44"/>
          <w14:textFill>
            <w14:solidFill>
              <w14:schemeClr w14:val="tx1"/>
            </w14:solidFill>
          </w14:textFill>
        </w:rPr>
        <w:t>参考范本</w:t>
      </w:r>
    </w:p>
    <w:p>
      <w:pPr>
        <w:spacing w:line="480" w:lineRule="auto"/>
        <w:jc w:val="cente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（服务类）</w:t>
      </w: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pStyle w:val="85"/>
        <w:ind w:firstLine="0"/>
        <w:jc w:val="center"/>
        <w:rPr>
          <w:rFonts w:ascii="楷体" w:hAnsi="楷体" w:eastAsia="楷体"/>
          <w:b/>
          <w:color w:val="000000" w:themeColor="text1"/>
          <w:szCs w:val="24"/>
          <w14:textFill>
            <w14:solidFill>
              <w14:schemeClr w14:val="tx1"/>
            </w14:solidFill>
          </w14:textFill>
        </w:rPr>
      </w:pPr>
      <w:r>
        <w:rPr>
          <w:rFonts w:hint="eastAsia" w:ascii="楷体" w:hAnsi="楷体" w:eastAsia="楷体"/>
          <w:b/>
          <w:color w:val="000000" w:themeColor="text1"/>
          <w:szCs w:val="24"/>
          <w14:textFill>
            <w14:solidFill>
              <w14:schemeClr w14:val="tx1"/>
            </w14:solidFill>
          </w14:textFill>
        </w:rPr>
        <w:t>第一部分 合同书</w:t>
      </w:r>
    </w:p>
    <w:p>
      <w:pPr>
        <w:pStyle w:val="85"/>
        <w:ind w:firstLine="0"/>
        <w:rPr>
          <w:rFonts w:ascii="楷体" w:hAnsi="楷体" w:eastAsia="楷体"/>
          <w:color w:val="000000" w:themeColor="text1"/>
          <w:szCs w:val="24"/>
          <w14:textFill>
            <w14:solidFill>
              <w14:schemeClr w14:val="tx1"/>
            </w14:solidFill>
          </w14:textFill>
        </w:rPr>
      </w:pPr>
    </w:p>
    <w:p>
      <w:pPr>
        <w:pStyle w:val="85"/>
        <w:ind w:firstLine="0"/>
        <w:rPr>
          <w:rFonts w:ascii="楷体" w:hAnsi="楷体" w:eastAsia="楷体"/>
          <w:color w:val="000000" w:themeColor="text1"/>
          <w:szCs w:val="24"/>
          <w14:textFill>
            <w14:solidFill>
              <w14:schemeClr w14:val="tx1"/>
            </w14:solidFill>
          </w14:textFill>
        </w:rPr>
      </w:pP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left="96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项目名称：</w:t>
      </w:r>
      <w:r>
        <w:rPr>
          <w:rFonts w:hint="eastAsia" w:ascii="楷体" w:hAnsi="楷体" w:eastAsia="楷体"/>
          <w:color w:val="000000" w:themeColor="text1"/>
          <w:sz w:val="24"/>
          <w:u w:val="single"/>
          <w14:textFill>
            <w14:solidFill>
              <w14:schemeClr w14:val="tx1"/>
            </w14:solidFill>
          </w14:textFill>
        </w:rPr>
        <w:t xml:space="preserve">                                   </w:t>
      </w:r>
    </w:p>
    <w:p>
      <w:pPr>
        <w:pStyle w:val="86"/>
        <w:spacing w:before="120" w:line="22" w:lineRule="atLeast"/>
        <w:rPr>
          <w:rFonts w:ascii="楷体" w:hAnsi="楷体" w:eastAsia="楷体"/>
          <w:color w:val="000000" w:themeColor="text1"/>
          <w:szCs w:val="24"/>
          <w14:textFill>
            <w14:solidFill>
              <w14:schemeClr w14:val="tx1"/>
            </w14:solidFill>
          </w14:textFill>
        </w:rPr>
      </w:pPr>
    </w:p>
    <w:p>
      <w:pPr>
        <w:pStyle w:val="86"/>
        <w:spacing w:before="120" w:line="22" w:lineRule="atLeast"/>
        <w:rPr>
          <w:rFonts w:ascii="楷体" w:hAnsi="楷体" w:eastAsia="楷体"/>
          <w:color w:val="000000" w:themeColor="text1"/>
          <w:szCs w:val="24"/>
          <w14:textFill>
            <w14:solidFill>
              <w14:schemeClr w14:val="tx1"/>
            </w14:solidFill>
          </w14:textFill>
        </w:rPr>
      </w:pPr>
    </w:p>
    <w:p>
      <w:pPr>
        <w:rPr>
          <w:color w:val="000000" w:themeColor="text1"/>
          <w14:textFill>
            <w14:solidFill>
              <w14:schemeClr w14:val="tx1"/>
            </w14:solidFill>
          </w14:textFill>
        </w:rPr>
      </w:pPr>
    </w:p>
    <w:p>
      <w:pPr>
        <w:spacing w:before="120" w:line="22" w:lineRule="atLeast"/>
        <w:ind w:left="96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甲方：</w:t>
      </w:r>
      <w:r>
        <w:rPr>
          <w:rFonts w:hint="eastAsia"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left="96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乙方：</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firstLine="960" w:firstLineChars="4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签订地：</w:t>
      </w:r>
      <w:r>
        <w:rPr>
          <w:rFonts w:hint="eastAsia" w:ascii="楷体" w:hAnsi="楷体" w:eastAsia="楷体"/>
          <w:color w:val="000000" w:themeColor="text1"/>
          <w:sz w:val="24"/>
          <w:u w:val="single"/>
          <w14:textFill>
            <w14:solidFill>
              <w14:schemeClr w14:val="tx1"/>
            </w14:solidFill>
          </w14:textFill>
        </w:rPr>
        <w:t xml:space="preserve">                                     </w:t>
      </w:r>
    </w:p>
    <w:p>
      <w:pPr>
        <w:spacing w:before="120" w:line="22" w:lineRule="atLeast"/>
        <w:rPr>
          <w:rFonts w:ascii="楷体" w:hAnsi="楷体" w:eastAsia="楷体"/>
          <w:color w:val="000000" w:themeColor="text1"/>
          <w:sz w:val="24"/>
          <w14:textFill>
            <w14:solidFill>
              <w14:schemeClr w14:val="tx1"/>
            </w14:solidFill>
          </w14:textFill>
        </w:rPr>
      </w:pPr>
    </w:p>
    <w:p>
      <w:pPr>
        <w:spacing w:before="120" w:line="22" w:lineRule="atLeast"/>
        <w:ind w:firstLine="960" w:firstLineChars="4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签订日期：</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月</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日</w:t>
      </w:r>
    </w:p>
    <w:p>
      <w:pPr>
        <w:autoSpaceDE w:val="0"/>
        <w:autoSpaceDN w:val="0"/>
        <w:adjustRightInd w:val="0"/>
        <w:spacing w:line="600" w:lineRule="exact"/>
        <w:ind w:firstLine="640"/>
        <w:jc w:val="center"/>
        <w:rPr>
          <w:rFonts w:ascii="宋体" w:hAnsi="宋体"/>
          <w:color w:val="000000" w:themeColor="text1"/>
          <w:sz w:val="24"/>
          <w14:textFill>
            <w14:solidFill>
              <w14:schemeClr w14:val="tx1"/>
            </w14:solidFill>
          </w14:textFill>
        </w:rPr>
        <w:sectPr>
          <w:headerReference r:id="rId9"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年</w:t>
      </w: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月</w:t>
      </w:r>
      <w:r>
        <w:rPr>
          <w:rFonts w:hint="eastAsia" w:ascii="楷体" w:hAnsi="楷体" w:eastAsia="楷体"/>
          <w:color w:val="000000" w:themeColor="text1"/>
          <w:sz w:val="24"/>
          <w:u w:val="single"/>
          <w:lang w:val="zh-CN"/>
          <w14:textFill>
            <w14:solidFill>
              <w14:schemeClr w14:val="tx1"/>
            </w14:solidFill>
          </w14:textFill>
        </w:rPr>
        <w:t xml:space="preserve">    </w:t>
      </w:r>
      <w:r>
        <w:rPr>
          <w:rFonts w:hint="eastAsia" w:ascii="楷体" w:hAnsi="楷体" w:eastAsia="楷体"/>
          <w:color w:val="000000" w:themeColor="text1"/>
          <w:sz w:val="24"/>
          <w:lang w:val="zh-CN"/>
          <w14:textFill>
            <w14:solidFill>
              <w14:schemeClr w14:val="tx1"/>
            </w14:solidFill>
          </w14:textFill>
        </w:rPr>
        <w:t>日</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u w:val="single"/>
          <w14:textFill>
            <w14:solidFill>
              <w14:schemeClr w14:val="tx1"/>
            </w14:solidFill>
          </w14:textFill>
        </w:rPr>
        <w:t xml:space="preserve">   （采购人名称）   </w:t>
      </w:r>
      <w:r>
        <w:rPr>
          <w:rFonts w:hint="eastAsia" w:ascii="楷体" w:hAnsi="楷体" w:eastAsia="楷体"/>
          <w:color w:val="000000" w:themeColor="text1"/>
          <w:sz w:val="24"/>
          <w14:textFill>
            <w14:solidFill>
              <w14:schemeClr w14:val="tx1"/>
            </w14:solidFill>
          </w14:textFill>
        </w:rPr>
        <w:t>以</w:t>
      </w:r>
      <w:r>
        <w:rPr>
          <w:rFonts w:hint="eastAsia" w:ascii="楷体" w:hAnsi="楷体" w:eastAsia="楷体"/>
          <w:color w:val="000000" w:themeColor="text1"/>
          <w:sz w:val="24"/>
          <w:u w:val="single"/>
          <w14:textFill>
            <w14:solidFill>
              <w14:schemeClr w14:val="tx1"/>
            </w14:solidFill>
          </w14:textFill>
        </w:rPr>
        <w:t xml:space="preserve">   （政府采购方式）  </w:t>
      </w:r>
      <w:r>
        <w:rPr>
          <w:rFonts w:hint="eastAsia" w:ascii="楷体" w:hAnsi="楷体" w:eastAsia="楷体"/>
          <w:color w:val="000000" w:themeColor="text1"/>
          <w:sz w:val="24"/>
          <w14:textFill>
            <w14:solidFill>
              <w14:schemeClr w14:val="tx1"/>
            </w14:solidFill>
          </w14:textFill>
        </w:rPr>
        <w:t>对</w:t>
      </w:r>
      <w:r>
        <w:rPr>
          <w:rFonts w:hint="eastAsia" w:ascii="楷体" w:hAnsi="楷体" w:eastAsia="楷体"/>
          <w:color w:val="000000" w:themeColor="text1"/>
          <w:sz w:val="24"/>
          <w:u w:val="single"/>
          <w14:textFill>
            <w14:solidFill>
              <w14:schemeClr w14:val="tx1"/>
            </w14:solidFill>
          </w14:textFill>
        </w:rPr>
        <w:t xml:space="preserve">   （同前页项目名称）   </w:t>
      </w:r>
      <w:r>
        <w:rPr>
          <w:rFonts w:hint="eastAsia" w:ascii="楷体" w:hAnsi="楷体" w:eastAsia="楷体"/>
          <w:color w:val="000000" w:themeColor="text1"/>
          <w:sz w:val="24"/>
          <w14:textFill>
            <w14:solidFill>
              <w14:schemeClr w14:val="tx1"/>
            </w14:solidFill>
          </w14:textFill>
        </w:rPr>
        <w:t>项目进行了采购。经</w:t>
      </w:r>
      <w:r>
        <w:rPr>
          <w:rFonts w:hint="eastAsia" w:ascii="楷体" w:hAnsi="楷体" w:eastAsia="楷体"/>
          <w:color w:val="000000" w:themeColor="text1"/>
          <w:sz w:val="24"/>
          <w:u w:val="single"/>
          <w14:textFill>
            <w14:solidFill>
              <w14:schemeClr w14:val="tx1"/>
            </w14:solidFill>
          </w14:textFill>
        </w:rPr>
        <w:t xml:space="preserve">   （相关评定主体名称）   </w:t>
      </w:r>
      <w:r>
        <w:rPr>
          <w:rFonts w:hint="eastAsia" w:ascii="楷体" w:hAnsi="楷体" w:eastAsia="楷体"/>
          <w:color w:val="000000" w:themeColor="text1"/>
          <w:sz w:val="24"/>
          <w14:textFill>
            <w14:solidFill>
              <w14:schemeClr w14:val="tx1"/>
            </w14:solidFill>
          </w14:textFill>
        </w:rPr>
        <w:t>评定，</w:t>
      </w:r>
      <w:r>
        <w:rPr>
          <w:rFonts w:hint="eastAsia" w:ascii="楷体" w:hAnsi="楷体" w:eastAsia="楷体"/>
          <w:color w:val="000000" w:themeColor="text1"/>
          <w:sz w:val="24"/>
          <w:u w:val="single"/>
          <w14:textFill>
            <w14:solidFill>
              <w14:schemeClr w14:val="tx1"/>
            </w14:solidFill>
          </w14:textFill>
        </w:rPr>
        <w:t xml:space="preserve">   （中标供应商名称） </w:t>
      </w:r>
      <w:r>
        <w:rPr>
          <w:rFonts w:hint="eastAsia" w:ascii="楷体" w:hAnsi="楷体" w:eastAsia="楷体"/>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lang w:val="zh-CN"/>
          <w14:textFill>
            <w14:solidFill>
              <w14:schemeClr w14:val="tx1"/>
            </w14:solidFill>
          </w14:textFill>
        </w:rPr>
        <w:t>根据《中华人民共和国合同法》、《中华人民共和国政府采购法》等相关法律法规之规定，按照平等、自愿、公平和诚实信用的原则，经</w:t>
      </w:r>
      <w:r>
        <w:rPr>
          <w:rFonts w:hint="eastAsia" w:ascii="楷体" w:hAnsi="楷体" w:eastAsia="楷体"/>
          <w:color w:val="000000" w:themeColor="text1"/>
          <w:sz w:val="24"/>
          <w:u w:val="single"/>
          <w14:textFill>
            <w14:solidFill>
              <w14:schemeClr w14:val="tx1"/>
            </w14:solidFill>
          </w14:textFill>
        </w:rPr>
        <w:t xml:space="preserve">   （采购人名称）   </w:t>
      </w:r>
      <w:r>
        <w:rPr>
          <w:rFonts w:hint="eastAsia" w:ascii="楷体" w:hAnsi="楷体" w:eastAsia="楷体"/>
          <w:color w:val="000000" w:themeColor="text1"/>
          <w:sz w:val="24"/>
          <w:lang w:val="zh-CN"/>
          <w14:textFill>
            <w14:solidFill>
              <w14:schemeClr w14:val="tx1"/>
            </w14:solidFill>
          </w14:textFill>
        </w:rPr>
        <w:t>(以下简称：甲方)和</w:t>
      </w:r>
      <w:r>
        <w:rPr>
          <w:rFonts w:hint="eastAsia" w:ascii="楷体" w:hAnsi="楷体" w:eastAsia="楷体"/>
          <w:color w:val="000000" w:themeColor="text1"/>
          <w:sz w:val="24"/>
          <w:u w:val="single"/>
          <w14:textFill>
            <w14:solidFill>
              <w14:schemeClr w14:val="tx1"/>
            </w14:solidFill>
          </w14:textFill>
        </w:rPr>
        <w:t xml:space="preserve">   （中标供应商名称）   </w:t>
      </w:r>
      <w:r>
        <w:rPr>
          <w:rFonts w:hint="eastAsia" w:ascii="楷体" w:hAnsi="楷体" w:eastAsia="楷体"/>
          <w:color w:val="000000" w:themeColor="text1"/>
          <w:sz w:val="24"/>
          <w:lang w:val="zh-CN"/>
          <w14:textFill>
            <w14:solidFill>
              <w14:schemeClr w14:val="tx1"/>
            </w14:solidFill>
          </w14:textFill>
        </w:rPr>
        <w:t>(以下简称：乙方)协商一致，约定以下合同</w:t>
      </w:r>
      <w:r>
        <w:rPr>
          <w:rFonts w:hint="eastAsia" w:ascii="楷体" w:hAnsi="楷体" w:eastAsia="楷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楷体" w:hAnsi="楷体" w:eastAsia="楷体"/>
          <w:color w:val="000000" w:themeColor="text1"/>
          <w:sz w:val="24"/>
          <w14:textFill>
            <w14:solidFill>
              <w14:schemeClr w14:val="tx1"/>
            </w14:solidFill>
          </w14:textFill>
        </w:rPr>
      </w:pPr>
      <w:bookmarkStart w:id="0" w:name="_Toc28855"/>
      <w:bookmarkStart w:id="1" w:name="_Toc22967"/>
      <w:bookmarkStart w:id="2" w:name="_Toc20421"/>
      <w:bookmarkStart w:id="3" w:name="_Toc15367"/>
      <w:bookmarkStart w:id="4" w:name="_Toc19273"/>
      <w:r>
        <w:rPr>
          <w:rFonts w:hint="eastAsia" w:ascii="楷体" w:hAnsi="楷体" w:eastAsia="楷体"/>
          <w:b/>
          <w:color w:val="000000" w:themeColor="text1"/>
          <w:sz w:val="24"/>
          <w14:textFill>
            <w14:solidFill>
              <w14:schemeClr w14:val="tx1"/>
            </w14:solidFill>
          </w14:textFill>
        </w:rPr>
        <w:t>1.1 合同组成部分</w:t>
      </w:r>
      <w:bookmarkEnd w:id="0"/>
      <w:bookmarkEnd w:id="1"/>
      <w:bookmarkEnd w:id="2"/>
      <w:bookmarkEnd w:id="3"/>
      <w:bookmarkEnd w:id="4"/>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1.1.1 本合同及其补充合同、变更协议；</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1.1.2 中标通知书；</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1.1.3 投标文件（含澄清或者说明文件）；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1.1.4 招标文件（含澄清或者修改文件）；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5" w:name="_Toc18585"/>
      <w:bookmarkStart w:id="6" w:name="_Toc6773"/>
      <w:bookmarkStart w:id="7" w:name="_Toc22185"/>
      <w:bookmarkStart w:id="8" w:name="_Toc2918"/>
      <w:bookmarkStart w:id="9" w:name="_Toc6311"/>
      <w:r>
        <w:rPr>
          <w:rFonts w:hint="eastAsia" w:ascii="楷体" w:hAnsi="楷体" w:eastAsia="楷体"/>
          <w:b/>
          <w:color w:val="000000" w:themeColor="text1"/>
          <w:sz w:val="24"/>
          <w14:textFill>
            <w14:solidFill>
              <w14:schemeClr w14:val="tx1"/>
            </w14:solidFill>
          </w14:textFill>
        </w:rPr>
        <w:t>1.2 标的</w:t>
      </w:r>
      <w:bookmarkEnd w:id="5"/>
      <w:bookmarkEnd w:id="6"/>
      <w:bookmarkEnd w:id="7"/>
      <w:bookmarkEnd w:id="8"/>
      <w:bookmarkEnd w:id="9"/>
    </w:p>
    <w:p>
      <w:pPr>
        <w:spacing w:line="560" w:lineRule="exact"/>
        <w:ind w:firstLine="480" w:firstLineChars="2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1.2.1 标的</w:t>
      </w:r>
      <w:r>
        <w:rPr>
          <w:rFonts w:ascii="楷体" w:hAnsi="楷体" w:eastAsia="楷体"/>
          <w:color w:val="000000" w:themeColor="text1"/>
          <w:sz w:val="24"/>
          <w14:textFill>
            <w14:solidFill>
              <w14:schemeClr w14:val="tx1"/>
            </w14:solidFill>
          </w14:textFill>
        </w:rPr>
        <w:t>名称：</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1.2.2 标的</w:t>
      </w:r>
      <w:r>
        <w:rPr>
          <w:rFonts w:ascii="楷体" w:hAnsi="楷体" w:eastAsia="楷体"/>
          <w:color w:val="000000" w:themeColor="text1"/>
          <w:sz w:val="24"/>
          <w14:textFill>
            <w14:solidFill>
              <w14:schemeClr w14:val="tx1"/>
            </w14:solidFill>
          </w14:textFill>
        </w:rPr>
        <w:t>数量：</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1.2.3 标的质量：</w:t>
      </w:r>
      <w:r>
        <w:rPr>
          <w:rFonts w:ascii="楷体" w:hAnsi="楷体" w:eastAsia="楷体"/>
          <w:color w:val="000000" w:themeColor="text1"/>
          <w:sz w:val="24"/>
          <w:u w:val="single"/>
          <w14:textFill>
            <w14:solidFill>
              <w14:schemeClr w14:val="tx1"/>
            </w14:solidFill>
          </w14:textFill>
        </w:rPr>
        <w:t>　　　　　　　　　</w:t>
      </w:r>
      <w:r>
        <w:rPr>
          <w:rFonts w:hint="eastAsia" w:ascii="楷体" w:hAnsi="楷体" w:eastAsia="楷体"/>
          <w:color w:val="000000" w:themeColor="text1"/>
          <w:sz w:val="24"/>
          <w:u w:val="single"/>
          <w14:textFill>
            <w14:solidFill>
              <w14:schemeClr w14:val="tx1"/>
            </w14:solidFill>
          </w14:textFill>
        </w:rPr>
        <w:t xml:space="preserve">                      </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 w:name="_Toc5635"/>
      <w:bookmarkStart w:id="11" w:name="_Toc1386"/>
      <w:bookmarkStart w:id="12" w:name="_Toc4929"/>
      <w:bookmarkStart w:id="13" w:name="_Toc13918"/>
      <w:bookmarkStart w:id="14" w:name="_Toc21124"/>
      <w:r>
        <w:rPr>
          <w:rFonts w:hint="eastAsia" w:ascii="楷体" w:hAnsi="楷体" w:eastAsia="楷体"/>
          <w:b/>
          <w:color w:val="000000" w:themeColor="text1"/>
          <w:sz w:val="24"/>
          <w14:textFill>
            <w14:solidFill>
              <w14:schemeClr w14:val="tx1"/>
            </w14:solidFill>
          </w14:textFill>
        </w:rPr>
        <w:t>1.</w:t>
      </w:r>
      <w:r>
        <w:rPr>
          <w:rFonts w:ascii="楷体" w:hAnsi="楷体" w:eastAsia="楷体"/>
          <w:b/>
          <w:color w:val="000000" w:themeColor="text1"/>
          <w:sz w:val="24"/>
          <w14:textFill>
            <w14:solidFill>
              <w14:schemeClr w14:val="tx1"/>
            </w14:solidFill>
          </w14:textFill>
        </w:rPr>
        <w:t>3</w:t>
      </w:r>
      <w:r>
        <w:rPr>
          <w:rFonts w:hint="eastAsia" w:ascii="楷体" w:hAnsi="楷体" w:eastAsia="楷体"/>
          <w:b/>
          <w:color w:val="000000" w:themeColor="text1"/>
          <w:sz w:val="24"/>
          <w14:textFill>
            <w14:solidFill>
              <w14:schemeClr w14:val="tx1"/>
            </w14:solidFill>
          </w14:textFill>
        </w:rPr>
        <w:t xml:space="preserve"> 价款</w:t>
      </w:r>
      <w:bookmarkEnd w:id="10"/>
      <w:bookmarkEnd w:id="11"/>
      <w:bookmarkEnd w:id="12"/>
      <w:bookmarkEnd w:id="13"/>
      <w:bookmarkEnd w:id="14"/>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本合同总价为</w:t>
      </w:r>
      <w:r>
        <w:rPr>
          <w:rFonts w:hint="eastAsia"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元</w:t>
      </w:r>
      <w:r>
        <w:rPr>
          <w:rFonts w:hint="eastAsia" w:ascii="楷体" w:hAnsi="楷体" w:eastAsia="楷体"/>
          <w:color w:val="000000" w:themeColor="text1"/>
          <w:sz w:val="24"/>
          <w:highlight w:val="none"/>
          <w14:textFill>
            <w14:solidFill>
              <w14:schemeClr w14:val="tx1"/>
            </w14:solidFill>
          </w14:textFill>
        </w:rPr>
        <w:t>（大写：</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元人民币）</w:t>
      </w:r>
      <w:r>
        <w:rPr>
          <w:rFonts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u w:val="singl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jc w:val="center"/>
              <w:rPr>
                <w:rFonts w:ascii="楷体" w:hAnsi="楷体" w:eastAsia="楷体"/>
                <w:color w:val="000000" w:themeColor="text1"/>
                <w:sz w:val="24"/>
                <w:szCs w:val="24"/>
                <w:highlight w:val="none"/>
                <w14:textFill>
                  <w14:solidFill>
                    <w14:schemeClr w14:val="tx1"/>
                  </w14:solidFill>
                </w14:textFill>
              </w:rPr>
            </w:pPr>
            <w:r>
              <w:rPr>
                <w:rFonts w:ascii="楷体" w:hAnsi="楷体" w:eastAsia="楷体"/>
                <w:color w:val="000000" w:themeColor="text1"/>
                <w:sz w:val="24"/>
                <w:szCs w:val="24"/>
                <w:highlight w:val="none"/>
                <w14:textFill>
                  <w14:solidFill>
                    <w14:schemeClr w14:val="tx1"/>
                  </w14:solidFill>
                </w14:textFill>
              </w:rPr>
              <w:t>序号</w:t>
            </w: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r>
              <w:rPr>
                <w:rFonts w:hint="eastAsia" w:ascii="楷体" w:hAnsi="楷体" w:eastAsia="楷体"/>
                <w:color w:val="000000" w:themeColor="text1"/>
                <w:sz w:val="24"/>
                <w:szCs w:val="24"/>
                <w:highlight w:val="none"/>
                <w14:textFill>
                  <w14:solidFill>
                    <w14:schemeClr w14:val="tx1"/>
                  </w14:solidFill>
                </w14:textFill>
              </w:rPr>
              <w:t>分项名称</w:t>
            </w:r>
          </w:p>
        </w:tc>
        <w:tc>
          <w:tcPr>
            <w:tcW w:w="2552" w:type="dxa"/>
            <w:vAlign w:val="center"/>
          </w:tcPr>
          <w:p>
            <w:pPr>
              <w:pStyle w:val="87"/>
              <w:spacing w:line="560" w:lineRule="exact"/>
              <w:jc w:val="center"/>
              <w:rPr>
                <w:rFonts w:ascii="楷体" w:hAnsi="楷体" w:eastAsia="楷体"/>
                <w:color w:val="000000" w:themeColor="text1"/>
                <w:sz w:val="24"/>
                <w:szCs w:val="24"/>
                <w:highlight w:val="none"/>
                <w14:textFill>
                  <w14:solidFill>
                    <w14:schemeClr w14:val="tx1"/>
                  </w14:solidFill>
                </w14:textFill>
              </w:rPr>
            </w:pPr>
            <w:r>
              <w:rPr>
                <w:rFonts w:ascii="楷体" w:hAnsi="楷体" w:eastAsia="楷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340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r>
              <w:rPr>
                <w:rFonts w:hint="eastAsia" w:ascii="楷体" w:hAnsi="楷体" w:eastAsia="楷体"/>
                <w:color w:val="000000" w:themeColor="text1"/>
                <w:sz w:val="24"/>
                <w:szCs w:val="24"/>
                <w:highlight w:val="none"/>
                <w14:textFill>
                  <w14:solidFill>
                    <w14:schemeClr w14:val="tx1"/>
                  </w14:solidFill>
                </w14:textFill>
              </w:rPr>
              <w:t>总价</w:t>
            </w:r>
          </w:p>
        </w:tc>
        <w:tc>
          <w:tcPr>
            <w:tcW w:w="2552" w:type="dxa"/>
            <w:vAlign w:val="center"/>
          </w:tcPr>
          <w:p>
            <w:pPr>
              <w:pStyle w:val="87"/>
              <w:spacing w:line="560" w:lineRule="exact"/>
              <w:ind w:firstLine="200"/>
              <w:jc w:val="center"/>
              <w:rPr>
                <w:rFonts w:ascii="楷体" w:hAnsi="楷体" w:eastAsia="楷体"/>
                <w:color w:val="000000" w:themeColor="text1"/>
                <w:sz w:val="24"/>
                <w:szCs w:val="24"/>
                <w:highlight w:val="none"/>
                <w14:textFill>
                  <w14:solidFill>
                    <w14:schemeClr w14:val="tx1"/>
                  </w14:solidFill>
                </w14:textFill>
              </w:rPr>
            </w:pPr>
          </w:p>
        </w:tc>
      </w:tr>
    </w:tbl>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15" w:name="_Toc26916"/>
      <w:bookmarkStart w:id="16" w:name="_Toc3654"/>
      <w:bookmarkStart w:id="17" w:name="_Toc30158"/>
      <w:bookmarkStart w:id="18" w:name="_Toc30506"/>
      <w:bookmarkStart w:id="19" w:name="_Toc14993"/>
      <w:r>
        <w:rPr>
          <w:rFonts w:hint="eastAsia" w:ascii="楷体" w:hAnsi="楷体" w:eastAsia="楷体"/>
          <w:b/>
          <w:color w:val="000000" w:themeColor="text1"/>
          <w:sz w:val="24"/>
          <w:highlight w:val="none"/>
          <w14:textFill>
            <w14:solidFill>
              <w14:schemeClr w14:val="tx1"/>
            </w14:solidFill>
          </w14:textFill>
        </w:rPr>
        <w:t>1.</w:t>
      </w:r>
      <w:r>
        <w:rPr>
          <w:rFonts w:ascii="楷体" w:hAnsi="楷体" w:eastAsia="楷体"/>
          <w:b/>
          <w:color w:val="000000" w:themeColor="text1"/>
          <w:sz w:val="24"/>
          <w:highlight w:val="none"/>
          <w14:textFill>
            <w14:solidFill>
              <w14:schemeClr w14:val="tx1"/>
            </w14:solidFill>
          </w14:textFill>
        </w:rPr>
        <w:t>4</w:t>
      </w:r>
      <w:r>
        <w:rPr>
          <w:rFonts w:hint="eastAsia" w:ascii="楷体" w:hAnsi="楷体" w:eastAsia="楷体"/>
          <w:b/>
          <w:color w:val="000000" w:themeColor="text1"/>
          <w:sz w:val="24"/>
          <w:highlight w:val="none"/>
          <w14:textFill>
            <w14:solidFill>
              <w14:schemeClr w14:val="tx1"/>
            </w14:solidFill>
          </w14:textFill>
        </w:rPr>
        <w:t xml:space="preserve"> </w:t>
      </w:r>
      <w:r>
        <w:rPr>
          <w:rFonts w:ascii="楷体" w:hAnsi="楷体" w:eastAsia="楷体"/>
          <w:b/>
          <w:color w:val="000000" w:themeColor="text1"/>
          <w:sz w:val="24"/>
          <w:highlight w:val="none"/>
          <w14:textFill>
            <w14:solidFill>
              <w14:schemeClr w14:val="tx1"/>
            </w14:solidFill>
          </w14:textFill>
        </w:rPr>
        <w:t>付款方式和发票开具方式</w:t>
      </w:r>
      <w:bookmarkEnd w:id="15"/>
      <w:bookmarkEnd w:id="16"/>
      <w:bookmarkEnd w:id="17"/>
      <w:bookmarkEnd w:id="18"/>
      <w:bookmarkEnd w:id="19"/>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1.4.1</w:t>
      </w:r>
      <w:r>
        <w:rPr>
          <w:rFonts w:ascii="楷体" w:hAnsi="楷体" w:eastAsia="楷体"/>
          <w:color w:val="000000" w:themeColor="text1"/>
          <w:sz w:val="24"/>
          <w:highlight w:val="none"/>
          <w14:textFill>
            <w14:solidFill>
              <w14:schemeClr w14:val="tx1"/>
            </w14:solidFill>
          </w14:textFill>
        </w:rPr>
        <w:t>付款方式：</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1.4.2 发票开具方式：</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20" w:name="_Toc4760"/>
      <w:bookmarkStart w:id="21" w:name="_Toc3625"/>
      <w:bookmarkStart w:id="22" w:name="_Toc11108"/>
      <w:bookmarkStart w:id="23" w:name="_Toc8772"/>
      <w:bookmarkStart w:id="24" w:name="_Toc31421"/>
      <w:r>
        <w:rPr>
          <w:rFonts w:hint="eastAsia" w:ascii="楷体" w:hAnsi="楷体" w:eastAsia="楷体"/>
          <w:b/>
          <w:color w:val="000000" w:themeColor="text1"/>
          <w:sz w:val="24"/>
          <w:highlight w:val="none"/>
          <w14:textFill>
            <w14:solidFill>
              <w14:schemeClr w14:val="tx1"/>
            </w14:solidFill>
          </w14:textFill>
        </w:rPr>
        <w:t>1.</w:t>
      </w:r>
      <w:r>
        <w:rPr>
          <w:rFonts w:ascii="楷体" w:hAnsi="楷体" w:eastAsia="楷体"/>
          <w:b/>
          <w:color w:val="000000" w:themeColor="text1"/>
          <w:sz w:val="24"/>
          <w:highlight w:val="none"/>
          <w14:textFill>
            <w14:solidFill>
              <w14:schemeClr w14:val="tx1"/>
            </w14:solidFill>
          </w14:textFill>
        </w:rPr>
        <w:t>5</w:t>
      </w:r>
      <w:r>
        <w:rPr>
          <w:rFonts w:hint="eastAsia" w:ascii="楷体" w:hAnsi="楷体" w:eastAsia="楷体"/>
          <w:b/>
          <w:color w:val="000000" w:themeColor="text1"/>
          <w:sz w:val="24"/>
          <w:highlight w:val="none"/>
          <w14:textFill>
            <w14:solidFill>
              <w14:schemeClr w14:val="tx1"/>
            </w14:solidFill>
          </w14:textFill>
        </w:rPr>
        <w:t xml:space="preserve"> 履行</w:t>
      </w:r>
      <w:r>
        <w:rPr>
          <w:rFonts w:ascii="楷体" w:hAnsi="楷体" w:eastAsia="楷体"/>
          <w:b/>
          <w:color w:val="000000" w:themeColor="text1"/>
          <w:sz w:val="24"/>
          <w:highlight w:val="none"/>
          <w14:textFill>
            <w14:solidFill>
              <w14:schemeClr w14:val="tx1"/>
            </w14:solidFill>
          </w14:textFill>
        </w:rPr>
        <w:t>期限</w:t>
      </w:r>
      <w:r>
        <w:rPr>
          <w:rFonts w:hint="eastAsia" w:ascii="楷体" w:hAnsi="楷体" w:eastAsia="楷体"/>
          <w:b/>
          <w:color w:val="000000" w:themeColor="text1"/>
          <w:sz w:val="24"/>
          <w:highlight w:val="none"/>
          <w14:textFill>
            <w14:solidFill>
              <w14:schemeClr w14:val="tx1"/>
            </w14:solidFill>
          </w14:textFill>
        </w:rPr>
        <w:t>、地点和方式</w:t>
      </w:r>
      <w:bookmarkEnd w:id="20"/>
      <w:bookmarkEnd w:id="21"/>
      <w:bookmarkEnd w:id="22"/>
      <w:bookmarkEnd w:id="23"/>
      <w:bookmarkEnd w:id="24"/>
    </w:p>
    <w:p>
      <w:pPr>
        <w:spacing w:line="560" w:lineRule="exact"/>
        <w:ind w:firstLine="480" w:firstLineChars="200"/>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1.5.1 履行期限</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1.5.2 履行地点</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1.5.3 履行方式：</w:t>
      </w:r>
      <w:r>
        <w:rPr>
          <w:rFonts w:ascii="楷体" w:hAnsi="楷体" w:eastAsia="楷体"/>
          <w:color w:val="000000" w:themeColor="text1"/>
          <w:sz w:val="24"/>
          <w:highlight w:val="none"/>
          <w:u w:val="single"/>
          <w14:textFill>
            <w14:solidFill>
              <w14:schemeClr w14:val="tx1"/>
            </w14:solidFill>
          </w14:textFill>
        </w:rPr>
        <w:t>　　　　　　　　　</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2" w:firstLineChars="200"/>
        <w:outlineLvl w:val="0"/>
        <w:rPr>
          <w:rFonts w:ascii="楷体" w:hAnsi="楷体" w:eastAsia="楷体"/>
          <w:color w:val="000000" w:themeColor="text1"/>
          <w:sz w:val="24"/>
          <w:highlight w:val="none"/>
          <w:u w:val="single"/>
          <w14:textFill>
            <w14:solidFill>
              <w14:schemeClr w14:val="tx1"/>
            </w14:solidFill>
          </w14:textFill>
        </w:rPr>
      </w:pPr>
      <w:bookmarkStart w:id="25" w:name="_Toc5698"/>
      <w:bookmarkStart w:id="26" w:name="_Toc2375"/>
      <w:bookmarkStart w:id="27" w:name="_Toc24662"/>
      <w:bookmarkStart w:id="28" w:name="_Toc3079"/>
      <w:bookmarkStart w:id="29" w:name="_Toc8586"/>
      <w:r>
        <w:rPr>
          <w:rFonts w:hint="eastAsia" w:ascii="楷体" w:hAnsi="楷体" w:eastAsia="楷体"/>
          <w:b/>
          <w:color w:val="000000" w:themeColor="text1"/>
          <w:sz w:val="24"/>
          <w:highlight w:val="none"/>
          <w14:textFill>
            <w14:solidFill>
              <w14:schemeClr w14:val="tx1"/>
            </w14:solidFill>
          </w14:textFill>
        </w:rPr>
        <w:t>1.6 违约责任</w:t>
      </w:r>
      <w:bookmarkEnd w:id="25"/>
      <w:bookmarkEnd w:id="26"/>
      <w:bookmarkEnd w:id="27"/>
      <w:bookmarkEnd w:id="28"/>
      <w:bookmarkEnd w:id="29"/>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1.6.1 </w:t>
      </w:r>
      <w:r>
        <w:rPr>
          <w:rFonts w:ascii="楷体" w:hAnsi="楷体" w:eastAsia="楷体"/>
          <w:color w:val="000000" w:themeColor="text1"/>
          <w:sz w:val="24"/>
          <w:highlight w:val="none"/>
          <w14:textFill>
            <w14:solidFill>
              <w14:schemeClr w14:val="tx1"/>
            </w14:solidFill>
          </w14:textFill>
        </w:rPr>
        <w:t>除不可抗力外，如果乙方没有按照本合同约定的期限</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地点和方式</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，那么甲方可要求乙方支付违约金</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违约金按每迟延</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一日的应提供而未</w:t>
      </w:r>
      <w:r>
        <w:rPr>
          <w:rFonts w:hint="eastAsia" w:ascii="楷体" w:hAnsi="楷体" w:eastAsia="楷体"/>
          <w:color w:val="000000" w:themeColor="text1"/>
          <w:sz w:val="24"/>
          <w:highlight w:val="none"/>
          <w14:textFill>
            <w14:solidFill>
              <w14:schemeClr w14:val="tx1"/>
            </w14:solidFill>
          </w14:textFill>
        </w:rPr>
        <w:t>提供</w:t>
      </w:r>
      <w:r>
        <w:rPr>
          <w:rFonts w:ascii="楷体" w:hAnsi="楷体" w:eastAsia="楷体"/>
          <w:color w:val="000000" w:themeColor="text1"/>
          <w:sz w:val="24"/>
          <w:highlight w:val="none"/>
          <w14:textFill>
            <w14:solidFill>
              <w14:schemeClr w14:val="tx1"/>
            </w14:solidFill>
          </w14:textFill>
        </w:rPr>
        <w:t>服务价格的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%计算</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最高限额为</w:t>
      </w:r>
      <w:r>
        <w:rPr>
          <w:rFonts w:hint="eastAsia" w:ascii="楷体" w:hAnsi="楷体" w:eastAsia="楷体"/>
          <w:color w:val="000000" w:themeColor="text1"/>
          <w:sz w:val="24"/>
          <w:highlight w:val="none"/>
          <w14:textFill>
            <w14:solidFill>
              <w14:schemeClr w14:val="tx1"/>
            </w14:solidFill>
          </w14:textFill>
        </w:rPr>
        <w:t>本</w:t>
      </w:r>
      <w:r>
        <w:rPr>
          <w:rFonts w:ascii="楷体" w:hAnsi="楷体" w:eastAsia="楷体"/>
          <w:color w:val="000000" w:themeColor="text1"/>
          <w:sz w:val="24"/>
          <w:highlight w:val="none"/>
          <w14:textFill>
            <w14:solidFill>
              <w14:schemeClr w14:val="tx1"/>
            </w14:solidFill>
          </w14:textFill>
        </w:rPr>
        <w:t>合同总价的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迟延</w:t>
      </w:r>
      <w:r>
        <w:rPr>
          <w:rFonts w:hint="eastAsia" w:ascii="楷体" w:hAnsi="楷体" w:eastAsia="楷体"/>
          <w:color w:val="000000" w:themeColor="text1"/>
          <w:sz w:val="24"/>
          <w:highlight w:val="none"/>
          <w14:textFill>
            <w14:solidFill>
              <w14:schemeClr w14:val="tx1"/>
            </w14:solidFill>
          </w14:textFill>
        </w:rPr>
        <w:t>履行</w:t>
      </w:r>
      <w:r>
        <w:rPr>
          <w:rFonts w:ascii="楷体" w:hAnsi="楷体" w:eastAsia="楷体"/>
          <w:color w:val="000000" w:themeColor="text1"/>
          <w:sz w:val="24"/>
          <w:highlight w:val="none"/>
          <w14:textFill>
            <w14:solidFill>
              <w14:schemeClr w14:val="tx1"/>
            </w14:solidFill>
          </w14:textFill>
        </w:rPr>
        <w:t>的违约金计算数额达到前述最高限额之日起</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甲方有权在要求乙方支付违约金的同时</w:t>
      </w:r>
      <w:r>
        <w:rPr>
          <w:rFonts w:hint="eastAsia" w:ascii="楷体" w:hAnsi="楷体" w:eastAsia="楷体"/>
          <w:color w:val="000000" w:themeColor="text1"/>
          <w:sz w:val="24"/>
          <w:highlight w:val="none"/>
          <w14:textFill>
            <w14:solidFill>
              <w14:schemeClr w14:val="tx1"/>
            </w14:solidFill>
          </w14:textFill>
        </w:rPr>
        <w:t>，书面通知乙方</w:t>
      </w:r>
      <w:r>
        <w:rPr>
          <w:rFonts w:ascii="楷体" w:hAnsi="楷体" w:eastAsia="楷体"/>
          <w:color w:val="000000" w:themeColor="text1"/>
          <w:sz w:val="24"/>
          <w:highlight w:val="none"/>
          <w14:textFill>
            <w14:solidFill>
              <w14:schemeClr w14:val="tx1"/>
            </w14:solidFill>
          </w14:textFill>
        </w:rPr>
        <w:t>解除本合同</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1.6.2 </w:t>
      </w:r>
      <w:r>
        <w:rPr>
          <w:rFonts w:ascii="楷体" w:hAnsi="楷体" w:eastAsia="楷体"/>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违约金按每迟延</w:t>
      </w:r>
      <w:r>
        <w:rPr>
          <w:rFonts w:hint="eastAsia" w:ascii="楷体" w:hAnsi="楷体" w:eastAsia="楷体"/>
          <w:color w:val="000000" w:themeColor="text1"/>
          <w:sz w:val="24"/>
          <w:highlight w:val="none"/>
          <w14:textFill>
            <w14:solidFill>
              <w14:schemeClr w14:val="tx1"/>
            </w14:solidFill>
          </w14:textFill>
        </w:rPr>
        <w:t>付款</w:t>
      </w:r>
      <w:r>
        <w:rPr>
          <w:rFonts w:ascii="楷体" w:hAnsi="楷体" w:eastAsia="楷体"/>
          <w:color w:val="000000" w:themeColor="text1"/>
          <w:sz w:val="24"/>
          <w:highlight w:val="none"/>
          <w14:textFill>
            <w14:solidFill>
              <w14:schemeClr w14:val="tx1"/>
            </w14:solidFill>
          </w14:textFill>
        </w:rPr>
        <w:t>一日的应付而未付款的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%计算</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最高限额为</w:t>
      </w:r>
      <w:r>
        <w:rPr>
          <w:rFonts w:hint="eastAsia" w:ascii="楷体" w:hAnsi="楷体" w:eastAsia="楷体"/>
          <w:color w:val="000000" w:themeColor="text1"/>
          <w:sz w:val="24"/>
          <w:highlight w:val="none"/>
          <w14:textFill>
            <w14:solidFill>
              <w14:schemeClr w14:val="tx1"/>
            </w14:solidFill>
          </w14:textFill>
        </w:rPr>
        <w:t>本</w:t>
      </w:r>
      <w:r>
        <w:rPr>
          <w:rFonts w:ascii="楷体" w:hAnsi="楷体" w:eastAsia="楷体"/>
          <w:color w:val="000000" w:themeColor="text1"/>
          <w:sz w:val="24"/>
          <w:highlight w:val="none"/>
          <w14:textFill>
            <w14:solidFill>
              <w14:schemeClr w14:val="tx1"/>
            </w14:solidFill>
          </w14:textFill>
        </w:rPr>
        <w:t>合同总价的</w:t>
      </w:r>
      <w:r>
        <w:rPr>
          <w:rFonts w:hint="eastAsia" w:ascii="楷体" w:hAnsi="楷体" w:eastAsia="楷体"/>
          <w:color w:val="000000" w:themeColor="text1"/>
          <w:sz w:val="24"/>
          <w:highlight w:val="none"/>
          <w:u w:val="single"/>
          <w14:textFill>
            <w14:solidFill>
              <w14:schemeClr w14:val="tx1"/>
            </w14:solidFill>
          </w14:textFill>
        </w:rPr>
        <w:t xml:space="preserve">     </w:t>
      </w:r>
      <w:r>
        <w:rPr>
          <w:rFonts w:ascii="楷体" w:hAnsi="楷体" w:eastAsia="楷体"/>
          <w:color w:val="000000" w:themeColor="text1"/>
          <w:sz w:val="24"/>
          <w:highlight w:val="none"/>
          <w14:textFill>
            <w14:solidFill>
              <w14:schemeClr w14:val="tx1"/>
            </w14:solidFill>
          </w14:textFill>
        </w:rPr>
        <w:t>%</w:t>
      </w:r>
      <w:r>
        <w:rPr>
          <w:rFonts w:hint="eastAsia" w:ascii="楷体" w:hAnsi="楷体" w:eastAsia="楷体"/>
          <w:color w:val="000000" w:themeColor="text1"/>
          <w:sz w:val="24"/>
          <w:highlight w:val="none"/>
          <w14:textFill>
            <w14:solidFill>
              <w14:schemeClr w14:val="tx1"/>
            </w14:solidFill>
          </w14:textFill>
        </w:rPr>
        <w:t>；</w:t>
      </w:r>
      <w:r>
        <w:rPr>
          <w:rFonts w:ascii="楷体" w:hAnsi="楷体" w:eastAsia="楷体"/>
          <w:color w:val="000000" w:themeColor="text1"/>
          <w:sz w:val="24"/>
          <w:highlight w:val="none"/>
          <w14:textFill>
            <w14:solidFill>
              <w14:schemeClr w14:val="tx1"/>
            </w14:solidFill>
          </w14:textFill>
        </w:rPr>
        <w:t>迟延</w:t>
      </w:r>
      <w:r>
        <w:rPr>
          <w:rFonts w:hint="eastAsia" w:ascii="楷体" w:hAnsi="楷体" w:eastAsia="楷体"/>
          <w:color w:val="000000" w:themeColor="text1"/>
          <w:sz w:val="24"/>
          <w:highlight w:val="none"/>
          <w14:textFill>
            <w14:solidFill>
              <w14:schemeClr w14:val="tx1"/>
            </w14:solidFill>
          </w14:textFill>
        </w:rPr>
        <w:t>付款</w:t>
      </w:r>
      <w:r>
        <w:rPr>
          <w:rFonts w:ascii="楷体" w:hAnsi="楷体" w:eastAsia="楷体"/>
          <w:color w:val="000000" w:themeColor="text1"/>
          <w:sz w:val="24"/>
          <w:highlight w:val="none"/>
          <w14:textFill>
            <w14:solidFill>
              <w14:schemeClr w14:val="tx1"/>
            </w14:solidFill>
          </w14:textFill>
        </w:rPr>
        <w:t>的违约金计算数额达到前述最高限额之日起</w:t>
      </w:r>
      <w:r>
        <w:rPr>
          <w:rFonts w:hint="eastAsia" w:ascii="楷体" w:hAnsi="楷体" w:eastAsia="楷体"/>
          <w:color w:val="000000" w:themeColor="text1"/>
          <w:sz w:val="24"/>
          <w:highlight w:val="none"/>
          <w14:textFill>
            <w14:solidFill>
              <w14:schemeClr w14:val="tx1"/>
            </w14:solidFill>
          </w14:textFill>
        </w:rPr>
        <w:t>，乙</w:t>
      </w:r>
      <w:r>
        <w:rPr>
          <w:rFonts w:ascii="楷体" w:hAnsi="楷体" w:eastAsia="楷体"/>
          <w:color w:val="000000" w:themeColor="text1"/>
          <w:sz w:val="24"/>
          <w:highlight w:val="none"/>
          <w14:textFill>
            <w14:solidFill>
              <w14:schemeClr w14:val="tx1"/>
            </w14:solidFill>
          </w14:textFill>
        </w:rPr>
        <w:t>方有权在要求甲方支付违约金的同时</w:t>
      </w:r>
      <w:r>
        <w:rPr>
          <w:rFonts w:hint="eastAsia" w:ascii="楷体" w:hAnsi="楷体" w:eastAsia="楷体"/>
          <w:color w:val="000000" w:themeColor="text1"/>
          <w:sz w:val="24"/>
          <w:highlight w:val="none"/>
          <w14:textFill>
            <w14:solidFill>
              <w14:schemeClr w14:val="tx1"/>
            </w14:solidFill>
          </w14:textFill>
        </w:rPr>
        <w:t>，书面通知甲方</w:t>
      </w:r>
      <w:r>
        <w:rPr>
          <w:rFonts w:ascii="楷体" w:hAnsi="楷体" w:eastAsia="楷体"/>
          <w:color w:val="000000" w:themeColor="text1"/>
          <w:sz w:val="24"/>
          <w:highlight w:val="none"/>
          <w14:textFill>
            <w14:solidFill>
              <w14:schemeClr w14:val="tx1"/>
            </w14:solidFill>
          </w14:textFill>
        </w:rPr>
        <w:t>解除本合同</w:t>
      </w:r>
      <w:r>
        <w:rPr>
          <w:rFonts w:hint="eastAsia" w:ascii="楷体" w:hAnsi="楷体" w:eastAsia="楷体"/>
          <w:color w:val="000000" w:themeColor="text1"/>
          <w:sz w:val="24"/>
          <w:highlight w:val="none"/>
          <w14:textFill>
            <w14:solidFill>
              <w14:schemeClr w14:val="tx1"/>
            </w14:solidFill>
          </w14:textFill>
        </w:rPr>
        <w:t>；</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30" w:name="_Toc26807"/>
      <w:bookmarkStart w:id="31" w:name="_Toc32454"/>
      <w:bookmarkStart w:id="32" w:name="_Toc18683"/>
      <w:bookmarkStart w:id="33" w:name="_Toc9497"/>
      <w:bookmarkStart w:id="34" w:name="_Toc30329"/>
      <w:r>
        <w:rPr>
          <w:rFonts w:hint="eastAsia" w:ascii="楷体" w:hAnsi="楷体" w:eastAsia="楷体"/>
          <w:b/>
          <w:color w:val="000000" w:themeColor="text1"/>
          <w:sz w:val="24"/>
          <w:highlight w:val="none"/>
          <w14:textFill>
            <w14:solidFill>
              <w14:schemeClr w14:val="tx1"/>
            </w14:solidFill>
          </w14:textFill>
        </w:rPr>
        <w:t>1.7 合同</w:t>
      </w:r>
      <w:r>
        <w:rPr>
          <w:rFonts w:ascii="楷体" w:hAnsi="楷体" w:eastAsia="楷体"/>
          <w:b/>
          <w:color w:val="000000" w:themeColor="text1"/>
          <w:sz w:val="24"/>
          <w:highlight w:val="none"/>
          <w14:textFill>
            <w14:solidFill>
              <w14:schemeClr w14:val="tx1"/>
            </w14:solidFill>
          </w14:textFill>
        </w:rPr>
        <w:t>争议的解决</w:t>
      </w:r>
      <w:bookmarkEnd w:id="30"/>
      <w:bookmarkEnd w:id="31"/>
      <w:bookmarkEnd w:id="32"/>
      <w:bookmarkEnd w:id="33"/>
      <w:bookmarkEnd w:id="34"/>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本合</w:t>
      </w:r>
      <w:r>
        <w:rPr>
          <w:rFonts w:ascii="楷体" w:hAnsi="楷体" w:eastAsia="楷体"/>
          <w:color w:val="000000" w:themeColor="text1"/>
          <w:sz w:val="24"/>
          <w:highlight w:val="none"/>
          <w14:textFill>
            <w14:solidFill>
              <w14:schemeClr w14:val="tx1"/>
            </w14:solidFill>
          </w14:textFill>
        </w:rPr>
        <w:t>同履行过程中发生的任何争议，双方当事人均可</w:t>
      </w:r>
      <w:r>
        <w:rPr>
          <w:rFonts w:hint="eastAsia" w:ascii="楷体" w:hAnsi="楷体" w:eastAsia="楷体"/>
          <w:color w:val="000000" w:themeColor="text1"/>
          <w:sz w:val="24"/>
          <w:highlight w:val="none"/>
          <w14:textFill>
            <w14:solidFill>
              <w14:schemeClr w14:val="tx1"/>
            </w14:solidFill>
          </w14:textFill>
        </w:rPr>
        <w:t>通过和解或者调解解决；不愿和解、调解或者和解、调解不成的，可以选择下列第</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种方式解决：</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1.7.1 将争议提交</w:t>
      </w:r>
      <w:r>
        <w:rPr>
          <w:rFonts w:hint="eastAsia" w:ascii="楷体" w:hAnsi="楷体" w:eastAsia="楷体"/>
          <w:color w:val="000000" w:themeColor="text1"/>
          <w:sz w:val="24"/>
          <w:highlight w:val="none"/>
          <w:u w:val="single"/>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仲裁委员会依申请仲裁时其现行有效的仲裁规则裁决；</w:t>
      </w:r>
    </w:p>
    <w:p>
      <w:pPr>
        <w:spacing w:line="560" w:lineRule="exact"/>
        <w:ind w:firstLine="480" w:firstLineChars="200"/>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1.7.2 向</w:t>
      </w:r>
      <w:r>
        <w:rPr>
          <w:rFonts w:hint="eastAsia" w:ascii="楷体" w:hAnsi="楷体" w:eastAsia="楷体"/>
          <w:color w:val="000000" w:themeColor="text1"/>
          <w:sz w:val="24"/>
          <w:highlight w:val="none"/>
          <w:u w:val="single"/>
          <w14:textFill>
            <w14:solidFill>
              <w14:schemeClr w14:val="tx1"/>
            </w14:solidFill>
          </w14:textFill>
        </w:rPr>
        <w:t xml:space="preserve">   （被告住所地、合同履行地、合同签订地、原告住所地、标的物所在地等与争议有实际联系的地点中选出的人民法院名称）    </w:t>
      </w:r>
      <w:r>
        <w:rPr>
          <w:rFonts w:hint="eastAsia" w:ascii="楷体" w:hAnsi="楷体" w:eastAsia="楷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楷体" w:hAnsi="楷体" w:eastAsia="楷体"/>
          <w:b/>
          <w:color w:val="000000" w:themeColor="text1"/>
          <w:sz w:val="24"/>
          <w:highlight w:val="none"/>
          <w14:textFill>
            <w14:solidFill>
              <w14:schemeClr w14:val="tx1"/>
            </w14:solidFill>
          </w14:textFill>
        </w:rPr>
      </w:pPr>
      <w:bookmarkStart w:id="35" w:name="_Toc23784"/>
      <w:bookmarkStart w:id="36" w:name="_Toc12273"/>
      <w:bookmarkStart w:id="37" w:name="_Toc16417"/>
      <w:bookmarkStart w:id="38" w:name="_Toc15827"/>
      <w:bookmarkStart w:id="39" w:name="_Toc26227"/>
      <w:r>
        <w:rPr>
          <w:rFonts w:hint="eastAsia" w:ascii="楷体" w:hAnsi="楷体" w:eastAsia="楷体"/>
          <w:b/>
          <w:color w:val="000000" w:themeColor="text1"/>
          <w:sz w:val="24"/>
          <w:highlight w:val="none"/>
          <w14:textFill>
            <w14:solidFill>
              <w14:schemeClr w14:val="tx1"/>
            </w14:solidFill>
          </w14:textFill>
        </w:rPr>
        <w:t xml:space="preserve">1.8 </w:t>
      </w:r>
      <w:r>
        <w:rPr>
          <w:rFonts w:ascii="楷体" w:hAnsi="楷体" w:eastAsia="楷体"/>
          <w:b/>
          <w:color w:val="000000" w:themeColor="text1"/>
          <w:sz w:val="24"/>
          <w:highlight w:val="none"/>
          <w14:textFill>
            <w14:solidFill>
              <w14:schemeClr w14:val="tx1"/>
            </w14:solidFill>
          </w14:textFill>
        </w:rPr>
        <w:t>合同生效</w:t>
      </w:r>
      <w:bookmarkEnd w:id="35"/>
      <w:bookmarkEnd w:id="36"/>
      <w:bookmarkEnd w:id="37"/>
      <w:bookmarkEnd w:id="38"/>
      <w:bookmarkEnd w:id="39"/>
    </w:p>
    <w:p>
      <w:pPr>
        <w:spacing w:line="560" w:lineRule="exact"/>
        <w:ind w:firstLine="480" w:firstLineChars="200"/>
        <w:rPr>
          <w:rFonts w:ascii="楷体" w:hAnsi="楷体" w:eastAsia="楷体"/>
          <w:b/>
          <w:color w:val="000000" w:themeColor="text1"/>
          <w:sz w:val="24"/>
          <w:highlight w:val="none"/>
          <w14:textFill>
            <w14:solidFill>
              <w14:schemeClr w14:val="tx1"/>
            </w14:solidFill>
          </w14:textFill>
        </w:rPr>
      </w:pPr>
      <w:r>
        <w:rPr>
          <w:rFonts w:ascii="楷体" w:hAnsi="楷体" w:eastAsia="楷体"/>
          <w:color w:val="000000" w:themeColor="text1"/>
          <w:sz w:val="24"/>
          <w:highlight w:val="none"/>
          <w14:textFill>
            <w14:solidFill>
              <w14:schemeClr w14:val="tx1"/>
            </w14:solidFill>
          </w14:textFill>
        </w:rPr>
        <w:t>本合同自</w:t>
      </w:r>
      <w:r>
        <w:rPr>
          <w:rFonts w:hint="eastAsia" w:ascii="楷体" w:hAnsi="楷体" w:eastAsia="楷体"/>
          <w:color w:val="000000" w:themeColor="text1"/>
          <w:sz w:val="24"/>
          <w:highlight w:val="none"/>
          <w14:textFill>
            <w14:solidFill>
              <w14:schemeClr w14:val="tx1"/>
            </w14:solidFill>
          </w14:textFill>
        </w:rPr>
        <w:t>双方当事人盖章或者签字时</w:t>
      </w:r>
      <w:r>
        <w:rPr>
          <w:rFonts w:ascii="楷体" w:hAnsi="楷体" w:eastAsia="楷体"/>
          <w:color w:val="000000" w:themeColor="text1"/>
          <w:sz w:val="24"/>
          <w:highlight w:val="none"/>
          <w14:textFill>
            <w14:solidFill>
              <w14:schemeClr w14:val="tx1"/>
            </w14:solidFill>
          </w14:textFill>
        </w:rPr>
        <w:t>生效。</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b/>
          <w:color w:val="000000" w:themeColor="text1"/>
          <w:sz w:val="24"/>
          <w:highlight w:val="none"/>
          <w:lang w:val="zh-CN"/>
          <w14:textFill>
            <w14:solidFill>
              <w14:schemeClr w14:val="tx1"/>
            </w14:solidFill>
          </w14:textFill>
        </w:rPr>
        <w:t>甲方</w:t>
      </w:r>
      <w:r>
        <w:rPr>
          <w:rFonts w:hint="eastAsia" w:ascii="楷体" w:hAnsi="楷体" w:eastAsia="楷体"/>
          <w:color w:val="000000" w:themeColor="text1"/>
          <w:sz w:val="24"/>
          <w:highlight w:val="none"/>
          <w:lang w:val="zh-CN"/>
          <w14:textFill>
            <w14:solidFill>
              <w14:schemeClr w14:val="tx1"/>
            </w14:solidFill>
          </w14:textFill>
        </w:rPr>
        <w:t xml:space="preserve">：                             </w:t>
      </w:r>
      <w:r>
        <w:rPr>
          <w:rFonts w:hint="eastAsia" w:ascii="楷体" w:hAnsi="楷体" w:eastAsia="楷体"/>
          <w:b/>
          <w:color w:val="000000" w:themeColor="text1"/>
          <w:sz w:val="24"/>
          <w:highlight w:val="none"/>
          <w:lang w:val="zh-CN"/>
          <w14:textFill>
            <w14:solidFill>
              <w14:schemeClr w14:val="tx1"/>
            </w14:solidFill>
          </w14:textFill>
        </w:rPr>
        <w:t xml:space="preserve">      乙方</w:t>
      </w:r>
      <w:r>
        <w:rPr>
          <w:rFonts w:hint="eastAsia" w:ascii="楷体" w:hAnsi="楷体" w:eastAsia="楷体"/>
          <w:color w:val="000000" w:themeColor="text1"/>
          <w:sz w:val="24"/>
          <w:highlight w:val="none"/>
          <w:lang w:val="zh-CN"/>
          <w14:textFill>
            <w14:solidFill>
              <w14:schemeClr w14:val="tx1"/>
            </w14:solidFill>
          </w14:textFill>
        </w:rPr>
        <w:t>：</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住所：                                   住所：</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法定代表人或                             法定代表人</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 xml:space="preserve">授权代表（签字）：                        或授权代表（签字）: </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联系人：                                 联系人：</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约定送达地址：                           约定送达地址：</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邮政编码：                               邮政编码：</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 xml:space="preserve">电话:                                    电话: </w:t>
      </w:r>
    </w:p>
    <w:p>
      <w:pPr>
        <w:autoSpaceDE w:val="0"/>
        <w:autoSpaceDN w:val="0"/>
        <w:adjustRightInd w:val="0"/>
        <w:spacing w:line="560" w:lineRule="exact"/>
        <w:rPr>
          <w:rFonts w:ascii="楷体" w:hAnsi="楷体" w:eastAsia="楷体"/>
          <w:color w:val="000000" w:themeColor="text1"/>
          <w:sz w:val="24"/>
          <w:highlight w:val="none"/>
          <w:lang w:val="zh-CN"/>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传真:                                    传真:</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lang w:val="zh-CN"/>
          <w14:textFill>
            <w14:solidFill>
              <w14:schemeClr w14:val="tx1"/>
            </w14:solidFill>
          </w14:textFill>
        </w:rPr>
        <w:t>电子邮箱：                               电子邮箱：</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开户银行：                               开户银行： </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 xml:space="preserve">开户名称：                               开户名称： </w:t>
      </w:r>
    </w:p>
    <w:p>
      <w:pPr>
        <w:autoSpaceDE w:val="0"/>
        <w:autoSpaceDN w:val="0"/>
        <w:adjustRightInd w:val="0"/>
        <w:spacing w:line="560" w:lineRule="exact"/>
        <w:rPr>
          <w:rFonts w:ascii="楷体" w:hAnsi="楷体" w:eastAsia="楷体"/>
          <w:color w:val="000000" w:themeColor="text1"/>
          <w:sz w:val="24"/>
          <w:highlight w:val="non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开户账号：</w:t>
      </w:r>
      <w:r>
        <w:rPr>
          <w:rFonts w:hint="eastAsia" w:ascii="楷体" w:hAnsi="楷体" w:eastAsia="楷体"/>
          <w:color w:val="000000" w:themeColor="text1"/>
          <w:sz w:val="24"/>
          <w:highlight w:val="none"/>
          <w:lang w:val="zh-CN"/>
          <w14:textFill>
            <w14:solidFill>
              <w14:schemeClr w14:val="tx1"/>
            </w14:solidFill>
          </w14:textFill>
        </w:rPr>
        <w:t xml:space="preserve">                               </w:t>
      </w:r>
      <w:r>
        <w:rPr>
          <w:rFonts w:hint="eastAsia" w:ascii="楷体" w:hAnsi="楷体" w:eastAsia="楷体"/>
          <w:color w:val="000000" w:themeColor="text1"/>
          <w:sz w:val="24"/>
          <w:highlight w:val="none"/>
          <w14:textFill>
            <w14:solidFill>
              <w14:schemeClr w14:val="tx1"/>
            </w14:solidFill>
          </w14:textFill>
        </w:rPr>
        <w:t>开户账号：</w:t>
      </w:r>
    </w:p>
    <w:p>
      <w:pPr>
        <w:widowControl/>
        <w:spacing w:line="560" w:lineRule="exact"/>
        <w:jc w:val="left"/>
        <w:rPr>
          <w:rFonts w:ascii="楷体" w:hAnsi="楷体" w:eastAsia="楷体"/>
          <w:b/>
          <w:color w:val="000000" w:themeColor="text1"/>
          <w:highlight w:val="none"/>
          <w14:textFill>
            <w14:solidFill>
              <w14:schemeClr w14:val="tx1"/>
            </w14:solidFill>
          </w14:textFill>
        </w:rPr>
      </w:pPr>
      <w:bookmarkStart w:id="40" w:name="_Toc331685783"/>
    </w:p>
    <w:p>
      <w:pPr>
        <w:widowControl/>
        <w:spacing w:line="560" w:lineRule="exact"/>
        <w:jc w:val="left"/>
        <w:rPr>
          <w:rFonts w:ascii="楷体" w:hAnsi="楷体" w:eastAsia="楷体"/>
          <w:b/>
          <w:color w:val="000000" w:themeColor="text1"/>
          <w:highlight w:val="none"/>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widowControl/>
        <w:spacing w:line="560" w:lineRule="exact"/>
        <w:jc w:val="left"/>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rFonts w:ascii="楷体" w:hAnsi="楷体" w:eastAsia="楷体"/>
          <w:b/>
          <w:color w:val="000000" w:themeColor="text1"/>
          <w:kern w:val="0"/>
          <w:sz w:val="24"/>
          <w14:textFill>
            <w14:solidFill>
              <w14:schemeClr w14:val="tx1"/>
            </w14:solidFill>
          </w14:textFill>
        </w:rPr>
      </w:pPr>
    </w:p>
    <w:p>
      <w:pPr>
        <w:pStyle w:val="2"/>
        <w:rPr>
          <w:rFonts w:ascii="楷体" w:hAnsi="楷体" w:eastAsia="楷体"/>
          <w:b/>
          <w:color w:val="000000" w:themeColor="text1"/>
          <w:kern w:val="0"/>
          <w:sz w:val="24"/>
          <w14:textFill>
            <w14:solidFill>
              <w14:schemeClr w14:val="tx1"/>
            </w14:solidFill>
          </w14:textFill>
        </w:rPr>
      </w:pPr>
    </w:p>
    <w:p>
      <w:pPr>
        <w:rPr>
          <w:color w:val="000000" w:themeColor="text1"/>
          <w14:textFill>
            <w14:solidFill>
              <w14:schemeClr w14:val="tx1"/>
            </w14:solidFill>
          </w14:textFill>
        </w:rPr>
      </w:pPr>
    </w:p>
    <w:p>
      <w:pPr>
        <w:pStyle w:val="85"/>
        <w:spacing w:line="560" w:lineRule="exact"/>
        <w:ind w:firstLine="200"/>
        <w:jc w:val="center"/>
        <w:rPr>
          <w:rFonts w:ascii="楷体" w:hAnsi="楷体" w:eastAsia="楷体"/>
          <w:b/>
          <w:color w:val="000000" w:themeColor="text1"/>
          <w:szCs w:val="24"/>
          <w14:textFill>
            <w14:solidFill>
              <w14:schemeClr w14:val="tx1"/>
            </w14:solidFill>
          </w14:textFill>
        </w:rPr>
      </w:pPr>
      <w:r>
        <w:rPr>
          <w:rFonts w:hint="eastAsia" w:ascii="楷体" w:hAnsi="楷体" w:eastAsia="楷体"/>
          <w:b/>
          <w:color w:val="000000" w:themeColor="text1"/>
          <w:szCs w:val="24"/>
          <w14:textFill>
            <w14:solidFill>
              <w14:schemeClr w14:val="tx1"/>
            </w14:solidFill>
          </w14:textFill>
        </w:rPr>
        <w:t>第二部分 合同一般条款</w:t>
      </w:r>
      <w:bookmarkEnd w:id="40"/>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41" w:name="_Toc25079"/>
      <w:bookmarkStart w:id="42" w:name="_Toc279701240"/>
      <w:bookmarkStart w:id="43" w:name="_Ref467379094"/>
      <w:bookmarkStart w:id="44" w:name="_Toc259093669"/>
      <w:bookmarkStart w:id="45" w:name="_Ref467379205"/>
      <w:bookmarkStart w:id="46" w:name="_Ref467379195"/>
      <w:bookmarkStart w:id="47" w:name="_Toc487900349"/>
      <w:bookmarkStart w:id="48" w:name="_Toc14021"/>
      <w:bookmarkStart w:id="49" w:name="_Toc5228"/>
      <w:bookmarkStart w:id="50" w:name="_Ref467379101"/>
      <w:bookmarkStart w:id="51" w:name="_Ref467379214"/>
      <w:bookmarkStart w:id="52" w:name="_Ref467378463"/>
      <w:bookmarkStart w:id="53" w:name="_Ref467379109"/>
      <w:bookmarkStart w:id="54" w:name="_Toc31297"/>
      <w:bookmarkStart w:id="55" w:name="_Ref467378499"/>
      <w:bookmarkStart w:id="56" w:name="_Ref467379225"/>
      <w:bookmarkStart w:id="57" w:name="_Ref467378404"/>
      <w:bookmarkStart w:id="58" w:name="_Toc19680"/>
      <w:r>
        <w:rPr>
          <w:rFonts w:hint="eastAsia" w:ascii="楷体" w:hAnsi="楷体" w:eastAsia="楷体"/>
          <w:b/>
          <w:color w:val="000000" w:themeColor="text1"/>
          <w:sz w:val="24"/>
          <w14:textFill>
            <w14:solidFill>
              <w14:schemeClr w14:val="tx1"/>
            </w14:solidFill>
          </w14:textFill>
        </w:rPr>
        <w:t xml:space="preserve">2.1 </w:t>
      </w:r>
      <w:r>
        <w:rPr>
          <w:rFonts w:ascii="楷体" w:hAnsi="楷体" w:eastAsia="楷体"/>
          <w:b/>
          <w:color w:val="000000" w:themeColor="text1"/>
          <w:sz w:val="24"/>
          <w14:textFill>
            <w14:solidFill>
              <w14:schemeClr w14:val="tx1"/>
            </w14:solidFill>
          </w14:textFill>
        </w:rPr>
        <w:t>定义</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本合同中的下列</w:t>
      </w:r>
      <w:r>
        <w:rPr>
          <w:rFonts w:hint="eastAsia" w:ascii="楷体" w:hAnsi="楷体" w:eastAsia="楷体"/>
          <w:color w:val="000000" w:themeColor="text1"/>
          <w:sz w:val="24"/>
          <w14:textFill>
            <w14:solidFill>
              <w14:schemeClr w14:val="tx1"/>
            </w14:solidFill>
          </w14:textFill>
        </w:rPr>
        <w:t>词</w:t>
      </w:r>
      <w:r>
        <w:rPr>
          <w:rFonts w:ascii="楷体" w:hAnsi="楷体" w:eastAsia="楷体"/>
          <w:color w:val="000000" w:themeColor="text1"/>
          <w:sz w:val="24"/>
          <w14:textFill>
            <w14:solidFill>
              <w14:schemeClr w14:val="tx1"/>
            </w14:solidFill>
          </w14:textFill>
        </w:rPr>
        <w:t>语应</w:t>
      </w:r>
      <w:r>
        <w:rPr>
          <w:rFonts w:hint="eastAsia" w:ascii="楷体" w:hAnsi="楷体" w:eastAsia="楷体"/>
          <w:color w:val="000000" w:themeColor="text1"/>
          <w:sz w:val="24"/>
          <w14:textFill>
            <w14:solidFill>
              <w14:schemeClr w14:val="tx1"/>
            </w14:solidFill>
          </w14:textFill>
        </w:rPr>
        <w:t>按以下内容进行</w:t>
      </w:r>
      <w:r>
        <w:rPr>
          <w:rFonts w:ascii="楷体" w:hAnsi="楷体" w:eastAsia="楷体"/>
          <w:color w:val="000000" w:themeColor="text1"/>
          <w:sz w:val="24"/>
          <w14:textFill>
            <w14:solidFill>
              <w14:schemeClr w14:val="tx1"/>
            </w14:solidFill>
          </w14:textFill>
        </w:rPr>
        <w:t>解释：</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1.2 “合同价”系指根据合同约定，中标供应商在完全履行合同义务后</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采购人应支付给中标供应商的价格。</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1.3 “</w:t>
      </w:r>
      <w:r>
        <w:rPr>
          <w:rFonts w:hint="eastAsia" w:ascii="楷体" w:hAnsi="楷体" w:eastAsia="楷体"/>
          <w:color w:val="000000" w:themeColor="text1"/>
          <w:sz w:val="24"/>
          <w14:textFill>
            <w14:solidFill>
              <w14:schemeClr w14:val="tx1"/>
            </w14:solidFill>
          </w14:textFill>
        </w:rPr>
        <w:t>服务</w:t>
      </w:r>
      <w:r>
        <w:rPr>
          <w:rFonts w:ascii="楷体" w:hAnsi="楷体" w:eastAsia="楷体"/>
          <w:color w:val="000000" w:themeColor="text1"/>
          <w:sz w:val="24"/>
          <w14:textFill>
            <w14:solidFill>
              <w14:schemeClr w14:val="tx1"/>
            </w14:solidFill>
          </w14:textFill>
        </w:rPr>
        <w:t>”系指</w:t>
      </w:r>
      <w:r>
        <w:rPr>
          <w:rFonts w:hint="eastAsia" w:ascii="楷体" w:hAnsi="楷体" w:eastAsia="楷体"/>
          <w:color w:val="000000" w:themeColor="text1"/>
          <w:sz w:val="24"/>
          <w14:textFill>
            <w14:solidFill>
              <w14:schemeClr w14:val="tx1"/>
            </w14:solidFill>
          </w14:textFill>
        </w:rPr>
        <w:t>中标供应商</w:t>
      </w:r>
      <w:r>
        <w:rPr>
          <w:rFonts w:ascii="楷体" w:hAnsi="楷体" w:eastAsia="楷体"/>
          <w:color w:val="000000" w:themeColor="text1"/>
          <w:sz w:val="24"/>
          <w14:textFill>
            <w14:solidFill>
              <w14:schemeClr w14:val="tx1"/>
            </w14:solidFill>
          </w14:textFill>
        </w:rPr>
        <w:t>根据合同约定应向采购人</w:t>
      </w:r>
      <w:r>
        <w:rPr>
          <w:rFonts w:hint="eastAsia" w:ascii="楷体" w:hAnsi="楷体" w:eastAsia="楷体"/>
          <w:color w:val="000000" w:themeColor="text1"/>
          <w:sz w:val="24"/>
          <w14:textFill>
            <w14:solidFill>
              <w14:schemeClr w14:val="tx1"/>
            </w14:solidFill>
          </w14:textFill>
        </w:rPr>
        <w:t>履行</w:t>
      </w:r>
      <w:r>
        <w:rPr>
          <w:rFonts w:ascii="楷体" w:hAnsi="楷体" w:eastAsia="楷体"/>
          <w:color w:val="000000" w:themeColor="text1"/>
          <w:sz w:val="24"/>
          <w14:textFill>
            <w14:solidFill>
              <w14:schemeClr w14:val="tx1"/>
            </w14:solidFill>
          </w14:textFill>
        </w:rPr>
        <w:t>的</w:t>
      </w:r>
      <w:r>
        <w:rPr>
          <w:rFonts w:hint="eastAsia" w:ascii="楷体" w:hAnsi="楷体" w:eastAsia="楷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59" w:name="_Ref467378840"/>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甲方</w:t>
      </w:r>
      <w:r>
        <w:rPr>
          <w:rFonts w:ascii="楷体" w:hAnsi="楷体" w:eastAsia="楷体"/>
          <w:color w:val="000000" w:themeColor="text1"/>
          <w:sz w:val="24"/>
          <w14:textFill>
            <w14:solidFill>
              <w14:schemeClr w14:val="tx1"/>
            </w14:solidFill>
          </w14:textFill>
        </w:rPr>
        <w:t>”系指与</w:t>
      </w:r>
      <w:r>
        <w:rPr>
          <w:rFonts w:hint="eastAsia" w:ascii="楷体" w:hAnsi="楷体" w:eastAsia="楷体"/>
          <w:color w:val="000000" w:themeColor="text1"/>
          <w:sz w:val="24"/>
          <w14:textFill>
            <w14:solidFill>
              <w14:schemeClr w14:val="tx1"/>
            </w14:solidFill>
          </w14:textFill>
        </w:rPr>
        <w:t>中标供应商</w:t>
      </w:r>
      <w:r>
        <w:rPr>
          <w:rFonts w:ascii="楷体" w:hAnsi="楷体" w:eastAsia="楷体"/>
          <w:color w:val="000000" w:themeColor="text1"/>
          <w:sz w:val="24"/>
          <w14:textFill>
            <w14:solidFill>
              <w14:schemeClr w14:val="tx1"/>
            </w14:solidFill>
          </w14:textFill>
        </w:rPr>
        <w:t>签署合同的采购人</w:t>
      </w:r>
      <w:bookmarkEnd w:id="59"/>
      <w:r>
        <w:rPr>
          <w:rFonts w:hint="eastAsia" w:ascii="楷体" w:hAnsi="楷体" w:eastAsia="楷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60" w:name="_Ref467379400"/>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 xml:space="preserve"> “乙方”系指根据合同约定提供服务的中标供应商</w:t>
      </w:r>
      <w:bookmarkEnd w:id="60"/>
      <w:r>
        <w:rPr>
          <w:rFonts w:hint="eastAsia" w:ascii="楷体" w:hAnsi="楷体" w:eastAsia="楷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61" w:name="_Ref467379436"/>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6</w:t>
      </w:r>
      <w:r>
        <w:rPr>
          <w:rFonts w:ascii="楷体" w:hAnsi="楷体" w:eastAsia="楷体"/>
          <w:color w:val="000000" w:themeColor="text1"/>
          <w:sz w:val="24"/>
          <w14:textFill>
            <w14:solidFill>
              <w14:schemeClr w14:val="tx1"/>
            </w14:solidFill>
          </w14:textFill>
        </w:rPr>
        <w:t xml:space="preserve"> “现场”系指合同约定提供服务的地点。</w:t>
      </w:r>
      <w:bookmarkEnd w:id="61"/>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62" w:name="_Toc259093670"/>
      <w:bookmarkStart w:id="63" w:name="_Toc31402"/>
      <w:bookmarkStart w:id="64" w:name="_Toc16752"/>
      <w:bookmarkStart w:id="65" w:name="_Toc279701241"/>
      <w:bookmarkStart w:id="66" w:name="_Toc23289"/>
      <w:bookmarkStart w:id="67" w:name="_Toc3769"/>
      <w:bookmarkStart w:id="68" w:name="_Toc487900350"/>
      <w:bookmarkStart w:id="69" w:name="_Toc19539"/>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2</w:t>
      </w:r>
      <w:r>
        <w:rPr>
          <w:rFonts w:hint="eastAsia" w:ascii="楷体" w:hAnsi="楷体" w:eastAsia="楷体"/>
          <w:b/>
          <w:color w:val="000000" w:themeColor="text1"/>
          <w:sz w:val="24"/>
          <w14:textFill>
            <w14:solidFill>
              <w14:schemeClr w14:val="tx1"/>
            </w14:solidFill>
          </w14:textFill>
        </w:rPr>
        <w:t xml:space="preserve"> </w:t>
      </w:r>
      <w:r>
        <w:rPr>
          <w:rFonts w:ascii="楷体" w:hAnsi="楷体" w:eastAsia="楷体"/>
          <w:b/>
          <w:color w:val="000000" w:themeColor="text1"/>
          <w:sz w:val="24"/>
          <w14:textFill>
            <w14:solidFill>
              <w14:schemeClr w14:val="tx1"/>
            </w14:solidFill>
          </w14:textFill>
        </w:rPr>
        <w:t>技术规范</w:t>
      </w:r>
      <w:bookmarkEnd w:id="62"/>
      <w:bookmarkEnd w:id="63"/>
      <w:bookmarkEnd w:id="64"/>
      <w:bookmarkEnd w:id="65"/>
      <w:bookmarkEnd w:id="66"/>
      <w:bookmarkEnd w:id="67"/>
      <w:bookmarkEnd w:id="68"/>
      <w:bookmarkEnd w:id="6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服务</w:t>
      </w:r>
      <w:r>
        <w:rPr>
          <w:rFonts w:ascii="楷体" w:hAnsi="楷体" w:eastAsia="楷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楷体" w:hAnsi="楷体" w:eastAsia="楷体"/>
          <w:color w:val="000000" w:themeColor="text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规范为准。</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70" w:name="_Toc27945"/>
      <w:bookmarkStart w:id="71" w:name="_Toc279701242"/>
      <w:bookmarkStart w:id="72" w:name="_Toc259093671"/>
      <w:bookmarkStart w:id="73" w:name="_Toc4133"/>
      <w:bookmarkStart w:id="74" w:name="_Toc13673"/>
      <w:bookmarkStart w:id="75" w:name="_Toc487900351"/>
      <w:bookmarkStart w:id="76" w:name="_Toc12412"/>
      <w:bookmarkStart w:id="77" w:name="_Toc9161"/>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3</w:t>
      </w:r>
      <w:r>
        <w:rPr>
          <w:rFonts w:hint="eastAsia" w:ascii="楷体" w:hAnsi="楷体" w:eastAsia="楷体"/>
          <w:b/>
          <w:color w:val="000000" w:themeColor="text1"/>
          <w:sz w:val="24"/>
          <w14:textFill>
            <w14:solidFill>
              <w14:schemeClr w14:val="tx1"/>
            </w14:solidFill>
          </w14:textFill>
        </w:rPr>
        <w:t xml:space="preserve"> </w:t>
      </w:r>
      <w:r>
        <w:rPr>
          <w:rFonts w:ascii="楷体" w:hAnsi="楷体" w:eastAsia="楷体"/>
          <w:b/>
          <w:color w:val="000000" w:themeColor="text1"/>
          <w:sz w:val="24"/>
          <w14:textFill>
            <w14:solidFill>
              <w14:schemeClr w14:val="tx1"/>
            </w14:solidFill>
          </w14:textFill>
        </w:rPr>
        <w:t>知识产权</w:t>
      </w:r>
      <w:bookmarkEnd w:id="70"/>
      <w:bookmarkEnd w:id="71"/>
      <w:bookmarkEnd w:id="72"/>
      <w:bookmarkEnd w:id="73"/>
      <w:bookmarkEnd w:id="74"/>
      <w:bookmarkEnd w:id="75"/>
      <w:bookmarkEnd w:id="76"/>
      <w:bookmarkEnd w:id="77"/>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2.3.1 乙</w:t>
      </w:r>
      <w:r>
        <w:rPr>
          <w:rFonts w:ascii="楷体" w:hAnsi="楷体" w:eastAsia="楷体"/>
          <w:color w:val="000000" w:themeColor="text1"/>
          <w:sz w:val="24"/>
          <w14:textFill>
            <w14:solidFill>
              <w14:schemeClr w14:val="tx1"/>
            </w14:solidFill>
          </w14:textFill>
        </w:rPr>
        <w:t>方应保证</w:t>
      </w:r>
      <w:r>
        <w:rPr>
          <w:rFonts w:hint="eastAsia" w:ascii="楷体" w:hAnsi="楷体" w:eastAsia="楷体"/>
          <w:color w:val="000000" w:themeColor="text1"/>
          <w:sz w:val="24"/>
          <w14:textFill>
            <w14:solidFill>
              <w14:schemeClr w14:val="tx1"/>
            </w14:solidFill>
          </w14:textFill>
        </w:rPr>
        <w:t>其提供的服务</w:t>
      </w:r>
      <w:r>
        <w:rPr>
          <w:rFonts w:ascii="楷体" w:hAnsi="楷体" w:eastAsia="楷体"/>
          <w:color w:val="000000" w:themeColor="text1"/>
          <w:sz w:val="24"/>
          <w14:textFill>
            <w14:solidFill>
              <w14:schemeClr w14:val="tx1"/>
            </w14:solidFill>
          </w14:textFill>
        </w:rPr>
        <w:t>不受任何第三方提出的侵犯其著作权、商标权、专利权等知识产权方面的起诉</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如果任何第三方提出侵权</w:t>
      </w:r>
      <w:r>
        <w:rPr>
          <w:rFonts w:hint="eastAsia" w:ascii="楷体" w:hAnsi="楷体" w:eastAsia="楷体"/>
          <w:color w:val="000000" w:themeColor="text1"/>
          <w:sz w:val="24"/>
          <w14:textFill>
            <w14:solidFill>
              <w14:schemeClr w14:val="tx1"/>
            </w14:solidFill>
          </w14:textFill>
        </w:rPr>
        <w:t>指控</w:t>
      </w:r>
      <w:r>
        <w:rPr>
          <w:rFonts w:ascii="楷体" w:hAnsi="楷体" w:eastAsia="楷体"/>
          <w:color w:val="000000" w:themeColor="text1"/>
          <w:sz w:val="24"/>
          <w14:textFill>
            <w14:solidFill>
              <w14:schemeClr w14:val="tx1"/>
            </w14:solidFill>
          </w14:textFill>
        </w:rPr>
        <w:t>，那么乙方须与该第三方交涉并承担由此发生的一切责任、费用和赔偿</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2.3.2 合同涉及技术成果的归属和收益的分成办法的，</w:t>
      </w:r>
      <w:r>
        <w:rPr>
          <w:rFonts w:ascii="楷体" w:hAnsi="楷体" w:eastAsia="楷体"/>
          <w:color w:val="000000" w:themeColor="text1"/>
          <w:sz w:val="24"/>
          <w14:textFill>
            <w14:solidFill>
              <w14:schemeClr w14:val="tx1"/>
            </w14:solidFill>
          </w14:textFill>
        </w:rPr>
        <w:t>详见</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w:t>
      </w:r>
    </w:p>
    <w:p>
      <w:pPr>
        <w:spacing w:line="560" w:lineRule="exact"/>
        <w:ind w:firstLine="482" w:firstLineChars="200"/>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2.4 履约检查和问题反馈</w:t>
      </w:r>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78" w:name="_Ref467379657"/>
      <w:r>
        <w:rPr>
          <w:rFonts w:hint="eastAsia" w:ascii="楷体" w:hAnsi="楷体" w:eastAsia="楷体"/>
          <w:color w:val="000000" w:themeColor="text1"/>
          <w:sz w:val="24"/>
          <w14:textFill>
            <w14:solidFill>
              <w14:schemeClr w14:val="tx1"/>
            </w14:solidFill>
          </w14:textFill>
        </w:rPr>
        <w:t>2.4</w:t>
      </w:r>
      <w:r>
        <w:rPr>
          <w:rFonts w:ascii="楷体" w:hAnsi="楷体" w:eastAsia="楷体"/>
          <w:color w:val="000000" w:themeColor="text1"/>
          <w:sz w:val="24"/>
          <w14:textFill>
            <w14:solidFill>
              <w14:schemeClr w14:val="tx1"/>
            </w14:solidFill>
          </w14:textFill>
        </w:rPr>
        <w:t>.1</w:t>
      </w:r>
      <w:bookmarkEnd w:id="78"/>
      <w:bookmarkStart w:id="79" w:name="_Toc186431854"/>
      <w:bookmarkStart w:id="80" w:name="_Toc279701247"/>
      <w:bookmarkStart w:id="81" w:name="_Toc487900357"/>
      <w:bookmarkStart w:id="82" w:name="_Ref467379793"/>
      <w:bookmarkStart w:id="83" w:name="_Toc259093676"/>
      <w:bookmarkStart w:id="84" w:name="_Ref467379807"/>
      <w:r>
        <w:rPr>
          <w:rFonts w:ascii="楷体" w:hAnsi="楷体" w:eastAsia="楷体"/>
          <w:color w:val="000000" w:themeColor="text1"/>
          <w:sz w:val="24"/>
          <w14:textFill>
            <w14:solidFill>
              <w14:schemeClr w14:val="tx1"/>
            </w14:solidFill>
          </w14:textFill>
        </w:rPr>
        <w:t>甲方</w:t>
      </w:r>
      <w:r>
        <w:rPr>
          <w:rFonts w:hint="eastAsia" w:ascii="楷体" w:hAnsi="楷体" w:eastAsia="楷体"/>
          <w:color w:val="000000" w:themeColor="text1"/>
          <w:sz w:val="24"/>
          <w14:textFill>
            <w14:solidFill>
              <w14:schemeClr w14:val="tx1"/>
            </w14:solidFill>
          </w14:textFill>
        </w:rPr>
        <w:t>有权</w:t>
      </w:r>
      <w:r>
        <w:rPr>
          <w:rFonts w:ascii="楷体" w:hAnsi="楷体" w:eastAsia="楷体"/>
          <w:color w:val="000000" w:themeColor="text1"/>
          <w:sz w:val="24"/>
          <w14:textFill>
            <w14:solidFill>
              <w14:schemeClr w14:val="tx1"/>
            </w14:solidFill>
          </w14:textFill>
        </w:rPr>
        <w:t>在其认为必要时</w:t>
      </w:r>
      <w:r>
        <w:rPr>
          <w:rFonts w:hint="eastAsia" w:ascii="楷体" w:hAnsi="楷体" w:eastAsia="楷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bookmarkEnd w:id="79"/>
      <w:bookmarkStart w:id="85" w:name="_Toc186431855"/>
      <w:r>
        <w:rPr>
          <w:rFonts w:hint="eastAsia" w:ascii="楷体" w:hAnsi="楷体" w:eastAsia="楷体"/>
          <w:color w:val="000000" w:themeColor="text1"/>
          <w:sz w:val="24"/>
          <w14:textFill>
            <w14:solidFill>
              <w14:schemeClr w14:val="tx1"/>
            </w14:solidFill>
          </w14:textFill>
        </w:rPr>
        <w:t>。</w:t>
      </w:r>
    </w:p>
    <w:bookmarkEnd w:id="85"/>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86" w:name="_Toc22011"/>
      <w:bookmarkStart w:id="87" w:name="_Toc31233"/>
      <w:bookmarkStart w:id="88" w:name="_Toc26555"/>
      <w:bookmarkStart w:id="89" w:name="_Toc15447"/>
      <w:bookmarkStart w:id="90" w:name="_Toc32670"/>
      <w:r>
        <w:rPr>
          <w:rFonts w:hint="eastAsia" w:ascii="楷体" w:hAnsi="楷体" w:eastAsia="楷体"/>
          <w:b/>
          <w:color w:val="000000" w:themeColor="text1"/>
          <w:sz w:val="24"/>
          <w14:textFill>
            <w14:solidFill>
              <w14:schemeClr w14:val="tx1"/>
            </w14:solidFill>
          </w14:textFill>
        </w:rPr>
        <w:t xml:space="preserve">2.5 </w:t>
      </w:r>
      <w:r>
        <w:rPr>
          <w:rFonts w:ascii="楷体" w:hAnsi="楷体" w:eastAsia="楷体"/>
          <w:b/>
          <w:color w:val="000000" w:themeColor="text1"/>
          <w:sz w:val="24"/>
          <w14:textFill>
            <w14:solidFill>
              <w14:schemeClr w14:val="tx1"/>
            </w14:solidFill>
          </w14:textFill>
        </w:rPr>
        <w:t>结算方式和付款条件</w:t>
      </w:r>
      <w:bookmarkEnd w:id="80"/>
      <w:bookmarkEnd w:id="81"/>
      <w:bookmarkEnd w:id="82"/>
      <w:bookmarkEnd w:id="83"/>
      <w:bookmarkEnd w:id="84"/>
      <w:bookmarkEnd w:id="86"/>
      <w:bookmarkEnd w:id="87"/>
      <w:bookmarkEnd w:id="88"/>
      <w:bookmarkEnd w:id="89"/>
      <w:bookmarkEnd w:id="90"/>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详见</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91" w:name="_Toc487900358"/>
      <w:bookmarkStart w:id="92" w:name="_Toc279701248"/>
      <w:bookmarkStart w:id="93" w:name="_Ref467379852"/>
      <w:bookmarkStart w:id="94" w:name="_Toc259093677"/>
      <w:bookmarkStart w:id="95" w:name="_Ref467379863"/>
      <w:bookmarkStart w:id="96" w:name="_Ref467379923"/>
      <w:bookmarkStart w:id="97" w:name="_Toc16163"/>
      <w:bookmarkStart w:id="98" w:name="_Toc13154"/>
      <w:bookmarkStart w:id="99" w:name="_Toc30507"/>
      <w:bookmarkStart w:id="100" w:name="_Toc13467"/>
      <w:bookmarkStart w:id="101" w:name="_Toc18990"/>
      <w:r>
        <w:rPr>
          <w:rFonts w:hint="eastAsia" w:ascii="楷体" w:hAnsi="楷体" w:eastAsia="楷体"/>
          <w:b/>
          <w:color w:val="000000" w:themeColor="text1"/>
          <w:sz w:val="24"/>
          <w14:textFill>
            <w14:solidFill>
              <w14:schemeClr w14:val="tx1"/>
            </w14:solidFill>
          </w14:textFill>
        </w:rPr>
        <w:t xml:space="preserve">2.6 </w:t>
      </w:r>
      <w:r>
        <w:rPr>
          <w:rFonts w:ascii="楷体" w:hAnsi="楷体" w:eastAsia="楷体"/>
          <w:b/>
          <w:color w:val="000000" w:themeColor="text1"/>
          <w:sz w:val="24"/>
          <w14:textFill>
            <w14:solidFill>
              <w14:schemeClr w14:val="tx1"/>
            </w14:solidFill>
          </w14:textFill>
        </w:rPr>
        <w:t>技术资料</w:t>
      </w:r>
      <w:bookmarkEnd w:id="91"/>
      <w:bookmarkEnd w:id="92"/>
      <w:bookmarkEnd w:id="93"/>
      <w:bookmarkEnd w:id="94"/>
      <w:bookmarkEnd w:id="95"/>
      <w:bookmarkEnd w:id="96"/>
      <w:r>
        <w:rPr>
          <w:rFonts w:ascii="楷体" w:hAnsi="楷体" w:eastAsia="楷体"/>
          <w:b/>
          <w:color w:val="000000" w:themeColor="text1"/>
          <w:sz w:val="24"/>
          <w14:textFill>
            <w14:solidFill>
              <w14:schemeClr w14:val="tx1"/>
            </w14:solidFill>
          </w14:textFill>
        </w:rPr>
        <w:t>和保密义务</w:t>
      </w:r>
      <w:bookmarkEnd w:id="97"/>
      <w:bookmarkEnd w:id="98"/>
      <w:bookmarkEnd w:id="99"/>
      <w:bookmarkEnd w:id="100"/>
      <w:bookmarkEnd w:id="101"/>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2.6</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hAnsi="楷体" w:eastAsia="楷体"/>
          <w:color w:val="000000" w:themeColor="text1"/>
          <w:sz w:val="24"/>
          <w14:textFill>
            <w14:solidFill>
              <w14:schemeClr w14:val="tx1"/>
            </w14:solidFill>
          </w14:textFill>
        </w:rPr>
        <w:t>技术情报</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技术资料</w:t>
      </w:r>
      <w:r>
        <w:rPr>
          <w:rFonts w:hint="eastAsia" w:ascii="楷体" w:hAnsi="楷体" w:eastAsia="楷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2" w:name="_Toc19069"/>
      <w:bookmarkStart w:id="103" w:name="_Toc259093681"/>
      <w:bookmarkStart w:id="104" w:name="_Toc279701252"/>
      <w:bookmarkStart w:id="105" w:name="_Toc487900362"/>
      <w:r>
        <w:rPr>
          <w:rFonts w:hint="eastAsia" w:ascii="楷体" w:hAnsi="楷体" w:eastAsia="楷体"/>
          <w:b/>
          <w:color w:val="000000" w:themeColor="text1"/>
          <w:sz w:val="24"/>
          <w14:textFill>
            <w14:solidFill>
              <w14:schemeClr w14:val="tx1"/>
            </w14:solidFill>
          </w14:textFill>
        </w:rPr>
        <w:t>2.7 质量保证</w:t>
      </w:r>
      <w:bookmarkEnd w:id="102"/>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6" w:name="_Toc22267"/>
      <w:r>
        <w:rPr>
          <w:rFonts w:hint="eastAsia" w:ascii="楷体" w:hAnsi="楷体" w:eastAsia="楷体"/>
          <w:b/>
          <w:color w:val="000000" w:themeColor="text1"/>
          <w:sz w:val="24"/>
          <w14:textFill>
            <w14:solidFill>
              <w14:schemeClr w14:val="tx1"/>
            </w14:solidFill>
          </w14:textFill>
        </w:rPr>
        <w:t>2.8 延迟</w:t>
      </w:r>
      <w:bookmarkEnd w:id="103"/>
      <w:bookmarkEnd w:id="104"/>
      <w:bookmarkEnd w:id="105"/>
      <w:r>
        <w:rPr>
          <w:rFonts w:hint="eastAsia" w:ascii="楷体" w:hAnsi="楷体" w:eastAsia="楷体"/>
          <w:b/>
          <w:color w:val="000000" w:themeColor="text1"/>
          <w:sz w:val="24"/>
          <w14:textFill>
            <w14:solidFill>
              <w14:schemeClr w14:val="tx1"/>
            </w14:solidFill>
          </w14:textFill>
        </w:rPr>
        <w:t>履行</w:t>
      </w:r>
      <w:bookmarkEnd w:id="106"/>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在合同履行过程中，如果乙方遇到不能按时</w:t>
      </w:r>
      <w:r>
        <w:rPr>
          <w:rFonts w:hint="eastAsia" w:ascii="楷体" w:hAnsi="楷体" w:eastAsia="楷体"/>
          <w:color w:val="000000" w:themeColor="text1"/>
          <w:sz w:val="24"/>
          <w14:textFill>
            <w14:solidFill>
              <w14:schemeClr w14:val="tx1"/>
            </w14:solidFill>
          </w14:textFill>
        </w:rPr>
        <w:t>提供服务</w:t>
      </w:r>
      <w:r>
        <w:rPr>
          <w:rFonts w:ascii="楷体" w:hAnsi="楷体" w:eastAsia="楷体"/>
          <w:color w:val="000000" w:themeColor="text1"/>
          <w:sz w:val="24"/>
          <w14:textFill>
            <w14:solidFill>
              <w14:schemeClr w14:val="tx1"/>
            </w14:solidFill>
          </w14:textFill>
        </w:rPr>
        <w:t>的情况，应及时以书面形式将不能按时</w:t>
      </w:r>
      <w:r>
        <w:rPr>
          <w:rFonts w:hint="eastAsia" w:ascii="楷体" w:hAnsi="楷体" w:eastAsia="楷体"/>
          <w:color w:val="000000" w:themeColor="text1"/>
          <w:sz w:val="24"/>
          <w14:textFill>
            <w14:solidFill>
              <w14:schemeClr w14:val="tx1"/>
            </w14:solidFill>
          </w14:textFill>
        </w:rPr>
        <w:t>提供服务</w:t>
      </w:r>
      <w:r>
        <w:rPr>
          <w:rFonts w:ascii="楷体" w:hAnsi="楷体" w:eastAsia="楷体"/>
          <w:color w:val="000000" w:themeColor="text1"/>
          <w:sz w:val="24"/>
          <w14:textFill>
            <w14:solidFill>
              <w14:schemeClr w14:val="tx1"/>
            </w14:solidFill>
          </w14:textFill>
        </w:rPr>
        <w:t>的理由、预期延误时间通知甲方</w:t>
      </w:r>
      <w:r>
        <w:rPr>
          <w:rFonts w:hint="eastAsia" w:ascii="楷体" w:hAnsi="楷体" w:eastAsia="楷体"/>
          <w:color w:val="000000" w:themeColor="text1"/>
          <w:sz w:val="24"/>
          <w14:textFill>
            <w14:solidFill>
              <w14:schemeClr w14:val="tx1"/>
            </w14:solidFill>
          </w14:textFill>
        </w:rPr>
        <w:t>；甲</w:t>
      </w:r>
      <w:r>
        <w:rPr>
          <w:rFonts w:ascii="楷体" w:hAnsi="楷体" w:eastAsia="楷体"/>
          <w:color w:val="000000" w:themeColor="text1"/>
          <w:sz w:val="24"/>
          <w14:textFill>
            <w14:solidFill>
              <w14:schemeClr w14:val="tx1"/>
            </w14:solidFill>
          </w14:textFill>
        </w:rPr>
        <w:t>方收到乙方通知后，认为其理由正当的，可以书面形式酌情同意乙方可以延长</w:t>
      </w:r>
      <w:r>
        <w:rPr>
          <w:rFonts w:hint="eastAsia" w:ascii="楷体" w:hAnsi="楷体" w:eastAsia="楷体"/>
          <w:color w:val="000000" w:themeColor="text1"/>
          <w:sz w:val="24"/>
          <w14:textFill>
            <w14:solidFill>
              <w14:schemeClr w14:val="tx1"/>
            </w14:solidFill>
          </w14:textFill>
        </w:rPr>
        <w:t>履行</w:t>
      </w:r>
      <w:r>
        <w:rPr>
          <w:rFonts w:ascii="楷体" w:hAnsi="楷体" w:eastAsia="楷体"/>
          <w:color w:val="000000" w:themeColor="text1"/>
          <w:sz w:val="24"/>
          <w14:textFill>
            <w14:solidFill>
              <w14:schemeClr w14:val="tx1"/>
            </w14:solidFill>
          </w14:textFill>
        </w:rPr>
        <w:t>的具体时间。</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07" w:name="_Toc10611"/>
      <w:bookmarkStart w:id="108" w:name="_Toc279701254"/>
      <w:bookmarkStart w:id="109" w:name="_Ref467378121"/>
      <w:bookmarkStart w:id="110" w:name="_Toc487900364"/>
      <w:bookmarkStart w:id="111" w:name="_Toc259093683"/>
      <w:r>
        <w:rPr>
          <w:rFonts w:hint="eastAsia" w:ascii="楷体" w:hAnsi="楷体" w:eastAsia="楷体"/>
          <w:b/>
          <w:color w:val="000000" w:themeColor="text1"/>
          <w:sz w:val="24"/>
          <w14:textFill>
            <w14:solidFill>
              <w14:schemeClr w14:val="tx1"/>
            </w14:solidFill>
          </w14:textFill>
        </w:rPr>
        <w:t>2.9 合同变更</w:t>
      </w:r>
      <w:bookmarkEnd w:id="107"/>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2.9.2 合同继续履行将损害国家利益和社会公共利益的，双方当事人应当以书面形式变更合同。有过错的一方应当承担赔偿责任，双方当事人都有过错的，各自承担相应的责任。</w:t>
      </w:r>
      <w:bookmarkStart w:id="112" w:name="_Toc259093688"/>
      <w:bookmarkStart w:id="113" w:name="_Toc279701259"/>
      <w:bookmarkStart w:id="114" w:name="_Toc487900369"/>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15" w:name="_Toc23368"/>
      <w:bookmarkStart w:id="116" w:name="_Toc26689"/>
      <w:bookmarkStart w:id="117" w:name="_Toc21830"/>
      <w:bookmarkStart w:id="118" w:name="_Toc10663"/>
      <w:bookmarkStart w:id="119" w:name="_Toc42"/>
      <w:r>
        <w:rPr>
          <w:rFonts w:hint="eastAsia" w:ascii="楷体" w:hAnsi="楷体" w:eastAsia="楷体"/>
          <w:b/>
          <w:color w:val="000000" w:themeColor="text1"/>
          <w:sz w:val="24"/>
          <w14:textFill>
            <w14:solidFill>
              <w14:schemeClr w14:val="tx1"/>
            </w14:solidFill>
          </w14:textFill>
        </w:rPr>
        <w:t xml:space="preserve">2.10 </w:t>
      </w:r>
      <w:r>
        <w:rPr>
          <w:rFonts w:ascii="楷体" w:hAnsi="楷体" w:eastAsia="楷体"/>
          <w:b/>
          <w:color w:val="000000" w:themeColor="text1"/>
          <w:sz w:val="24"/>
          <w14:textFill>
            <w14:solidFill>
              <w14:schemeClr w14:val="tx1"/>
            </w14:solidFill>
          </w14:textFill>
        </w:rPr>
        <w:t>合同转让</w:t>
      </w:r>
      <w:bookmarkEnd w:id="112"/>
      <w:bookmarkEnd w:id="113"/>
      <w:bookmarkEnd w:id="114"/>
      <w:r>
        <w:rPr>
          <w:rFonts w:ascii="楷体" w:hAnsi="楷体" w:eastAsia="楷体"/>
          <w:b/>
          <w:color w:val="000000" w:themeColor="text1"/>
          <w:sz w:val="24"/>
          <w14:textFill>
            <w14:solidFill>
              <w14:schemeClr w14:val="tx1"/>
            </w14:solidFill>
          </w14:textFill>
        </w:rPr>
        <w:t>和分包</w:t>
      </w:r>
      <w:bookmarkEnd w:id="115"/>
      <w:bookmarkEnd w:id="116"/>
      <w:bookmarkEnd w:id="117"/>
      <w:bookmarkEnd w:id="118"/>
      <w:bookmarkEnd w:id="11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合同的权利义务依法不</w:t>
      </w:r>
      <w:r>
        <w:rPr>
          <w:rFonts w:hint="eastAsia" w:ascii="楷体" w:hAnsi="楷体" w:eastAsia="楷体"/>
          <w:color w:val="000000" w:themeColor="text1"/>
          <w:sz w:val="24"/>
          <w14:textFill>
            <w14:solidFill>
              <w14:schemeClr w14:val="tx1"/>
            </w14:solidFill>
          </w14:textFill>
        </w:rPr>
        <w:t>得</w:t>
      </w:r>
      <w:r>
        <w:rPr>
          <w:rFonts w:ascii="楷体" w:hAnsi="楷体" w:eastAsia="楷体"/>
          <w:color w:val="000000" w:themeColor="text1"/>
          <w:sz w:val="24"/>
          <w14:textFill>
            <w14:solidFill>
              <w14:schemeClr w14:val="tx1"/>
            </w14:solidFill>
          </w14:textFill>
        </w:rPr>
        <w:t>转让</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但经甲方</w:t>
      </w:r>
      <w:r>
        <w:rPr>
          <w:rFonts w:hint="eastAsia" w:ascii="楷体" w:hAnsi="楷体" w:eastAsia="楷体"/>
          <w:color w:val="000000" w:themeColor="text1"/>
          <w:sz w:val="24"/>
          <w14:textFill>
            <w14:solidFill>
              <w14:schemeClr w14:val="tx1"/>
            </w14:solidFill>
          </w14:textFill>
        </w:rPr>
        <w:t>同意，乙方可以依法采取分包方式履行合同，即：依法可以</w:t>
      </w:r>
      <w:r>
        <w:rPr>
          <w:rFonts w:ascii="楷体" w:hAnsi="楷体" w:eastAsia="楷体"/>
          <w:color w:val="000000" w:themeColor="text1"/>
          <w:sz w:val="24"/>
          <w14:textFill>
            <w14:solidFill>
              <w14:schemeClr w14:val="tx1"/>
            </w14:solidFill>
          </w14:textFill>
        </w:rPr>
        <w:t>将合同项下的部分非主体、非关键性工作分包给他人完成</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接受分包的人应当具备相应的资格条件，并不得再次分包</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且乙方应就分包项目向甲方负责</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并</w:t>
      </w:r>
      <w:r>
        <w:rPr>
          <w:rFonts w:hint="eastAsia" w:ascii="楷体" w:hAnsi="楷体" w:eastAsia="楷体"/>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20" w:name="_Toc14371"/>
      <w:bookmarkStart w:id="121" w:name="_Toc4720"/>
      <w:bookmarkStart w:id="122" w:name="_Toc26633"/>
      <w:bookmarkStart w:id="123" w:name="_Toc25571"/>
      <w:bookmarkStart w:id="124" w:name="_Toc32494"/>
      <w:r>
        <w:rPr>
          <w:rFonts w:hint="eastAsia" w:ascii="楷体" w:hAnsi="楷体" w:eastAsia="楷体"/>
          <w:b/>
          <w:color w:val="000000" w:themeColor="text1"/>
          <w:sz w:val="24"/>
          <w14:textFill>
            <w14:solidFill>
              <w14:schemeClr w14:val="tx1"/>
            </w14:solidFill>
          </w14:textFill>
        </w:rPr>
        <w:t>2.11</w:t>
      </w:r>
      <w:r>
        <w:rPr>
          <w:rFonts w:ascii="楷体" w:hAnsi="楷体" w:eastAsia="楷体"/>
          <w:b/>
          <w:color w:val="000000" w:themeColor="text1"/>
          <w:sz w:val="24"/>
          <w14:textFill>
            <w14:solidFill>
              <w14:schemeClr w14:val="tx1"/>
            </w14:solidFill>
          </w14:textFill>
        </w:rPr>
        <w:t xml:space="preserve"> 不可抗力</w:t>
      </w:r>
      <w:bookmarkEnd w:id="120"/>
      <w:bookmarkEnd w:id="121"/>
      <w:bookmarkEnd w:id="122"/>
      <w:bookmarkEnd w:id="123"/>
      <w:bookmarkEnd w:id="124"/>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w:t>
      </w:r>
      <w:r>
        <w:rPr>
          <w:rFonts w:ascii="楷体" w:hAnsi="楷体" w:eastAsia="楷体"/>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2.11.3 因</w:t>
      </w:r>
      <w:r>
        <w:rPr>
          <w:rFonts w:ascii="楷体" w:hAnsi="楷体" w:eastAsia="楷体"/>
          <w:color w:val="000000" w:themeColor="text1"/>
          <w:sz w:val="24"/>
          <w14:textFill>
            <w14:solidFill>
              <w14:schemeClr w14:val="tx1"/>
            </w14:solidFill>
          </w14:textFill>
        </w:rPr>
        <w:t>不可抗力致使合同有变更必要的，双方当事人应在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约定时间内以书面形式变更合同</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2.11</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受</w:t>
      </w:r>
      <w:r>
        <w:rPr>
          <w:rFonts w:hint="eastAsia" w:ascii="楷体" w:hAnsi="楷体" w:eastAsia="楷体"/>
          <w:color w:val="000000" w:themeColor="text1"/>
          <w:sz w:val="24"/>
          <w14:textFill>
            <w14:solidFill>
              <w14:schemeClr w14:val="tx1"/>
            </w14:solidFill>
          </w14:textFill>
        </w:rPr>
        <w:t>不可抗力</w:t>
      </w:r>
      <w:r>
        <w:rPr>
          <w:rFonts w:ascii="楷体" w:hAnsi="楷体" w:eastAsia="楷体"/>
          <w:color w:val="000000" w:themeColor="text1"/>
          <w:sz w:val="24"/>
          <w14:textFill>
            <w14:solidFill>
              <w14:schemeClr w14:val="tx1"/>
            </w14:solidFill>
          </w14:textFill>
        </w:rPr>
        <w:t>影响的一方在不可抗力发生后</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应在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约定时间内以书面形式通知</w:t>
      </w:r>
      <w:r>
        <w:rPr>
          <w:rFonts w:hint="eastAsia" w:ascii="楷体" w:hAnsi="楷体" w:eastAsia="楷体"/>
          <w:color w:val="000000" w:themeColor="text1"/>
          <w:sz w:val="24"/>
          <w14:textFill>
            <w14:solidFill>
              <w14:schemeClr w14:val="tx1"/>
            </w14:solidFill>
          </w14:textFill>
        </w:rPr>
        <w:t>对</w:t>
      </w:r>
      <w:r>
        <w:rPr>
          <w:rFonts w:ascii="楷体" w:hAnsi="楷体" w:eastAsia="楷体"/>
          <w:color w:val="000000" w:themeColor="text1"/>
          <w:sz w:val="24"/>
          <w14:textFill>
            <w14:solidFill>
              <w14:schemeClr w14:val="tx1"/>
            </w14:solidFill>
          </w14:textFill>
        </w:rPr>
        <w:t>方当事人，并在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约定时间内，将有关部门出具的证明文件送达</w:t>
      </w:r>
      <w:r>
        <w:rPr>
          <w:rFonts w:hint="eastAsia" w:ascii="楷体" w:hAnsi="楷体" w:eastAsia="楷体"/>
          <w:color w:val="000000" w:themeColor="text1"/>
          <w:sz w:val="24"/>
          <w14:textFill>
            <w14:solidFill>
              <w14:schemeClr w14:val="tx1"/>
            </w14:solidFill>
          </w14:textFill>
        </w:rPr>
        <w:t>对方当事人</w:t>
      </w:r>
      <w:r>
        <w:rPr>
          <w:rFonts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25" w:name="_Toc279701255"/>
      <w:bookmarkStart w:id="126" w:name="_Toc25783"/>
      <w:bookmarkStart w:id="127" w:name="_Toc24465"/>
      <w:bookmarkStart w:id="128" w:name="_Toc14115"/>
      <w:bookmarkStart w:id="129" w:name="_Toc3638"/>
      <w:bookmarkStart w:id="130" w:name="_Toc259093684"/>
      <w:bookmarkStart w:id="131" w:name="_Toc487900365"/>
      <w:bookmarkStart w:id="132" w:name="_Toc23854"/>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1</w:t>
      </w:r>
      <w:r>
        <w:rPr>
          <w:rFonts w:hint="eastAsia" w:ascii="楷体" w:hAnsi="楷体" w:eastAsia="楷体"/>
          <w:b/>
          <w:color w:val="000000" w:themeColor="text1"/>
          <w:sz w:val="24"/>
          <w14:textFill>
            <w14:solidFill>
              <w14:schemeClr w14:val="tx1"/>
            </w14:solidFill>
          </w14:textFill>
        </w:rPr>
        <w:t xml:space="preserve">2 </w:t>
      </w:r>
      <w:r>
        <w:rPr>
          <w:rFonts w:ascii="楷体" w:hAnsi="楷体" w:eastAsia="楷体"/>
          <w:b/>
          <w:color w:val="000000" w:themeColor="text1"/>
          <w:sz w:val="24"/>
          <w14:textFill>
            <w14:solidFill>
              <w14:schemeClr w14:val="tx1"/>
            </w14:solidFill>
          </w14:textFill>
        </w:rPr>
        <w:t>税费</w:t>
      </w:r>
      <w:bookmarkEnd w:id="125"/>
      <w:bookmarkEnd w:id="126"/>
      <w:bookmarkEnd w:id="127"/>
      <w:bookmarkEnd w:id="128"/>
      <w:bookmarkEnd w:id="129"/>
      <w:bookmarkEnd w:id="130"/>
      <w:bookmarkEnd w:id="131"/>
      <w:bookmarkEnd w:id="132"/>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与合同有关的一切税费</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33" w:name="_Toc26883"/>
      <w:bookmarkStart w:id="134" w:name="_Toc279701258"/>
      <w:bookmarkStart w:id="135" w:name="_Toc14814"/>
      <w:bookmarkStart w:id="136" w:name="_Toc7315"/>
      <w:bookmarkStart w:id="137" w:name="_Toc30105"/>
      <w:bookmarkStart w:id="138" w:name="_Toc259093687"/>
      <w:bookmarkStart w:id="139" w:name="_Toc487900368"/>
      <w:bookmarkStart w:id="140" w:name="_Toc25525"/>
      <w:r>
        <w:rPr>
          <w:rFonts w:hint="eastAsia" w:ascii="楷体" w:hAnsi="楷体" w:eastAsia="楷体"/>
          <w:b/>
          <w:color w:val="000000" w:themeColor="text1"/>
          <w:sz w:val="24"/>
          <w14:textFill>
            <w14:solidFill>
              <w14:schemeClr w14:val="tx1"/>
            </w14:solidFill>
          </w14:textFill>
        </w:rPr>
        <w:t>2.</w:t>
      </w:r>
      <w:r>
        <w:rPr>
          <w:rFonts w:ascii="楷体" w:hAnsi="楷体" w:eastAsia="楷体"/>
          <w:b/>
          <w:color w:val="000000" w:themeColor="text1"/>
          <w:sz w:val="24"/>
          <w14:textFill>
            <w14:solidFill>
              <w14:schemeClr w14:val="tx1"/>
            </w14:solidFill>
          </w14:textFill>
        </w:rPr>
        <w:t>1</w:t>
      </w:r>
      <w:r>
        <w:rPr>
          <w:rFonts w:hint="eastAsia" w:ascii="楷体" w:hAnsi="楷体" w:eastAsia="楷体"/>
          <w:b/>
          <w:color w:val="000000" w:themeColor="text1"/>
          <w:sz w:val="24"/>
          <w14:textFill>
            <w14:solidFill>
              <w14:schemeClr w14:val="tx1"/>
            </w14:solidFill>
          </w14:textFill>
        </w:rPr>
        <w:t xml:space="preserve">3 </w:t>
      </w:r>
      <w:r>
        <w:rPr>
          <w:rFonts w:ascii="楷体" w:hAnsi="楷体" w:eastAsia="楷体"/>
          <w:b/>
          <w:color w:val="000000" w:themeColor="text1"/>
          <w:sz w:val="24"/>
          <w14:textFill>
            <w14:solidFill>
              <w14:schemeClr w14:val="tx1"/>
            </w14:solidFill>
          </w14:textFill>
        </w:rPr>
        <w:t>乙方破产</w:t>
      </w:r>
      <w:bookmarkEnd w:id="133"/>
      <w:bookmarkEnd w:id="134"/>
      <w:bookmarkEnd w:id="135"/>
      <w:bookmarkEnd w:id="136"/>
      <w:bookmarkEnd w:id="137"/>
      <w:bookmarkEnd w:id="138"/>
      <w:bookmarkEnd w:id="139"/>
      <w:bookmarkEnd w:id="140"/>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楷体" w:hAnsi="楷体" w:eastAsia="楷体"/>
          <w:color w:val="000000" w:themeColor="text1"/>
          <w:sz w:val="24"/>
          <w14:textFill>
            <w14:solidFill>
              <w14:schemeClr w14:val="tx1"/>
            </w14:solidFill>
          </w14:textFill>
        </w:rPr>
        <w:t>，但合同的</w:t>
      </w:r>
      <w:r>
        <w:rPr>
          <w:rFonts w:ascii="楷体" w:hAnsi="楷体" w:eastAsia="楷体"/>
          <w:color w:val="000000" w:themeColor="text1"/>
          <w:sz w:val="24"/>
          <w14:textFill>
            <w14:solidFill>
              <w14:schemeClr w14:val="tx1"/>
            </w14:solidFill>
          </w14:textFill>
        </w:rPr>
        <w:t>终止不损害或不影响甲方已经采取或将要采取的任何要求乙方支付违约金</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赔偿损失等的行动或补救措施的权利</w:t>
      </w:r>
      <w:r>
        <w:rPr>
          <w:rFonts w:hint="eastAsia" w:ascii="楷体" w:hAnsi="楷体" w:eastAsia="楷体"/>
          <w:color w:val="000000" w:themeColor="text1"/>
          <w:sz w:val="24"/>
          <w14:textFill>
            <w14:solidFill>
              <w14:schemeClr w14:val="tx1"/>
            </w14:solidFill>
          </w14:textFill>
        </w:rPr>
        <w:t>。</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1" w:name="_Toc1123"/>
      <w:bookmarkStart w:id="142" w:name="_Toc23323"/>
      <w:bookmarkStart w:id="143" w:name="_Toc2016"/>
      <w:r>
        <w:rPr>
          <w:rFonts w:ascii="楷体" w:hAnsi="楷体" w:eastAsia="楷体"/>
          <w:b/>
          <w:color w:val="000000" w:themeColor="text1"/>
          <w:sz w:val="24"/>
          <w14:textFill>
            <w14:solidFill>
              <w14:schemeClr w14:val="tx1"/>
            </w14:solidFill>
          </w14:textFill>
        </w:rPr>
        <w:t>2.14 合同中止、终止</w:t>
      </w:r>
      <w:bookmarkEnd w:id="141"/>
      <w:bookmarkEnd w:id="142"/>
      <w:bookmarkEnd w:id="143"/>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4" w:name="_Toc17363"/>
      <w:bookmarkStart w:id="145" w:name="_Toc14525"/>
      <w:bookmarkStart w:id="146" w:name="_Toc1969"/>
      <w:r>
        <w:rPr>
          <w:rFonts w:ascii="楷体" w:hAnsi="楷体" w:eastAsia="楷体"/>
          <w:b/>
          <w:color w:val="000000" w:themeColor="text1"/>
          <w:sz w:val="24"/>
          <w14:textFill>
            <w14:solidFill>
              <w14:schemeClr w14:val="tx1"/>
            </w14:solidFill>
          </w14:textFill>
        </w:rPr>
        <w:t>2.15 检验和验收</w:t>
      </w:r>
      <w:bookmarkEnd w:id="144"/>
      <w:bookmarkEnd w:id="145"/>
      <w:bookmarkEnd w:id="146"/>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1 乙方按照</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的约定</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定期提交服务报告</w:t>
      </w:r>
      <w:r>
        <w:rPr>
          <w:rFonts w:hint="eastAsia" w:ascii="楷体" w:hAnsi="楷体" w:eastAsia="楷体"/>
          <w:color w:val="000000" w:themeColor="text1"/>
          <w:sz w:val="24"/>
          <w14:textFill>
            <w14:solidFill>
              <w14:schemeClr w14:val="tx1"/>
            </w14:solidFill>
          </w14:textFill>
        </w:rPr>
        <w:t>，甲方按照</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的约定进行定期验收</w:t>
      </w:r>
      <w:r>
        <w:rPr>
          <w:rFonts w:hint="eastAsia" w:ascii="楷体" w:hAnsi="楷体" w:eastAsia="楷体"/>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2.15.3 检验和验收标准、程序等具体内容以及前述验收书的效力详见</w:t>
      </w:r>
      <w:r>
        <w:rPr>
          <w:rFonts w:ascii="楷体" w:hAnsi="楷体" w:eastAsia="楷体"/>
          <w:b/>
          <w:i/>
          <w:color w:val="000000" w:themeColor="text1"/>
          <w:sz w:val="24"/>
          <w:u w:val="single"/>
          <w14:textFill>
            <w14:solidFill>
              <w14:schemeClr w14:val="tx1"/>
            </w14:solidFill>
          </w14:textFill>
        </w:rPr>
        <w:t>合同专用条款</w:t>
      </w:r>
      <w:r>
        <w:rPr>
          <w:rFonts w:hint="eastAsia" w:ascii="楷体" w:hAnsi="楷体" w:eastAsia="楷体"/>
          <w:i/>
          <w:color w:val="000000" w:themeColor="text1"/>
          <w:sz w:val="24"/>
          <w14:textFill>
            <w14:solidFill>
              <w14:schemeClr w14:val="tx1"/>
            </w14:solidFill>
          </w14:textFill>
        </w:rPr>
        <w:t>。</w:t>
      </w:r>
    </w:p>
    <w:bookmarkEnd w:id="108"/>
    <w:bookmarkEnd w:id="109"/>
    <w:bookmarkEnd w:id="110"/>
    <w:bookmarkEnd w:id="111"/>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47" w:name="_Toc259093690"/>
      <w:bookmarkStart w:id="148" w:name="_Toc279701261"/>
      <w:bookmarkStart w:id="149" w:name="_Toc487900371"/>
      <w:bookmarkStart w:id="150" w:name="_Toc25198"/>
      <w:bookmarkStart w:id="151" w:name="_Toc2308"/>
      <w:bookmarkStart w:id="152" w:name="_Toc12666"/>
      <w:bookmarkStart w:id="153" w:name="_Toc31892"/>
      <w:bookmarkStart w:id="154" w:name="_Toc9808"/>
      <w:r>
        <w:rPr>
          <w:rFonts w:hint="eastAsia" w:ascii="楷体" w:hAnsi="楷体" w:eastAsia="楷体"/>
          <w:b/>
          <w:color w:val="000000" w:themeColor="text1"/>
          <w:sz w:val="24"/>
          <w14:textFill>
            <w14:solidFill>
              <w14:schemeClr w14:val="tx1"/>
            </w14:solidFill>
          </w14:textFill>
        </w:rPr>
        <w:t xml:space="preserve">2.16 </w:t>
      </w:r>
      <w:r>
        <w:rPr>
          <w:rFonts w:ascii="楷体" w:hAnsi="楷体" w:eastAsia="楷体"/>
          <w:b/>
          <w:color w:val="000000" w:themeColor="text1"/>
          <w:sz w:val="24"/>
          <w14:textFill>
            <w14:solidFill>
              <w14:schemeClr w14:val="tx1"/>
            </w14:solidFill>
          </w14:textFill>
        </w:rPr>
        <w:t>通知</w:t>
      </w:r>
      <w:bookmarkEnd w:id="147"/>
      <w:bookmarkEnd w:id="148"/>
      <w:bookmarkEnd w:id="149"/>
      <w:r>
        <w:rPr>
          <w:rFonts w:ascii="楷体" w:hAnsi="楷体" w:eastAsia="楷体"/>
          <w:b/>
          <w:color w:val="000000" w:themeColor="text1"/>
          <w:sz w:val="24"/>
          <w14:textFill>
            <w14:solidFill>
              <w14:schemeClr w14:val="tx1"/>
            </w14:solidFill>
          </w14:textFill>
        </w:rPr>
        <w:t>和送达</w:t>
      </w:r>
      <w:bookmarkEnd w:id="150"/>
      <w:bookmarkEnd w:id="151"/>
      <w:bookmarkEnd w:id="152"/>
      <w:bookmarkEnd w:id="153"/>
      <w:bookmarkEnd w:id="154"/>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155" w:name="_Toc29220"/>
      <w:bookmarkStart w:id="156" w:name="_Toc7073"/>
      <w:bookmarkStart w:id="157" w:name="_Toc487900372"/>
      <w:bookmarkStart w:id="158" w:name="_Toc259093691"/>
      <w:bookmarkStart w:id="159" w:name="_Toc279701262"/>
      <w:r>
        <w:rPr>
          <w:rFonts w:hint="eastAsia" w:ascii="楷体" w:hAnsi="楷体" w:eastAsia="楷体"/>
          <w:color w:val="000000" w:themeColor="text1"/>
          <w:sz w:val="24"/>
          <w14:textFill>
            <w14:solidFill>
              <w14:schemeClr w14:val="tx1"/>
            </w14:solidFill>
          </w14:textFill>
        </w:rPr>
        <w:t>2.16.1 任何一方因履行合同而以合同第一部分尾部所列明的</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155"/>
      <w:bookmarkEnd w:id="156"/>
    </w:p>
    <w:p>
      <w:pPr>
        <w:spacing w:line="560" w:lineRule="exact"/>
        <w:ind w:firstLine="480" w:firstLineChars="200"/>
        <w:rPr>
          <w:rFonts w:ascii="楷体" w:hAnsi="楷体" w:eastAsia="楷体"/>
          <w:color w:val="000000" w:themeColor="text1"/>
          <w:sz w:val="24"/>
          <w14:textFill>
            <w14:solidFill>
              <w14:schemeClr w14:val="tx1"/>
            </w14:solidFill>
          </w14:textFill>
        </w:rPr>
      </w:pPr>
      <w:bookmarkStart w:id="160" w:name="_Toc18401"/>
      <w:bookmarkStart w:id="161" w:name="_Toc27674"/>
      <w:r>
        <w:rPr>
          <w:rFonts w:hint="eastAsia" w:ascii="楷体" w:hAnsi="楷体" w:eastAsia="楷体"/>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bookmarkEnd w:id="157"/>
    <w:bookmarkEnd w:id="158"/>
    <w:bookmarkEnd w:id="159"/>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62" w:name="_Toc12254"/>
      <w:bookmarkStart w:id="163" w:name="_Toc20808"/>
      <w:bookmarkStart w:id="164" w:name="_Toc5063"/>
      <w:bookmarkStart w:id="165" w:name="_Toc487900373"/>
      <w:bookmarkStart w:id="166" w:name="_Toc28906"/>
      <w:bookmarkStart w:id="167" w:name="_Toc259093692"/>
      <w:bookmarkStart w:id="168" w:name="_Toc279701263"/>
      <w:bookmarkStart w:id="169" w:name="_Toc27644"/>
      <w:r>
        <w:rPr>
          <w:rFonts w:hint="eastAsia" w:ascii="楷体" w:hAnsi="楷体" w:eastAsia="楷体"/>
          <w:b/>
          <w:color w:val="000000" w:themeColor="text1"/>
          <w:sz w:val="24"/>
          <w14:textFill>
            <w14:solidFill>
              <w14:schemeClr w14:val="tx1"/>
            </w14:solidFill>
          </w14:textFill>
        </w:rPr>
        <w:t>2.17 合同使用的文字和</w:t>
      </w:r>
      <w:r>
        <w:rPr>
          <w:rFonts w:ascii="楷体" w:hAnsi="楷体" w:eastAsia="楷体"/>
          <w:b/>
          <w:color w:val="000000" w:themeColor="text1"/>
          <w:sz w:val="24"/>
          <w14:textFill>
            <w14:solidFill>
              <w14:schemeClr w14:val="tx1"/>
            </w14:solidFill>
          </w14:textFill>
        </w:rPr>
        <w:t>适用的法律</w:t>
      </w:r>
      <w:bookmarkEnd w:id="162"/>
      <w:bookmarkEnd w:id="163"/>
      <w:bookmarkEnd w:id="164"/>
      <w:bookmarkEnd w:id="165"/>
      <w:bookmarkEnd w:id="166"/>
      <w:bookmarkEnd w:id="167"/>
      <w:bookmarkEnd w:id="168"/>
      <w:bookmarkEnd w:id="169"/>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2.17</w:t>
      </w: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 xml:space="preserve"> </w:t>
      </w:r>
      <w:r>
        <w:rPr>
          <w:rFonts w:ascii="楷体" w:hAnsi="楷体" w:eastAsia="楷体"/>
          <w:color w:val="000000" w:themeColor="text1"/>
          <w:sz w:val="24"/>
          <w14:textFill>
            <w14:solidFill>
              <w14:schemeClr w14:val="tx1"/>
            </w14:solidFill>
          </w14:textFill>
        </w:rPr>
        <w:t>合同使用汉语书就</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变更和解释</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2.17.2 合同适用</w:t>
      </w:r>
      <w:r>
        <w:rPr>
          <w:rFonts w:ascii="楷体" w:hAnsi="楷体" w:eastAsia="楷体"/>
          <w:color w:val="000000" w:themeColor="text1"/>
          <w:sz w:val="24"/>
          <w14:textFill>
            <w14:solidFill>
              <w14:schemeClr w14:val="tx1"/>
            </w14:solidFill>
          </w14:textFill>
        </w:rPr>
        <w:t>中华人民共和国法律。</w:t>
      </w:r>
    </w:p>
    <w:p>
      <w:pPr>
        <w:spacing w:line="560" w:lineRule="exact"/>
        <w:ind w:firstLine="482" w:firstLineChars="200"/>
        <w:outlineLvl w:val="0"/>
        <w:rPr>
          <w:rFonts w:ascii="楷体" w:hAnsi="楷体" w:eastAsia="楷体"/>
          <w:b/>
          <w:color w:val="000000" w:themeColor="text1"/>
          <w:sz w:val="24"/>
          <w14:textFill>
            <w14:solidFill>
              <w14:schemeClr w14:val="tx1"/>
            </w14:solidFill>
          </w14:textFill>
        </w:rPr>
      </w:pPr>
      <w:bookmarkStart w:id="170" w:name="_Toc1492"/>
      <w:bookmarkStart w:id="171" w:name="_Toc27127"/>
      <w:bookmarkStart w:id="172" w:name="_Toc279701264"/>
      <w:bookmarkStart w:id="173" w:name="_Toc22266"/>
      <w:bookmarkStart w:id="174" w:name="_Toc30096"/>
      <w:bookmarkStart w:id="175" w:name="_Toc259093693"/>
      <w:bookmarkStart w:id="176" w:name="_Toc27403"/>
      <w:bookmarkStart w:id="177" w:name="_Toc487900374"/>
      <w:r>
        <w:rPr>
          <w:rFonts w:hint="eastAsia" w:ascii="楷体" w:hAnsi="楷体" w:eastAsia="楷体"/>
          <w:b/>
          <w:color w:val="000000" w:themeColor="text1"/>
          <w:sz w:val="24"/>
          <w14:textFill>
            <w14:solidFill>
              <w14:schemeClr w14:val="tx1"/>
            </w14:solidFill>
          </w14:textFill>
        </w:rPr>
        <w:t xml:space="preserve">2.18 </w:t>
      </w:r>
      <w:r>
        <w:rPr>
          <w:rFonts w:ascii="楷体" w:hAnsi="楷体" w:eastAsia="楷体"/>
          <w:b/>
          <w:color w:val="000000" w:themeColor="text1"/>
          <w:sz w:val="24"/>
          <w14:textFill>
            <w14:solidFill>
              <w14:schemeClr w14:val="tx1"/>
            </w14:solidFill>
          </w14:textFill>
        </w:rPr>
        <w:t>履约保证金</w:t>
      </w:r>
      <w:bookmarkEnd w:id="170"/>
      <w:bookmarkEnd w:id="171"/>
      <w:bookmarkEnd w:id="172"/>
      <w:bookmarkEnd w:id="173"/>
      <w:bookmarkEnd w:id="174"/>
      <w:bookmarkEnd w:id="175"/>
      <w:bookmarkEnd w:id="176"/>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2.18.1 采购文件要求乙方提交履约保证金的，乙方</w:t>
      </w:r>
      <w:r>
        <w:rPr>
          <w:rFonts w:ascii="楷体" w:hAnsi="楷体" w:eastAsia="楷体"/>
          <w:color w:val="000000" w:themeColor="text1"/>
          <w:sz w:val="24"/>
          <w14:textFill>
            <w14:solidFill>
              <w14:schemeClr w14:val="tx1"/>
            </w14:solidFill>
          </w14:textFill>
        </w:rPr>
        <w:t>应按</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约定的方式</w:t>
      </w:r>
      <w:r>
        <w:rPr>
          <w:rFonts w:hint="eastAsia" w:ascii="楷体" w:hAnsi="楷体" w:eastAsia="楷体"/>
          <w:color w:val="000000" w:themeColor="text1"/>
          <w:sz w:val="24"/>
          <w14:textFill>
            <w14:solidFill>
              <w14:schemeClr w14:val="tx1"/>
            </w14:solidFill>
          </w14:textFill>
        </w:rPr>
        <w:t>，以支票、汇票、本票或者金融机构、担保机构出具的保函等非现金形式，提交不超过合同价10%的履约保证金；</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2.18</w:t>
      </w:r>
      <w:r>
        <w:rPr>
          <w:rFonts w:ascii="楷体" w:hAnsi="楷体" w:eastAsia="楷体"/>
          <w:color w:val="000000" w:themeColor="text1"/>
          <w:sz w:val="24"/>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 xml:space="preserve"> </w:t>
      </w:r>
      <w:r>
        <w:rPr>
          <w:rFonts w:ascii="楷体" w:hAnsi="楷体" w:eastAsia="楷体"/>
          <w:color w:val="000000" w:themeColor="text1"/>
          <w:sz w:val="24"/>
          <w14:textFill>
            <w14:solidFill>
              <w14:schemeClr w14:val="tx1"/>
            </w14:solidFill>
          </w14:textFill>
        </w:rPr>
        <w:t>履约保证金在</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约定期间</w:t>
      </w:r>
      <w:r>
        <w:rPr>
          <w:rFonts w:hint="eastAsia" w:ascii="楷体" w:hAnsi="楷体" w:eastAsia="楷体"/>
          <w:color w:val="000000" w:themeColor="text1"/>
          <w:sz w:val="24"/>
          <w14:textFill>
            <w14:solidFill>
              <w14:schemeClr w14:val="tx1"/>
            </w14:solidFill>
          </w14:textFill>
        </w:rPr>
        <w:t>内</w:t>
      </w:r>
      <w:r>
        <w:rPr>
          <w:rFonts w:ascii="楷体" w:hAnsi="楷体" w:eastAsia="楷体"/>
          <w:color w:val="000000" w:themeColor="text1"/>
          <w:sz w:val="24"/>
          <w14:textFill>
            <w14:solidFill>
              <w14:schemeClr w14:val="tx1"/>
            </w14:solidFill>
          </w14:textFill>
        </w:rPr>
        <w:t>不予退还或者应完全有效</w:t>
      </w:r>
      <w:r>
        <w:rPr>
          <w:rFonts w:hint="eastAsia" w:ascii="楷体" w:hAnsi="楷体" w:eastAsia="楷体"/>
          <w:color w:val="000000" w:themeColor="text1"/>
          <w:sz w:val="24"/>
          <w14:textFill>
            <w14:solidFill>
              <w14:schemeClr w14:val="tx1"/>
            </w14:solidFill>
          </w14:textFill>
        </w:rPr>
        <w:t>，前述约定期间</w:t>
      </w:r>
      <w:r>
        <w:rPr>
          <w:rFonts w:ascii="楷体" w:hAnsi="楷体" w:eastAsia="楷体"/>
          <w:color w:val="000000" w:themeColor="text1"/>
          <w:sz w:val="24"/>
          <w14:textFill>
            <w14:solidFill>
              <w14:schemeClr w14:val="tx1"/>
            </w14:solidFill>
          </w14:textFill>
        </w:rPr>
        <w:t>届满之日起</w:t>
      </w:r>
      <w:r>
        <w:rPr>
          <w:rFonts w:hint="eastAsia"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个</w:t>
      </w:r>
      <w:r>
        <w:rPr>
          <w:rFonts w:ascii="楷体" w:hAnsi="楷体" w:eastAsia="楷体"/>
          <w:color w:val="000000" w:themeColor="text1"/>
          <w:sz w:val="24"/>
          <w14:textFill>
            <w14:solidFill>
              <w14:schemeClr w14:val="tx1"/>
            </w14:solidFill>
          </w14:textFill>
        </w:rPr>
        <w:t>工作日内，甲方应将履约保证金退还乙方</w:t>
      </w:r>
      <w:r>
        <w:rPr>
          <w:rFonts w:hint="eastAsia" w:ascii="楷体" w:hAnsi="楷体" w:eastAsia="楷体"/>
          <w:color w:val="000000" w:themeColor="text1"/>
          <w:sz w:val="24"/>
          <w14:textFill>
            <w14:solidFill>
              <w14:schemeClr w14:val="tx1"/>
            </w14:solidFill>
          </w14:textFill>
        </w:rPr>
        <w:t>；</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 xml:space="preserve">2.18.3 </w:t>
      </w:r>
      <w:r>
        <w:rPr>
          <w:rFonts w:ascii="楷体" w:hAnsi="楷体" w:eastAsia="楷体"/>
          <w:color w:val="000000" w:themeColor="text1"/>
          <w:sz w:val="24"/>
          <w14:textFill>
            <w14:solidFill>
              <w14:schemeClr w14:val="tx1"/>
            </w14:solidFill>
          </w14:textFill>
        </w:rPr>
        <w:t>如果乙方不履行合同</w:t>
      </w:r>
      <w:r>
        <w:rPr>
          <w:rFonts w:hint="eastAsia" w:ascii="楷体" w:hAnsi="楷体" w:eastAsia="楷体"/>
          <w:color w:val="000000" w:themeColor="text1"/>
          <w:sz w:val="24"/>
          <w14:textFill>
            <w14:solidFill>
              <w14:schemeClr w14:val="tx1"/>
            </w14:solidFill>
          </w14:textFill>
        </w:rPr>
        <w:t>，履约保证金不予退还；如果乙方</w:t>
      </w:r>
      <w:r>
        <w:rPr>
          <w:rFonts w:ascii="楷体" w:hAnsi="楷体" w:eastAsia="楷体"/>
          <w:color w:val="000000" w:themeColor="text1"/>
          <w:sz w:val="24"/>
          <w14:textFill>
            <w14:solidFill>
              <w14:schemeClr w14:val="tx1"/>
            </w14:solidFill>
          </w14:textFill>
        </w:rPr>
        <w:t>未能按合同</w:t>
      </w:r>
      <w:r>
        <w:rPr>
          <w:rFonts w:hint="eastAsia" w:ascii="楷体" w:hAnsi="楷体" w:eastAsia="楷体"/>
          <w:color w:val="000000" w:themeColor="text1"/>
          <w:sz w:val="24"/>
          <w14:textFill>
            <w14:solidFill>
              <w14:schemeClr w14:val="tx1"/>
            </w14:solidFill>
          </w14:textFill>
        </w:rPr>
        <w:t>约</w:t>
      </w:r>
      <w:r>
        <w:rPr>
          <w:rFonts w:ascii="楷体" w:hAnsi="楷体" w:eastAsia="楷体"/>
          <w:color w:val="000000" w:themeColor="text1"/>
          <w:sz w:val="24"/>
          <w14:textFill>
            <w14:solidFill>
              <w14:schemeClr w14:val="tx1"/>
            </w14:solidFill>
          </w14:textFill>
        </w:rPr>
        <w:t>定全面履行义务，那么甲方有权从履约保证金中取得补偿或赔偿</w:t>
      </w:r>
      <w:r>
        <w:rPr>
          <w:rFonts w:hint="eastAsia" w:ascii="楷体" w:hAnsi="楷体" w:eastAsia="楷体"/>
          <w:color w:val="000000" w:themeColor="text1"/>
          <w:sz w:val="24"/>
          <w14:textFill>
            <w14:solidFill>
              <w14:schemeClr w14:val="tx1"/>
            </w14:solidFill>
          </w14:textFill>
        </w:rPr>
        <w:t>，同时不影响甲方要求乙方承担合同约定的超过履约保证金的违约责任的权利。</w:t>
      </w:r>
    </w:p>
    <w:bookmarkEnd w:id="177"/>
    <w:p>
      <w:pPr>
        <w:spacing w:line="560" w:lineRule="exact"/>
        <w:ind w:firstLine="482" w:firstLineChars="200"/>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2.19 合同份数</w:t>
      </w:r>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合同份数按</w:t>
      </w:r>
      <w:r>
        <w:rPr>
          <w:rFonts w:ascii="楷体" w:hAnsi="楷体" w:eastAsia="楷体"/>
          <w:b/>
          <w:i/>
          <w:color w:val="000000" w:themeColor="text1"/>
          <w:sz w:val="24"/>
          <w:u w:val="single"/>
          <w14:textFill>
            <w14:solidFill>
              <w14:schemeClr w14:val="tx1"/>
            </w14:solidFill>
          </w14:textFill>
        </w:rPr>
        <w:t>合同专用条款</w:t>
      </w:r>
      <w:r>
        <w:rPr>
          <w:rFonts w:ascii="楷体" w:hAnsi="楷体" w:eastAsia="楷体"/>
          <w:color w:val="000000" w:themeColor="text1"/>
          <w:sz w:val="24"/>
          <w14:textFill>
            <w14:solidFill>
              <w14:schemeClr w14:val="tx1"/>
            </w14:solidFill>
          </w14:textFill>
        </w:rPr>
        <w:t>规定</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每份均具有同等法律效力</w:t>
      </w:r>
      <w:r>
        <w:rPr>
          <w:rFonts w:hint="eastAsia" w:ascii="楷体" w:hAnsi="楷体" w:eastAsia="楷体"/>
          <w:color w:val="000000" w:themeColor="text1"/>
          <w:sz w:val="24"/>
          <w14:textFill>
            <w14:solidFill>
              <w14:schemeClr w14:val="tx1"/>
            </w14:solidFill>
          </w14:textFill>
        </w:rPr>
        <w:t>。</w:t>
      </w:r>
    </w:p>
    <w:p>
      <w:pPr>
        <w:pStyle w:val="85"/>
        <w:spacing w:line="560" w:lineRule="exact"/>
        <w:ind w:firstLine="0"/>
        <w:jc w:val="center"/>
        <w:rPr>
          <w:rFonts w:ascii="楷体" w:hAnsi="楷体" w:eastAsia="楷体"/>
          <w:b/>
          <w:color w:val="000000" w:themeColor="text1"/>
          <w:szCs w:val="24"/>
          <w14:textFill>
            <w14:solidFill>
              <w14:schemeClr w14:val="tx1"/>
            </w14:solidFill>
          </w14:textFill>
        </w:rPr>
      </w:pPr>
      <w:r>
        <w:rPr>
          <w:rFonts w:ascii="楷体" w:hAnsi="楷体" w:eastAsia="楷体"/>
          <w:color w:val="000000" w:themeColor="text1"/>
          <w:szCs w:val="24"/>
          <w14:textFill>
            <w14:solidFill>
              <w14:schemeClr w14:val="tx1"/>
            </w14:solidFill>
          </w14:textFill>
        </w:rPr>
        <w:br w:type="page"/>
      </w:r>
      <w:bookmarkStart w:id="178" w:name="_Toc331685784"/>
      <w:r>
        <w:rPr>
          <w:rFonts w:hint="eastAsia" w:ascii="楷体" w:hAnsi="楷体" w:eastAsia="楷体"/>
          <w:b/>
          <w:color w:val="000000" w:themeColor="text1"/>
          <w:szCs w:val="24"/>
          <w14:textFill>
            <w14:solidFill>
              <w14:schemeClr w14:val="tx1"/>
            </w14:solidFill>
          </w14:textFill>
        </w:rPr>
        <w:t>第三部分  合同专用条款</w:t>
      </w:r>
      <w:bookmarkEnd w:id="178"/>
    </w:p>
    <w:p>
      <w:pPr>
        <w:spacing w:line="560" w:lineRule="exact"/>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本部分</w:t>
      </w:r>
      <w:r>
        <w:rPr>
          <w:rFonts w:ascii="楷体" w:hAnsi="楷体" w:eastAsia="楷体"/>
          <w:color w:val="000000" w:themeColor="text1"/>
          <w:sz w:val="24"/>
          <w14:textFill>
            <w14:solidFill>
              <w14:schemeClr w14:val="tx1"/>
            </w14:solidFill>
          </w14:textFill>
        </w:rPr>
        <w:t>是对</w:t>
      </w:r>
      <w:r>
        <w:rPr>
          <w:rFonts w:hint="eastAsia" w:ascii="楷体" w:hAnsi="楷体" w:eastAsia="楷体"/>
          <w:color w:val="000000" w:themeColor="text1"/>
          <w:sz w:val="24"/>
          <w14:textFill>
            <w14:solidFill>
              <w14:schemeClr w14:val="tx1"/>
            </w14:solidFill>
          </w14:textFill>
        </w:rPr>
        <w:t>前两</w:t>
      </w:r>
      <w:r>
        <w:rPr>
          <w:rFonts w:ascii="楷体" w:hAnsi="楷体" w:eastAsia="楷体"/>
          <w:color w:val="000000" w:themeColor="text1"/>
          <w:sz w:val="24"/>
          <w14:textFill>
            <w14:solidFill>
              <w14:schemeClr w14:val="tx1"/>
            </w14:solidFill>
          </w14:textFill>
        </w:rPr>
        <w:t>部分的补充和修改</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w:t>
      </w:r>
      <w:r>
        <w:rPr>
          <w:rFonts w:hint="eastAsia" w:ascii="楷体" w:hAnsi="楷体" w:eastAsia="楷体"/>
          <w:color w:val="000000" w:themeColor="text1"/>
          <w:sz w:val="24"/>
          <w14:textFill>
            <w14:solidFill>
              <w14:schemeClr w14:val="tx1"/>
            </w14:solidFill>
          </w14:textFill>
        </w:rPr>
        <w:t>前两</w:t>
      </w:r>
      <w:r>
        <w:rPr>
          <w:rFonts w:ascii="楷体" w:hAnsi="楷体" w:eastAsia="楷体"/>
          <w:color w:val="000000" w:themeColor="text1"/>
          <w:sz w:val="24"/>
          <w14:textFill>
            <w14:solidFill>
              <w14:schemeClr w14:val="tx1"/>
            </w14:solidFill>
          </w14:textFill>
        </w:rPr>
        <w:t>部分和本部分的约定不一致</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应以本部分的约定为准</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本部分的条款号应与</w:t>
      </w:r>
      <w:r>
        <w:rPr>
          <w:rFonts w:hint="eastAsia" w:ascii="楷体" w:hAnsi="楷体" w:eastAsia="楷体"/>
          <w:color w:val="000000" w:themeColor="text1"/>
          <w:sz w:val="24"/>
          <w14:textFill>
            <w14:solidFill>
              <w14:schemeClr w14:val="tx1"/>
            </w14:solidFill>
          </w14:textFill>
        </w:rPr>
        <w:t>前两部分</w:t>
      </w:r>
      <w:r>
        <w:rPr>
          <w:rFonts w:ascii="楷体" w:hAnsi="楷体" w:eastAsia="楷体"/>
          <w:color w:val="000000" w:themeColor="text1"/>
          <w:sz w:val="24"/>
          <w14:textFill>
            <w14:solidFill>
              <w14:schemeClr w14:val="tx1"/>
            </w14:solidFill>
          </w14:textFill>
        </w:rPr>
        <w:t>的条款号保持对应</w:t>
      </w:r>
      <w:r>
        <w:rPr>
          <w:rFonts w:hint="eastAsia" w:ascii="楷体" w:hAnsi="楷体" w:eastAsia="楷体"/>
          <w:color w:val="000000" w:themeColor="text1"/>
          <w:sz w:val="24"/>
          <w14:textFill>
            <w14:solidFill>
              <w14:schemeClr w14:val="tx1"/>
            </w14:solidFill>
          </w14:textFill>
        </w:rPr>
        <w:t>；与前两部分</w:t>
      </w:r>
      <w:r>
        <w:rPr>
          <w:rFonts w:ascii="楷体" w:hAnsi="楷体" w:eastAsia="楷体"/>
          <w:color w:val="000000" w:themeColor="text1"/>
          <w:sz w:val="24"/>
          <w14:textFill>
            <w14:solidFill>
              <w14:schemeClr w14:val="tx1"/>
            </w14:solidFill>
          </w14:textFill>
        </w:rPr>
        <w:t>无对应关系的内容可另行编制条款号</w:t>
      </w:r>
      <w:r>
        <w:rPr>
          <w:rFonts w:hint="eastAsia" w:ascii="楷体" w:hAnsi="楷体" w:eastAsia="楷体"/>
          <w:color w:val="000000" w:themeColor="text1"/>
          <w:sz w:val="24"/>
          <w14:textFill>
            <w14:solidFill>
              <w14:schemeClr w14:val="tx1"/>
            </w14:solidFill>
          </w14:textFill>
        </w:rPr>
        <w:t>。</w:t>
      </w:r>
    </w:p>
    <w:tbl>
      <w:tblPr>
        <w:tblStyle w:val="2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u w:val="singl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000000" w:themeColor="text1"/>
                <w:sz w:val="24"/>
                <w14:textFill>
                  <w14:solidFill>
                    <w14:schemeClr w14:val="tx1"/>
                  </w14:solidFill>
                </w14:textFill>
              </w:rPr>
            </w:pPr>
          </w:p>
        </w:tc>
      </w:tr>
    </w:tbl>
    <w:p>
      <w:pPr>
        <w:spacing w:after="156" w:line="560" w:lineRule="exact"/>
        <w:ind w:firstLine="480"/>
        <w:rPr>
          <w:color w:val="000000" w:themeColor="text1"/>
          <w14:textFill>
            <w14:solidFill>
              <w14:schemeClr w14:val="tx1"/>
            </w14:solidFill>
          </w14:textFill>
        </w:rPr>
      </w:pPr>
    </w:p>
    <w:p>
      <w:pPr>
        <w:pStyle w:val="5"/>
        <w:spacing w:before="0" w:line="240" w:lineRule="atLeast"/>
        <w:ind w:left="1080" w:leftChars="257" w:hanging="540"/>
        <w:rPr>
          <w:rFonts w:ascii="仿宋_GB2312" w:hAnsi="宋体" w:eastAsia="仿宋_GB2312"/>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第五部分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投标文件内容及格式</w:t>
      </w:r>
    </w:p>
    <w:p>
      <w:pPr>
        <w:jc w:val="center"/>
        <w:rPr>
          <w:color w:val="000000" w:themeColor="text1"/>
          <w14:textFill>
            <w14:solidFill>
              <w14:schemeClr w14:val="tx1"/>
            </w14:solidFill>
          </w14:textFill>
        </w:rPr>
      </w:pPr>
    </w:p>
    <w:p>
      <w:pPr>
        <w:pStyle w:val="3"/>
        <w:numPr>
          <w:ilvl w:val="0"/>
          <w:numId w:val="0"/>
        </w:num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一、投标文件格式</w:t>
      </w:r>
    </w:p>
    <w:tbl>
      <w:tblPr>
        <w:tblStyle w:val="25"/>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正本</w:t>
            </w:r>
          </w:p>
        </w:tc>
      </w:tr>
    </w:tbl>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  标  文  件</w:t>
      </w: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pacing w:line="360" w:lineRule="auto"/>
        <w:rPr>
          <w:rFonts w:ascii="宋体" w:hAnsi="宋体" w:cs="宋体"/>
          <w:color w:val="000000" w:themeColor="text1"/>
          <w:sz w:val="24"/>
          <w14:textFill>
            <w14:solidFill>
              <w14:schemeClr w14:val="tx1"/>
            </w14:solidFill>
          </w14:textFill>
        </w:rPr>
      </w:pPr>
    </w:p>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numPr>
          <w:ilvl w:val="0"/>
          <w:numId w:val="6"/>
        </w:num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投标书编制顺序</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投标书编制顺序</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投标人应按下列顺序排列和装订投标文件：</w:t>
      </w:r>
    </w:p>
    <w:p>
      <w:pPr>
        <w:rPr>
          <w:rFonts w:ascii="宋体" w:hAnsi="宋体"/>
          <w:color w:val="000000" w:themeColor="text1"/>
          <w:sz w:val="24"/>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目   录</w:t>
      </w:r>
    </w:p>
    <w:p>
      <w:pPr>
        <w:rPr>
          <w:rFonts w:ascii="宋体" w:hAnsi="宋体"/>
          <w:color w:val="auto"/>
          <w:sz w:val="24"/>
          <w:highlight w:val="none"/>
        </w:rPr>
      </w:pPr>
      <w:r>
        <w:rPr>
          <w:rFonts w:hint="eastAsia" w:ascii="宋体" w:hAnsi="宋体"/>
          <w:color w:val="000000" w:themeColor="text1"/>
          <w:sz w:val="24"/>
          <w14:textFill>
            <w14:solidFill>
              <w14:schemeClr w14:val="tx1"/>
            </w14:solidFill>
          </w14:textFill>
        </w:rPr>
        <w:t>一、</w:t>
      </w:r>
      <w:r>
        <w:rPr>
          <w:rFonts w:hint="eastAsia" w:ascii="宋体" w:hAnsi="宋体"/>
          <w:color w:val="auto"/>
          <w:sz w:val="24"/>
          <w:highlight w:val="none"/>
        </w:rPr>
        <w:t>投标书</w:t>
      </w:r>
    </w:p>
    <w:p>
      <w:pPr>
        <w:rPr>
          <w:rFonts w:ascii="宋体" w:hAnsi="宋体"/>
          <w:color w:val="auto"/>
          <w:sz w:val="24"/>
          <w:highlight w:val="none"/>
        </w:rPr>
      </w:pPr>
      <w:r>
        <w:rPr>
          <w:rFonts w:hint="eastAsia" w:ascii="宋体" w:hAnsi="宋体"/>
          <w:color w:val="auto"/>
          <w:sz w:val="24"/>
          <w:highlight w:val="none"/>
        </w:rPr>
        <w:t>二、投标一览表</w:t>
      </w:r>
    </w:p>
    <w:p>
      <w:pPr>
        <w:rPr>
          <w:rFonts w:ascii="宋体" w:hAnsi="宋体"/>
          <w:color w:val="auto"/>
          <w:sz w:val="24"/>
          <w:highlight w:val="none"/>
        </w:rPr>
      </w:pPr>
      <w:r>
        <w:rPr>
          <w:rFonts w:hint="eastAsia" w:ascii="宋体" w:hAnsi="宋体"/>
          <w:color w:val="auto"/>
          <w:sz w:val="24"/>
          <w:highlight w:val="none"/>
        </w:rPr>
        <w:t>三、 投标货物报价表</w:t>
      </w:r>
    </w:p>
    <w:p>
      <w:pPr>
        <w:rPr>
          <w:rFonts w:ascii="宋体" w:hAnsi="宋体"/>
          <w:color w:val="auto"/>
          <w:sz w:val="24"/>
          <w:highlight w:val="none"/>
        </w:rPr>
      </w:pPr>
      <w:r>
        <w:rPr>
          <w:rFonts w:hint="eastAsia" w:ascii="宋体" w:hAnsi="宋体"/>
          <w:color w:val="auto"/>
          <w:sz w:val="24"/>
          <w:highlight w:val="none"/>
        </w:rPr>
        <w:t>四、技术规格功能要求偏离表</w:t>
      </w:r>
    </w:p>
    <w:p>
      <w:pPr>
        <w:rPr>
          <w:rFonts w:ascii="宋体" w:hAnsi="宋体"/>
          <w:color w:val="auto"/>
          <w:sz w:val="24"/>
          <w:highlight w:val="none"/>
        </w:rPr>
      </w:pPr>
      <w:r>
        <w:rPr>
          <w:rFonts w:hint="eastAsia" w:ascii="宋体" w:hAnsi="宋体"/>
          <w:color w:val="auto"/>
          <w:sz w:val="24"/>
          <w:highlight w:val="none"/>
        </w:rPr>
        <w:t>五、商务条款偏离表</w:t>
      </w:r>
    </w:p>
    <w:p>
      <w:pPr>
        <w:rPr>
          <w:rFonts w:ascii="宋体" w:hAnsi="宋体"/>
          <w:color w:val="auto"/>
          <w:sz w:val="24"/>
          <w:highlight w:val="none"/>
        </w:rPr>
      </w:pPr>
      <w:r>
        <w:rPr>
          <w:rFonts w:hint="eastAsia" w:ascii="宋体" w:hAnsi="宋体"/>
          <w:color w:val="auto"/>
          <w:sz w:val="24"/>
          <w:highlight w:val="none"/>
        </w:rPr>
        <w:t>六、银行转账单复印件</w:t>
      </w:r>
    </w:p>
    <w:p>
      <w:pPr>
        <w:rPr>
          <w:rFonts w:ascii="宋体" w:hAnsi="宋体"/>
          <w:color w:val="auto"/>
          <w:sz w:val="24"/>
          <w:highlight w:val="none"/>
        </w:rPr>
      </w:pPr>
      <w:r>
        <w:rPr>
          <w:rFonts w:hint="eastAsia" w:ascii="宋体" w:hAnsi="宋体"/>
          <w:color w:val="auto"/>
          <w:sz w:val="24"/>
          <w:highlight w:val="none"/>
        </w:rPr>
        <w:t>七、投标方的资格声明</w:t>
      </w:r>
    </w:p>
    <w:p>
      <w:pPr>
        <w:rPr>
          <w:rFonts w:ascii="宋体" w:hAnsi="宋体"/>
          <w:color w:val="auto"/>
          <w:sz w:val="24"/>
          <w:highlight w:val="none"/>
        </w:rPr>
      </w:pPr>
      <w:r>
        <w:rPr>
          <w:rFonts w:hint="eastAsia" w:ascii="宋体" w:hAnsi="宋体"/>
          <w:color w:val="auto"/>
          <w:sz w:val="24"/>
          <w:highlight w:val="none"/>
        </w:rPr>
        <w:t>八、法人营业执照</w:t>
      </w:r>
    </w:p>
    <w:p>
      <w:pPr>
        <w:rPr>
          <w:rFonts w:ascii="宋体" w:hAnsi="宋体"/>
          <w:color w:val="auto"/>
          <w:sz w:val="24"/>
          <w:highlight w:val="none"/>
        </w:rPr>
      </w:pPr>
      <w:r>
        <w:rPr>
          <w:rFonts w:hint="eastAsia" w:ascii="宋体" w:hAnsi="宋体"/>
          <w:color w:val="auto"/>
          <w:sz w:val="24"/>
          <w:highlight w:val="none"/>
        </w:rPr>
        <w:t>九、法定代表人证明书</w:t>
      </w:r>
    </w:p>
    <w:p>
      <w:pPr>
        <w:rPr>
          <w:rFonts w:hint="default" w:ascii="宋体" w:hAnsi="宋体" w:eastAsia="宋体"/>
          <w:color w:val="auto"/>
          <w:sz w:val="24"/>
          <w:highlight w:val="none"/>
          <w:lang w:val="en-US" w:eastAsia="zh-CN"/>
        </w:rPr>
      </w:pPr>
      <w:r>
        <w:rPr>
          <w:rFonts w:hint="eastAsia" w:ascii="宋体" w:hAnsi="宋体"/>
          <w:color w:val="auto"/>
          <w:sz w:val="24"/>
          <w:highlight w:val="none"/>
        </w:rPr>
        <w:t>十、法定代表人授权书，被委托人必须是投标单位正式员工，需提供社保部门出具最少提供近一个月的缴纳社保证明（社保缴费凭证及个人明细表）</w:t>
      </w:r>
      <w:r>
        <w:rPr>
          <w:rFonts w:hint="eastAsia" w:ascii="宋体" w:hAnsi="宋体"/>
          <w:color w:val="auto"/>
          <w:sz w:val="24"/>
          <w:highlight w:val="none"/>
          <w:lang w:eastAsia="zh-CN"/>
        </w:rPr>
        <w:t>；</w:t>
      </w:r>
    </w:p>
    <w:p>
      <w:pPr>
        <w:rPr>
          <w:rFonts w:ascii="宋体" w:hAnsi="宋体"/>
          <w:color w:val="auto"/>
          <w:sz w:val="24"/>
          <w:highlight w:val="none"/>
        </w:rPr>
      </w:pPr>
      <w:r>
        <w:rPr>
          <w:rFonts w:hint="eastAsia" w:ascii="宋体" w:hAnsi="宋体"/>
          <w:color w:val="auto"/>
          <w:sz w:val="24"/>
          <w:highlight w:val="none"/>
        </w:rPr>
        <w:t>十一、质量保证书</w:t>
      </w:r>
    </w:p>
    <w:p>
      <w:pPr>
        <w:rPr>
          <w:rFonts w:ascii="宋体" w:hAnsi="宋体"/>
          <w:color w:val="auto"/>
          <w:sz w:val="24"/>
          <w:highlight w:val="none"/>
        </w:rPr>
      </w:pPr>
      <w:r>
        <w:rPr>
          <w:rFonts w:hint="eastAsia" w:ascii="宋体" w:hAnsi="宋体"/>
          <w:color w:val="auto"/>
          <w:sz w:val="24"/>
          <w:highlight w:val="none"/>
        </w:rPr>
        <w:t>十二、售后服务承诺书</w:t>
      </w:r>
    </w:p>
    <w:p>
      <w:pPr>
        <w:rPr>
          <w:rFonts w:ascii="宋体" w:hAnsi="宋体"/>
          <w:color w:val="auto"/>
          <w:sz w:val="24"/>
          <w:highlight w:val="none"/>
        </w:rPr>
      </w:pPr>
      <w:r>
        <w:rPr>
          <w:rFonts w:hint="eastAsia" w:ascii="宋体" w:hAnsi="宋体"/>
          <w:color w:val="auto"/>
          <w:sz w:val="24"/>
          <w:highlight w:val="none"/>
        </w:rPr>
        <w:t>十三、投标人证明投标资格合格的相关证件证明的复印件</w:t>
      </w:r>
    </w:p>
    <w:p>
      <w:pPr>
        <w:rPr>
          <w:rFonts w:ascii="宋体" w:hAnsi="宋体"/>
          <w:color w:val="auto"/>
          <w:sz w:val="24"/>
          <w:highlight w:val="none"/>
        </w:rPr>
      </w:pPr>
      <w:r>
        <w:rPr>
          <w:rFonts w:hint="eastAsia" w:ascii="宋体" w:hAnsi="宋体"/>
          <w:color w:val="auto"/>
          <w:sz w:val="24"/>
          <w:highlight w:val="none"/>
        </w:rPr>
        <w:t>十四、投标人证明货物合格的相关证件证明复印件</w:t>
      </w:r>
    </w:p>
    <w:p>
      <w:pPr>
        <w:rPr>
          <w:rFonts w:ascii="宋体" w:hAnsi="宋体"/>
          <w:color w:val="auto"/>
          <w:sz w:val="24"/>
          <w:highlight w:val="none"/>
        </w:rPr>
      </w:pPr>
      <w:r>
        <w:rPr>
          <w:rFonts w:hint="eastAsia" w:ascii="宋体" w:hAnsi="宋体"/>
          <w:color w:val="auto"/>
          <w:sz w:val="24"/>
          <w:highlight w:val="none"/>
        </w:rPr>
        <w:t>十五、投标单位（供应商）反商业贿赂承诺书</w:t>
      </w:r>
    </w:p>
    <w:p>
      <w:pPr>
        <w:rPr>
          <w:rFonts w:ascii="宋体" w:hAnsi="宋体"/>
          <w:color w:val="auto"/>
          <w:sz w:val="24"/>
          <w:highlight w:val="none"/>
        </w:rPr>
      </w:pPr>
      <w:r>
        <w:rPr>
          <w:rFonts w:hint="eastAsia" w:ascii="宋体" w:hAnsi="宋体"/>
          <w:color w:val="auto"/>
          <w:sz w:val="24"/>
          <w:highlight w:val="none"/>
        </w:rPr>
        <w:t>十六、经年审计的上年度会计报表</w:t>
      </w:r>
    </w:p>
    <w:p>
      <w:pPr>
        <w:rPr>
          <w:rFonts w:ascii="宋体" w:hAnsi="宋体"/>
          <w:color w:val="auto"/>
          <w:sz w:val="24"/>
          <w:highlight w:val="none"/>
        </w:rPr>
      </w:pPr>
      <w:r>
        <w:rPr>
          <w:rFonts w:hint="eastAsia" w:ascii="宋体" w:hAnsi="宋体"/>
          <w:color w:val="auto"/>
          <w:sz w:val="24"/>
          <w:highlight w:val="none"/>
        </w:rPr>
        <w:t>十七、其它必须的资料及有利于投标的资料</w:t>
      </w:r>
    </w:p>
    <w:p>
      <w:pPr>
        <w:rPr>
          <w:rFonts w:ascii="宋体" w:hAnsi="宋体"/>
          <w:color w:val="auto"/>
          <w:sz w:val="24"/>
          <w:highlight w:val="none"/>
        </w:rPr>
      </w:pPr>
    </w:p>
    <w:p>
      <w:pPr>
        <w:rPr>
          <w:rFonts w:ascii="宋体" w:hAnsi="宋体"/>
          <w:b/>
          <w:bCs/>
          <w:color w:val="auto"/>
          <w:sz w:val="24"/>
          <w:highlight w:val="none"/>
        </w:rPr>
      </w:pPr>
    </w:p>
    <w:p>
      <w:pPr>
        <w:rPr>
          <w:rFonts w:ascii="宋体" w:hAnsi="宋体"/>
          <w:b/>
          <w:bCs/>
          <w:color w:val="auto"/>
          <w:sz w:val="24"/>
          <w:highlight w:val="none"/>
        </w:rPr>
      </w:pPr>
      <w:r>
        <w:rPr>
          <w:rFonts w:hint="eastAsia" w:ascii="宋体" w:hAnsi="宋体"/>
          <w:b/>
          <w:bCs/>
          <w:color w:val="auto"/>
          <w:sz w:val="24"/>
          <w:highlight w:val="none"/>
        </w:rPr>
        <w:t>注：1、投标人应按本目录以A4纸提供相应材</w:t>
      </w:r>
    </w:p>
    <w:p>
      <w:pPr>
        <w:ind w:firstLine="482" w:firstLineChars="200"/>
        <w:rPr>
          <w:rFonts w:ascii="宋体" w:hAnsi="宋体"/>
          <w:b/>
          <w:bCs/>
          <w:color w:val="auto"/>
          <w:sz w:val="24"/>
          <w:highlight w:val="none"/>
        </w:rPr>
      </w:pPr>
      <w:r>
        <w:rPr>
          <w:rFonts w:hint="eastAsia" w:ascii="宋体" w:hAnsi="宋体"/>
          <w:b/>
          <w:bCs/>
          <w:color w:val="auto"/>
          <w:sz w:val="24"/>
          <w:highlight w:val="none"/>
        </w:rPr>
        <w:t>2、投标文件必须制作有目录和页码</w:t>
      </w:r>
    </w:p>
    <w:p>
      <w:pPr>
        <w:rPr>
          <w:rFonts w:ascii="宋体" w:hAnsi="宋体"/>
          <w:b/>
          <w:bCs/>
          <w:color w:val="auto"/>
          <w:sz w:val="24"/>
          <w:highlight w:val="none"/>
        </w:rPr>
      </w:pPr>
    </w:p>
    <w:p>
      <w:pPr>
        <w:pStyle w:val="2"/>
        <w:rPr>
          <w:color w:val="auto"/>
          <w:highlight w:val="none"/>
        </w:rPr>
      </w:pPr>
    </w:p>
    <w:p>
      <w:pPr>
        <w:pStyle w:val="2"/>
        <w:rPr>
          <w:rFonts w:ascii="宋体" w:hAnsi="宋体"/>
          <w:b/>
          <w:color w:val="auto"/>
          <w:sz w:val="30"/>
          <w:highlight w:val="none"/>
        </w:rPr>
      </w:pPr>
    </w:p>
    <w:p>
      <w:pPr>
        <w:pStyle w:val="5"/>
        <w:rPr>
          <w:rFonts w:ascii="宋体" w:hAnsi="宋体" w:cs="宋体"/>
          <w:color w:val="auto"/>
          <w:sz w:val="28"/>
          <w:szCs w:val="28"/>
          <w:highlight w:val="none"/>
        </w:rPr>
      </w:pPr>
    </w:p>
    <w:p>
      <w:pPr>
        <w:pStyle w:val="2"/>
        <w:rPr>
          <w:color w:val="auto"/>
          <w:highlight w:val="none"/>
        </w:rPr>
      </w:pPr>
    </w:p>
    <w:p>
      <w:pPr>
        <w:rPr>
          <w:color w:val="auto"/>
          <w:highlight w:val="none"/>
        </w:rPr>
      </w:pPr>
    </w:p>
    <w:p>
      <w:pPr>
        <w:pStyle w:val="5"/>
        <w:jc w:val="center"/>
        <w:rPr>
          <w:rFonts w:ascii="宋体" w:hAnsi="宋体" w:cs="宋体"/>
          <w:color w:val="auto"/>
          <w:highlight w:val="none"/>
        </w:rPr>
      </w:pPr>
      <w:r>
        <w:rPr>
          <w:rFonts w:hint="eastAsia" w:ascii="宋体" w:hAnsi="宋体" w:cs="宋体"/>
          <w:color w:val="auto"/>
          <w:sz w:val="28"/>
          <w:szCs w:val="28"/>
          <w:highlight w:val="none"/>
        </w:rPr>
        <w:t>投 标 书</w:t>
      </w:r>
    </w:p>
    <w:p>
      <w:pPr>
        <w:spacing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收到你们的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招标文件，经认真研究，我们决定参加投标。</w:t>
      </w:r>
    </w:p>
    <w:p>
      <w:pPr>
        <w:numPr>
          <w:ilvl w:val="0"/>
          <w:numId w:val="7"/>
        </w:numPr>
        <w:spacing w:line="440" w:lineRule="exact"/>
        <w:rPr>
          <w:rFonts w:ascii="宋体" w:hAnsi="宋体" w:cs="宋体"/>
          <w:color w:val="auto"/>
          <w:sz w:val="24"/>
          <w:highlight w:val="none"/>
          <w:u w:val="single"/>
        </w:rPr>
      </w:pPr>
      <w:r>
        <w:rPr>
          <w:rFonts w:hint="eastAsia" w:ascii="宋体" w:hAnsi="宋体" w:cs="宋体"/>
          <w:color w:val="auto"/>
          <w:sz w:val="24"/>
          <w:highlight w:val="none"/>
        </w:rPr>
        <w:t>按照招标文件中的一切要求，提供招标的货物、</w:t>
      </w:r>
      <w:r>
        <w:rPr>
          <w:rFonts w:hint="eastAsia"/>
          <w:color w:val="auto"/>
          <w:sz w:val="24"/>
          <w:highlight w:val="none"/>
        </w:rPr>
        <w:t>运输、装卸、验收、</w:t>
      </w:r>
      <w:r>
        <w:rPr>
          <w:rFonts w:ascii="宋体" w:hAnsi="宋体" w:cs="宋体"/>
          <w:color w:val="auto"/>
          <w:kern w:val="0"/>
          <w:sz w:val="24"/>
          <w:highlight w:val="none"/>
        </w:rPr>
        <w:t>开具发票和相关售后等服务</w:t>
      </w:r>
      <w:r>
        <w:rPr>
          <w:rFonts w:hint="eastAsia" w:ascii="宋体" w:hAnsi="宋体" w:cs="宋体"/>
          <w:color w:val="auto"/>
          <w:sz w:val="24"/>
          <w:highlight w:val="none"/>
        </w:rPr>
        <w:t>。总价为￥：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，明细见投标报价表。</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如果我们的投标书被接受，我们将履行招标文件中规定的每一项义务和要求，按期、按质、按量完成交货。</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我们同意按招标文件的规定，本标书的有效期为开标后</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我们愿意提供招标人在招标文件中要求的所有资料。</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我们认为你们有选择或拒绝任何投标者中标的权利。我们理解，最低报价不是中标的唯一条件。</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我们愿意按合同履行自己的全部责任。</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我们愿意遵守国家有关规定和招标文件中规定的收费标准，承付中标服务费。</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该项投标在开标后全过程中保持有效，不做任何更改和变动。</w:t>
      </w:r>
    </w:p>
    <w:p>
      <w:pPr>
        <w:numPr>
          <w:ilvl w:val="0"/>
          <w:numId w:val="7"/>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我们同意按招标文件规定，缴纳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元投标保证金。</w:t>
      </w:r>
    </w:p>
    <w:p>
      <w:pPr>
        <w:spacing w:line="440" w:lineRule="exact"/>
        <w:ind w:left="721" w:leftChars="229" w:hanging="240" w:hangingChars="100"/>
        <w:rPr>
          <w:rFonts w:ascii="宋体" w:hAnsi="宋体" w:cs="宋体"/>
          <w:color w:val="auto"/>
          <w:sz w:val="24"/>
          <w:highlight w:val="none"/>
        </w:rPr>
      </w:pPr>
      <w:r>
        <w:rPr>
          <w:rFonts w:hint="eastAsia" w:ascii="宋体" w:hAnsi="宋体" w:cs="宋体"/>
          <w:color w:val="auto"/>
          <w:sz w:val="24"/>
          <w:highlight w:val="none"/>
        </w:rPr>
        <w:t>10我们保证投标文件中的所有证件和内容真实有效，否则我们愿意承担一切法律责任。</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11、其他说明。</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12、所有有关本标书的函电，请按下列地址联系：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投标单位(盖章) ：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电报挂号：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
        <w:jc w:val="center"/>
        <w:rPr>
          <w:rFonts w:ascii="宋体" w:hAnsi="宋体" w:cs="宋体"/>
          <w:color w:val="auto"/>
          <w:sz w:val="28"/>
          <w:highlight w:val="none"/>
        </w:rPr>
      </w:pPr>
      <w:bookmarkStart w:id="179" w:name="_Toc7164"/>
      <w:r>
        <w:rPr>
          <w:rFonts w:hint="eastAsia" w:ascii="宋体" w:hAnsi="宋体" w:cs="宋体"/>
          <w:color w:val="auto"/>
          <w:sz w:val="28"/>
          <w:highlight w:val="none"/>
        </w:rPr>
        <w:t>投标一览表</w:t>
      </w:r>
      <w:bookmarkEnd w:id="179"/>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p>
      <w:pPr>
        <w:spacing w:line="360" w:lineRule="auto"/>
        <w:rPr>
          <w:rFonts w:ascii="宋体" w:hAnsi="宋体" w:cs="宋体"/>
          <w:color w:val="auto"/>
          <w:sz w:val="24"/>
          <w:highlight w:val="none"/>
        </w:rPr>
      </w:pPr>
    </w:p>
    <w:tbl>
      <w:tblPr>
        <w:tblStyle w:val="25"/>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695"/>
        <w:gridCol w:w="1224"/>
        <w:gridCol w:w="900"/>
        <w:gridCol w:w="1188"/>
        <w:gridCol w:w="1353"/>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p>
        </w:tc>
        <w:tc>
          <w:tcPr>
            <w:tcW w:w="1695" w:type="dxa"/>
            <w:vAlign w:val="center"/>
          </w:tcPr>
          <w:p>
            <w:pPr>
              <w:tabs>
                <w:tab w:val="left" w:pos="0"/>
              </w:tabs>
              <w:adjustRightInd w:val="0"/>
              <w:snapToGrid w:val="0"/>
              <w:spacing w:line="16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项目特征</w:t>
            </w:r>
          </w:p>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描述</w:t>
            </w:r>
          </w:p>
        </w:tc>
        <w:tc>
          <w:tcPr>
            <w:tcW w:w="1224" w:type="dxa"/>
            <w:vAlign w:val="center"/>
          </w:tcPr>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计量单位</w:t>
            </w:r>
          </w:p>
        </w:tc>
        <w:tc>
          <w:tcPr>
            <w:tcW w:w="900"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88" w:type="dxa"/>
            <w:vAlign w:val="center"/>
          </w:tcPr>
          <w:p>
            <w:pPr>
              <w:tabs>
                <w:tab w:val="left" w:pos="0"/>
              </w:tabs>
              <w:adjustRightInd w:val="0"/>
              <w:snapToGrid w:val="0"/>
              <w:spacing w:line="16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综合单价（元）</w:t>
            </w:r>
          </w:p>
        </w:tc>
        <w:tc>
          <w:tcPr>
            <w:tcW w:w="1353"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合价（元）</w:t>
            </w:r>
          </w:p>
        </w:tc>
        <w:tc>
          <w:tcPr>
            <w:tcW w:w="1718"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695" w:type="dxa"/>
          </w:tcPr>
          <w:p>
            <w:pPr>
              <w:spacing w:line="360" w:lineRule="auto"/>
              <w:rPr>
                <w:rFonts w:ascii="宋体" w:hAnsi="宋体" w:cs="宋体"/>
                <w:color w:val="auto"/>
                <w:sz w:val="24"/>
                <w:highlight w:val="none"/>
              </w:rPr>
            </w:pPr>
          </w:p>
        </w:tc>
        <w:tc>
          <w:tcPr>
            <w:tcW w:w="1224" w:type="dxa"/>
          </w:tcPr>
          <w:p>
            <w:pPr>
              <w:spacing w:line="360" w:lineRule="auto"/>
              <w:rPr>
                <w:rFonts w:ascii="宋体" w:hAnsi="宋体" w:cs="宋体"/>
                <w:color w:val="auto"/>
                <w:sz w:val="24"/>
                <w:highlight w:val="none"/>
              </w:rPr>
            </w:pPr>
          </w:p>
        </w:tc>
        <w:tc>
          <w:tcPr>
            <w:tcW w:w="900" w:type="dxa"/>
          </w:tcPr>
          <w:p>
            <w:pPr>
              <w:spacing w:line="360" w:lineRule="auto"/>
              <w:rPr>
                <w:rFonts w:ascii="宋体" w:hAnsi="宋体" w:cs="宋体"/>
                <w:color w:val="auto"/>
                <w:sz w:val="24"/>
                <w:highlight w:val="none"/>
              </w:rPr>
            </w:pPr>
          </w:p>
        </w:tc>
        <w:tc>
          <w:tcPr>
            <w:tcW w:w="1188" w:type="dxa"/>
          </w:tcPr>
          <w:p>
            <w:pPr>
              <w:spacing w:line="360" w:lineRule="auto"/>
              <w:rPr>
                <w:rFonts w:ascii="宋体" w:hAnsi="宋体" w:cs="宋体"/>
                <w:color w:val="auto"/>
                <w:sz w:val="24"/>
                <w:highlight w:val="none"/>
              </w:rPr>
            </w:pPr>
          </w:p>
        </w:tc>
        <w:tc>
          <w:tcPr>
            <w:tcW w:w="1353"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供货期限</w:t>
            </w:r>
          </w:p>
        </w:tc>
        <w:tc>
          <w:tcPr>
            <w:tcW w:w="8078" w:type="dxa"/>
            <w:gridSpan w:val="6"/>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color w:val="auto"/>
                <w:sz w:val="24"/>
                <w:highlight w:val="none"/>
              </w:rPr>
            </w:pPr>
            <w:r>
              <w:rPr>
                <w:rFonts w:hint="eastAsia" w:ascii="宋体" w:hAnsi="宋体" w:cs="宋体"/>
                <w:color w:val="auto"/>
                <w:sz w:val="24"/>
                <w:highlight w:val="none"/>
              </w:rPr>
              <w:t>总价：</w:t>
            </w:r>
          </w:p>
        </w:tc>
        <w:tc>
          <w:tcPr>
            <w:tcW w:w="8078" w:type="dxa"/>
            <w:gridSpan w:val="6"/>
          </w:tcPr>
          <w:p>
            <w:pPr>
              <w:tabs>
                <w:tab w:val="left" w:pos="0"/>
              </w:tabs>
              <w:spacing w:line="240" w:lineRule="atLeast"/>
              <w:rPr>
                <w:rFonts w:ascii="宋体" w:hAnsi="宋体" w:cs="宋体"/>
                <w:color w:val="auto"/>
                <w:sz w:val="24"/>
                <w:highlight w:val="none"/>
              </w:rPr>
            </w:pPr>
            <w:r>
              <w:rPr>
                <w:rFonts w:hint="eastAsia" w:ascii="宋体" w:hAnsi="宋体" w:cs="宋体"/>
                <w:color w:val="auto"/>
                <w:sz w:val="24"/>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color w:val="auto"/>
                <w:sz w:val="24"/>
                <w:highlight w:val="none"/>
              </w:rPr>
            </w:pPr>
          </w:p>
        </w:tc>
        <w:tc>
          <w:tcPr>
            <w:tcW w:w="8078" w:type="dxa"/>
            <w:gridSpan w:val="6"/>
          </w:tcPr>
          <w:p>
            <w:pPr>
              <w:tabs>
                <w:tab w:val="left" w:pos="0"/>
              </w:tabs>
              <w:spacing w:line="240" w:lineRule="atLeast"/>
              <w:rPr>
                <w:rFonts w:ascii="宋体" w:hAnsi="宋体" w:cs="宋体"/>
                <w:color w:val="auto"/>
                <w:sz w:val="24"/>
                <w:highlight w:val="none"/>
              </w:rPr>
            </w:pPr>
            <w:r>
              <w:rPr>
                <w:rFonts w:hint="eastAsia" w:ascii="宋体" w:hAnsi="宋体" w:cs="宋体"/>
                <w:color w:val="auto"/>
                <w:sz w:val="24"/>
                <w:highlight w:val="none"/>
              </w:rPr>
              <w:t>（人民币大写）</w:t>
            </w: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注：1. 报价货币为人民币。</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投标一览表中投标总报价大小应写一致，如不一致以大写为准。</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以上报价含一切费用,是指货物经验收交付采购人使用的价格。</w:t>
      </w:r>
    </w:p>
    <w:p>
      <w:pPr>
        <w:numPr>
          <w:ilvl w:val="0"/>
          <w:numId w:val="8"/>
        </w:numPr>
        <w:spacing w:line="360" w:lineRule="auto"/>
        <w:rPr>
          <w:rFonts w:ascii="宋体" w:hAnsi="宋体" w:cs="宋体"/>
          <w:color w:val="auto"/>
          <w:sz w:val="24"/>
          <w:highlight w:val="none"/>
        </w:rPr>
      </w:pPr>
      <w:r>
        <w:rPr>
          <w:rFonts w:hint="eastAsia" w:ascii="宋体" w:hAnsi="宋体" w:cs="宋体"/>
          <w:color w:val="auto"/>
          <w:sz w:val="24"/>
          <w:highlight w:val="none"/>
        </w:rPr>
        <w:t>此表需密封后单独提交。</w:t>
      </w:r>
    </w:p>
    <w:p>
      <w:pPr>
        <w:numPr>
          <w:ilvl w:val="0"/>
          <w:numId w:val="8"/>
        </w:numPr>
        <w:shd w:val="clear" w:fill="FFFF0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各投标企业每个分项不得超过每个分项的招标控制价，超过本项目分项招标控制价的视为无效报价，做否决投标处理。</w:t>
      </w:r>
    </w:p>
    <w:p>
      <w:pPr>
        <w:numPr>
          <w:ilvl w:val="0"/>
          <w:numId w:val="8"/>
        </w:numPr>
        <w:shd w:val="clear" w:fill="FFFF0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各投标企业总投标报价不得高于本项目招标控制价，超过本项目招标控制价的视为无效报价，做否决投标处理。</w:t>
      </w:r>
    </w:p>
    <w:p>
      <w:pPr>
        <w:numPr>
          <w:ilvl w:val="0"/>
          <w:numId w:val="8"/>
        </w:numPr>
        <w:spacing w:line="360" w:lineRule="auto"/>
        <w:rPr>
          <w:rFonts w:hint="eastAsia" w:ascii="宋体" w:hAnsi="宋体" w:eastAsia="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投标单位：（单位公章）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3360" w:firstLineChars="1400"/>
        <w:rPr>
          <w:rFonts w:ascii="宋体" w:hAnsi="宋体" w:cs="宋体"/>
          <w:color w:val="auto"/>
          <w:sz w:val="24"/>
          <w:highlight w:val="none"/>
        </w:rPr>
      </w:pPr>
    </w:p>
    <w:p>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bookmarkStart w:id="180" w:name="_Toc21935"/>
    </w:p>
    <w:p>
      <w:pPr>
        <w:pStyle w:val="5"/>
        <w:jc w:val="center"/>
        <w:rPr>
          <w:rFonts w:ascii="宋体" w:hAnsi="宋体" w:cs="宋体"/>
          <w:color w:val="auto"/>
          <w:sz w:val="28"/>
          <w:highlight w:val="none"/>
        </w:rPr>
      </w:pPr>
      <w:r>
        <w:rPr>
          <w:rFonts w:hint="eastAsia" w:ascii="宋体" w:hAnsi="宋体" w:cs="宋体"/>
          <w:color w:val="auto"/>
          <w:sz w:val="28"/>
          <w:highlight w:val="none"/>
        </w:rPr>
        <w:t>投标货物报价表</w:t>
      </w:r>
      <w:bookmarkEnd w:id="180"/>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名称</w:t>
            </w:r>
          </w:p>
        </w:tc>
        <w:tc>
          <w:tcPr>
            <w:tcW w:w="1442" w:type="dxa"/>
            <w:vAlign w:val="center"/>
          </w:tcPr>
          <w:p>
            <w:pPr>
              <w:tabs>
                <w:tab w:val="left" w:pos="0"/>
              </w:tabs>
              <w:adjustRightInd w:val="0"/>
              <w:snapToGrid w:val="0"/>
              <w:spacing w:line="16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项目特征</w:t>
            </w:r>
          </w:p>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描述</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计量单位</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综合单价（元）</w:t>
            </w:r>
          </w:p>
        </w:tc>
        <w:tc>
          <w:tcPr>
            <w:tcW w:w="1181"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合价（元）</w:t>
            </w:r>
          </w:p>
        </w:tc>
        <w:tc>
          <w:tcPr>
            <w:tcW w:w="1906"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（此表可延长）</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注：1.</w:t>
      </w:r>
      <w:r>
        <w:rPr>
          <w:rFonts w:hint="eastAsia" w:ascii="宋体" w:hAnsi="宋体" w:cs="宋体"/>
          <w:color w:val="auto"/>
          <w:sz w:val="24"/>
          <w:highlight w:val="none"/>
        </w:rPr>
        <w:t>如果按单价计算的结果与总价不一致，以单价为准修正总价</w:t>
      </w:r>
      <w:r>
        <w:rPr>
          <w:rFonts w:hint="eastAsia" w:ascii="宋体" w:hAnsi="宋体" w:cs="宋体"/>
          <w:b/>
          <w:color w:val="auto"/>
          <w:sz w:val="24"/>
          <w:highlight w:val="none"/>
        </w:rPr>
        <w:t>。</w:t>
      </w:r>
    </w:p>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货物详细技术性能应另页描述。</w:t>
      </w:r>
    </w:p>
    <w:p>
      <w:pPr>
        <w:spacing w:line="360" w:lineRule="auto"/>
        <w:rPr>
          <w:rFonts w:ascii="宋体" w:hAnsi="宋体" w:cs="宋体"/>
          <w:color w:val="auto"/>
          <w:sz w:val="24"/>
          <w:highlight w:val="none"/>
        </w:rPr>
      </w:pP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年   月   日</w:t>
      </w:r>
    </w:p>
    <w:p>
      <w:pPr>
        <w:pStyle w:val="5"/>
        <w:rPr>
          <w:rFonts w:ascii="宋体" w:hAnsi="宋体" w:cs="宋体"/>
          <w:color w:val="auto"/>
          <w:kern w:val="0"/>
          <w:sz w:val="28"/>
          <w:highlight w:val="none"/>
        </w:rPr>
      </w:pPr>
      <w:bookmarkStart w:id="181" w:name="_Toc20452"/>
    </w:p>
    <w:p>
      <w:pPr>
        <w:pStyle w:val="6"/>
        <w:rPr>
          <w:color w:val="auto"/>
          <w:highlight w:val="none"/>
        </w:rPr>
      </w:pPr>
    </w:p>
    <w:p>
      <w:pPr>
        <w:rPr>
          <w:color w:val="auto"/>
          <w:highlight w:val="none"/>
        </w:rPr>
      </w:pPr>
    </w:p>
    <w:p>
      <w:pPr>
        <w:pStyle w:val="5"/>
        <w:jc w:val="center"/>
        <w:rPr>
          <w:rFonts w:ascii="宋体" w:hAnsi="宋体" w:cs="宋体"/>
          <w:color w:val="auto"/>
          <w:highlight w:val="none"/>
        </w:rPr>
      </w:pPr>
      <w:r>
        <w:rPr>
          <w:rFonts w:hint="eastAsia" w:ascii="宋体" w:hAnsi="宋体" w:cs="宋体"/>
          <w:color w:val="auto"/>
          <w:kern w:val="0"/>
          <w:sz w:val="28"/>
          <w:highlight w:val="none"/>
        </w:rPr>
        <w:t>技术规格功能要求偏离表</w:t>
      </w:r>
      <w:bookmarkEnd w:id="181"/>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867"/>
        <w:gridCol w:w="1259"/>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招标文件规格功能要求条目号</w:t>
            </w:r>
          </w:p>
        </w:tc>
        <w:tc>
          <w:tcPr>
            <w:tcW w:w="18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要求服务内容</w:t>
            </w:r>
          </w:p>
        </w:tc>
        <w:tc>
          <w:tcPr>
            <w:tcW w:w="12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投标服务内容</w:t>
            </w:r>
          </w:p>
        </w:tc>
        <w:tc>
          <w:tcPr>
            <w:tcW w:w="183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w:t>
            </w:r>
          </w:p>
        </w:tc>
        <w:tc>
          <w:tcPr>
            <w:tcW w:w="128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：1、应与招标文件要求逐条对应填写。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firstLine="5160" w:firstLineChars="2150"/>
        <w:rPr>
          <w:rFonts w:ascii="宋体" w:hAnsi="宋体" w:cs="宋体"/>
          <w:color w:val="auto"/>
          <w:sz w:val="24"/>
          <w:highlight w:val="none"/>
        </w:rPr>
      </w:pPr>
    </w:p>
    <w:p>
      <w:pPr>
        <w:spacing w:line="360" w:lineRule="auto"/>
        <w:ind w:firstLine="6020" w:firstLineChars="2150"/>
        <w:rPr>
          <w:rFonts w:ascii="宋体" w:hAnsi="宋体" w:cs="宋体"/>
          <w:color w:val="auto"/>
          <w:sz w:val="28"/>
          <w:szCs w:val="28"/>
          <w:highlight w:val="none"/>
        </w:rPr>
      </w:pPr>
    </w:p>
    <w:p>
      <w:pPr>
        <w:pStyle w:val="5"/>
        <w:jc w:val="center"/>
        <w:rPr>
          <w:rFonts w:ascii="宋体" w:hAnsi="宋体" w:cs="宋体"/>
          <w:color w:val="auto"/>
          <w:sz w:val="28"/>
          <w:szCs w:val="28"/>
          <w:highlight w:val="none"/>
        </w:rPr>
      </w:pPr>
      <w:bookmarkStart w:id="182" w:name="_Toc23111"/>
      <w:r>
        <w:rPr>
          <w:rFonts w:hint="eastAsia" w:ascii="宋体" w:hAnsi="宋体" w:cs="宋体"/>
          <w:color w:val="auto"/>
          <w:sz w:val="28"/>
          <w:highlight w:val="none"/>
        </w:rPr>
        <w:t>商务条款偏离表</w:t>
      </w:r>
      <w:bookmarkEnd w:id="182"/>
    </w:p>
    <w:p>
      <w:pPr>
        <w:spacing w:line="360" w:lineRule="auto"/>
        <w:ind w:firstLine="105" w:firstLineChars="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25"/>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条目号</w:t>
            </w:r>
          </w:p>
        </w:tc>
        <w:tc>
          <w:tcPr>
            <w:tcW w:w="21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22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17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sz w:val="24"/>
          <w:highlight w:val="none"/>
        </w:rPr>
        <w:t>年   月   日</w:t>
      </w:r>
    </w:p>
    <w:p>
      <w:pPr>
        <w:jc w:val="center"/>
        <w:rPr>
          <w:rFonts w:ascii="宋体" w:hAnsi="宋体"/>
          <w:b/>
          <w:color w:val="auto"/>
          <w:sz w:val="30"/>
          <w:szCs w:val="30"/>
          <w:highlight w:val="none"/>
        </w:rPr>
      </w:pPr>
      <w:r>
        <w:rPr>
          <w:rFonts w:hint="eastAsia" w:ascii="宋体" w:hAnsi="宋体"/>
          <w:b/>
          <w:color w:val="auto"/>
          <w:sz w:val="30"/>
          <w:szCs w:val="30"/>
          <w:highlight w:val="none"/>
        </w:rPr>
        <w:t>银行转账单复印件</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9656704" behindDoc="0" locked="0" layoutInCell="1" allowOverlap="1">
                <wp:simplePos x="0" y="0"/>
                <wp:positionH relativeFrom="column">
                  <wp:posOffset>537845</wp:posOffset>
                </wp:positionH>
                <wp:positionV relativeFrom="paragraph">
                  <wp:posOffset>145415</wp:posOffset>
                </wp:positionV>
                <wp:extent cx="4694555" cy="2179320"/>
                <wp:effectExtent l="5080" t="5080" r="9525" b="10160"/>
                <wp:wrapNone/>
                <wp:docPr id="8" name="文本框 19"/>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rPr>
                                <w:sz w:val="24"/>
                              </w:rPr>
                            </w:pPr>
                          </w:p>
                          <w:p>
                            <w:pPr>
                              <w:jc w:val="center"/>
                              <w:rPr>
                                <w:sz w:val="28"/>
                                <w:szCs w:val="28"/>
                              </w:rPr>
                            </w:pPr>
                            <w:r>
                              <w:rPr>
                                <w:rFonts w:hint="eastAsia" w:ascii="宋体" w:hAnsi="宋体"/>
                                <w:sz w:val="24"/>
                              </w:rPr>
                              <w:t>缴纳投标保证金的银行转账单复印件</w:t>
                            </w:r>
                          </w:p>
                        </w:txbxContent>
                      </wps:txbx>
                      <wps:bodyPr upright="1"/>
                    </wps:wsp>
                  </a:graphicData>
                </a:graphic>
              </wp:anchor>
            </w:drawing>
          </mc:Choice>
          <mc:Fallback>
            <w:pict>
              <v:shape id="文本框 19" o:spid="_x0000_s1026" o:spt="202" type="#_x0000_t202" style="position:absolute;left:0pt;margin-left:42.35pt;margin-top:11.45pt;height:171.6pt;width:369.65pt;z-index:259656704;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KrRUavkBAAD4AwAADgAAAGRycy9lMm9Eb2MueG1srVNL&#10;jhMxEN0jcQfLe9KdMBlIK52RIIQNAqSBA1T86bbkn2xPunMBuAErNuw5V85B2cmEDLBAiF64y67y&#10;86v37OXNaDTZiRCVsy2dTmpKhGWOK9u19OOHzZPnlMQEloN2VrR0LyK9WT1+tBx8I2aud5qLQBDE&#10;xmbwLe1T8k1VRdYLA3HivLCYlC4YSDgNXcUDDIhudDWr6+tqcIH74JiIEVfXxyRdFXwpBUvvpIwi&#10;Ed1S5JbKGMq4zWO1WkLTBfC9Yica8A8sDCiLh56h1pCA3AX1G5RRLLjoZJowZyonpWKi9IDdTOtf&#10;urntwYvSC4oT/Vmm+P9g2dvd+0AUbykaZcGgRYcvnw9fvx++fSLTRdZn8LHBsluPhWl84Ub0+X49&#10;4mJue5TB5D82RDCPSu/P6ooxEYaLV9eLq/l8TgnD3Gz6bPF0VvSvfm73IabXwhmSg5YGtK+oCrs3&#10;MSEVLL0vyadFpxXfKK3LJHTblzqQHaDVm/JllrjlQZm2ZGjpYj7LRABvnNSQMDQeNYi2K+c92BEv&#10;gevy/Qk4E1tD7I8ECkIug8aoJEKJegH8leUk7T3qbPFB0EzGCE6JFvh+clQqEyj9N5XYnbb5EFHu&#10;+kml7NjRmRylcTsiaA63ju/RxTsfVNejwMXHKmfwehWtTk8h39/LOcaXD3b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XPzfYAAAACQEAAA8AAAAAAAAAAQAgAAAAIgAAAGRycy9kb3ducmV2Lnht&#10;bFBLAQIUABQAAAAIAIdO4kAqtFRq+QEAAPgDAAAOAAAAAAAAAAEAIAAAACcBAABkcnMvZTJvRG9j&#10;LnhtbFBLBQYAAAAABgAGAFkBAACSBQAAAAA=&#10;">
                <v:fill on="t" focussize="0,0"/>
                <v:stroke color="#000000" joinstyle="miter"/>
                <v:imagedata o:title=""/>
                <o:lock v:ext="edit" aspectratio="f"/>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mc:Fallback>
        </mc:AlternateConten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pStyle w:val="5"/>
        <w:jc w:val="center"/>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2"/>
        <w:rPr>
          <w:color w:val="auto"/>
          <w:highlight w:val="none"/>
        </w:rPr>
      </w:pPr>
    </w:p>
    <w:p>
      <w:pPr>
        <w:rPr>
          <w:color w:val="auto"/>
          <w:highlight w:val="none"/>
        </w:rPr>
      </w:pPr>
    </w:p>
    <w:p>
      <w:pPr>
        <w:pStyle w:val="5"/>
        <w:jc w:val="center"/>
        <w:rPr>
          <w:rFonts w:ascii="宋体" w:hAnsi="宋体" w:cs="宋体"/>
          <w:color w:val="auto"/>
          <w:kern w:val="0"/>
          <w:sz w:val="28"/>
          <w:highlight w:val="none"/>
        </w:rPr>
      </w:pPr>
      <w:r>
        <w:rPr>
          <w:rFonts w:hint="eastAsia" w:ascii="宋体" w:hAnsi="宋体" w:cs="宋体"/>
          <w:color w:val="auto"/>
          <w:highlight w:val="none"/>
        </w:rPr>
        <w:t xml:space="preserve"> </w:t>
      </w:r>
      <w:bookmarkStart w:id="183" w:name="_Toc17222"/>
      <w:r>
        <w:rPr>
          <w:rFonts w:hint="eastAsia" w:ascii="宋体" w:hAnsi="宋体" w:cs="宋体"/>
          <w:color w:val="auto"/>
          <w:kern w:val="0"/>
          <w:sz w:val="28"/>
          <w:highlight w:val="none"/>
        </w:rPr>
        <w:t>投标方的资格声明</w:t>
      </w:r>
      <w:bookmarkEnd w:id="183"/>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法定代表人或其授权委托人（</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5"/>
        <w:jc w:val="center"/>
        <w:rPr>
          <w:rFonts w:ascii="宋体" w:hAnsi="宋体"/>
          <w:color w:val="auto"/>
          <w:sz w:val="24"/>
          <w:highlight w:val="none"/>
        </w:rPr>
      </w:pPr>
      <w:r>
        <w:rPr>
          <w:rFonts w:hint="eastAsia" w:ascii="宋体" w:hAnsi="宋体" w:cs="宋体"/>
          <w:color w:val="auto"/>
          <w:highlight w:val="none"/>
        </w:rPr>
        <w:br w:type="page"/>
      </w:r>
      <w:bookmarkStart w:id="184" w:name="_Toc22085"/>
      <w:r>
        <w:rPr>
          <w:rFonts w:hint="eastAsia" w:ascii="宋体" w:hAnsi="宋体" w:cs="宋体"/>
          <w:color w:val="auto"/>
          <w:kern w:val="0"/>
          <w:sz w:val="28"/>
          <w:highlight w:val="none"/>
        </w:rPr>
        <w:t>《政府采购法》第二十二条规定</w:t>
      </w:r>
    </w:p>
    <w:p>
      <w:pPr>
        <w:pStyle w:val="23"/>
        <w:keepNext w:val="0"/>
        <w:keepLines w:val="0"/>
        <w:widowControl/>
        <w:suppressLineNumbers w:val="0"/>
        <w:ind w:firstLine="480" w:firstLineChars="200"/>
        <w:jc w:val="both"/>
        <w:rPr>
          <w:color w:val="auto"/>
          <w:highlight w:val="none"/>
        </w:rPr>
      </w:pPr>
      <w:r>
        <w:rPr>
          <w:color w:val="auto"/>
          <w:highlight w:val="none"/>
        </w:rPr>
        <w:t>（一）具有独立承担民事责任的能力；</w:t>
      </w:r>
    </w:p>
    <w:p>
      <w:pPr>
        <w:pStyle w:val="23"/>
        <w:keepNext w:val="0"/>
        <w:keepLines w:val="0"/>
        <w:widowControl/>
        <w:suppressLineNumbers w:val="0"/>
        <w:jc w:val="both"/>
        <w:rPr>
          <w:color w:val="auto"/>
          <w:highlight w:val="none"/>
        </w:rPr>
      </w:pPr>
      <w:r>
        <w:rPr>
          <w:color w:val="auto"/>
          <w:highlight w:val="none"/>
        </w:rPr>
        <w:t>　　（二）具有良好的商业信誉和健全的财务会计制度；</w:t>
      </w:r>
    </w:p>
    <w:p>
      <w:pPr>
        <w:pStyle w:val="23"/>
        <w:keepNext w:val="0"/>
        <w:keepLines w:val="0"/>
        <w:widowControl/>
        <w:suppressLineNumbers w:val="0"/>
        <w:jc w:val="both"/>
        <w:rPr>
          <w:color w:val="auto"/>
          <w:highlight w:val="none"/>
        </w:rPr>
      </w:pPr>
      <w:r>
        <w:rPr>
          <w:color w:val="auto"/>
          <w:highlight w:val="none"/>
        </w:rPr>
        <w:t>　　（三）具有履行合同所必需的设备和专业技术能力；</w:t>
      </w:r>
    </w:p>
    <w:p>
      <w:pPr>
        <w:pStyle w:val="23"/>
        <w:keepNext w:val="0"/>
        <w:keepLines w:val="0"/>
        <w:widowControl/>
        <w:suppressLineNumbers w:val="0"/>
        <w:jc w:val="both"/>
        <w:rPr>
          <w:color w:val="auto"/>
          <w:highlight w:val="none"/>
        </w:rPr>
      </w:pPr>
      <w:r>
        <w:rPr>
          <w:color w:val="auto"/>
          <w:highlight w:val="none"/>
        </w:rPr>
        <w:t>　　（四）有依法缴纳税收和社会保障资金的良好记录；</w:t>
      </w:r>
    </w:p>
    <w:p>
      <w:pPr>
        <w:pStyle w:val="23"/>
        <w:keepNext w:val="0"/>
        <w:keepLines w:val="0"/>
        <w:widowControl/>
        <w:suppressLineNumbers w:val="0"/>
        <w:jc w:val="both"/>
        <w:rPr>
          <w:color w:val="auto"/>
          <w:highlight w:val="none"/>
        </w:rPr>
      </w:pPr>
      <w:r>
        <w:rPr>
          <w:color w:val="auto"/>
          <w:highlight w:val="none"/>
        </w:rPr>
        <w:t>　　（五）参加政府采购活动前三年内，在经营活动中没有重大违法记录；</w:t>
      </w:r>
    </w:p>
    <w:p>
      <w:pPr>
        <w:pStyle w:val="23"/>
        <w:keepNext w:val="0"/>
        <w:keepLines w:val="0"/>
        <w:widowControl/>
        <w:suppressLineNumbers w:val="0"/>
        <w:jc w:val="both"/>
        <w:rPr>
          <w:color w:val="auto"/>
          <w:highlight w:val="none"/>
        </w:rPr>
      </w:pPr>
      <w:r>
        <w:rPr>
          <w:color w:val="auto"/>
          <w:highlight w:val="none"/>
        </w:rPr>
        <w:t>　　（六）法律、行政法规规定的其他条件。</w:t>
      </w:r>
    </w:p>
    <w:p>
      <w:pPr>
        <w:pStyle w:val="5"/>
        <w:jc w:val="center"/>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6"/>
        <w:rPr>
          <w:rFonts w:hint="eastAsia" w:ascii="宋体" w:hAnsi="宋体" w:cs="宋体"/>
          <w:color w:val="000000" w:themeColor="text1"/>
          <w:kern w:val="0"/>
          <w:sz w:val="28"/>
          <w14:textFill>
            <w14:solidFill>
              <w14:schemeClr w14:val="tx1"/>
            </w14:solidFill>
          </w14:textFill>
        </w:rPr>
      </w:pPr>
    </w:p>
    <w:p>
      <w:pPr>
        <w:pStyle w:val="5"/>
        <w:jc w:val="center"/>
        <w:rPr>
          <w:rFonts w:hint="eastAsia" w:ascii="宋体" w:hAnsi="宋体" w:cs="宋体"/>
          <w:color w:val="000000" w:themeColor="text1"/>
          <w:kern w:val="0"/>
          <w:sz w:val="28"/>
          <w14:textFill>
            <w14:solidFill>
              <w14:schemeClr w14:val="tx1"/>
            </w14:solidFill>
          </w14:textFill>
        </w:rPr>
      </w:pPr>
    </w:p>
    <w:p>
      <w:pPr>
        <w:pStyle w:val="5"/>
        <w:jc w:val="center"/>
        <w:rPr>
          <w:rFonts w:hint="eastAsia" w:ascii="宋体" w:hAnsi="宋体" w:cs="宋体"/>
          <w:color w:val="000000" w:themeColor="text1"/>
          <w:kern w:val="0"/>
          <w:sz w:val="28"/>
          <w14:textFill>
            <w14:solidFill>
              <w14:schemeClr w14:val="tx1"/>
            </w14:solidFill>
          </w14:textFill>
        </w:rPr>
      </w:pPr>
    </w:p>
    <w:p>
      <w:pPr>
        <w:pStyle w:val="5"/>
        <w:jc w:val="both"/>
        <w:rPr>
          <w:rFonts w:hint="eastAsia" w:ascii="宋体" w:hAnsi="宋体" w:cs="宋体"/>
          <w:color w:val="000000" w:themeColor="text1"/>
          <w:kern w:val="0"/>
          <w:sz w:val="28"/>
          <w14:textFill>
            <w14:solidFill>
              <w14:schemeClr w14:val="tx1"/>
            </w14:solidFill>
          </w14:textFill>
        </w:rPr>
      </w:pPr>
    </w:p>
    <w:p>
      <w:pPr>
        <w:pStyle w:val="6"/>
        <w:rPr>
          <w:rFonts w:hint="eastAsia"/>
        </w:rPr>
      </w:pPr>
    </w:p>
    <w:p>
      <w:pPr>
        <w:pStyle w:val="5"/>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法人营业执照函</w:t>
      </w:r>
      <w:bookmarkEnd w:id="184"/>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现附上由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（签发机关名称）签发的我方法人营业执照复印件，该执照已经年检，真实有效。</w:t>
      </w:r>
    </w:p>
    <w:p>
      <w:pPr>
        <w:spacing w:line="360" w:lineRule="auto"/>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注：在此页附上营业执照</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投标单位名称（单位公章）：                         </w:t>
      </w:r>
    </w:p>
    <w:p>
      <w:pPr>
        <w:spacing w:line="360" w:lineRule="auto"/>
        <w:ind w:firstLine="48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法定代表人或其授权委托人（签字或盖章）：</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法定代表人证明书</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9655680" behindDoc="0" locked="0" layoutInCell="1" allowOverlap="1">
                <wp:simplePos x="0" y="0"/>
                <wp:positionH relativeFrom="column">
                  <wp:posOffset>2645410</wp:posOffset>
                </wp:positionH>
                <wp:positionV relativeFrom="paragraph">
                  <wp:posOffset>61595</wp:posOffset>
                </wp:positionV>
                <wp:extent cx="2619375" cy="1704975"/>
                <wp:effectExtent l="7620" t="0" r="9525" b="9525"/>
                <wp:wrapNone/>
                <wp:docPr id="6"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文本框 2" o:spid="_x0000_s1026" o:spt="202" type="#_x0000_t202" style="position:absolute;left:0pt;margin-left:208.3pt;margin-top:4.85pt;height:134.25pt;width:206.25pt;z-index:259655680;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7009664" behindDoc="0" locked="0" layoutInCell="1" allowOverlap="1">
                <wp:simplePos x="0" y="0"/>
                <wp:positionH relativeFrom="column">
                  <wp:posOffset>-74930</wp:posOffset>
                </wp:positionH>
                <wp:positionV relativeFrom="paragraph">
                  <wp:posOffset>85090</wp:posOffset>
                </wp:positionV>
                <wp:extent cx="2619375" cy="1704975"/>
                <wp:effectExtent l="7620" t="0" r="9525" b="9525"/>
                <wp:wrapNone/>
                <wp:docPr id="3"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5.9pt;margin-top:6.7pt;height:134.25pt;width:206.25pt;z-index:257009664;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5"/>
        <w:rPr>
          <w:rFonts w:ascii="宋体" w:hAnsi="宋体" w:cs="宋体"/>
          <w:color w:val="000000" w:themeColor="text1"/>
          <w:sz w:val="24"/>
          <w:szCs w:val="24"/>
          <w14:textFill>
            <w14:solidFill>
              <w14:schemeClr w14:val="tx1"/>
            </w14:solidFill>
          </w14:textFill>
        </w:rPr>
      </w:pPr>
      <w:bookmarkStart w:id="185" w:name="_Toc13439"/>
    </w:p>
    <w:p>
      <w:pPr>
        <w:rPr>
          <w:rFonts w:ascii="宋体" w:hAnsi="宋体" w:cs="宋体"/>
          <w:color w:val="000000" w:themeColor="text1"/>
          <w:sz w:val="24"/>
          <w14:textFill>
            <w14:solidFill>
              <w14:schemeClr w14:val="tx1"/>
            </w14:solidFill>
          </w14:textFill>
        </w:rPr>
      </w:pPr>
    </w:p>
    <w:p>
      <w:pPr>
        <w:pStyle w:val="5"/>
        <w:rPr>
          <w:rFonts w:ascii="宋体" w:hAnsi="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5"/>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法定代表人授权书格式</w:t>
      </w:r>
      <w:bookmarkEnd w:id="185"/>
    </w:p>
    <w:p>
      <w:pPr>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法定代表人授权书</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(投标单位名称)法定代表人授权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为本公司的合法代理人，参加贵方组织的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项目招标文件采购招标活动，全权代表我方处理招标活动中的一切事宜和签署一切文件，被授权人无转委托权，特此委托。</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法定代表人签字：</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被授权人姓名：</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详细通讯地址：</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87630</wp:posOffset>
                </wp:positionV>
                <wp:extent cx="2619375" cy="1704975"/>
                <wp:effectExtent l="7620" t="0" r="9525" b="9525"/>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9pt;margin-top:6.9pt;height:134.25pt;width:206.25pt;z-index:251658240;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-1082040</wp:posOffset>
                </wp:positionV>
                <wp:extent cx="2619375" cy="1704975"/>
                <wp:effectExtent l="7620" t="0" r="9525" b="952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9.9pt;margin-top:-85.2pt;height:134.25pt;width:206.25pt;z-index:251659264;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2818765</wp:posOffset>
                </wp:positionH>
                <wp:positionV relativeFrom="paragraph">
                  <wp:posOffset>237490</wp:posOffset>
                </wp:positionV>
                <wp:extent cx="2619375" cy="1704975"/>
                <wp:effectExtent l="7620" t="0" r="9525" b="9525"/>
                <wp:wrapNone/>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21.95pt;margin-top:18.7pt;height:134.25pt;width:206.25pt;z-index:251688960;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228600</wp:posOffset>
                </wp:positionV>
                <wp:extent cx="2619375" cy="1704975"/>
                <wp:effectExtent l="7620" t="0" r="9525" b="9525"/>
                <wp:wrapTopAndBottom/>
                <wp:docPr id="1"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pt;margin-top:18pt;height:134.25pt;width:206.25pt;mso-wrap-distance-bottom:0pt;mso-wrap-distance-top:0pt;z-index:251686912;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投标企业（盖章）：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bookmarkStart w:id="186" w:name="_Toc13337"/>
    </w:p>
    <w:p>
      <w:pPr>
        <w:spacing w:line="360" w:lineRule="auto"/>
        <w:rPr>
          <w:rFonts w:hint="default" w:ascii="宋体" w:hAnsi="宋体" w:eastAsia="宋体" w:cs="宋体"/>
          <w:b/>
          <w:color w:val="000000" w:themeColor="text1"/>
          <w:sz w:val="22"/>
          <w:szCs w:val="28"/>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b/>
          <w:color w:val="000000" w:themeColor="text1"/>
          <w:sz w:val="22"/>
          <w:szCs w:val="28"/>
          <w:highlight w:val="none"/>
          <w14:textFill>
            <w14:solidFill>
              <w14:schemeClr w14:val="tx1"/>
            </w14:solidFill>
          </w14:textFill>
        </w:rPr>
        <w:t>被委托人必须是投标单位正式员工，需提供社保部门出具最少提供近一个月的缴纳社保证明（社保缴费凭证及个人明细表）</w:t>
      </w:r>
      <w:r>
        <w:rPr>
          <w:rFonts w:hint="eastAsia" w:ascii="宋体" w:hAnsi="宋体" w:cs="宋体"/>
          <w:b/>
          <w:color w:val="000000" w:themeColor="text1"/>
          <w:sz w:val="22"/>
          <w:szCs w:val="28"/>
          <w:highlight w:val="none"/>
          <w:lang w:eastAsia="zh-CN"/>
          <w14:textFill>
            <w14:solidFill>
              <w14:schemeClr w14:val="tx1"/>
            </w14:solidFill>
          </w14:textFill>
        </w:rPr>
        <w:t>，</w:t>
      </w:r>
      <w:r>
        <w:rPr>
          <w:rFonts w:hint="eastAsia" w:ascii="宋体" w:hAnsi="宋体" w:cs="宋体"/>
          <w:b/>
          <w:color w:val="000000" w:themeColor="text1"/>
          <w:sz w:val="22"/>
          <w:szCs w:val="28"/>
          <w:highlight w:val="none"/>
          <w:lang w:val="en-US" w:eastAsia="zh-CN"/>
          <w14:textFill>
            <w14:solidFill>
              <w14:schemeClr w14:val="tx1"/>
            </w14:solidFill>
          </w14:textFill>
        </w:rPr>
        <w:t>被委托人是投标单位法定代表人的无需提供社保缴费证明。</w:t>
      </w:r>
    </w:p>
    <w:p>
      <w:pPr>
        <w:pStyle w:val="5"/>
        <w:jc w:val="center"/>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质量保证书</w:t>
      </w:r>
      <w:bookmarkEnd w:id="186"/>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要求：</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未发生产品质量事故和用户使用的事故；</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保证产品在使用功能、技术性能上不发生质量问题等。</w:t>
      </w:r>
    </w:p>
    <w:p>
      <w:pPr>
        <w:spacing w:line="360" w:lineRule="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产品出厂前是否执行检验检测；</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4、产品质量缺陷、瑕疵补救方案和处理方式、方法（如果实行召回制度的产品必须说明）；</w:t>
      </w:r>
    </w:p>
    <w:p>
      <w:pPr>
        <w:spacing w:line="360" w:lineRule="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、投标产品达不到无故障时间和使用（寿命）年限应承担的责任；</w:t>
      </w:r>
    </w:p>
    <w:p>
      <w:pPr>
        <w:spacing w:line="360" w:lineRule="auto"/>
        <w:rPr>
          <w:rFonts w:ascii="宋体" w:hAnsi="宋体" w:cs="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、投标人对投标产品承诺的其它事项。</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投标单位：（盖章）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法定代表人或被授权代理人签字：</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pStyle w:val="5"/>
        <w:rPr>
          <w:rStyle w:val="82"/>
          <w:rFonts w:ascii="宋体" w:hAnsi="宋体" w:cs="宋体"/>
          <w:b/>
          <w:bCs w:val="0"/>
          <w:color w:val="000000" w:themeColor="text1"/>
          <w:kern w:val="0"/>
          <w:sz w:val="28"/>
          <w:szCs w:val="28"/>
          <w14:textFill>
            <w14:solidFill>
              <w14:schemeClr w14:val="tx1"/>
            </w14:solidFill>
          </w14:textFill>
        </w:rPr>
      </w:pPr>
    </w:p>
    <w:p>
      <w:pPr>
        <w:pStyle w:val="5"/>
        <w:rPr>
          <w:rStyle w:val="82"/>
          <w:rFonts w:ascii="宋体" w:hAnsi="宋体" w:cs="宋体"/>
          <w:b/>
          <w:bCs w:val="0"/>
          <w:color w:val="000000" w:themeColor="text1"/>
          <w:kern w:val="0"/>
          <w:sz w:val="28"/>
          <w:szCs w:val="28"/>
          <w14:textFill>
            <w14:solidFill>
              <w14:schemeClr w14:val="tx1"/>
            </w14:solidFill>
          </w14:textFill>
        </w:rPr>
      </w:pPr>
    </w:p>
    <w:p>
      <w:pPr>
        <w:widowControl/>
        <w:jc w:val="left"/>
        <w:rPr>
          <w:rStyle w:val="82"/>
          <w:rFonts w:ascii="宋体" w:hAnsi="宋体" w:cs="宋体"/>
          <w:bCs w:val="0"/>
          <w:color w:val="000000" w:themeColor="text1"/>
          <w:kern w:val="0"/>
          <w:sz w:val="28"/>
          <w:szCs w:val="28"/>
          <w14:textFill>
            <w14:solidFill>
              <w14:schemeClr w14:val="tx1"/>
            </w14:solidFill>
          </w14:textFill>
        </w:rPr>
      </w:pPr>
      <w:r>
        <w:rPr>
          <w:rStyle w:val="82"/>
          <w:rFonts w:ascii="宋体" w:hAnsi="宋体" w:cs="宋体"/>
          <w:b w:val="0"/>
          <w:color w:val="000000" w:themeColor="text1"/>
          <w:kern w:val="0"/>
          <w:sz w:val="28"/>
          <w:szCs w:val="28"/>
          <w14:textFill>
            <w14:solidFill>
              <w14:schemeClr w14:val="tx1"/>
            </w14:solidFill>
          </w14:textFill>
        </w:rPr>
        <w:br w:type="page"/>
      </w:r>
    </w:p>
    <w:p>
      <w:pPr>
        <w:pStyle w:val="5"/>
        <w:jc w:val="center"/>
        <w:rPr>
          <w:rFonts w:ascii="宋体" w:hAnsi="宋体" w:cs="宋体"/>
          <w:color w:val="000000" w:themeColor="text1"/>
          <w14:textFill>
            <w14:solidFill>
              <w14:schemeClr w14:val="tx1"/>
            </w14:solidFill>
          </w14:textFill>
        </w:rPr>
      </w:pPr>
      <w:r>
        <w:rPr>
          <w:rStyle w:val="82"/>
          <w:rFonts w:hint="eastAsia" w:ascii="宋体" w:hAnsi="宋体" w:cs="宋体"/>
          <w:b/>
          <w:bCs w:val="0"/>
          <w:color w:val="000000" w:themeColor="text1"/>
          <w:kern w:val="0"/>
          <w:sz w:val="28"/>
          <w:szCs w:val="28"/>
          <w14:textFill>
            <w14:solidFill>
              <w14:schemeClr w14:val="tx1"/>
            </w14:solidFill>
          </w14:textFill>
        </w:rPr>
        <w:t>售后服务承诺书</w:t>
      </w:r>
    </w:p>
    <w:p>
      <w:pPr>
        <w:pStyle w:val="6"/>
        <w:spacing w:line="360" w:lineRule="auto"/>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pStyle w:val="6"/>
        <w:tabs>
          <w:tab w:val="center" w:pos="4358"/>
        </w:tabs>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售后服务承诺书由投标单位自行编制</w:t>
      </w: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pStyle w:val="6"/>
        <w:tabs>
          <w:tab w:val="center" w:pos="4358"/>
        </w:tabs>
        <w:spacing w:line="360" w:lineRule="auto"/>
        <w:ind w:firstLine="405" w:firstLineChars="0"/>
        <w:rPr>
          <w:rFonts w:ascii="宋体" w:hAnsi="宋体" w:cs="宋体"/>
          <w:color w:val="000000" w:themeColor="text1"/>
          <w:sz w:val="24"/>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投标人证明投标资格合格的相关证件证明的复印件</w:t>
      </w: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360" w:lineRule="auto"/>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投标人证明货物合格的相关证件证明复印件</w:t>
      </w: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87" w:name="_Toc6627"/>
      <w:r>
        <w:rPr>
          <w:rStyle w:val="82"/>
          <w:rFonts w:hint="eastAsia" w:ascii="宋体" w:hAnsi="宋体" w:cs="宋体"/>
          <w:bCs w:val="0"/>
          <w:color w:val="000000" w:themeColor="text1"/>
          <w:sz w:val="28"/>
          <w:szCs w:val="28"/>
          <w14:textFill>
            <w14:solidFill>
              <w14:schemeClr w14:val="tx1"/>
            </w14:solidFill>
          </w14:textFill>
        </w:rPr>
        <w:t>投标单位（供应商）反商业贿赂承诺书</w:t>
      </w:r>
      <w:bookmarkEnd w:id="187"/>
    </w:p>
    <w:p>
      <w:pPr>
        <w:pStyle w:val="21"/>
        <w:spacing w:before="1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rPr>
          <w:rFonts w:ascii="宋体" w:hAnsi="宋体" w:cs="宋体"/>
          <w:color w:val="000000" w:themeColor="text1"/>
          <w:sz w:val="24"/>
          <w:szCs w:val="24"/>
          <w14:textFill>
            <w14:solidFill>
              <w14:schemeClr w14:val="tx1"/>
            </w14:solidFill>
          </w14:textFill>
        </w:rPr>
      </w:pPr>
    </w:p>
    <w:p>
      <w:pPr>
        <w:pStyle w:val="21"/>
        <w:spacing w:before="120" w:line="360" w:lineRule="auto"/>
        <w:ind w:left="120" w:leftChars="57" w:firstLine="280" w:firstLineChars="11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我单位承诺在</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szCs w:val="24"/>
          <w14:textFill>
            <w14:solidFill>
              <w14:schemeClr w14:val="tx1"/>
            </w14:solidFill>
          </w14:textFill>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项目经办人：</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  期：   年   月   日</w:t>
      </w:r>
    </w:p>
    <w:p>
      <w:pPr>
        <w:pStyle w:val="21"/>
        <w:spacing w:before="120" w:line="360" w:lineRule="auto"/>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经年审计的上年度会计报表</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新成立公司可不提供</w:t>
      </w:r>
      <w:r>
        <w:rPr>
          <w:rFonts w:hint="eastAsia" w:ascii="宋体" w:hAnsi="宋体"/>
          <w:b/>
          <w:bCs/>
          <w:color w:val="000000" w:themeColor="text1"/>
          <w:sz w:val="28"/>
          <w:szCs w:val="28"/>
          <w:lang w:eastAsia="zh-CN"/>
          <w14:textFill>
            <w14:solidFill>
              <w14:schemeClr w14:val="tx1"/>
            </w14:solidFill>
          </w14:textFill>
        </w:rPr>
        <w:t>）</w:t>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其它必须的资料及有利于投标的资料</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pStyle w:val="21"/>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sectPr>
          <w:headerReference r:id="rId11" w:type="default"/>
          <w:footerReference r:id="rId12" w:type="default"/>
          <w:pgSz w:w="11907" w:h="16840"/>
          <w:pgMar w:top="1020" w:right="1287" w:bottom="566"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4"/>
        <w:jc w:val="center"/>
        <w:rPr>
          <w:rFonts w:ascii="宋体"/>
          <w:color w:val="auto"/>
          <w:sz w:val="32"/>
          <w:szCs w:val="32"/>
          <w:highlight w:val="none"/>
        </w:rPr>
      </w:pPr>
      <w:r>
        <w:rPr>
          <w:rFonts w:hint="eastAsia" w:ascii="宋体" w:hAnsi="宋体" w:eastAsia="宋体"/>
          <w:b/>
          <w:bCs/>
          <w:color w:val="auto"/>
          <w:spacing w:val="60"/>
          <w:sz w:val="32"/>
          <w:szCs w:val="32"/>
          <w:highlight w:val="none"/>
        </w:rPr>
        <w:t>注意事项</w:t>
      </w:r>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ascii="宋体" w:hAnsi="宋体"/>
          <w:b/>
          <w:bCs/>
          <w:color w:val="auto"/>
          <w:spacing w:val="60"/>
          <w:sz w:val="32"/>
          <w:szCs w:val="32"/>
          <w:highlight w:val="none"/>
        </w:rPr>
        <w:sectPr>
          <w:footerReference r:id="rId14" w:type="first"/>
          <w:footerReference r:id="rId13" w:type="default"/>
          <w:pgSz w:w="11906" w:h="16838"/>
          <w:pgMar w:top="1361" w:right="1489" w:bottom="1361"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ascii="宋体" w:hAnsi="宋体"/>
          <w:color w:val="auto"/>
          <w:sz w:val="24"/>
          <w:highlight w:val="none"/>
        </w:rPr>
        <w:t>4</w:t>
      </w:r>
      <w:r>
        <w:rPr>
          <w:rFonts w:hint="eastAsia" w:ascii="宋体" w:hAnsi="宋体"/>
          <w:color w:val="auto"/>
          <w:sz w:val="24"/>
          <w:highlight w:val="none"/>
        </w:rPr>
        <w:t>、投标人提交的文件将给予保密，但不退还。</w:t>
      </w:r>
    </w:p>
    <w:tbl>
      <w:tblPr>
        <w:tblStyle w:val="25"/>
        <w:tblpPr w:leftFromText="180" w:rightFromText="180" w:vertAnchor="page" w:horzAnchor="margin" w:tblpXSpec="center" w:tblpY="2373"/>
        <w:tblOverlap w:val="never"/>
        <w:tblW w:w="14013" w:type="dxa"/>
        <w:tblInd w:w="0" w:type="dxa"/>
        <w:tblLayout w:type="fixed"/>
        <w:tblCellMar>
          <w:top w:w="15" w:type="dxa"/>
          <w:left w:w="15" w:type="dxa"/>
          <w:bottom w:w="15" w:type="dxa"/>
          <w:right w:w="15" w:type="dxa"/>
        </w:tblCellMar>
      </w:tblPr>
      <w:tblGrid>
        <w:gridCol w:w="987"/>
        <w:gridCol w:w="6048"/>
        <w:gridCol w:w="2092"/>
        <w:gridCol w:w="2422"/>
        <w:gridCol w:w="2464"/>
      </w:tblGrid>
      <w:tr>
        <w:tblPrEx>
          <w:tblCellMar>
            <w:top w:w="15" w:type="dxa"/>
            <w:left w:w="15" w:type="dxa"/>
            <w:bottom w:w="15" w:type="dxa"/>
            <w:right w:w="15" w:type="dxa"/>
          </w:tblCellMar>
        </w:tblPrEx>
        <w:trPr>
          <w:trHeight w:val="663"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审查内容</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投标人3</w:t>
            </w:r>
          </w:p>
        </w:tc>
        <w:tc>
          <w:tcPr>
            <w:tcW w:w="2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投标人4</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投标人5</w:t>
            </w:r>
          </w:p>
        </w:tc>
      </w:tr>
      <w:tr>
        <w:tblPrEx>
          <w:tblCellMar>
            <w:top w:w="15" w:type="dxa"/>
            <w:left w:w="15" w:type="dxa"/>
            <w:bottom w:w="15" w:type="dxa"/>
            <w:right w:w="15" w:type="dxa"/>
          </w:tblCellMar>
        </w:tblPrEx>
        <w:trPr>
          <w:trHeight w:val="545"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auto"/>
                <w:sz w:val="18"/>
                <w:szCs w:val="18"/>
                <w:highlight w:val="none"/>
              </w:rPr>
            </w:pPr>
            <w:r>
              <w:rPr>
                <w:color w:val="auto"/>
                <w:sz w:val="18"/>
                <w:szCs w:val="18"/>
                <w:highlight w:val="none"/>
              </w:rPr>
              <w:t>1</w:t>
            </w: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color w:val="auto"/>
                <w:kern w:val="0"/>
                <w:sz w:val="18"/>
                <w:szCs w:val="18"/>
                <w:highlight w:val="none"/>
              </w:rPr>
            </w:pPr>
            <w:r>
              <w:rPr>
                <w:rFonts w:hint="eastAsia" w:ascii="宋体" w:hAnsi="宋体" w:cs="宋体"/>
                <w:color w:val="auto"/>
                <w:kern w:val="0"/>
                <w:sz w:val="18"/>
                <w:szCs w:val="18"/>
                <w:highlight w:val="none"/>
              </w:rPr>
              <w:t>是否提供经过年检合格的营业执照</w:t>
            </w:r>
            <w:r>
              <w:rPr>
                <w:rFonts w:hint="eastAsia" w:ascii="宋体" w:hAnsi="宋体" w:cs="宋体"/>
                <w:color w:val="auto"/>
                <w:kern w:val="0"/>
                <w:sz w:val="18"/>
                <w:szCs w:val="18"/>
                <w:highlight w:val="none"/>
                <w:lang w:val="en-US" w:eastAsia="zh-CN"/>
              </w:rPr>
              <w:t>原件</w:t>
            </w:r>
            <w:r>
              <w:rPr>
                <w:rFonts w:hint="eastAsia" w:ascii="宋体" w:hAnsi="宋体" w:cs="宋体"/>
                <w:color w:val="auto"/>
                <w:kern w:val="0"/>
                <w:sz w:val="18"/>
                <w:szCs w:val="18"/>
                <w:highlight w:val="none"/>
              </w:rPr>
              <w:t>（三证合一、须有相应经营范围）</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407" w:hRule="atLeast"/>
        </w:trPr>
        <w:tc>
          <w:tcPr>
            <w:tcW w:w="987" w:type="dxa"/>
            <w:vMerge w:val="restart"/>
            <w:tcBorders>
              <w:top w:val="single" w:color="000000" w:sz="4" w:space="0"/>
              <w:left w:val="single" w:color="000000" w:sz="4" w:space="0"/>
              <w:right w:val="single" w:color="000000" w:sz="4" w:space="0"/>
            </w:tcBorders>
            <w:vAlign w:val="center"/>
          </w:tcPr>
          <w:p>
            <w:pPr>
              <w:autoSpaceDE w:val="0"/>
              <w:autoSpaceDN w:val="0"/>
              <w:spacing w:line="240" w:lineRule="atLeast"/>
              <w:jc w:val="center"/>
              <w:rPr>
                <w:color w:val="auto"/>
                <w:sz w:val="18"/>
                <w:szCs w:val="18"/>
                <w:highlight w:val="none"/>
              </w:rPr>
            </w:pPr>
            <w:r>
              <w:rPr>
                <w:rFonts w:hint="eastAsia"/>
                <w:color w:val="auto"/>
                <w:sz w:val="18"/>
                <w:szCs w:val="18"/>
                <w:highlight w:val="none"/>
              </w:rPr>
              <w:t>2</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auto"/>
                <w:sz w:val="18"/>
                <w:szCs w:val="18"/>
                <w:highlight w:val="none"/>
              </w:rPr>
            </w:pPr>
            <w:r>
              <w:rPr>
                <w:rFonts w:hint="eastAsia"/>
                <w:color w:val="auto"/>
                <w:sz w:val="18"/>
                <w:szCs w:val="18"/>
                <w:highlight w:val="none"/>
              </w:rPr>
              <w:t>符合《政府采购法》第二十二条规定的条件</w:t>
            </w:r>
          </w:p>
          <w:p>
            <w:pPr>
              <w:widowControl/>
              <w:rPr>
                <w:rFonts w:ascii="宋体" w:hAnsi="宋体" w:cs="宋体"/>
                <w:color w:val="auto"/>
                <w:kern w:val="0"/>
                <w:sz w:val="18"/>
                <w:szCs w:val="18"/>
                <w:highlight w:val="none"/>
              </w:rPr>
            </w:pPr>
            <w:r>
              <w:rPr>
                <w:rFonts w:hint="eastAsia"/>
                <w:color w:val="auto"/>
                <w:sz w:val="18"/>
                <w:szCs w:val="18"/>
                <w:highlight w:val="none"/>
              </w:rPr>
              <w:t>（一）具有独立承担民事责任的能力；</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18"/>
                <w:szCs w:val="18"/>
                <w:highlight w:val="none"/>
              </w:rPr>
            </w:pPr>
            <w:r>
              <w:rPr>
                <w:rFonts w:hint="eastAsia"/>
                <w:color w:val="auto"/>
                <w:sz w:val="18"/>
                <w:szCs w:val="18"/>
                <w:highlight w:val="none"/>
              </w:rPr>
              <w:t>（二）具有良好的商业信誉和健全的</w:t>
            </w:r>
            <w:r>
              <w:rPr>
                <w:color w:val="auto"/>
                <w:highlight w:val="none"/>
              </w:rPr>
              <w:fldChar w:fldCharType="begin"/>
            </w:r>
            <w:r>
              <w:rPr>
                <w:color w:val="auto"/>
                <w:highlight w:val="none"/>
              </w:rPr>
              <w:instrText xml:space="preserve"> HYPERLINK "https://www.baidu.com/s?wd=财务会计制度&amp;tn=SE_PcZhidaonwhc_ngpagmjz&amp;rsv_dl=gh_pc_zhidao" </w:instrText>
            </w:r>
            <w:r>
              <w:rPr>
                <w:color w:val="auto"/>
                <w:highlight w:val="none"/>
              </w:rPr>
              <w:fldChar w:fldCharType="separate"/>
            </w:r>
            <w:r>
              <w:rPr>
                <w:rFonts w:hint="eastAsia"/>
                <w:color w:val="auto"/>
                <w:sz w:val="18"/>
                <w:szCs w:val="18"/>
                <w:highlight w:val="none"/>
              </w:rPr>
              <w:t>财务会计制度</w:t>
            </w:r>
            <w:r>
              <w:rPr>
                <w:rFonts w:hint="eastAsia"/>
                <w:color w:val="auto"/>
                <w:sz w:val="18"/>
                <w:szCs w:val="18"/>
                <w:highlight w:val="none"/>
              </w:rPr>
              <w:fldChar w:fldCharType="end"/>
            </w:r>
            <w:r>
              <w:rPr>
                <w:rFonts w:hint="eastAsia"/>
                <w:color w:val="auto"/>
                <w:sz w:val="18"/>
                <w:szCs w:val="18"/>
                <w:highlight w:val="none"/>
              </w:rPr>
              <w:t>；</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18"/>
                <w:szCs w:val="18"/>
                <w:highlight w:val="none"/>
              </w:rPr>
            </w:pPr>
            <w:r>
              <w:rPr>
                <w:rFonts w:hint="eastAsia"/>
                <w:color w:val="auto"/>
                <w:sz w:val="18"/>
                <w:szCs w:val="18"/>
                <w:highlight w:val="none"/>
              </w:rPr>
              <w:t>（三）具有履行合同所必需的设备和专业技术能力；</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color w:val="auto"/>
                <w:sz w:val="18"/>
                <w:szCs w:val="18"/>
                <w:highlight w:val="none"/>
              </w:rPr>
              <w:t>（四）有依法缴纳税收和</w:t>
            </w:r>
            <w:r>
              <w:rPr>
                <w:color w:val="auto"/>
                <w:highlight w:val="none"/>
              </w:rPr>
              <w:fldChar w:fldCharType="begin"/>
            </w:r>
            <w:r>
              <w:rPr>
                <w:color w:val="auto"/>
                <w:highlight w:val="none"/>
              </w:rPr>
              <w:instrText xml:space="preserve"> HYPERLINK "https://www.baidu.com/s?wd=社会保障资金&amp;tn=SE_PcZhidaonwhc_ngpagmjz&amp;rsv_dl=gh_pc_zhidao" </w:instrText>
            </w:r>
            <w:r>
              <w:rPr>
                <w:color w:val="auto"/>
                <w:highlight w:val="none"/>
              </w:rPr>
              <w:fldChar w:fldCharType="separate"/>
            </w:r>
            <w:r>
              <w:rPr>
                <w:rFonts w:hint="eastAsia"/>
                <w:color w:val="auto"/>
                <w:sz w:val="18"/>
                <w:szCs w:val="18"/>
                <w:highlight w:val="none"/>
              </w:rPr>
              <w:t>社会保障资金</w:t>
            </w:r>
            <w:r>
              <w:rPr>
                <w:rFonts w:hint="eastAsia"/>
                <w:color w:val="auto"/>
                <w:sz w:val="18"/>
                <w:szCs w:val="18"/>
                <w:highlight w:val="none"/>
              </w:rPr>
              <w:fldChar w:fldCharType="end"/>
            </w:r>
            <w:r>
              <w:rPr>
                <w:rFonts w:hint="eastAsia"/>
                <w:color w:val="auto"/>
                <w:sz w:val="18"/>
                <w:szCs w:val="18"/>
                <w:highlight w:val="none"/>
              </w:rPr>
              <w:t>的良好记录</w:t>
            </w:r>
            <w:r>
              <w:rPr>
                <w:rFonts w:hint="eastAsia"/>
                <w:color w:val="auto"/>
                <w:sz w:val="18"/>
                <w:szCs w:val="18"/>
                <w:highlight w:val="none"/>
                <w:lang w:eastAsia="zh-CN"/>
              </w:rPr>
              <w:t>（</w:t>
            </w:r>
            <w:r>
              <w:rPr>
                <w:rFonts w:hint="eastAsia"/>
                <w:color w:val="auto"/>
                <w:sz w:val="18"/>
                <w:szCs w:val="18"/>
                <w:highlight w:val="none"/>
                <w:lang w:val="en-US" w:eastAsia="zh-CN"/>
              </w:rPr>
              <w:t>含本项目被委托人，被委托人是投标单位法定代表人的无需提供此项</w:t>
            </w:r>
            <w:r>
              <w:rPr>
                <w:rFonts w:hint="eastAsia"/>
                <w:color w:val="auto"/>
                <w:sz w:val="18"/>
                <w:szCs w:val="18"/>
                <w:highlight w:val="none"/>
                <w:lang w:eastAsia="zh-CN"/>
              </w:rPr>
              <w:t>）</w:t>
            </w:r>
            <w:r>
              <w:rPr>
                <w:rFonts w:hint="eastAsia"/>
                <w:color w:val="auto"/>
                <w:sz w:val="18"/>
                <w:szCs w:val="18"/>
                <w:highlight w:val="none"/>
              </w:rPr>
              <w:t>；</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color w:val="auto"/>
                <w:sz w:val="18"/>
                <w:szCs w:val="18"/>
                <w:highlight w:val="none"/>
              </w:rPr>
              <w:t>（五）参加政府采购活动前三年内，在经营活动中没有重大违法记录；</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auto"/>
                <w:sz w:val="18"/>
                <w:szCs w:val="18"/>
                <w:highlight w:val="none"/>
              </w:rPr>
            </w:pPr>
            <w:r>
              <w:rPr>
                <w:rFonts w:hint="eastAsia"/>
                <w:color w:val="auto"/>
                <w:sz w:val="18"/>
                <w:szCs w:val="18"/>
                <w:highlight w:val="none"/>
              </w:rPr>
              <w:t>（六）法律、行政法规规定的其他条件。</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544"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投标保证金是否足额缴纳</w:t>
            </w:r>
          </w:p>
        </w:tc>
        <w:tc>
          <w:tcPr>
            <w:tcW w:w="209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22"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c>
          <w:tcPr>
            <w:tcW w:w="2464" w:type="dxa"/>
            <w:tcBorders>
              <w:top w:val="single" w:color="000000" w:sz="4" w:space="0"/>
              <w:left w:val="single" w:color="000000" w:sz="4" w:space="0"/>
              <w:bottom w:val="single" w:color="000000" w:sz="4" w:space="0"/>
              <w:right w:val="single" w:color="000000" w:sz="4" w:space="0"/>
            </w:tcBorders>
          </w:tcPr>
          <w:p>
            <w:pPr>
              <w:rPr>
                <w:color w:val="auto"/>
                <w:sz w:val="24"/>
                <w:highlight w:val="none"/>
              </w:rPr>
            </w:pPr>
          </w:p>
        </w:tc>
      </w:tr>
      <w:tr>
        <w:tblPrEx>
          <w:tblCellMar>
            <w:top w:w="15" w:type="dxa"/>
            <w:left w:w="15" w:type="dxa"/>
            <w:bottom w:w="15" w:type="dxa"/>
            <w:right w:w="15" w:type="dxa"/>
          </w:tblCellMar>
        </w:tblPrEx>
        <w:trPr>
          <w:trHeight w:val="476" w:hRule="atLeast"/>
        </w:trPr>
        <w:tc>
          <w:tcPr>
            <w:tcW w:w="7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结论（符合或不符合）</w:t>
            </w:r>
          </w:p>
        </w:tc>
        <w:tc>
          <w:tcPr>
            <w:tcW w:w="2092"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c>
          <w:tcPr>
            <w:tcW w:w="2422"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c>
          <w:tcPr>
            <w:tcW w:w="2464" w:type="dxa"/>
            <w:tcBorders>
              <w:top w:val="single" w:color="000000" w:sz="4" w:space="0"/>
              <w:left w:val="single" w:color="000000" w:sz="4" w:space="0"/>
              <w:bottom w:val="single" w:color="000000" w:sz="4" w:space="0"/>
              <w:right w:val="single" w:color="000000" w:sz="4" w:space="0"/>
            </w:tcBorders>
          </w:tcPr>
          <w:p>
            <w:pPr>
              <w:rPr>
                <w:color w:val="000000" w:themeColor="text1"/>
                <w:sz w:val="24"/>
                <w14:textFill>
                  <w14:solidFill>
                    <w14:schemeClr w14:val="tx1"/>
                  </w14:solidFill>
                </w14:textFill>
              </w:rPr>
            </w:pPr>
          </w:p>
        </w:tc>
      </w:tr>
    </w:tbl>
    <w:p>
      <w:pPr>
        <w:rPr>
          <w:color w:val="000000" w:themeColor="text1"/>
          <w14:textFill>
            <w14:solidFill>
              <w14:schemeClr w14:val="tx1"/>
            </w14:solidFill>
          </w14:textFill>
        </w:rPr>
        <w:sectPr>
          <w:type w:val="continuous"/>
          <w:pgSz w:w="16840" w:h="11907" w:orient="landscape"/>
          <w:pgMar w:top="1247" w:right="1021" w:bottom="1287" w:left="1021"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资格审查表</w:t>
      </w:r>
    </w:p>
    <w:p>
      <w:pPr>
        <w:widowControl/>
        <w:jc w:val="left"/>
        <w:rPr>
          <w:rStyle w:val="78"/>
          <w:color w:val="000000" w:themeColor="text1"/>
          <w:szCs w:val="22"/>
          <w:lang w:bidi="en-US"/>
          <w14:textFill>
            <w14:solidFill>
              <w14:schemeClr w14:val="tx1"/>
            </w14:solidFill>
          </w14:textFill>
        </w:rPr>
      </w:pPr>
      <w:r>
        <w:rPr>
          <w:rStyle w:val="78"/>
          <w:color w:val="000000" w:themeColor="text1"/>
          <w14:textFill>
            <w14:solidFill>
              <w14:schemeClr w14:val="tx1"/>
            </w14:solidFill>
          </w14:textFill>
        </w:rPr>
        <w:br w:type="page"/>
      </w:r>
    </w:p>
    <w:tbl>
      <w:tblPr>
        <w:tblStyle w:val="25"/>
        <w:tblW w:w="12225" w:type="dxa"/>
        <w:jc w:val="center"/>
        <w:tblLayout w:type="fixed"/>
        <w:tblCellMar>
          <w:top w:w="15" w:type="dxa"/>
          <w:left w:w="15" w:type="dxa"/>
          <w:bottom w:w="15" w:type="dxa"/>
          <w:right w:w="15" w:type="dxa"/>
        </w:tblCellMar>
      </w:tblPr>
      <w:tblGrid>
        <w:gridCol w:w="825"/>
        <w:gridCol w:w="5246"/>
        <w:gridCol w:w="983"/>
        <w:gridCol w:w="1365"/>
        <w:gridCol w:w="1335"/>
        <w:gridCol w:w="1215"/>
        <w:gridCol w:w="1256"/>
      </w:tblGrid>
      <w:tr>
        <w:tblPrEx>
          <w:tblCellMar>
            <w:top w:w="15" w:type="dxa"/>
            <w:left w:w="15" w:type="dxa"/>
            <w:bottom w:w="15" w:type="dxa"/>
            <w:right w:w="15" w:type="dxa"/>
          </w:tblCellMar>
        </w:tblPrEx>
        <w:trPr>
          <w:trHeight w:val="540" w:hRule="atLeast"/>
          <w:jc w:val="center"/>
        </w:trPr>
        <w:tc>
          <w:tcPr>
            <w:tcW w:w="12225" w:type="dxa"/>
            <w:gridSpan w:val="7"/>
            <w:vAlign w:val="center"/>
          </w:tcPr>
          <w:p>
            <w:pPr>
              <w:widowControl/>
              <w:jc w:val="center"/>
              <w:textAlignment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投标文件评审表</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项目名称：</w:t>
            </w:r>
          </w:p>
        </w:tc>
      </w:tr>
      <w:tr>
        <w:tblPrEx>
          <w:tblCellMar>
            <w:top w:w="15" w:type="dxa"/>
            <w:left w:w="15" w:type="dxa"/>
            <w:bottom w:w="15" w:type="dxa"/>
            <w:right w:w="15" w:type="dxa"/>
          </w:tblCellMar>
        </w:tblPrEx>
        <w:trPr>
          <w:trHeight w:val="285" w:hRule="atLeast"/>
          <w:jc w:val="center"/>
        </w:trPr>
        <w:tc>
          <w:tcPr>
            <w:tcW w:w="12225" w:type="dxa"/>
            <w:gridSpan w:val="7"/>
            <w:vAlign w:val="center"/>
          </w:tcPr>
          <w:p>
            <w:pPr>
              <w:widowControl/>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项目编号：</w:t>
            </w:r>
          </w:p>
        </w:tc>
      </w:tr>
      <w:tr>
        <w:tblPrEx>
          <w:tblCellMar>
            <w:top w:w="15" w:type="dxa"/>
            <w:left w:w="15" w:type="dxa"/>
            <w:bottom w:w="15" w:type="dxa"/>
            <w:right w:w="15" w:type="dxa"/>
          </w:tblCellMar>
        </w:tblPrEx>
        <w:trPr>
          <w:trHeight w:val="61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5246"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投标单位          </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审查内容</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投标人1</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投标人5</w:t>
            </w:r>
          </w:p>
        </w:tc>
      </w:tr>
      <w:tr>
        <w:tblPrEx>
          <w:tblCellMar>
            <w:top w:w="15" w:type="dxa"/>
            <w:left w:w="15" w:type="dxa"/>
            <w:bottom w:w="15" w:type="dxa"/>
            <w:right w:w="15" w:type="dxa"/>
          </w:tblCellMar>
        </w:tblPrEx>
        <w:trPr>
          <w:trHeight w:val="588"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投标文件是否有投标单位法定代表人或其委托代理人（签字或签章）和加盖了投标单位的盖章，投标文件的装订是否符合招标文件要求。</w:t>
            </w:r>
          </w:p>
        </w:tc>
        <w:tc>
          <w:tcPr>
            <w:tcW w:w="9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6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相关证件是否齐全</w:t>
            </w:r>
          </w:p>
        </w:tc>
        <w:tc>
          <w:tcPr>
            <w:tcW w:w="98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0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投标人是否对同一招标项目做出两个以上报价而未明确效力</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75"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技术性能、技术参数是否满足招标文件要求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响应性文件载明的供货范围、检验标准和方法等是否符合谈判文件的要求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94"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投标文件记载的本项目完成期限超过招标文件规定的完成期限；</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79"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售后服务</w:t>
            </w:r>
            <w:r>
              <w:rPr>
                <w:rFonts w:hint="eastAsia"/>
                <w:color w:val="000000" w:themeColor="text1"/>
                <w:sz w:val="18"/>
                <w:szCs w:val="18"/>
                <w14:textFill>
                  <w14:solidFill>
                    <w14:schemeClr w14:val="tx1"/>
                  </w14:solidFill>
                </w14:textFill>
              </w:rPr>
              <w:t>售后服务承诺</w:t>
            </w:r>
            <w:r>
              <w:rPr>
                <w:color w:val="000000" w:themeColor="text1"/>
                <w:sz w:val="18"/>
                <w:szCs w:val="18"/>
                <w14:textFill>
                  <w14:solidFill>
                    <w14:schemeClr w14:val="tx1"/>
                  </w14:solidFill>
                </w14:textFill>
              </w:rPr>
              <w:t>是否</w:t>
            </w:r>
            <w:r>
              <w:rPr>
                <w:rFonts w:hint="eastAsia"/>
                <w:color w:val="000000" w:themeColor="text1"/>
                <w:sz w:val="18"/>
                <w:szCs w:val="18"/>
                <w:lang w:val="en-US" w:eastAsia="zh-CN"/>
                <w14:textFill>
                  <w14:solidFill>
                    <w14:schemeClr w14:val="tx1"/>
                  </w14:solidFill>
                </w14:textFill>
              </w:rPr>
              <w:t>提供</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货物、人员配备是否满足招标文件要求</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20"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项目实施计划、方案的编制是否具体详细；</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11"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52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tLeas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投标文件是否附有招标人不能接受的条件</w:t>
            </w:r>
          </w:p>
        </w:tc>
        <w:tc>
          <w:tcPr>
            <w:tcW w:w="98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450" w:hRule="atLeast"/>
          <w:jc w:val="center"/>
        </w:trPr>
        <w:tc>
          <w:tcPr>
            <w:tcW w:w="1222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注：通过的打“√”；未通过的打“×”</w:t>
            </w:r>
            <w:r>
              <w:rPr>
                <w:rFonts w:hint="eastAsia" w:ascii="宋体" w:hAnsi="宋体" w:cs="宋体"/>
                <w:color w:val="000000" w:themeColor="text1"/>
                <w:kern w:val="0"/>
                <w:sz w:val="24"/>
                <w:lang w:eastAsia="zh-CN"/>
                <w14:textFill>
                  <w14:solidFill>
                    <w14:schemeClr w14:val="tx1"/>
                  </w14:solidFill>
                </w14:textFill>
              </w:rPr>
              <w:t>，有一项未通过的按否决投标处理。</w:t>
            </w:r>
          </w:p>
        </w:tc>
      </w:tr>
    </w:tbl>
    <w:p/>
    <w:sectPr>
      <w:type w:val="continuous"/>
      <w:pgSz w:w="16840" w:h="11907" w:orient="landscape"/>
      <w:pgMar w:top="1247" w:right="1021" w:bottom="1287" w:left="1021" w:header="851" w:footer="992" w:gutter="0"/>
      <w:pgBorders>
        <w:top w:val="none" w:sz="0" w:space="0"/>
        <w:left w:val="none" w:sz="0" w:space="0"/>
        <w:bottom w:val="none" w:sz="0" w:space="0"/>
        <w:right w:val="none" w:sz="0" w:space="0"/>
      </w:pgBorders>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0e68BAABMAwAADgAAAGRycy9lMm9Eb2MueG1srVNLbtswEN0X6B0I&#10;7mtKXrSGYDlIECQoULQB0h6ApkiLAH/g0JZ8gfYGXXWTfc7lc3RIW06b7IJsqOHM8M17M6PlxWgN&#10;2ckI2ruW1rOKEumE77TbtPTH95sPC0ogcddx451s6V4CvVi9f7ccQiPnvvemk5EgiINmCC3tUwoN&#10;YyB6aTnMfJAOg8pHyxNe44Z1kQ+Ibg2bV9VHNvjYheiFBEDv9TFIVwVfKSnSN6VAJmJaitxSOWM5&#10;1/lkqyVvNpGHXosTDf4KFpZrh0XPUNc8cbKN+gWU1SJ68CrNhLfMK6WFLBpQTV09U3Pf8yCLFmwO&#10;hHOb4O1gxdfdXSS6a+knShy3OKLD71+HP4+Hh5+krnN/hgANpt0HTEzjlR9xzpMf0Jlljyra/EVB&#10;BOPY6f25u3JMRORHi/liUWFIYGy6ID57eh4ipFvpLclGSyOOr3SV775AOqZOKbma8zfamDJC4/5z&#10;IGb2sMz9yDFbaVyPJ0Fr3+1Rz4CTb6nD1aTEfHbY2LwkkxEnYz0Z2xD1pkdqdeEF4XKbkEThlisc&#10;YU+FcWRF3Wm98k78ey9ZTz/B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qB0e68BAABM&#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GR9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PD9jhucUb7Hy/7n7/3v57J9CI3qA+xxryngJlpuPYDJo/+iM6se1Bg8xcV&#10;EYwj1u7UXjkkIvKj+Ww+rzAkMDZeEJ+9Pg8Q0530lmSjoYDzK23l2y8xHVLHlFzN+VttTJmhcf84&#10;EDN7WOZ+4JitNKyGo6CVb3eop8fRN9ThblJi7h12Nm/JaMBorEZjE0CvO6Q2LbxiuNokJFG45QoH&#10;2GNhnFlRd9yvvBR/30vW61+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dEGR9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JUJbABAABNAwAADgAAAGRycy9lMm9Eb2MueG1srVNLbtswEN0X6B0I&#10;7mtKBloYguUgQZCgQNEGSHsAmiItAvxhSFvyBdobdNVN9jmXz9EhbTltsguyoYYzwzfvzYyWF6M1&#10;ZCchau9aWs8qSqQTvtNu09If328+LCiJibuOG+9kS/cy0ovV+3fLITRy7ntvOgkEQVxshtDSPqXQ&#10;MBZFLy2PMx+kw6DyYHnCK2xYB3xAdGvYvKo+scFDF8ALGSN6r49Buir4SkmRvikVZSKmpcgtlRPK&#10;uc4nWy15swEeei1ONPgrWFiuHRY9Q13zxMkW9AsoqwX46FWaCW+ZV0oLWTSgmrp6pua+50EWLdic&#10;GM5tim8HK77u7oDoDmdXU+K4xRkdfv86/Hk8PPwk9cfcoCHEBvPuA2am8cqPmDz5Izqz7lGBzV9U&#10;RDCOrd6f2yvHRER+tJgvFhWGBMamC+Kzp+cBYrqV3pJstBRwfqWtfPclpmPqlJKrOX+jjSkzNO4/&#10;B2JmD8vcjxyzlcb1eBK09t0e9Qw4+pY63E1KzGeHnc1bMhkwGevJ2AbQmx6p1YVXDJfbhCQKt1zh&#10;CHsqjDMr6k77lZfi33vJevoLV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wiVCWwAQAA&#10;TQMAAA4AAAAAAAAAAQAgAAAAHgEAAGRycy9lMm9Eb2MueG1sUEsFBgAAAAAGAAYAWQEAAEAFAAAA&#10;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qjK8BAABN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xdnNKHHc4oz2Lz/3v/7sf/8g04vcoD5AjXmPATPTcO0HTB79gM6se1DR5i8q&#10;IhjHVu9O7ZVDIiI/ms/m8wpDAmPjBfHZ2/MQId1Jb0k2GhpxfqWtfHsP6ZA6puRqzt9qY8oMjfvg&#10;QMzsYZn7gWO20rAajoJWvt2hnh5H31CHu0mJ+eqws3lLRiOOxmo0NiHqdYfUpoUXhKtNQhKFW65w&#10;gD0WxpkVdcf9ykvx/l6y3v6C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Bqj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OvXbABAABNAwAADgAAAGRycy9lMm9Eb2MueG1srVNLbtswEN0XyB0I&#10;7mPKLpA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Lc7uIyWOW5zR/uV5/+PX/ucTmV7mBvUh1pj3EDAzDZ/8gMmjP6Iz6x4U2PxF&#10;RQTj2Ordqb1ySETkR/PZfF5hSGBsvCA+e30eIKbP0luSjYYCzq+0lW/vYjqkjim5mvO32pgyQ+Pe&#10;OBAze1jmfuCYrTSshqOglW93qKfH0TfU4W5SYr447GzektGA0ViNxiaAXndIbVp4xXC9SUiicMsV&#10;DrDHwjizou64X3kp/ryXrNe/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3jr12wAQAA&#10;TQMAAA4AAAAAAAAAAQAgAAAAHgEAAGRycy9lMm9Eb2MueG1sUEsFBgAAAAAGAAYAWQEAAEAFAAAA&#10;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v8368BAABNAwAADgAAAGRycy9lMm9Eb2MueG1srVPNjtMwEL4j8Q6W&#10;79Rph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h7N7S4njFmd0+vH99PP36dc3Mq9zg4YQG8zbBMxM4zs/YvLkj+jMukcFNn9R&#10;EcE4tvp4ba8cExH5Ub2o6wpDAmPTBfHZ4/MAMb2X3pJstBRwfqWt/PAQ0zl1SsnVnF9rY8oMjXvm&#10;QMzsYZn7mWO20rgdL4K2vjuingFH31KHu0mJ+eCws3lLJgMmYzsZ+wB61yO1eeEVw90+IYnCLVc4&#10;w14K48yKust+5aV4ei9Zj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uv836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C4D60470"/>
    <w:multiLevelType w:val="singleLevel"/>
    <w:tmpl w:val="C4D60470"/>
    <w:lvl w:ilvl="0" w:tentative="0">
      <w:start w:val="4"/>
      <w:numFmt w:val="chineseCounting"/>
      <w:suff w:val="space"/>
      <w:lvlText w:val="第%1部分"/>
      <w:lvlJc w:val="left"/>
      <w:rPr>
        <w:rFonts w:hint="eastAsia"/>
      </w:rPr>
    </w:lvl>
  </w:abstractNum>
  <w:abstractNum w:abstractNumId="2">
    <w:nsid w:val="E69D997B"/>
    <w:multiLevelType w:val="singleLevel"/>
    <w:tmpl w:val="E69D997B"/>
    <w:lvl w:ilvl="0" w:tentative="0">
      <w:start w:val="1"/>
      <w:numFmt w:val="decimal"/>
      <w:suff w:val="nothing"/>
      <w:lvlText w:val="%1、"/>
      <w:lvlJc w:val="left"/>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6B55C6C"/>
    <w:multiLevelType w:val="singleLevel"/>
    <w:tmpl w:val="06B55C6C"/>
    <w:lvl w:ilvl="0" w:tentative="0">
      <w:start w:val="2"/>
      <w:numFmt w:val="decimal"/>
      <w:lvlText w:val="%1."/>
      <w:lvlJc w:val="left"/>
      <w:pPr>
        <w:tabs>
          <w:tab w:val="left" w:pos="312"/>
        </w:tabs>
        <w:ind w:left="480" w:firstLine="0"/>
      </w:pPr>
    </w:lvl>
  </w:abstractNum>
  <w:abstractNum w:abstractNumId="5">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3"/>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7C259FE9"/>
    <w:multiLevelType w:val="singleLevel"/>
    <w:tmpl w:val="7C259FE9"/>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3F"/>
    <w:rsid w:val="00001E90"/>
    <w:rsid w:val="00001FDE"/>
    <w:rsid w:val="000044C9"/>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3779A"/>
    <w:rsid w:val="00044EAC"/>
    <w:rsid w:val="000466FA"/>
    <w:rsid w:val="000564C7"/>
    <w:rsid w:val="00057FD8"/>
    <w:rsid w:val="0006192A"/>
    <w:rsid w:val="00066ED2"/>
    <w:rsid w:val="00067E13"/>
    <w:rsid w:val="00071EAD"/>
    <w:rsid w:val="000743CD"/>
    <w:rsid w:val="000811D4"/>
    <w:rsid w:val="0008127F"/>
    <w:rsid w:val="0008272E"/>
    <w:rsid w:val="000837AC"/>
    <w:rsid w:val="000839C8"/>
    <w:rsid w:val="00085592"/>
    <w:rsid w:val="000904B8"/>
    <w:rsid w:val="000924BF"/>
    <w:rsid w:val="000935DC"/>
    <w:rsid w:val="00097452"/>
    <w:rsid w:val="00097819"/>
    <w:rsid w:val="00097C5A"/>
    <w:rsid w:val="000A1F15"/>
    <w:rsid w:val="000A53F8"/>
    <w:rsid w:val="000A5497"/>
    <w:rsid w:val="000A7265"/>
    <w:rsid w:val="000A7E60"/>
    <w:rsid w:val="000B0FB0"/>
    <w:rsid w:val="000B1EF1"/>
    <w:rsid w:val="000B4CE8"/>
    <w:rsid w:val="000C0402"/>
    <w:rsid w:val="000C17E4"/>
    <w:rsid w:val="000C4A63"/>
    <w:rsid w:val="000C5560"/>
    <w:rsid w:val="000D3BDC"/>
    <w:rsid w:val="000D404E"/>
    <w:rsid w:val="000D415F"/>
    <w:rsid w:val="000D5943"/>
    <w:rsid w:val="000D5BD1"/>
    <w:rsid w:val="000D71B3"/>
    <w:rsid w:val="000E3027"/>
    <w:rsid w:val="000E485A"/>
    <w:rsid w:val="000E4E76"/>
    <w:rsid w:val="000E5D05"/>
    <w:rsid w:val="000E7808"/>
    <w:rsid w:val="000E7E83"/>
    <w:rsid w:val="000F2519"/>
    <w:rsid w:val="000F3127"/>
    <w:rsid w:val="000F3D3B"/>
    <w:rsid w:val="000F5564"/>
    <w:rsid w:val="00100659"/>
    <w:rsid w:val="00101EFE"/>
    <w:rsid w:val="0010238B"/>
    <w:rsid w:val="0010420E"/>
    <w:rsid w:val="0010575D"/>
    <w:rsid w:val="001062BB"/>
    <w:rsid w:val="00106B90"/>
    <w:rsid w:val="00107A62"/>
    <w:rsid w:val="00110236"/>
    <w:rsid w:val="00111D5A"/>
    <w:rsid w:val="00114198"/>
    <w:rsid w:val="0011570E"/>
    <w:rsid w:val="00115CF4"/>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87284"/>
    <w:rsid w:val="00190605"/>
    <w:rsid w:val="0019270C"/>
    <w:rsid w:val="00194A7D"/>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0955"/>
    <w:rsid w:val="00201974"/>
    <w:rsid w:val="00201E4D"/>
    <w:rsid w:val="00201FAF"/>
    <w:rsid w:val="002034A7"/>
    <w:rsid w:val="00203607"/>
    <w:rsid w:val="00204221"/>
    <w:rsid w:val="002053CF"/>
    <w:rsid w:val="00212A2D"/>
    <w:rsid w:val="00214242"/>
    <w:rsid w:val="002144D9"/>
    <w:rsid w:val="00222DB5"/>
    <w:rsid w:val="0022548D"/>
    <w:rsid w:val="00226EF5"/>
    <w:rsid w:val="00227137"/>
    <w:rsid w:val="00230DED"/>
    <w:rsid w:val="00231814"/>
    <w:rsid w:val="00232BDE"/>
    <w:rsid w:val="00233F49"/>
    <w:rsid w:val="00234D20"/>
    <w:rsid w:val="00237447"/>
    <w:rsid w:val="00237A26"/>
    <w:rsid w:val="00243313"/>
    <w:rsid w:val="00246286"/>
    <w:rsid w:val="0025606B"/>
    <w:rsid w:val="00257B4B"/>
    <w:rsid w:val="00257E36"/>
    <w:rsid w:val="00261679"/>
    <w:rsid w:val="00262CE4"/>
    <w:rsid w:val="00275B90"/>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C66C6"/>
    <w:rsid w:val="002D7006"/>
    <w:rsid w:val="002E5A3D"/>
    <w:rsid w:val="002E6B1A"/>
    <w:rsid w:val="002F07EB"/>
    <w:rsid w:val="002F0F17"/>
    <w:rsid w:val="002F2072"/>
    <w:rsid w:val="0030423E"/>
    <w:rsid w:val="00310BDD"/>
    <w:rsid w:val="00311665"/>
    <w:rsid w:val="0031510D"/>
    <w:rsid w:val="0032270E"/>
    <w:rsid w:val="00325F73"/>
    <w:rsid w:val="003261ED"/>
    <w:rsid w:val="003264D4"/>
    <w:rsid w:val="00327A75"/>
    <w:rsid w:val="00330050"/>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8FF"/>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630D"/>
    <w:rsid w:val="00456AA6"/>
    <w:rsid w:val="00457124"/>
    <w:rsid w:val="004576C6"/>
    <w:rsid w:val="00462057"/>
    <w:rsid w:val="00462D12"/>
    <w:rsid w:val="004643C3"/>
    <w:rsid w:val="0047188A"/>
    <w:rsid w:val="00474CF8"/>
    <w:rsid w:val="00475638"/>
    <w:rsid w:val="00485218"/>
    <w:rsid w:val="00490C50"/>
    <w:rsid w:val="00493760"/>
    <w:rsid w:val="004A1EB8"/>
    <w:rsid w:val="004B0D27"/>
    <w:rsid w:val="004B79DA"/>
    <w:rsid w:val="004C017A"/>
    <w:rsid w:val="004C291D"/>
    <w:rsid w:val="004C41BB"/>
    <w:rsid w:val="004C4874"/>
    <w:rsid w:val="004C6067"/>
    <w:rsid w:val="004D1CC0"/>
    <w:rsid w:val="004D2D21"/>
    <w:rsid w:val="004D3725"/>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5849"/>
    <w:rsid w:val="005F6D23"/>
    <w:rsid w:val="005F7429"/>
    <w:rsid w:val="00603BD9"/>
    <w:rsid w:val="0060568E"/>
    <w:rsid w:val="00610C47"/>
    <w:rsid w:val="00612362"/>
    <w:rsid w:val="00612E44"/>
    <w:rsid w:val="00613224"/>
    <w:rsid w:val="006142DD"/>
    <w:rsid w:val="00614421"/>
    <w:rsid w:val="006153D2"/>
    <w:rsid w:val="0061543D"/>
    <w:rsid w:val="00621AEF"/>
    <w:rsid w:val="00624D5D"/>
    <w:rsid w:val="00625816"/>
    <w:rsid w:val="00627431"/>
    <w:rsid w:val="0063135C"/>
    <w:rsid w:val="00631E44"/>
    <w:rsid w:val="00632ECC"/>
    <w:rsid w:val="0063456E"/>
    <w:rsid w:val="00636F55"/>
    <w:rsid w:val="00637251"/>
    <w:rsid w:val="006374DC"/>
    <w:rsid w:val="00637E02"/>
    <w:rsid w:val="00642821"/>
    <w:rsid w:val="00644900"/>
    <w:rsid w:val="00646822"/>
    <w:rsid w:val="006475A9"/>
    <w:rsid w:val="00650674"/>
    <w:rsid w:val="006510A0"/>
    <w:rsid w:val="00654409"/>
    <w:rsid w:val="00655AA3"/>
    <w:rsid w:val="006564F4"/>
    <w:rsid w:val="00656DEC"/>
    <w:rsid w:val="00656E4C"/>
    <w:rsid w:val="00657DA3"/>
    <w:rsid w:val="00661C76"/>
    <w:rsid w:val="00670FDC"/>
    <w:rsid w:val="00675195"/>
    <w:rsid w:val="0067699C"/>
    <w:rsid w:val="0068099F"/>
    <w:rsid w:val="00683B37"/>
    <w:rsid w:val="00683F01"/>
    <w:rsid w:val="0068522D"/>
    <w:rsid w:val="006856CE"/>
    <w:rsid w:val="00685A53"/>
    <w:rsid w:val="00686DDC"/>
    <w:rsid w:val="00692779"/>
    <w:rsid w:val="0069323A"/>
    <w:rsid w:val="00695386"/>
    <w:rsid w:val="006957B3"/>
    <w:rsid w:val="006A0989"/>
    <w:rsid w:val="006A09EE"/>
    <w:rsid w:val="006A662F"/>
    <w:rsid w:val="006A73A7"/>
    <w:rsid w:val="006B052E"/>
    <w:rsid w:val="006B1079"/>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24B"/>
    <w:rsid w:val="006E697A"/>
    <w:rsid w:val="006F1BB8"/>
    <w:rsid w:val="006F20FB"/>
    <w:rsid w:val="006F489E"/>
    <w:rsid w:val="0070037A"/>
    <w:rsid w:val="00701757"/>
    <w:rsid w:val="00701B1F"/>
    <w:rsid w:val="00702578"/>
    <w:rsid w:val="007026B6"/>
    <w:rsid w:val="007042EF"/>
    <w:rsid w:val="007042FB"/>
    <w:rsid w:val="0070447A"/>
    <w:rsid w:val="00705B2C"/>
    <w:rsid w:val="00705D1E"/>
    <w:rsid w:val="00706AAB"/>
    <w:rsid w:val="00706B8F"/>
    <w:rsid w:val="00707139"/>
    <w:rsid w:val="007126AF"/>
    <w:rsid w:val="00716AD3"/>
    <w:rsid w:val="0072050D"/>
    <w:rsid w:val="0072115A"/>
    <w:rsid w:val="00721C49"/>
    <w:rsid w:val="007243E0"/>
    <w:rsid w:val="007260E2"/>
    <w:rsid w:val="007261EF"/>
    <w:rsid w:val="00726674"/>
    <w:rsid w:val="00726DBE"/>
    <w:rsid w:val="00730BFB"/>
    <w:rsid w:val="00731059"/>
    <w:rsid w:val="00732208"/>
    <w:rsid w:val="00733C3F"/>
    <w:rsid w:val="007341B4"/>
    <w:rsid w:val="00734FD7"/>
    <w:rsid w:val="0073540D"/>
    <w:rsid w:val="0074627C"/>
    <w:rsid w:val="00746F3E"/>
    <w:rsid w:val="007471C9"/>
    <w:rsid w:val="007477BB"/>
    <w:rsid w:val="00747EB3"/>
    <w:rsid w:val="00750043"/>
    <w:rsid w:val="00753EBE"/>
    <w:rsid w:val="00760C5B"/>
    <w:rsid w:val="007618D2"/>
    <w:rsid w:val="00761C96"/>
    <w:rsid w:val="00762ED9"/>
    <w:rsid w:val="007630D3"/>
    <w:rsid w:val="00764760"/>
    <w:rsid w:val="007661AA"/>
    <w:rsid w:val="0076694A"/>
    <w:rsid w:val="00770AC6"/>
    <w:rsid w:val="007810D1"/>
    <w:rsid w:val="00785799"/>
    <w:rsid w:val="00785F1D"/>
    <w:rsid w:val="007901A2"/>
    <w:rsid w:val="00790A1D"/>
    <w:rsid w:val="0079167A"/>
    <w:rsid w:val="00792CFD"/>
    <w:rsid w:val="007950DC"/>
    <w:rsid w:val="007960D5"/>
    <w:rsid w:val="007A0472"/>
    <w:rsid w:val="007A358F"/>
    <w:rsid w:val="007A3FAE"/>
    <w:rsid w:val="007B4C82"/>
    <w:rsid w:val="007B5F69"/>
    <w:rsid w:val="007C11B3"/>
    <w:rsid w:val="007C18F9"/>
    <w:rsid w:val="007C5D91"/>
    <w:rsid w:val="007C652A"/>
    <w:rsid w:val="007C79FA"/>
    <w:rsid w:val="007D3BA2"/>
    <w:rsid w:val="007D3DAF"/>
    <w:rsid w:val="007D6EE9"/>
    <w:rsid w:val="007D7437"/>
    <w:rsid w:val="007E1CFB"/>
    <w:rsid w:val="007E4318"/>
    <w:rsid w:val="007E44B6"/>
    <w:rsid w:val="007E48DC"/>
    <w:rsid w:val="007E4E64"/>
    <w:rsid w:val="007E57B3"/>
    <w:rsid w:val="007F03C3"/>
    <w:rsid w:val="007F0788"/>
    <w:rsid w:val="007F4633"/>
    <w:rsid w:val="007F5124"/>
    <w:rsid w:val="008039E2"/>
    <w:rsid w:val="00806534"/>
    <w:rsid w:val="008065A0"/>
    <w:rsid w:val="00813361"/>
    <w:rsid w:val="00823FDC"/>
    <w:rsid w:val="008261D6"/>
    <w:rsid w:val="008306BE"/>
    <w:rsid w:val="008318DE"/>
    <w:rsid w:val="00832563"/>
    <w:rsid w:val="008347DC"/>
    <w:rsid w:val="00835AFB"/>
    <w:rsid w:val="0083695F"/>
    <w:rsid w:val="008374D1"/>
    <w:rsid w:val="0084298E"/>
    <w:rsid w:val="00843490"/>
    <w:rsid w:val="00843FB1"/>
    <w:rsid w:val="00846F6B"/>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B53C2"/>
    <w:rsid w:val="008C3C57"/>
    <w:rsid w:val="008C75C8"/>
    <w:rsid w:val="008D03C9"/>
    <w:rsid w:val="008D0570"/>
    <w:rsid w:val="008D1176"/>
    <w:rsid w:val="008D5EEE"/>
    <w:rsid w:val="008E0587"/>
    <w:rsid w:val="008E1AFA"/>
    <w:rsid w:val="008E4AD2"/>
    <w:rsid w:val="008E6C3F"/>
    <w:rsid w:val="008F6AEC"/>
    <w:rsid w:val="008F70CA"/>
    <w:rsid w:val="00900B3F"/>
    <w:rsid w:val="009014F8"/>
    <w:rsid w:val="00901B04"/>
    <w:rsid w:val="00913239"/>
    <w:rsid w:val="00920775"/>
    <w:rsid w:val="00920D31"/>
    <w:rsid w:val="0092205D"/>
    <w:rsid w:val="00926325"/>
    <w:rsid w:val="00927853"/>
    <w:rsid w:val="00927A1C"/>
    <w:rsid w:val="00931921"/>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4C05"/>
    <w:rsid w:val="009E5B45"/>
    <w:rsid w:val="009F1C42"/>
    <w:rsid w:val="009F376F"/>
    <w:rsid w:val="009F4B4C"/>
    <w:rsid w:val="009F50A0"/>
    <w:rsid w:val="009F700D"/>
    <w:rsid w:val="009F79F6"/>
    <w:rsid w:val="00A01C9B"/>
    <w:rsid w:val="00A05DD3"/>
    <w:rsid w:val="00A0607B"/>
    <w:rsid w:val="00A0698F"/>
    <w:rsid w:val="00A0752D"/>
    <w:rsid w:val="00A07E33"/>
    <w:rsid w:val="00A10167"/>
    <w:rsid w:val="00A11DC1"/>
    <w:rsid w:val="00A146DD"/>
    <w:rsid w:val="00A20199"/>
    <w:rsid w:val="00A219F5"/>
    <w:rsid w:val="00A21B55"/>
    <w:rsid w:val="00A25108"/>
    <w:rsid w:val="00A25A1B"/>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1706"/>
    <w:rsid w:val="00A73F7E"/>
    <w:rsid w:val="00A818A0"/>
    <w:rsid w:val="00A82944"/>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C6731"/>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7688"/>
    <w:rsid w:val="00B143FB"/>
    <w:rsid w:val="00B14A59"/>
    <w:rsid w:val="00B22346"/>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1D95"/>
    <w:rsid w:val="00BC3536"/>
    <w:rsid w:val="00BC7C1C"/>
    <w:rsid w:val="00BD374E"/>
    <w:rsid w:val="00BD475D"/>
    <w:rsid w:val="00BE071E"/>
    <w:rsid w:val="00BE0856"/>
    <w:rsid w:val="00BE19F4"/>
    <w:rsid w:val="00BE2870"/>
    <w:rsid w:val="00BE4603"/>
    <w:rsid w:val="00BE6D93"/>
    <w:rsid w:val="00BE773A"/>
    <w:rsid w:val="00BF2D79"/>
    <w:rsid w:val="00BF3D4E"/>
    <w:rsid w:val="00BF482E"/>
    <w:rsid w:val="00BF66D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583B"/>
    <w:rsid w:val="00C76118"/>
    <w:rsid w:val="00C76A96"/>
    <w:rsid w:val="00C77BE4"/>
    <w:rsid w:val="00C839EB"/>
    <w:rsid w:val="00C859B9"/>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3C83"/>
    <w:rsid w:val="00CC64BF"/>
    <w:rsid w:val="00CC7F55"/>
    <w:rsid w:val="00CD2F31"/>
    <w:rsid w:val="00CD4E8C"/>
    <w:rsid w:val="00CD5294"/>
    <w:rsid w:val="00CD5BD1"/>
    <w:rsid w:val="00CD6B39"/>
    <w:rsid w:val="00CE088A"/>
    <w:rsid w:val="00CE124E"/>
    <w:rsid w:val="00CE290F"/>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2E"/>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1C1C"/>
    <w:rsid w:val="00D9329D"/>
    <w:rsid w:val="00D9685B"/>
    <w:rsid w:val="00DA1FF8"/>
    <w:rsid w:val="00DA23B8"/>
    <w:rsid w:val="00DA3060"/>
    <w:rsid w:val="00DA3385"/>
    <w:rsid w:val="00DA40E0"/>
    <w:rsid w:val="00DA683D"/>
    <w:rsid w:val="00DA6E97"/>
    <w:rsid w:val="00DB0CAF"/>
    <w:rsid w:val="00DB189F"/>
    <w:rsid w:val="00DB32C0"/>
    <w:rsid w:val="00DC6261"/>
    <w:rsid w:val="00DC77F7"/>
    <w:rsid w:val="00DC7A37"/>
    <w:rsid w:val="00DD71BD"/>
    <w:rsid w:val="00DE0FA4"/>
    <w:rsid w:val="00DE13A9"/>
    <w:rsid w:val="00DE2BFC"/>
    <w:rsid w:val="00DE50FC"/>
    <w:rsid w:val="00DE57E7"/>
    <w:rsid w:val="00DF01F6"/>
    <w:rsid w:val="00DF0860"/>
    <w:rsid w:val="00DF43F3"/>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5632E"/>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B4725"/>
    <w:rsid w:val="00EC311F"/>
    <w:rsid w:val="00EC319B"/>
    <w:rsid w:val="00EC512F"/>
    <w:rsid w:val="00EC5AF5"/>
    <w:rsid w:val="00ED00DA"/>
    <w:rsid w:val="00ED09C3"/>
    <w:rsid w:val="00ED19BC"/>
    <w:rsid w:val="00ED43A2"/>
    <w:rsid w:val="00ED4F80"/>
    <w:rsid w:val="00ED65A3"/>
    <w:rsid w:val="00ED718F"/>
    <w:rsid w:val="00EE0CE1"/>
    <w:rsid w:val="00EE3F3C"/>
    <w:rsid w:val="00EE49BA"/>
    <w:rsid w:val="00EF33F4"/>
    <w:rsid w:val="00EF41FC"/>
    <w:rsid w:val="00EF44B3"/>
    <w:rsid w:val="00F01D17"/>
    <w:rsid w:val="00F15AFB"/>
    <w:rsid w:val="00F15BE2"/>
    <w:rsid w:val="00F17D73"/>
    <w:rsid w:val="00F2402C"/>
    <w:rsid w:val="00F25622"/>
    <w:rsid w:val="00F25C0A"/>
    <w:rsid w:val="00F3236D"/>
    <w:rsid w:val="00F34A0D"/>
    <w:rsid w:val="00F364BE"/>
    <w:rsid w:val="00F40B2A"/>
    <w:rsid w:val="00F426EA"/>
    <w:rsid w:val="00F4287C"/>
    <w:rsid w:val="00F457E6"/>
    <w:rsid w:val="00F46478"/>
    <w:rsid w:val="00F52794"/>
    <w:rsid w:val="00F527A2"/>
    <w:rsid w:val="00F53BFF"/>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213"/>
    <w:rsid w:val="00FE53B6"/>
    <w:rsid w:val="00FF0949"/>
    <w:rsid w:val="00FF0BFD"/>
    <w:rsid w:val="00FF1209"/>
    <w:rsid w:val="00FF741F"/>
    <w:rsid w:val="01006864"/>
    <w:rsid w:val="010E7209"/>
    <w:rsid w:val="011B5DDA"/>
    <w:rsid w:val="01211A39"/>
    <w:rsid w:val="012F6F2F"/>
    <w:rsid w:val="01872824"/>
    <w:rsid w:val="01CE5644"/>
    <w:rsid w:val="020162BE"/>
    <w:rsid w:val="0209490D"/>
    <w:rsid w:val="02235726"/>
    <w:rsid w:val="022F4453"/>
    <w:rsid w:val="02433193"/>
    <w:rsid w:val="02AC6EB8"/>
    <w:rsid w:val="02B46B5F"/>
    <w:rsid w:val="02CC4E0F"/>
    <w:rsid w:val="034C4A94"/>
    <w:rsid w:val="035317B7"/>
    <w:rsid w:val="035D4FBA"/>
    <w:rsid w:val="036539C6"/>
    <w:rsid w:val="037F4AD8"/>
    <w:rsid w:val="038C4E31"/>
    <w:rsid w:val="039B6731"/>
    <w:rsid w:val="03B24ED6"/>
    <w:rsid w:val="03C874C4"/>
    <w:rsid w:val="03D568F3"/>
    <w:rsid w:val="03DA1B5F"/>
    <w:rsid w:val="03E7732E"/>
    <w:rsid w:val="03F624D0"/>
    <w:rsid w:val="03FD6967"/>
    <w:rsid w:val="03FF2EED"/>
    <w:rsid w:val="04115210"/>
    <w:rsid w:val="042E5254"/>
    <w:rsid w:val="044C08AF"/>
    <w:rsid w:val="0455550C"/>
    <w:rsid w:val="045949C9"/>
    <w:rsid w:val="045A62DF"/>
    <w:rsid w:val="049878B3"/>
    <w:rsid w:val="04B457C9"/>
    <w:rsid w:val="04CD6BE8"/>
    <w:rsid w:val="04D04858"/>
    <w:rsid w:val="04D30A9F"/>
    <w:rsid w:val="04E8795F"/>
    <w:rsid w:val="04EE232D"/>
    <w:rsid w:val="050927E3"/>
    <w:rsid w:val="0514348B"/>
    <w:rsid w:val="051D55F2"/>
    <w:rsid w:val="051F38D1"/>
    <w:rsid w:val="05390A7F"/>
    <w:rsid w:val="053924C5"/>
    <w:rsid w:val="056010A4"/>
    <w:rsid w:val="057A02A7"/>
    <w:rsid w:val="0582255B"/>
    <w:rsid w:val="05956680"/>
    <w:rsid w:val="059C30CD"/>
    <w:rsid w:val="05B22835"/>
    <w:rsid w:val="05B94C7A"/>
    <w:rsid w:val="05EA4161"/>
    <w:rsid w:val="05EB462F"/>
    <w:rsid w:val="060824D4"/>
    <w:rsid w:val="06125882"/>
    <w:rsid w:val="061515AA"/>
    <w:rsid w:val="064A50F0"/>
    <w:rsid w:val="064D1C2F"/>
    <w:rsid w:val="065740BE"/>
    <w:rsid w:val="0659298B"/>
    <w:rsid w:val="065E3052"/>
    <w:rsid w:val="0685584A"/>
    <w:rsid w:val="06A01A1D"/>
    <w:rsid w:val="06B65116"/>
    <w:rsid w:val="06C62DBD"/>
    <w:rsid w:val="06E24864"/>
    <w:rsid w:val="06E85A77"/>
    <w:rsid w:val="07245A93"/>
    <w:rsid w:val="0725517D"/>
    <w:rsid w:val="072A3DFE"/>
    <w:rsid w:val="07345C8E"/>
    <w:rsid w:val="0734697B"/>
    <w:rsid w:val="07492331"/>
    <w:rsid w:val="07593CDF"/>
    <w:rsid w:val="079322C1"/>
    <w:rsid w:val="079E3FAE"/>
    <w:rsid w:val="07B00753"/>
    <w:rsid w:val="07B53BA0"/>
    <w:rsid w:val="07B61CB8"/>
    <w:rsid w:val="07B77B90"/>
    <w:rsid w:val="07B86A18"/>
    <w:rsid w:val="07BB69E8"/>
    <w:rsid w:val="07BD6B14"/>
    <w:rsid w:val="07D66955"/>
    <w:rsid w:val="07D93957"/>
    <w:rsid w:val="07E75B2C"/>
    <w:rsid w:val="07FC7CFE"/>
    <w:rsid w:val="080216A5"/>
    <w:rsid w:val="080C6881"/>
    <w:rsid w:val="082B77E3"/>
    <w:rsid w:val="084021D2"/>
    <w:rsid w:val="086B0658"/>
    <w:rsid w:val="08745BB7"/>
    <w:rsid w:val="087D5760"/>
    <w:rsid w:val="08B6302F"/>
    <w:rsid w:val="08FA7E92"/>
    <w:rsid w:val="09061B04"/>
    <w:rsid w:val="0915310C"/>
    <w:rsid w:val="09252A2B"/>
    <w:rsid w:val="094248AA"/>
    <w:rsid w:val="094F1772"/>
    <w:rsid w:val="096B3852"/>
    <w:rsid w:val="097C51A3"/>
    <w:rsid w:val="09902C6B"/>
    <w:rsid w:val="09916731"/>
    <w:rsid w:val="09BD10E3"/>
    <w:rsid w:val="09D71A87"/>
    <w:rsid w:val="09E41DEF"/>
    <w:rsid w:val="09E632B5"/>
    <w:rsid w:val="09F337E1"/>
    <w:rsid w:val="09FC3C43"/>
    <w:rsid w:val="0A04296A"/>
    <w:rsid w:val="0A181868"/>
    <w:rsid w:val="0A1E08CC"/>
    <w:rsid w:val="0A250772"/>
    <w:rsid w:val="0A4508F2"/>
    <w:rsid w:val="0A730F50"/>
    <w:rsid w:val="0A9F34C3"/>
    <w:rsid w:val="0AAA3F3D"/>
    <w:rsid w:val="0AAA7707"/>
    <w:rsid w:val="0AF3042A"/>
    <w:rsid w:val="0AF82A82"/>
    <w:rsid w:val="0B225CDD"/>
    <w:rsid w:val="0B2B1A16"/>
    <w:rsid w:val="0B4C1555"/>
    <w:rsid w:val="0B502D43"/>
    <w:rsid w:val="0B6418A3"/>
    <w:rsid w:val="0BA910DE"/>
    <w:rsid w:val="0BBB5588"/>
    <w:rsid w:val="0C10036A"/>
    <w:rsid w:val="0C18449D"/>
    <w:rsid w:val="0C2A20A1"/>
    <w:rsid w:val="0C344628"/>
    <w:rsid w:val="0C4F0FDF"/>
    <w:rsid w:val="0C5924E3"/>
    <w:rsid w:val="0C5F1614"/>
    <w:rsid w:val="0C6201C0"/>
    <w:rsid w:val="0C6844C8"/>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45393"/>
    <w:rsid w:val="0DFB7AB8"/>
    <w:rsid w:val="0E06573B"/>
    <w:rsid w:val="0E475276"/>
    <w:rsid w:val="0E4C3DEC"/>
    <w:rsid w:val="0E7F79F0"/>
    <w:rsid w:val="0E9A556F"/>
    <w:rsid w:val="0EA24ECB"/>
    <w:rsid w:val="0EA53886"/>
    <w:rsid w:val="0EBE1D72"/>
    <w:rsid w:val="0ECD0F75"/>
    <w:rsid w:val="0EF37C53"/>
    <w:rsid w:val="0F02596B"/>
    <w:rsid w:val="0F137E85"/>
    <w:rsid w:val="0F502BE2"/>
    <w:rsid w:val="0F770DF1"/>
    <w:rsid w:val="0FA632C8"/>
    <w:rsid w:val="0FF46924"/>
    <w:rsid w:val="10026C11"/>
    <w:rsid w:val="104027D5"/>
    <w:rsid w:val="104C42FC"/>
    <w:rsid w:val="105C02B0"/>
    <w:rsid w:val="105E62C6"/>
    <w:rsid w:val="10693071"/>
    <w:rsid w:val="107E3774"/>
    <w:rsid w:val="108C774E"/>
    <w:rsid w:val="10952341"/>
    <w:rsid w:val="10A4355C"/>
    <w:rsid w:val="10AD5F1C"/>
    <w:rsid w:val="10C41590"/>
    <w:rsid w:val="10CD2934"/>
    <w:rsid w:val="10E102AF"/>
    <w:rsid w:val="10EF1311"/>
    <w:rsid w:val="11065B66"/>
    <w:rsid w:val="11194440"/>
    <w:rsid w:val="11393560"/>
    <w:rsid w:val="11424053"/>
    <w:rsid w:val="114423A8"/>
    <w:rsid w:val="116225F0"/>
    <w:rsid w:val="117B5958"/>
    <w:rsid w:val="11947749"/>
    <w:rsid w:val="11A02D46"/>
    <w:rsid w:val="11A23613"/>
    <w:rsid w:val="11CB7765"/>
    <w:rsid w:val="11DD2FBC"/>
    <w:rsid w:val="120D3D54"/>
    <w:rsid w:val="12236091"/>
    <w:rsid w:val="12273EAA"/>
    <w:rsid w:val="12615299"/>
    <w:rsid w:val="12AB5868"/>
    <w:rsid w:val="12AC1C0E"/>
    <w:rsid w:val="12B04447"/>
    <w:rsid w:val="12C47926"/>
    <w:rsid w:val="12CD266F"/>
    <w:rsid w:val="130376BC"/>
    <w:rsid w:val="13077FEF"/>
    <w:rsid w:val="134F0546"/>
    <w:rsid w:val="1361174D"/>
    <w:rsid w:val="13651CBC"/>
    <w:rsid w:val="13686026"/>
    <w:rsid w:val="137E2893"/>
    <w:rsid w:val="1388098A"/>
    <w:rsid w:val="138D7A06"/>
    <w:rsid w:val="138F4737"/>
    <w:rsid w:val="139A484C"/>
    <w:rsid w:val="13AA3191"/>
    <w:rsid w:val="13BB1727"/>
    <w:rsid w:val="13C01E91"/>
    <w:rsid w:val="13E27192"/>
    <w:rsid w:val="13E45197"/>
    <w:rsid w:val="1412039A"/>
    <w:rsid w:val="142A6526"/>
    <w:rsid w:val="144C2AAE"/>
    <w:rsid w:val="149763B5"/>
    <w:rsid w:val="14990992"/>
    <w:rsid w:val="14AF7417"/>
    <w:rsid w:val="14DF1AC8"/>
    <w:rsid w:val="151B20EC"/>
    <w:rsid w:val="151E06C7"/>
    <w:rsid w:val="15545EA1"/>
    <w:rsid w:val="156134F5"/>
    <w:rsid w:val="15966111"/>
    <w:rsid w:val="15B177AB"/>
    <w:rsid w:val="15B902F5"/>
    <w:rsid w:val="15BC4B1C"/>
    <w:rsid w:val="15E01882"/>
    <w:rsid w:val="15E66BD7"/>
    <w:rsid w:val="15F70B8B"/>
    <w:rsid w:val="16016F15"/>
    <w:rsid w:val="160C559B"/>
    <w:rsid w:val="16371423"/>
    <w:rsid w:val="16374B31"/>
    <w:rsid w:val="163C6901"/>
    <w:rsid w:val="163D31EC"/>
    <w:rsid w:val="164C4E15"/>
    <w:rsid w:val="167C46E0"/>
    <w:rsid w:val="16A375D4"/>
    <w:rsid w:val="16D31800"/>
    <w:rsid w:val="16E07B38"/>
    <w:rsid w:val="16F829CB"/>
    <w:rsid w:val="17045C3D"/>
    <w:rsid w:val="170A4214"/>
    <w:rsid w:val="171715C0"/>
    <w:rsid w:val="171A2478"/>
    <w:rsid w:val="17230DEC"/>
    <w:rsid w:val="174413F4"/>
    <w:rsid w:val="174A0545"/>
    <w:rsid w:val="174D367B"/>
    <w:rsid w:val="17595BAD"/>
    <w:rsid w:val="178A5389"/>
    <w:rsid w:val="179E1EB5"/>
    <w:rsid w:val="179F6666"/>
    <w:rsid w:val="17D60854"/>
    <w:rsid w:val="17E12475"/>
    <w:rsid w:val="17EC179B"/>
    <w:rsid w:val="17EF1804"/>
    <w:rsid w:val="17F179F8"/>
    <w:rsid w:val="17FE2EEB"/>
    <w:rsid w:val="18285D88"/>
    <w:rsid w:val="18384996"/>
    <w:rsid w:val="18390452"/>
    <w:rsid w:val="18404715"/>
    <w:rsid w:val="18476B6A"/>
    <w:rsid w:val="18831393"/>
    <w:rsid w:val="18894A2F"/>
    <w:rsid w:val="18897022"/>
    <w:rsid w:val="18AD2B83"/>
    <w:rsid w:val="18B62B74"/>
    <w:rsid w:val="18BD3432"/>
    <w:rsid w:val="18BD4421"/>
    <w:rsid w:val="18E715AA"/>
    <w:rsid w:val="18F31E73"/>
    <w:rsid w:val="18F813E3"/>
    <w:rsid w:val="1912484B"/>
    <w:rsid w:val="191E51E1"/>
    <w:rsid w:val="192B1899"/>
    <w:rsid w:val="194E5DE5"/>
    <w:rsid w:val="196067BC"/>
    <w:rsid w:val="196F3A5B"/>
    <w:rsid w:val="199B5654"/>
    <w:rsid w:val="19AC35E0"/>
    <w:rsid w:val="19C268D9"/>
    <w:rsid w:val="19DC5F06"/>
    <w:rsid w:val="19EC15AC"/>
    <w:rsid w:val="1A016CC7"/>
    <w:rsid w:val="1A042B9E"/>
    <w:rsid w:val="1A06589B"/>
    <w:rsid w:val="1A071480"/>
    <w:rsid w:val="1A092901"/>
    <w:rsid w:val="1A29188C"/>
    <w:rsid w:val="1A3101D1"/>
    <w:rsid w:val="1A330F6A"/>
    <w:rsid w:val="1A5215CF"/>
    <w:rsid w:val="1A7144D1"/>
    <w:rsid w:val="1A887D02"/>
    <w:rsid w:val="1AA25FDA"/>
    <w:rsid w:val="1AAE0F52"/>
    <w:rsid w:val="1ABA0E22"/>
    <w:rsid w:val="1ADD5092"/>
    <w:rsid w:val="1AFE1FD6"/>
    <w:rsid w:val="1B075B67"/>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4563D8"/>
    <w:rsid w:val="1C5B79C4"/>
    <w:rsid w:val="1C7524F4"/>
    <w:rsid w:val="1C95108A"/>
    <w:rsid w:val="1C964D52"/>
    <w:rsid w:val="1CA13C35"/>
    <w:rsid w:val="1CC72D5A"/>
    <w:rsid w:val="1CCB6831"/>
    <w:rsid w:val="1CCF5AD2"/>
    <w:rsid w:val="1CD04E00"/>
    <w:rsid w:val="1CF33FE4"/>
    <w:rsid w:val="1D1F35FC"/>
    <w:rsid w:val="1D214F85"/>
    <w:rsid w:val="1D4908C8"/>
    <w:rsid w:val="1D4C2B5E"/>
    <w:rsid w:val="1D786523"/>
    <w:rsid w:val="1D822A48"/>
    <w:rsid w:val="1D827512"/>
    <w:rsid w:val="1D944700"/>
    <w:rsid w:val="1DA55CA4"/>
    <w:rsid w:val="1DAC5F84"/>
    <w:rsid w:val="1DB21ADF"/>
    <w:rsid w:val="1DC7295F"/>
    <w:rsid w:val="1DCA11D8"/>
    <w:rsid w:val="1DCF3DBC"/>
    <w:rsid w:val="1DD71083"/>
    <w:rsid w:val="1DF41948"/>
    <w:rsid w:val="1E001F14"/>
    <w:rsid w:val="1E0570AF"/>
    <w:rsid w:val="1E1015A7"/>
    <w:rsid w:val="1E324BA9"/>
    <w:rsid w:val="1E324F13"/>
    <w:rsid w:val="1E33418B"/>
    <w:rsid w:val="1E3C02F0"/>
    <w:rsid w:val="1E4448F0"/>
    <w:rsid w:val="1E511447"/>
    <w:rsid w:val="1E5F7850"/>
    <w:rsid w:val="1E727A4A"/>
    <w:rsid w:val="1E830E6D"/>
    <w:rsid w:val="1E8A078A"/>
    <w:rsid w:val="1E8E5EED"/>
    <w:rsid w:val="1E8F55D5"/>
    <w:rsid w:val="1E966A7B"/>
    <w:rsid w:val="1E966C68"/>
    <w:rsid w:val="1E9D2EF2"/>
    <w:rsid w:val="1EB53C20"/>
    <w:rsid w:val="1ED01435"/>
    <w:rsid w:val="1ED848E3"/>
    <w:rsid w:val="1EF24C8B"/>
    <w:rsid w:val="1F341677"/>
    <w:rsid w:val="1F4C3284"/>
    <w:rsid w:val="1F4D5E27"/>
    <w:rsid w:val="1FB3515E"/>
    <w:rsid w:val="1FE635BD"/>
    <w:rsid w:val="201B0D43"/>
    <w:rsid w:val="201B40F3"/>
    <w:rsid w:val="202815C8"/>
    <w:rsid w:val="204519DD"/>
    <w:rsid w:val="205C4059"/>
    <w:rsid w:val="205D0A05"/>
    <w:rsid w:val="206A02E7"/>
    <w:rsid w:val="20777B58"/>
    <w:rsid w:val="209A470E"/>
    <w:rsid w:val="20AB5816"/>
    <w:rsid w:val="20AD76A7"/>
    <w:rsid w:val="20BA6609"/>
    <w:rsid w:val="20D41C6E"/>
    <w:rsid w:val="20D44ED3"/>
    <w:rsid w:val="20F47319"/>
    <w:rsid w:val="21290489"/>
    <w:rsid w:val="2133463D"/>
    <w:rsid w:val="213A5A53"/>
    <w:rsid w:val="214467A1"/>
    <w:rsid w:val="217309D5"/>
    <w:rsid w:val="219E0135"/>
    <w:rsid w:val="21A45578"/>
    <w:rsid w:val="21AE78D3"/>
    <w:rsid w:val="21B77871"/>
    <w:rsid w:val="21BD4029"/>
    <w:rsid w:val="21D62158"/>
    <w:rsid w:val="21D67ABF"/>
    <w:rsid w:val="21E43E3F"/>
    <w:rsid w:val="21E852CD"/>
    <w:rsid w:val="21FB7527"/>
    <w:rsid w:val="2208504F"/>
    <w:rsid w:val="22401299"/>
    <w:rsid w:val="224308C2"/>
    <w:rsid w:val="225E7AF8"/>
    <w:rsid w:val="227B61A2"/>
    <w:rsid w:val="22824F78"/>
    <w:rsid w:val="228C74BB"/>
    <w:rsid w:val="228F1C88"/>
    <w:rsid w:val="22995623"/>
    <w:rsid w:val="22BD4458"/>
    <w:rsid w:val="22E31F7B"/>
    <w:rsid w:val="22EB7EF1"/>
    <w:rsid w:val="22F33F3B"/>
    <w:rsid w:val="22F86654"/>
    <w:rsid w:val="230439A5"/>
    <w:rsid w:val="23115CC6"/>
    <w:rsid w:val="23146489"/>
    <w:rsid w:val="232703D6"/>
    <w:rsid w:val="233074E0"/>
    <w:rsid w:val="23726E9A"/>
    <w:rsid w:val="23834B80"/>
    <w:rsid w:val="239119D0"/>
    <w:rsid w:val="23941976"/>
    <w:rsid w:val="23C32692"/>
    <w:rsid w:val="23CF5D5A"/>
    <w:rsid w:val="23D36AE2"/>
    <w:rsid w:val="23D83A50"/>
    <w:rsid w:val="23F02A50"/>
    <w:rsid w:val="23F24306"/>
    <w:rsid w:val="23F41152"/>
    <w:rsid w:val="23FE5366"/>
    <w:rsid w:val="240E6ED0"/>
    <w:rsid w:val="24372CD4"/>
    <w:rsid w:val="246E5348"/>
    <w:rsid w:val="247135BF"/>
    <w:rsid w:val="2490455B"/>
    <w:rsid w:val="24913DDB"/>
    <w:rsid w:val="24AD6555"/>
    <w:rsid w:val="24C716E7"/>
    <w:rsid w:val="24D61B67"/>
    <w:rsid w:val="24DC3E0A"/>
    <w:rsid w:val="24F8104B"/>
    <w:rsid w:val="250633B5"/>
    <w:rsid w:val="251308D0"/>
    <w:rsid w:val="251C4D0F"/>
    <w:rsid w:val="251E3E30"/>
    <w:rsid w:val="2535037E"/>
    <w:rsid w:val="253551C5"/>
    <w:rsid w:val="253A525E"/>
    <w:rsid w:val="25463C61"/>
    <w:rsid w:val="254C7941"/>
    <w:rsid w:val="25560E8B"/>
    <w:rsid w:val="25562AB4"/>
    <w:rsid w:val="259963ED"/>
    <w:rsid w:val="25A87204"/>
    <w:rsid w:val="25C741EB"/>
    <w:rsid w:val="25E640A9"/>
    <w:rsid w:val="2608295F"/>
    <w:rsid w:val="262E0B64"/>
    <w:rsid w:val="26310DB4"/>
    <w:rsid w:val="263B7A34"/>
    <w:rsid w:val="263D053D"/>
    <w:rsid w:val="26416DCE"/>
    <w:rsid w:val="2643263F"/>
    <w:rsid w:val="26533070"/>
    <w:rsid w:val="265F52F3"/>
    <w:rsid w:val="26610B53"/>
    <w:rsid w:val="267F6AF9"/>
    <w:rsid w:val="268F1C8F"/>
    <w:rsid w:val="268F3202"/>
    <w:rsid w:val="26B166D1"/>
    <w:rsid w:val="27156440"/>
    <w:rsid w:val="273B3450"/>
    <w:rsid w:val="27480D78"/>
    <w:rsid w:val="274B39C1"/>
    <w:rsid w:val="2750439D"/>
    <w:rsid w:val="2754061B"/>
    <w:rsid w:val="2775227B"/>
    <w:rsid w:val="27757FAE"/>
    <w:rsid w:val="27783409"/>
    <w:rsid w:val="27820816"/>
    <w:rsid w:val="27B616F4"/>
    <w:rsid w:val="27B94FEC"/>
    <w:rsid w:val="27C74E60"/>
    <w:rsid w:val="27DD00AE"/>
    <w:rsid w:val="27E22CBB"/>
    <w:rsid w:val="27E55AAC"/>
    <w:rsid w:val="28067BC8"/>
    <w:rsid w:val="28434E5A"/>
    <w:rsid w:val="284A4DE8"/>
    <w:rsid w:val="284B041B"/>
    <w:rsid w:val="287870EF"/>
    <w:rsid w:val="288E742C"/>
    <w:rsid w:val="28965BEA"/>
    <w:rsid w:val="28A93C43"/>
    <w:rsid w:val="28AF098E"/>
    <w:rsid w:val="28BF4074"/>
    <w:rsid w:val="28CF7132"/>
    <w:rsid w:val="29061113"/>
    <w:rsid w:val="291D7603"/>
    <w:rsid w:val="2944584B"/>
    <w:rsid w:val="295F66D1"/>
    <w:rsid w:val="297404DC"/>
    <w:rsid w:val="29C50A05"/>
    <w:rsid w:val="29E442E1"/>
    <w:rsid w:val="2A061898"/>
    <w:rsid w:val="2A1C5510"/>
    <w:rsid w:val="2A220481"/>
    <w:rsid w:val="2A58151E"/>
    <w:rsid w:val="2A8F24F5"/>
    <w:rsid w:val="2AA0777D"/>
    <w:rsid w:val="2AA55EE0"/>
    <w:rsid w:val="2AC074C0"/>
    <w:rsid w:val="2AC25E6A"/>
    <w:rsid w:val="2AC54766"/>
    <w:rsid w:val="2AE91170"/>
    <w:rsid w:val="2AEE0B81"/>
    <w:rsid w:val="2B00403F"/>
    <w:rsid w:val="2B2E4DBD"/>
    <w:rsid w:val="2B5E3391"/>
    <w:rsid w:val="2B8E7402"/>
    <w:rsid w:val="2B984C0B"/>
    <w:rsid w:val="2BBA00BE"/>
    <w:rsid w:val="2BBF78D5"/>
    <w:rsid w:val="2C35018B"/>
    <w:rsid w:val="2C6E2BD7"/>
    <w:rsid w:val="2CA26816"/>
    <w:rsid w:val="2CCD6948"/>
    <w:rsid w:val="2CD73A4B"/>
    <w:rsid w:val="2CD81A82"/>
    <w:rsid w:val="2D112BB6"/>
    <w:rsid w:val="2D1548A8"/>
    <w:rsid w:val="2D163CCF"/>
    <w:rsid w:val="2D5F2B4D"/>
    <w:rsid w:val="2DBD3C63"/>
    <w:rsid w:val="2DDC6253"/>
    <w:rsid w:val="2DDE3469"/>
    <w:rsid w:val="2DE26ECB"/>
    <w:rsid w:val="2DE761E1"/>
    <w:rsid w:val="2E0F568E"/>
    <w:rsid w:val="2E352848"/>
    <w:rsid w:val="2E697AF6"/>
    <w:rsid w:val="2E6E7FDB"/>
    <w:rsid w:val="2E761875"/>
    <w:rsid w:val="2E844E1E"/>
    <w:rsid w:val="2E8C2431"/>
    <w:rsid w:val="2EA60F76"/>
    <w:rsid w:val="2EB40A29"/>
    <w:rsid w:val="2EED006F"/>
    <w:rsid w:val="2EFD52DD"/>
    <w:rsid w:val="2F136509"/>
    <w:rsid w:val="2F576B46"/>
    <w:rsid w:val="2F5F574D"/>
    <w:rsid w:val="2F9A752D"/>
    <w:rsid w:val="2F9E4CC6"/>
    <w:rsid w:val="2FA85F9C"/>
    <w:rsid w:val="2FAF6F0A"/>
    <w:rsid w:val="2FB45E0B"/>
    <w:rsid w:val="2FDE19DB"/>
    <w:rsid w:val="2FE03B60"/>
    <w:rsid w:val="2FE8220C"/>
    <w:rsid w:val="30127732"/>
    <w:rsid w:val="30210EF6"/>
    <w:rsid w:val="305470BC"/>
    <w:rsid w:val="30602020"/>
    <w:rsid w:val="30844189"/>
    <w:rsid w:val="30CF6CA9"/>
    <w:rsid w:val="30DB009A"/>
    <w:rsid w:val="30FC582C"/>
    <w:rsid w:val="31000C9D"/>
    <w:rsid w:val="31152766"/>
    <w:rsid w:val="311C3CBD"/>
    <w:rsid w:val="31235D8D"/>
    <w:rsid w:val="312C5621"/>
    <w:rsid w:val="312F5774"/>
    <w:rsid w:val="315B00AC"/>
    <w:rsid w:val="316909F6"/>
    <w:rsid w:val="317A7731"/>
    <w:rsid w:val="31897FC0"/>
    <w:rsid w:val="31A961BB"/>
    <w:rsid w:val="31B37B7D"/>
    <w:rsid w:val="31B430AE"/>
    <w:rsid w:val="31C91797"/>
    <w:rsid w:val="31CC4AA9"/>
    <w:rsid w:val="31DA4B69"/>
    <w:rsid w:val="31E0011A"/>
    <w:rsid w:val="31EA051C"/>
    <w:rsid w:val="31F647B1"/>
    <w:rsid w:val="320B2C0E"/>
    <w:rsid w:val="321A5F12"/>
    <w:rsid w:val="325F246F"/>
    <w:rsid w:val="328E0302"/>
    <w:rsid w:val="32B345A6"/>
    <w:rsid w:val="32BE2E4B"/>
    <w:rsid w:val="32D63C42"/>
    <w:rsid w:val="32D65693"/>
    <w:rsid w:val="32E00F68"/>
    <w:rsid w:val="32EF4B7E"/>
    <w:rsid w:val="332E0EAD"/>
    <w:rsid w:val="33326C5C"/>
    <w:rsid w:val="33375AEC"/>
    <w:rsid w:val="334677C4"/>
    <w:rsid w:val="33507893"/>
    <w:rsid w:val="33552478"/>
    <w:rsid w:val="33780A52"/>
    <w:rsid w:val="33942D86"/>
    <w:rsid w:val="33AA72F4"/>
    <w:rsid w:val="33E772E4"/>
    <w:rsid w:val="33F22327"/>
    <w:rsid w:val="34226B1D"/>
    <w:rsid w:val="342F1202"/>
    <w:rsid w:val="34365A70"/>
    <w:rsid w:val="34721607"/>
    <w:rsid w:val="348A1CAB"/>
    <w:rsid w:val="349B6585"/>
    <w:rsid w:val="34D05989"/>
    <w:rsid w:val="34D454CD"/>
    <w:rsid w:val="34D83195"/>
    <w:rsid w:val="34E775F4"/>
    <w:rsid w:val="35096962"/>
    <w:rsid w:val="35097873"/>
    <w:rsid w:val="35313A4B"/>
    <w:rsid w:val="354E2ED7"/>
    <w:rsid w:val="35543A8F"/>
    <w:rsid w:val="3565288A"/>
    <w:rsid w:val="35731A0B"/>
    <w:rsid w:val="358C2310"/>
    <w:rsid w:val="35994E80"/>
    <w:rsid w:val="35C8032F"/>
    <w:rsid w:val="35D74DF7"/>
    <w:rsid w:val="35E12272"/>
    <w:rsid w:val="35EA67D6"/>
    <w:rsid w:val="35F97676"/>
    <w:rsid w:val="361847CA"/>
    <w:rsid w:val="3632595F"/>
    <w:rsid w:val="3641462F"/>
    <w:rsid w:val="366C6328"/>
    <w:rsid w:val="36890362"/>
    <w:rsid w:val="368E4A0B"/>
    <w:rsid w:val="3692780D"/>
    <w:rsid w:val="36A35AAF"/>
    <w:rsid w:val="36B523CF"/>
    <w:rsid w:val="36B738C4"/>
    <w:rsid w:val="36C333B9"/>
    <w:rsid w:val="36DC38AB"/>
    <w:rsid w:val="36EA1CBA"/>
    <w:rsid w:val="37174554"/>
    <w:rsid w:val="37242C4D"/>
    <w:rsid w:val="37456362"/>
    <w:rsid w:val="3757410B"/>
    <w:rsid w:val="37714003"/>
    <w:rsid w:val="37743E97"/>
    <w:rsid w:val="377B070D"/>
    <w:rsid w:val="377F0029"/>
    <w:rsid w:val="378426A4"/>
    <w:rsid w:val="379A429F"/>
    <w:rsid w:val="37C62C52"/>
    <w:rsid w:val="37C6790E"/>
    <w:rsid w:val="37E739BC"/>
    <w:rsid w:val="380E4215"/>
    <w:rsid w:val="381B2D24"/>
    <w:rsid w:val="38324155"/>
    <w:rsid w:val="3850145C"/>
    <w:rsid w:val="385A12DC"/>
    <w:rsid w:val="3866043C"/>
    <w:rsid w:val="38664153"/>
    <w:rsid w:val="38792FE9"/>
    <w:rsid w:val="388018D1"/>
    <w:rsid w:val="388B25DF"/>
    <w:rsid w:val="388C35E6"/>
    <w:rsid w:val="38972389"/>
    <w:rsid w:val="389C0AFC"/>
    <w:rsid w:val="38A22B41"/>
    <w:rsid w:val="38A628F2"/>
    <w:rsid w:val="38C92BC5"/>
    <w:rsid w:val="38E416B4"/>
    <w:rsid w:val="38F54FFF"/>
    <w:rsid w:val="390C518A"/>
    <w:rsid w:val="3916612C"/>
    <w:rsid w:val="394C729E"/>
    <w:rsid w:val="39513B1E"/>
    <w:rsid w:val="396B286B"/>
    <w:rsid w:val="397701B3"/>
    <w:rsid w:val="398F0001"/>
    <w:rsid w:val="39D03A2E"/>
    <w:rsid w:val="3A2C50AA"/>
    <w:rsid w:val="3A4912A4"/>
    <w:rsid w:val="3A5B1943"/>
    <w:rsid w:val="3A6146BF"/>
    <w:rsid w:val="3A7C0482"/>
    <w:rsid w:val="3A8E10BD"/>
    <w:rsid w:val="3A983270"/>
    <w:rsid w:val="3AA34E0E"/>
    <w:rsid w:val="3AD86393"/>
    <w:rsid w:val="3ADC114B"/>
    <w:rsid w:val="3B0C401A"/>
    <w:rsid w:val="3B140595"/>
    <w:rsid w:val="3B2122C6"/>
    <w:rsid w:val="3B2C58F1"/>
    <w:rsid w:val="3B315EDC"/>
    <w:rsid w:val="3B332075"/>
    <w:rsid w:val="3B384197"/>
    <w:rsid w:val="3B4658A4"/>
    <w:rsid w:val="3B604DC0"/>
    <w:rsid w:val="3B696CB2"/>
    <w:rsid w:val="3B7005B5"/>
    <w:rsid w:val="3B7D7AA4"/>
    <w:rsid w:val="3BCB32DC"/>
    <w:rsid w:val="3C184D2B"/>
    <w:rsid w:val="3C570605"/>
    <w:rsid w:val="3C7770EB"/>
    <w:rsid w:val="3C8C6C16"/>
    <w:rsid w:val="3C995986"/>
    <w:rsid w:val="3CC470CC"/>
    <w:rsid w:val="3CD05A1C"/>
    <w:rsid w:val="3CD369FA"/>
    <w:rsid w:val="3CD80107"/>
    <w:rsid w:val="3CE50F03"/>
    <w:rsid w:val="3CFE6B92"/>
    <w:rsid w:val="3CFF57E4"/>
    <w:rsid w:val="3D076E56"/>
    <w:rsid w:val="3D31477E"/>
    <w:rsid w:val="3D4E0D64"/>
    <w:rsid w:val="3D4F55CB"/>
    <w:rsid w:val="3D7622F3"/>
    <w:rsid w:val="3D815D1C"/>
    <w:rsid w:val="3DC02658"/>
    <w:rsid w:val="3DD72A90"/>
    <w:rsid w:val="3DE51BCF"/>
    <w:rsid w:val="3DF37624"/>
    <w:rsid w:val="3DF612CF"/>
    <w:rsid w:val="3DF662D0"/>
    <w:rsid w:val="3DF66317"/>
    <w:rsid w:val="3E237C20"/>
    <w:rsid w:val="3E45687C"/>
    <w:rsid w:val="3E4F2B75"/>
    <w:rsid w:val="3E5464E9"/>
    <w:rsid w:val="3E657D92"/>
    <w:rsid w:val="3E6867A4"/>
    <w:rsid w:val="3E9C3360"/>
    <w:rsid w:val="3EC80F53"/>
    <w:rsid w:val="3EFB5EE7"/>
    <w:rsid w:val="3EFC1A20"/>
    <w:rsid w:val="3F2A2445"/>
    <w:rsid w:val="3F301884"/>
    <w:rsid w:val="3F4770A6"/>
    <w:rsid w:val="3F744629"/>
    <w:rsid w:val="3F7501CA"/>
    <w:rsid w:val="3F84674C"/>
    <w:rsid w:val="3F940E03"/>
    <w:rsid w:val="3FAA4B86"/>
    <w:rsid w:val="3FB63895"/>
    <w:rsid w:val="3FBC3F7A"/>
    <w:rsid w:val="3FC0428D"/>
    <w:rsid w:val="3FC578AB"/>
    <w:rsid w:val="3FDC5B89"/>
    <w:rsid w:val="3FFA628E"/>
    <w:rsid w:val="40362B02"/>
    <w:rsid w:val="405907B1"/>
    <w:rsid w:val="4062668F"/>
    <w:rsid w:val="40843452"/>
    <w:rsid w:val="40A053EF"/>
    <w:rsid w:val="40A2101F"/>
    <w:rsid w:val="40A81548"/>
    <w:rsid w:val="40AB6C60"/>
    <w:rsid w:val="40B0258D"/>
    <w:rsid w:val="40C01A27"/>
    <w:rsid w:val="40C43D0F"/>
    <w:rsid w:val="40D12FFE"/>
    <w:rsid w:val="40E636A8"/>
    <w:rsid w:val="40E703D9"/>
    <w:rsid w:val="40ED5D95"/>
    <w:rsid w:val="41157092"/>
    <w:rsid w:val="41174281"/>
    <w:rsid w:val="414174D9"/>
    <w:rsid w:val="414E4433"/>
    <w:rsid w:val="417616E1"/>
    <w:rsid w:val="41934ECA"/>
    <w:rsid w:val="419E14C9"/>
    <w:rsid w:val="41A24866"/>
    <w:rsid w:val="41BD0D3D"/>
    <w:rsid w:val="42682AB6"/>
    <w:rsid w:val="427575E2"/>
    <w:rsid w:val="427C317F"/>
    <w:rsid w:val="42870E3A"/>
    <w:rsid w:val="42976274"/>
    <w:rsid w:val="42BF37D8"/>
    <w:rsid w:val="42CB1817"/>
    <w:rsid w:val="42F62E1D"/>
    <w:rsid w:val="42FB38B2"/>
    <w:rsid w:val="42FC6174"/>
    <w:rsid w:val="430A045F"/>
    <w:rsid w:val="4324750F"/>
    <w:rsid w:val="4328748F"/>
    <w:rsid w:val="432D1498"/>
    <w:rsid w:val="433A1D00"/>
    <w:rsid w:val="43782B86"/>
    <w:rsid w:val="438A5574"/>
    <w:rsid w:val="43931AB1"/>
    <w:rsid w:val="43A7026F"/>
    <w:rsid w:val="43AA7319"/>
    <w:rsid w:val="43AE1A75"/>
    <w:rsid w:val="43BA341A"/>
    <w:rsid w:val="43C92364"/>
    <w:rsid w:val="43ED4CC6"/>
    <w:rsid w:val="43EF7BE4"/>
    <w:rsid w:val="43F53549"/>
    <w:rsid w:val="43FB0ED6"/>
    <w:rsid w:val="443C74EB"/>
    <w:rsid w:val="44494ED0"/>
    <w:rsid w:val="444F5A59"/>
    <w:rsid w:val="445B3FE0"/>
    <w:rsid w:val="446026DE"/>
    <w:rsid w:val="44B20C49"/>
    <w:rsid w:val="44C17DB6"/>
    <w:rsid w:val="44C51D18"/>
    <w:rsid w:val="44E16936"/>
    <w:rsid w:val="44F046BA"/>
    <w:rsid w:val="44F558D3"/>
    <w:rsid w:val="451C5CE4"/>
    <w:rsid w:val="45256E80"/>
    <w:rsid w:val="45300AB7"/>
    <w:rsid w:val="45321617"/>
    <w:rsid w:val="454531B4"/>
    <w:rsid w:val="45497578"/>
    <w:rsid w:val="45603705"/>
    <w:rsid w:val="456B1751"/>
    <w:rsid w:val="456F237E"/>
    <w:rsid w:val="45B5458B"/>
    <w:rsid w:val="45C568C5"/>
    <w:rsid w:val="45E1593D"/>
    <w:rsid w:val="45E214BB"/>
    <w:rsid w:val="45EB4644"/>
    <w:rsid w:val="460728F4"/>
    <w:rsid w:val="461475DC"/>
    <w:rsid w:val="461C65C5"/>
    <w:rsid w:val="466852B1"/>
    <w:rsid w:val="46700834"/>
    <w:rsid w:val="46821E0E"/>
    <w:rsid w:val="46862D8A"/>
    <w:rsid w:val="468660EB"/>
    <w:rsid w:val="469C3027"/>
    <w:rsid w:val="46C42BC2"/>
    <w:rsid w:val="46D4282C"/>
    <w:rsid w:val="46D43334"/>
    <w:rsid w:val="46EC51DD"/>
    <w:rsid w:val="473B169C"/>
    <w:rsid w:val="474B5885"/>
    <w:rsid w:val="474D365C"/>
    <w:rsid w:val="47574B86"/>
    <w:rsid w:val="475D4698"/>
    <w:rsid w:val="47B3006F"/>
    <w:rsid w:val="47B36FC5"/>
    <w:rsid w:val="47CA38FB"/>
    <w:rsid w:val="47E05CB5"/>
    <w:rsid w:val="47EB2CCC"/>
    <w:rsid w:val="480703D1"/>
    <w:rsid w:val="481D6FEB"/>
    <w:rsid w:val="48230E88"/>
    <w:rsid w:val="48263D5B"/>
    <w:rsid w:val="485B09FC"/>
    <w:rsid w:val="48762F9C"/>
    <w:rsid w:val="48770F65"/>
    <w:rsid w:val="487741EC"/>
    <w:rsid w:val="488C2E3C"/>
    <w:rsid w:val="48B82343"/>
    <w:rsid w:val="48CE3D1F"/>
    <w:rsid w:val="48DF429B"/>
    <w:rsid w:val="48F67CBB"/>
    <w:rsid w:val="49142D76"/>
    <w:rsid w:val="493F0EB0"/>
    <w:rsid w:val="496D5ACF"/>
    <w:rsid w:val="4970592A"/>
    <w:rsid w:val="497F4FA2"/>
    <w:rsid w:val="499401D5"/>
    <w:rsid w:val="49C56DCF"/>
    <w:rsid w:val="49CB1615"/>
    <w:rsid w:val="49CC38DC"/>
    <w:rsid w:val="49F74F97"/>
    <w:rsid w:val="49F879FD"/>
    <w:rsid w:val="4A0D21A1"/>
    <w:rsid w:val="4A1659D3"/>
    <w:rsid w:val="4A221F1E"/>
    <w:rsid w:val="4A775132"/>
    <w:rsid w:val="4A7A449D"/>
    <w:rsid w:val="4A9361CD"/>
    <w:rsid w:val="4A9F158E"/>
    <w:rsid w:val="4AAA5D18"/>
    <w:rsid w:val="4AC02B8E"/>
    <w:rsid w:val="4AD13E94"/>
    <w:rsid w:val="4AEB17AC"/>
    <w:rsid w:val="4B2335E5"/>
    <w:rsid w:val="4B29030D"/>
    <w:rsid w:val="4B2B3A95"/>
    <w:rsid w:val="4B572409"/>
    <w:rsid w:val="4B5C1170"/>
    <w:rsid w:val="4BA4512E"/>
    <w:rsid w:val="4BAF3B67"/>
    <w:rsid w:val="4BB82720"/>
    <w:rsid w:val="4BC27892"/>
    <w:rsid w:val="4BC95ADF"/>
    <w:rsid w:val="4C16045B"/>
    <w:rsid w:val="4C28761B"/>
    <w:rsid w:val="4C5F1CBC"/>
    <w:rsid w:val="4C697EEC"/>
    <w:rsid w:val="4C705456"/>
    <w:rsid w:val="4CEA670E"/>
    <w:rsid w:val="4D234CF9"/>
    <w:rsid w:val="4D3D4CE2"/>
    <w:rsid w:val="4D580ADB"/>
    <w:rsid w:val="4D653FA0"/>
    <w:rsid w:val="4D7B0A5F"/>
    <w:rsid w:val="4D913399"/>
    <w:rsid w:val="4D9D4DD5"/>
    <w:rsid w:val="4DB04798"/>
    <w:rsid w:val="4DB25D89"/>
    <w:rsid w:val="4DE37D66"/>
    <w:rsid w:val="4DE74FBC"/>
    <w:rsid w:val="4DFA3E2C"/>
    <w:rsid w:val="4DFB148F"/>
    <w:rsid w:val="4E00279B"/>
    <w:rsid w:val="4E0E768A"/>
    <w:rsid w:val="4E326ED3"/>
    <w:rsid w:val="4E4213FC"/>
    <w:rsid w:val="4E4967E5"/>
    <w:rsid w:val="4E65480C"/>
    <w:rsid w:val="4E673BF3"/>
    <w:rsid w:val="4E7877C1"/>
    <w:rsid w:val="4EB4010A"/>
    <w:rsid w:val="4ED5121A"/>
    <w:rsid w:val="4EED5BEF"/>
    <w:rsid w:val="4EF063E8"/>
    <w:rsid w:val="4F036643"/>
    <w:rsid w:val="4F2D1A80"/>
    <w:rsid w:val="4F3F2139"/>
    <w:rsid w:val="4F521B5A"/>
    <w:rsid w:val="4F5D1210"/>
    <w:rsid w:val="4F6F62D7"/>
    <w:rsid w:val="4F7444A2"/>
    <w:rsid w:val="4F7E27CD"/>
    <w:rsid w:val="4F82396F"/>
    <w:rsid w:val="4F845042"/>
    <w:rsid w:val="4F8735C2"/>
    <w:rsid w:val="4F8B7443"/>
    <w:rsid w:val="4FB92E4A"/>
    <w:rsid w:val="4FEB7CA2"/>
    <w:rsid w:val="4FED55C5"/>
    <w:rsid w:val="501320EF"/>
    <w:rsid w:val="501645FA"/>
    <w:rsid w:val="50252009"/>
    <w:rsid w:val="50410B59"/>
    <w:rsid w:val="5041649E"/>
    <w:rsid w:val="505800DF"/>
    <w:rsid w:val="50626EF4"/>
    <w:rsid w:val="507D1101"/>
    <w:rsid w:val="508047A6"/>
    <w:rsid w:val="508316BD"/>
    <w:rsid w:val="50AB3E3C"/>
    <w:rsid w:val="50AE0C24"/>
    <w:rsid w:val="50B85D7D"/>
    <w:rsid w:val="50B90847"/>
    <w:rsid w:val="50D8006B"/>
    <w:rsid w:val="50DD29B5"/>
    <w:rsid w:val="50E372B1"/>
    <w:rsid w:val="512854FB"/>
    <w:rsid w:val="513004CD"/>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51B6F"/>
    <w:rsid w:val="52490367"/>
    <w:rsid w:val="52532671"/>
    <w:rsid w:val="526C3548"/>
    <w:rsid w:val="527D173A"/>
    <w:rsid w:val="52C656A8"/>
    <w:rsid w:val="52E30E29"/>
    <w:rsid w:val="53144F96"/>
    <w:rsid w:val="532C52BA"/>
    <w:rsid w:val="534166E3"/>
    <w:rsid w:val="53437CB9"/>
    <w:rsid w:val="534D11A7"/>
    <w:rsid w:val="5351464F"/>
    <w:rsid w:val="53525BC9"/>
    <w:rsid w:val="535578E9"/>
    <w:rsid w:val="535C7ACD"/>
    <w:rsid w:val="537138AF"/>
    <w:rsid w:val="53720590"/>
    <w:rsid w:val="53914EBB"/>
    <w:rsid w:val="539C6909"/>
    <w:rsid w:val="53A256A6"/>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D6643F"/>
    <w:rsid w:val="54E0787A"/>
    <w:rsid w:val="555A42DE"/>
    <w:rsid w:val="55613D7D"/>
    <w:rsid w:val="557315B8"/>
    <w:rsid w:val="559308FC"/>
    <w:rsid w:val="55961EE8"/>
    <w:rsid w:val="55AF28AC"/>
    <w:rsid w:val="55B525AD"/>
    <w:rsid w:val="55C8499F"/>
    <w:rsid w:val="55D55084"/>
    <w:rsid w:val="55E2324A"/>
    <w:rsid w:val="55F32C39"/>
    <w:rsid w:val="55F86659"/>
    <w:rsid w:val="56166CF1"/>
    <w:rsid w:val="56175F70"/>
    <w:rsid w:val="5628330D"/>
    <w:rsid w:val="563D23C6"/>
    <w:rsid w:val="563D3A5B"/>
    <w:rsid w:val="5652258B"/>
    <w:rsid w:val="56964861"/>
    <w:rsid w:val="56B703EF"/>
    <w:rsid w:val="56EB66F0"/>
    <w:rsid w:val="57095DA2"/>
    <w:rsid w:val="570B693E"/>
    <w:rsid w:val="572273A7"/>
    <w:rsid w:val="572E265B"/>
    <w:rsid w:val="57630B0D"/>
    <w:rsid w:val="57675A50"/>
    <w:rsid w:val="578261E8"/>
    <w:rsid w:val="57871772"/>
    <w:rsid w:val="578D67BA"/>
    <w:rsid w:val="5795278D"/>
    <w:rsid w:val="57AE184A"/>
    <w:rsid w:val="57C12C15"/>
    <w:rsid w:val="57C31A8B"/>
    <w:rsid w:val="57C86142"/>
    <w:rsid w:val="57D743F5"/>
    <w:rsid w:val="57DA5B37"/>
    <w:rsid w:val="57EE1340"/>
    <w:rsid w:val="57F55C6A"/>
    <w:rsid w:val="57FF744B"/>
    <w:rsid w:val="580D13A2"/>
    <w:rsid w:val="581F0A58"/>
    <w:rsid w:val="58800366"/>
    <w:rsid w:val="58992BC6"/>
    <w:rsid w:val="58C03A1C"/>
    <w:rsid w:val="58EE5032"/>
    <w:rsid w:val="58FB06F0"/>
    <w:rsid w:val="59104E1C"/>
    <w:rsid w:val="5919670A"/>
    <w:rsid w:val="59284E77"/>
    <w:rsid w:val="595B266D"/>
    <w:rsid w:val="597D580E"/>
    <w:rsid w:val="598472DE"/>
    <w:rsid w:val="598B181C"/>
    <w:rsid w:val="59B267EA"/>
    <w:rsid w:val="59B555E4"/>
    <w:rsid w:val="59BC2661"/>
    <w:rsid w:val="59D85514"/>
    <w:rsid w:val="59FB72BE"/>
    <w:rsid w:val="5A086D41"/>
    <w:rsid w:val="5A1F5897"/>
    <w:rsid w:val="5A24365C"/>
    <w:rsid w:val="5A2D3817"/>
    <w:rsid w:val="5A3025AC"/>
    <w:rsid w:val="5A370803"/>
    <w:rsid w:val="5A3E10B6"/>
    <w:rsid w:val="5A4C30CB"/>
    <w:rsid w:val="5A746D3E"/>
    <w:rsid w:val="5A7677C8"/>
    <w:rsid w:val="5A910314"/>
    <w:rsid w:val="5A9954DE"/>
    <w:rsid w:val="5AAC6E07"/>
    <w:rsid w:val="5AD70760"/>
    <w:rsid w:val="5AE13A4D"/>
    <w:rsid w:val="5B125710"/>
    <w:rsid w:val="5B341C23"/>
    <w:rsid w:val="5B450F74"/>
    <w:rsid w:val="5B4C46EB"/>
    <w:rsid w:val="5B5413DE"/>
    <w:rsid w:val="5B6D2AB5"/>
    <w:rsid w:val="5B765DD0"/>
    <w:rsid w:val="5B840780"/>
    <w:rsid w:val="5B894C5E"/>
    <w:rsid w:val="5B8D6E70"/>
    <w:rsid w:val="5BB64D1F"/>
    <w:rsid w:val="5BCA5EE9"/>
    <w:rsid w:val="5C4911DB"/>
    <w:rsid w:val="5C496888"/>
    <w:rsid w:val="5C6D3106"/>
    <w:rsid w:val="5C705E54"/>
    <w:rsid w:val="5C741E7D"/>
    <w:rsid w:val="5C861E13"/>
    <w:rsid w:val="5C947DC1"/>
    <w:rsid w:val="5C961448"/>
    <w:rsid w:val="5C9E05A0"/>
    <w:rsid w:val="5CA963A6"/>
    <w:rsid w:val="5CB97E71"/>
    <w:rsid w:val="5CC37096"/>
    <w:rsid w:val="5D0B6FC6"/>
    <w:rsid w:val="5D10664C"/>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184CF6"/>
    <w:rsid w:val="5E4C7D8F"/>
    <w:rsid w:val="5E5349E0"/>
    <w:rsid w:val="5E661A50"/>
    <w:rsid w:val="5E72691E"/>
    <w:rsid w:val="5EDA1012"/>
    <w:rsid w:val="5EDB3AED"/>
    <w:rsid w:val="5EE479BB"/>
    <w:rsid w:val="5F010E0A"/>
    <w:rsid w:val="5F0C114D"/>
    <w:rsid w:val="5F177E45"/>
    <w:rsid w:val="5F252A4A"/>
    <w:rsid w:val="5F3C6CD7"/>
    <w:rsid w:val="5F647B03"/>
    <w:rsid w:val="5F740929"/>
    <w:rsid w:val="5F761661"/>
    <w:rsid w:val="5F834450"/>
    <w:rsid w:val="5F9F5099"/>
    <w:rsid w:val="5FC15C48"/>
    <w:rsid w:val="5FCF46BE"/>
    <w:rsid w:val="5FDE5DAF"/>
    <w:rsid w:val="60092328"/>
    <w:rsid w:val="600C0437"/>
    <w:rsid w:val="60160DAA"/>
    <w:rsid w:val="602D2B97"/>
    <w:rsid w:val="60336CB0"/>
    <w:rsid w:val="60402FC0"/>
    <w:rsid w:val="604F04EF"/>
    <w:rsid w:val="606E2E19"/>
    <w:rsid w:val="60783B03"/>
    <w:rsid w:val="607A516A"/>
    <w:rsid w:val="607E4963"/>
    <w:rsid w:val="60B037F4"/>
    <w:rsid w:val="60C32444"/>
    <w:rsid w:val="60E36761"/>
    <w:rsid w:val="60EF571B"/>
    <w:rsid w:val="60F34550"/>
    <w:rsid w:val="60FF586B"/>
    <w:rsid w:val="61271A8B"/>
    <w:rsid w:val="612F0583"/>
    <w:rsid w:val="61317097"/>
    <w:rsid w:val="613530F4"/>
    <w:rsid w:val="61493D96"/>
    <w:rsid w:val="61594A02"/>
    <w:rsid w:val="61840677"/>
    <w:rsid w:val="61882096"/>
    <w:rsid w:val="61943A96"/>
    <w:rsid w:val="61B35AA1"/>
    <w:rsid w:val="61B93E5A"/>
    <w:rsid w:val="61B94CE5"/>
    <w:rsid w:val="61C20A1F"/>
    <w:rsid w:val="61C74D39"/>
    <w:rsid w:val="61CF12CA"/>
    <w:rsid w:val="61D1174B"/>
    <w:rsid w:val="61EE152C"/>
    <w:rsid w:val="61FB1D47"/>
    <w:rsid w:val="621A6DB3"/>
    <w:rsid w:val="62276CE8"/>
    <w:rsid w:val="62480D8B"/>
    <w:rsid w:val="624E3CE2"/>
    <w:rsid w:val="62512C19"/>
    <w:rsid w:val="628C4046"/>
    <w:rsid w:val="62996565"/>
    <w:rsid w:val="62C10AC2"/>
    <w:rsid w:val="62D731D8"/>
    <w:rsid w:val="62E37DEF"/>
    <w:rsid w:val="62FB421C"/>
    <w:rsid w:val="63020EC3"/>
    <w:rsid w:val="630613DC"/>
    <w:rsid w:val="63452370"/>
    <w:rsid w:val="63480CC6"/>
    <w:rsid w:val="636962F4"/>
    <w:rsid w:val="636E4547"/>
    <w:rsid w:val="63CF0EB7"/>
    <w:rsid w:val="6447659D"/>
    <w:rsid w:val="645327CF"/>
    <w:rsid w:val="64571B4C"/>
    <w:rsid w:val="647E4A98"/>
    <w:rsid w:val="648213DC"/>
    <w:rsid w:val="648E4A0F"/>
    <w:rsid w:val="64AC33A3"/>
    <w:rsid w:val="64BB4503"/>
    <w:rsid w:val="64BD4D3D"/>
    <w:rsid w:val="64C90586"/>
    <w:rsid w:val="64CE4A5A"/>
    <w:rsid w:val="64FA7D5A"/>
    <w:rsid w:val="65036242"/>
    <w:rsid w:val="651454B3"/>
    <w:rsid w:val="651B5793"/>
    <w:rsid w:val="653961C2"/>
    <w:rsid w:val="653A64BF"/>
    <w:rsid w:val="654400E2"/>
    <w:rsid w:val="65541E4C"/>
    <w:rsid w:val="657A0559"/>
    <w:rsid w:val="658F5201"/>
    <w:rsid w:val="65A37DD9"/>
    <w:rsid w:val="65B63647"/>
    <w:rsid w:val="65BC6B55"/>
    <w:rsid w:val="65E345F6"/>
    <w:rsid w:val="65E4538A"/>
    <w:rsid w:val="65F411FC"/>
    <w:rsid w:val="661C1FF9"/>
    <w:rsid w:val="662228C1"/>
    <w:rsid w:val="666948DB"/>
    <w:rsid w:val="666B54FF"/>
    <w:rsid w:val="66762777"/>
    <w:rsid w:val="668072AB"/>
    <w:rsid w:val="66905FD9"/>
    <w:rsid w:val="66B80496"/>
    <w:rsid w:val="66BF1A65"/>
    <w:rsid w:val="66D81E0C"/>
    <w:rsid w:val="66DD2DD5"/>
    <w:rsid w:val="66F95A78"/>
    <w:rsid w:val="673A005F"/>
    <w:rsid w:val="673B44C6"/>
    <w:rsid w:val="673E6D1D"/>
    <w:rsid w:val="67414351"/>
    <w:rsid w:val="674A4BDA"/>
    <w:rsid w:val="674C0C1C"/>
    <w:rsid w:val="6767669B"/>
    <w:rsid w:val="678B3DC0"/>
    <w:rsid w:val="67AA33AC"/>
    <w:rsid w:val="67AF5B2F"/>
    <w:rsid w:val="67B27396"/>
    <w:rsid w:val="67C26A41"/>
    <w:rsid w:val="67C51351"/>
    <w:rsid w:val="67FB7BC5"/>
    <w:rsid w:val="68082A64"/>
    <w:rsid w:val="680C7E20"/>
    <w:rsid w:val="6820419A"/>
    <w:rsid w:val="68290C86"/>
    <w:rsid w:val="682F69BF"/>
    <w:rsid w:val="682F723B"/>
    <w:rsid w:val="68301681"/>
    <w:rsid w:val="684E1A88"/>
    <w:rsid w:val="68776854"/>
    <w:rsid w:val="68897F3F"/>
    <w:rsid w:val="689914FA"/>
    <w:rsid w:val="68A01B3B"/>
    <w:rsid w:val="68A160CB"/>
    <w:rsid w:val="68A2350B"/>
    <w:rsid w:val="68B269EC"/>
    <w:rsid w:val="68BC7B38"/>
    <w:rsid w:val="68CE6D9F"/>
    <w:rsid w:val="68D06B15"/>
    <w:rsid w:val="68D20DDA"/>
    <w:rsid w:val="68F25DC3"/>
    <w:rsid w:val="69003E9A"/>
    <w:rsid w:val="690A4480"/>
    <w:rsid w:val="6913431D"/>
    <w:rsid w:val="69140279"/>
    <w:rsid w:val="691A79B2"/>
    <w:rsid w:val="69456A7F"/>
    <w:rsid w:val="69694454"/>
    <w:rsid w:val="697244D7"/>
    <w:rsid w:val="699B092D"/>
    <w:rsid w:val="69C61FCC"/>
    <w:rsid w:val="69F70CA2"/>
    <w:rsid w:val="69F95148"/>
    <w:rsid w:val="6A0A7110"/>
    <w:rsid w:val="6A2C5CE6"/>
    <w:rsid w:val="6A541EFF"/>
    <w:rsid w:val="6A58728C"/>
    <w:rsid w:val="6A591DEF"/>
    <w:rsid w:val="6A777FC5"/>
    <w:rsid w:val="6ABA7700"/>
    <w:rsid w:val="6ACE30B8"/>
    <w:rsid w:val="6AD65FA1"/>
    <w:rsid w:val="6B111496"/>
    <w:rsid w:val="6B135739"/>
    <w:rsid w:val="6B19076D"/>
    <w:rsid w:val="6B206FCF"/>
    <w:rsid w:val="6B3E75C8"/>
    <w:rsid w:val="6B490D24"/>
    <w:rsid w:val="6B4B544C"/>
    <w:rsid w:val="6B4F2498"/>
    <w:rsid w:val="6B5C65E8"/>
    <w:rsid w:val="6B711D47"/>
    <w:rsid w:val="6B790E54"/>
    <w:rsid w:val="6B7F63DC"/>
    <w:rsid w:val="6BE3327A"/>
    <w:rsid w:val="6C1253E5"/>
    <w:rsid w:val="6C1E1895"/>
    <w:rsid w:val="6C2B7B1F"/>
    <w:rsid w:val="6C3C79AF"/>
    <w:rsid w:val="6C65474A"/>
    <w:rsid w:val="6C90311C"/>
    <w:rsid w:val="6C974D27"/>
    <w:rsid w:val="6CC44942"/>
    <w:rsid w:val="6CC93C91"/>
    <w:rsid w:val="6D0E4A73"/>
    <w:rsid w:val="6D2C0581"/>
    <w:rsid w:val="6D891839"/>
    <w:rsid w:val="6D9276B6"/>
    <w:rsid w:val="6DCD4E7B"/>
    <w:rsid w:val="6DEA67A6"/>
    <w:rsid w:val="6E00276A"/>
    <w:rsid w:val="6E074B81"/>
    <w:rsid w:val="6E1917BF"/>
    <w:rsid w:val="6E1B0738"/>
    <w:rsid w:val="6E6F2B2F"/>
    <w:rsid w:val="6E6F75FC"/>
    <w:rsid w:val="6E994F2D"/>
    <w:rsid w:val="6EB85E07"/>
    <w:rsid w:val="6EC24CB7"/>
    <w:rsid w:val="6ECD5432"/>
    <w:rsid w:val="6ECE150D"/>
    <w:rsid w:val="6EE50476"/>
    <w:rsid w:val="6EF541EA"/>
    <w:rsid w:val="6F05643C"/>
    <w:rsid w:val="6F1F701A"/>
    <w:rsid w:val="6F216F80"/>
    <w:rsid w:val="6F2A1A37"/>
    <w:rsid w:val="6F507723"/>
    <w:rsid w:val="6F643FD0"/>
    <w:rsid w:val="6F8B6D02"/>
    <w:rsid w:val="6FBB3997"/>
    <w:rsid w:val="6FD239E3"/>
    <w:rsid w:val="6FD62482"/>
    <w:rsid w:val="6FEB185B"/>
    <w:rsid w:val="6FF109F1"/>
    <w:rsid w:val="6FFC6379"/>
    <w:rsid w:val="70032703"/>
    <w:rsid w:val="70104CD7"/>
    <w:rsid w:val="70187729"/>
    <w:rsid w:val="701D7778"/>
    <w:rsid w:val="704A64B7"/>
    <w:rsid w:val="70516EFD"/>
    <w:rsid w:val="706523D6"/>
    <w:rsid w:val="70854D59"/>
    <w:rsid w:val="709B5E21"/>
    <w:rsid w:val="70BA2DDC"/>
    <w:rsid w:val="70FB13E9"/>
    <w:rsid w:val="712A058F"/>
    <w:rsid w:val="715C22A2"/>
    <w:rsid w:val="71773857"/>
    <w:rsid w:val="717A7E22"/>
    <w:rsid w:val="717F021E"/>
    <w:rsid w:val="71820E22"/>
    <w:rsid w:val="71A600E3"/>
    <w:rsid w:val="71BC4024"/>
    <w:rsid w:val="71FB5DAC"/>
    <w:rsid w:val="720B10A3"/>
    <w:rsid w:val="72172200"/>
    <w:rsid w:val="72361E7E"/>
    <w:rsid w:val="723A7BCA"/>
    <w:rsid w:val="728066BC"/>
    <w:rsid w:val="72814BAE"/>
    <w:rsid w:val="7286380F"/>
    <w:rsid w:val="728E46C5"/>
    <w:rsid w:val="72926A56"/>
    <w:rsid w:val="72B63002"/>
    <w:rsid w:val="72EE1EB9"/>
    <w:rsid w:val="72FF5FCB"/>
    <w:rsid w:val="73434F2C"/>
    <w:rsid w:val="734D6DD6"/>
    <w:rsid w:val="73507382"/>
    <w:rsid w:val="73736629"/>
    <w:rsid w:val="73801E71"/>
    <w:rsid w:val="738D3B37"/>
    <w:rsid w:val="73992D73"/>
    <w:rsid w:val="73A7194C"/>
    <w:rsid w:val="73A82E81"/>
    <w:rsid w:val="73AD4847"/>
    <w:rsid w:val="73AE04AB"/>
    <w:rsid w:val="73AE6FCE"/>
    <w:rsid w:val="73FC6A99"/>
    <w:rsid w:val="740873EB"/>
    <w:rsid w:val="740F0233"/>
    <w:rsid w:val="74203F29"/>
    <w:rsid w:val="742C3D59"/>
    <w:rsid w:val="743E71D4"/>
    <w:rsid w:val="74786894"/>
    <w:rsid w:val="749E5652"/>
    <w:rsid w:val="74AE100A"/>
    <w:rsid w:val="74B93644"/>
    <w:rsid w:val="74D51121"/>
    <w:rsid w:val="74D6499B"/>
    <w:rsid w:val="74E16DFE"/>
    <w:rsid w:val="74EA1703"/>
    <w:rsid w:val="74F00D7E"/>
    <w:rsid w:val="750E2783"/>
    <w:rsid w:val="7531784C"/>
    <w:rsid w:val="75345D65"/>
    <w:rsid w:val="75357259"/>
    <w:rsid w:val="753A388B"/>
    <w:rsid w:val="753B2F76"/>
    <w:rsid w:val="75406E97"/>
    <w:rsid w:val="756928D3"/>
    <w:rsid w:val="75721589"/>
    <w:rsid w:val="75C85336"/>
    <w:rsid w:val="75D065E3"/>
    <w:rsid w:val="75E057FD"/>
    <w:rsid w:val="760C1CB2"/>
    <w:rsid w:val="763D19B2"/>
    <w:rsid w:val="764853F4"/>
    <w:rsid w:val="764B67AF"/>
    <w:rsid w:val="76593AA6"/>
    <w:rsid w:val="766020D3"/>
    <w:rsid w:val="768963ED"/>
    <w:rsid w:val="76A141BE"/>
    <w:rsid w:val="76A44D96"/>
    <w:rsid w:val="76BA4B00"/>
    <w:rsid w:val="76BB40FA"/>
    <w:rsid w:val="76C74169"/>
    <w:rsid w:val="76EB39BF"/>
    <w:rsid w:val="76EB5857"/>
    <w:rsid w:val="770C4735"/>
    <w:rsid w:val="771C5316"/>
    <w:rsid w:val="772A613A"/>
    <w:rsid w:val="772E4F4B"/>
    <w:rsid w:val="773923D9"/>
    <w:rsid w:val="773B0BCD"/>
    <w:rsid w:val="776A06A1"/>
    <w:rsid w:val="77866244"/>
    <w:rsid w:val="77873AF1"/>
    <w:rsid w:val="778A7714"/>
    <w:rsid w:val="778B798F"/>
    <w:rsid w:val="78034D6A"/>
    <w:rsid w:val="780E11FE"/>
    <w:rsid w:val="7812672C"/>
    <w:rsid w:val="781B764D"/>
    <w:rsid w:val="781D3983"/>
    <w:rsid w:val="782C0B62"/>
    <w:rsid w:val="78312740"/>
    <w:rsid w:val="784768C4"/>
    <w:rsid w:val="784D666F"/>
    <w:rsid w:val="78581A10"/>
    <w:rsid w:val="787A5B08"/>
    <w:rsid w:val="787C219F"/>
    <w:rsid w:val="78A52189"/>
    <w:rsid w:val="78AB42F3"/>
    <w:rsid w:val="78BF4D54"/>
    <w:rsid w:val="78D502ED"/>
    <w:rsid w:val="78F83A29"/>
    <w:rsid w:val="79044E2C"/>
    <w:rsid w:val="790A3D56"/>
    <w:rsid w:val="79472053"/>
    <w:rsid w:val="794D6390"/>
    <w:rsid w:val="796371D3"/>
    <w:rsid w:val="79725801"/>
    <w:rsid w:val="797F63C5"/>
    <w:rsid w:val="7982346D"/>
    <w:rsid w:val="798F4DFD"/>
    <w:rsid w:val="7999250C"/>
    <w:rsid w:val="79B43A49"/>
    <w:rsid w:val="79F01477"/>
    <w:rsid w:val="7A265266"/>
    <w:rsid w:val="7A2C3186"/>
    <w:rsid w:val="7A3701A9"/>
    <w:rsid w:val="7A3B1988"/>
    <w:rsid w:val="7A5B5B09"/>
    <w:rsid w:val="7A6F080F"/>
    <w:rsid w:val="7A743265"/>
    <w:rsid w:val="7A92236B"/>
    <w:rsid w:val="7A93020A"/>
    <w:rsid w:val="7AA76FDC"/>
    <w:rsid w:val="7AAA5BEA"/>
    <w:rsid w:val="7AB65029"/>
    <w:rsid w:val="7AC542E6"/>
    <w:rsid w:val="7AF85874"/>
    <w:rsid w:val="7B2868E5"/>
    <w:rsid w:val="7B2D6582"/>
    <w:rsid w:val="7B39566F"/>
    <w:rsid w:val="7B5275B6"/>
    <w:rsid w:val="7B5B306B"/>
    <w:rsid w:val="7B70294A"/>
    <w:rsid w:val="7B8A21D7"/>
    <w:rsid w:val="7BA57B23"/>
    <w:rsid w:val="7BCD0A19"/>
    <w:rsid w:val="7BEB161F"/>
    <w:rsid w:val="7C1A5229"/>
    <w:rsid w:val="7C3B6648"/>
    <w:rsid w:val="7C7229BD"/>
    <w:rsid w:val="7C8B158C"/>
    <w:rsid w:val="7C8E3870"/>
    <w:rsid w:val="7CA21BD9"/>
    <w:rsid w:val="7CF5755F"/>
    <w:rsid w:val="7D02202F"/>
    <w:rsid w:val="7D042AA0"/>
    <w:rsid w:val="7D072801"/>
    <w:rsid w:val="7D0C0035"/>
    <w:rsid w:val="7D165E4E"/>
    <w:rsid w:val="7D283BE3"/>
    <w:rsid w:val="7D431B26"/>
    <w:rsid w:val="7D587147"/>
    <w:rsid w:val="7D9C44CC"/>
    <w:rsid w:val="7DB17F6E"/>
    <w:rsid w:val="7DB2636B"/>
    <w:rsid w:val="7DBE58DA"/>
    <w:rsid w:val="7DC20127"/>
    <w:rsid w:val="7DD261C7"/>
    <w:rsid w:val="7DD95510"/>
    <w:rsid w:val="7DE70711"/>
    <w:rsid w:val="7DE94A5F"/>
    <w:rsid w:val="7E185B21"/>
    <w:rsid w:val="7E452A2A"/>
    <w:rsid w:val="7E473CA8"/>
    <w:rsid w:val="7E4A51DB"/>
    <w:rsid w:val="7E60412B"/>
    <w:rsid w:val="7E7C381C"/>
    <w:rsid w:val="7EAA455C"/>
    <w:rsid w:val="7EC26701"/>
    <w:rsid w:val="7EDB77C3"/>
    <w:rsid w:val="7EE721D8"/>
    <w:rsid w:val="7F071F96"/>
    <w:rsid w:val="7F21277B"/>
    <w:rsid w:val="7F283B99"/>
    <w:rsid w:val="7F2B1B0E"/>
    <w:rsid w:val="7F327CF5"/>
    <w:rsid w:val="7F504478"/>
    <w:rsid w:val="7F510125"/>
    <w:rsid w:val="7F531248"/>
    <w:rsid w:val="7F602C28"/>
    <w:rsid w:val="7F652792"/>
    <w:rsid w:val="7F6B3D4A"/>
    <w:rsid w:val="7FE31360"/>
    <w:rsid w:val="7FE553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4"/>
    <w:qFormat/>
    <w:uiPriority w:val="99"/>
    <w:pPr>
      <w:keepNext/>
      <w:numPr>
        <w:ilvl w:val="0"/>
        <w:numId w:val="1"/>
      </w:numPr>
      <w:outlineLvl w:val="0"/>
    </w:pPr>
    <w:rPr>
      <w:b/>
      <w:szCs w:val="20"/>
    </w:rPr>
  </w:style>
  <w:style w:type="paragraph" w:styleId="5">
    <w:name w:val="heading 2"/>
    <w:basedOn w:val="1"/>
    <w:next w:val="6"/>
    <w:link w:val="35"/>
    <w:qFormat/>
    <w:uiPriority w:val="99"/>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82"/>
    <w:qFormat/>
    <w:uiPriority w:val="99"/>
    <w:pPr>
      <w:keepNext/>
      <w:keepLines/>
      <w:spacing w:before="260" w:after="260" w:line="415" w:lineRule="auto"/>
      <w:outlineLvl w:val="2"/>
    </w:pPr>
    <w:rPr>
      <w:sz w:val="32"/>
      <w:szCs w:val="32"/>
    </w:rPr>
  </w:style>
  <w:style w:type="paragraph" w:styleId="7">
    <w:name w:val="heading 4"/>
    <w:basedOn w:val="1"/>
    <w:next w:val="1"/>
    <w:link w:val="37"/>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Normal Indent"/>
    <w:basedOn w:val="1"/>
    <w:next w:val="1"/>
    <w:qFormat/>
    <w:uiPriority w:val="99"/>
    <w:pPr>
      <w:ind w:firstLine="420" w:firstLineChars="200"/>
    </w:pPr>
  </w:style>
  <w:style w:type="paragraph" w:styleId="11">
    <w:name w:val="Body Text"/>
    <w:basedOn w:val="1"/>
    <w:link w:val="38"/>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9"/>
    <w:qFormat/>
    <w:uiPriority w:val="99"/>
    <w:pPr>
      <w:ind w:firstLine="480"/>
    </w:pPr>
    <w:rPr>
      <w:rFonts w:ascii="宋体" w:hAnsi="宋体"/>
      <w:sz w:val="30"/>
    </w:rPr>
  </w:style>
  <w:style w:type="paragraph" w:styleId="13">
    <w:name w:val="Plain Text"/>
    <w:basedOn w:val="1"/>
    <w:link w:val="40"/>
    <w:qFormat/>
    <w:uiPriority w:val="99"/>
    <w:rPr>
      <w:rFonts w:ascii="宋体" w:hAnsi="Courier New"/>
      <w:szCs w:val="20"/>
    </w:rPr>
  </w:style>
  <w:style w:type="paragraph" w:styleId="14">
    <w:name w:val="Date"/>
    <w:basedOn w:val="1"/>
    <w:next w:val="1"/>
    <w:link w:val="41"/>
    <w:qFormat/>
    <w:uiPriority w:val="99"/>
    <w:rPr>
      <w:rFonts w:eastAsia="楷体_GB2312"/>
      <w:sz w:val="24"/>
      <w:szCs w:val="20"/>
    </w:rPr>
  </w:style>
  <w:style w:type="paragraph" w:styleId="15">
    <w:name w:val="Body Text Indent 2"/>
    <w:basedOn w:val="1"/>
    <w:link w:val="42"/>
    <w:qFormat/>
    <w:uiPriority w:val="99"/>
    <w:pPr>
      <w:ind w:firstLine="480"/>
    </w:pPr>
    <w:rPr>
      <w:rFonts w:ascii="宋体" w:hAnsi="宋体"/>
      <w:sz w:val="30"/>
    </w:rPr>
  </w:style>
  <w:style w:type="paragraph" w:styleId="16">
    <w:name w:val="Balloon Text"/>
    <w:basedOn w:val="1"/>
    <w:link w:val="84"/>
    <w:semiHidden/>
    <w:unhideWhenUsed/>
    <w:qFormat/>
    <w:locked/>
    <w:uiPriority w:val="99"/>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link w:val="44"/>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6"/>
    <w:qFormat/>
    <w:uiPriority w:val="99"/>
    <w:pPr>
      <w:snapToGrid w:val="0"/>
      <w:jc w:val="left"/>
    </w:pPr>
    <w:rPr>
      <w:sz w:val="18"/>
      <w:szCs w:val="20"/>
    </w:rPr>
  </w:style>
  <w:style w:type="paragraph" w:styleId="22">
    <w:name w:val="Body Text 2"/>
    <w:basedOn w:val="1"/>
    <w:link w:val="46"/>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Body Text First Indent 2"/>
    <w:basedOn w:val="12"/>
    <w:qFormat/>
    <w:locked/>
    <w:uiPriority w:val="0"/>
    <w:pPr>
      <w:spacing w:after="120"/>
      <w:ind w:left="420" w:leftChars="200" w:firstLine="420" w:firstLineChars="200"/>
    </w:pPr>
    <w:rPr>
      <w:rFonts w:ascii="Times New Roman"/>
      <w:sz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99"/>
    <w:rPr>
      <w:rFonts w:cs="Times New Roman"/>
      <w:i/>
    </w:rPr>
  </w:style>
  <w:style w:type="character" w:styleId="32">
    <w:name w:val="Hyperlink"/>
    <w:basedOn w:val="27"/>
    <w:qFormat/>
    <w:uiPriority w:val="99"/>
    <w:rPr>
      <w:rFonts w:cs="Times New Roman"/>
      <w:color w:val="0000FF"/>
      <w:u w:val="single"/>
    </w:rPr>
  </w:style>
  <w:style w:type="character" w:styleId="33">
    <w:name w:val="footnote reference"/>
    <w:basedOn w:val="27"/>
    <w:qFormat/>
    <w:uiPriority w:val="99"/>
    <w:rPr>
      <w:rFonts w:cs="Times New Roman"/>
      <w:vertAlign w:val="superscript"/>
    </w:rPr>
  </w:style>
  <w:style w:type="character" w:customStyle="1" w:styleId="34">
    <w:name w:val="标题 1 Char"/>
    <w:basedOn w:val="27"/>
    <w:link w:val="3"/>
    <w:qFormat/>
    <w:locked/>
    <w:uiPriority w:val="99"/>
    <w:rPr>
      <w:rFonts w:cs="Times New Roman"/>
      <w:b/>
      <w:bCs/>
      <w:kern w:val="44"/>
      <w:sz w:val="44"/>
      <w:szCs w:val="44"/>
    </w:rPr>
  </w:style>
  <w:style w:type="character" w:customStyle="1" w:styleId="35">
    <w:name w:val="标题 2 Char"/>
    <w:basedOn w:val="27"/>
    <w:link w:val="5"/>
    <w:semiHidden/>
    <w:qFormat/>
    <w:locked/>
    <w:uiPriority w:val="99"/>
    <w:rPr>
      <w:rFonts w:ascii="Cambria" w:hAnsi="Cambria" w:eastAsia="宋体" w:cs="Times New Roman"/>
      <w:b/>
      <w:bCs/>
      <w:sz w:val="32"/>
      <w:szCs w:val="32"/>
    </w:rPr>
  </w:style>
  <w:style w:type="character" w:customStyle="1" w:styleId="36">
    <w:name w:val="Heading 3 Char"/>
    <w:basedOn w:val="27"/>
    <w:link w:val="2"/>
    <w:semiHidden/>
    <w:qFormat/>
    <w:locked/>
    <w:uiPriority w:val="99"/>
    <w:rPr>
      <w:rFonts w:cs="Times New Roman"/>
      <w:b/>
      <w:bCs/>
      <w:sz w:val="32"/>
      <w:szCs w:val="32"/>
    </w:rPr>
  </w:style>
  <w:style w:type="character" w:customStyle="1" w:styleId="37">
    <w:name w:val="标题 4 Char"/>
    <w:basedOn w:val="27"/>
    <w:link w:val="7"/>
    <w:semiHidden/>
    <w:qFormat/>
    <w:locked/>
    <w:uiPriority w:val="99"/>
    <w:rPr>
      <w:rFonts w:ascii="Cambria" w:hAnsi="Cambria" w:eastAsia="宋体" w:cs="Times New Roman"/>
      <w:b/>
      <w:bCs/>
      <w:sz w:val="28"/>
      <w:szCs w:val="28"/>
    </w:rPr>
  </w:style>
  <w:style w:type="character" w:customStyle="1" w:styleId="38">
    <w:name w:val="正文文本 Char"/>
    <w:basedOn w:val="27"/>
    <w:link w:val="11"/>
    <w:semiHidden/>
    <w:qFormat/>
    <w:locked/>
    <w:uiPriority w:val="99"/>
    <w:rPr>
      <w:rFonts w:cs="Times New Roman"/>
      <w:sz w:val="24"/>
      <w:szCs w:val="24"/>
    </w:rPr>
  </w:style>
  <w:style w:type="character" w:customStyle="1" w:styleId="39">
    <w:name w:val="正文文本缩进 Char"/>
    <w:basedOn w:val="27"/>
    <w:link w:val="12"/>
    <w:semiHidden/>
    <w:qFormat/>
    <w:locked/>
    <w:uiPriority w:val="99"/>
    <w:rPr>
      <w:rFonts w:cs="Times New Roman"/>
      <w:sz w:val="24"/>
      <w:szCs w:val="24"/>
    </w:rPr>
  </w:style>
  <w:style w:type="character" w:customStyle="1" w:styleId="40">
    <w:name w:val="纯文本 Char"/>
    <w:basedOn w:val="27"/>
    <w:link w:val="13"/>
    <w:semiHidden/>
    <w:qFormat/>
    <w:locked/>
    <w:uiPriority w:val="99"/>
    <w:rPr>
      <w:rFonts w:ascii="宋体" w:hAnsi="Courier New" w:cs="Courier New"/>
      <w:sz w:val="21"/>
      <w:szCs w:val="21"/>
    </w:rPr>
  </w:style>
  <w:style w:type="character" w:customStyle="1" w:styleId="41">
    <w:name w:val="日期 Char"/>
    <w:basedOn w:val="27"/>
    <w:link w:val="14"/>
    <w:semiHidden/>
    <w:qFormat/>
    <w:locked/>
    <w:uiPriority w:val="99"/>
    <w:rPr>
      <w:rFonts w:cs="Times New Roman"/>
      <w:sz w:val="24"/>
      <w:szCs w:val="24"/>
    </w:rPr>
  </w:style>
  <w:style w:type="character" w:customStyle="1" w:styleId="42">
    <w:name w:val="正文文本缩进 2 Char"/>
    <w:basedOn w:val="27"/>
    <w:link w:val="15"/>
    <w:semiHidden/>
    <w:qFormat/>
    <w:locked/>
    <w:uiPriority w:val="99"/>
    <w:rPr>
      <w:rFonts w:cs="Times New Roman"/>
      <w:sz w:val="24"/>
      <w:szCs w:val="24"/>
    </w:rPr>
  </w:style>
  <w:style w:type="character" w:customStyle="1" w:styleId="43">
    <w:name w:val="页脚 Char"/>
    <w:basedOn w:val="27"/>
    <w:link w:val="17"/>
    <w:qFormat/>
    <w:locked/>
    <w:uiPriority w:val="99"/>
    <w:rPr>
      <w:rFonts w:cs="Times New Roman"/>
      <w:sz w:val="18"/>
      <w:szCs w:val="18"/>
    </w:rPr>
  </w:style>
  <w:style w:type="character" w:customStyle="1" w:styleId="44">
    <w:name w:val="页眉 Char"/>
    <w:basedOn w:val="27"/>
    <w:link w:val="18"/>
    <w:semiHidden/>
    <w:qFormat/>
    <w:locked/>
    <w:uiPriority w:val="99"/>
    <w:rPr>
      <w:rFonts w:cs="Times New Roman"/>
      <w:sz w:val="18"/>
      <w:szCs w:val="18"/>
    </w:rPr>
  </w:style>
  <w:style w:type="character" w:customStyle="1" w:styleId="45">
    <w:name w:val="Footnote Text Char"/>
    <w:basedOn w:val="27"/>
    <w:link w:val="21"/>
    <w:qFormat/>
    <w:locked/>
    <w:uiPriority w:val="99"/>
    <w:rPr>
      <w:kern w:val="2"/>
      <w:sz w:val="18"/>
    </w:rPr>
  </w:style>
  <w:style w:type="character" w:customStyle="1" w:styleId="46">
    <w:name w:val="正文文本 2 Char"/>
    <w:basedOn w:val="27"/>
    <w:link w:val="22"/>
    <w:semiHidden/>
    <w:qFormat/>
    <w:locked/>
    <w:uiPriority w:val="99"/>
    <w:rPr>
      <w:rFonts w:cs="Times New Roman"/>
      <w:sz w:val="24"/>
      <w:szCs w:val="24"/>
    </w:rPr>
  </w:style>
  <w:style w:type="character" w:customStyle="1" w:styleId="47">
    <w:name w:val="fn11"/>
    <w:qFormat/>
    <w:uiPriority w:val="99"/>
    <w:rPr>
      <w:color w:val="116095"/>
      <w:sz w:val="24"/>
    </w:rPr>
  </w:style>
  <w:style w:type="character" w:customStyle="1" w:styleId="48">
    <w:name w:val="font01"/>
    <w:basedOn w:val="27"/>
    <w:qFormat/>
    <w:uiPriority w:val="99"/>
    <w:rPr>
      <w:rFonts w:ascii="宋体" w:hAnsi="宋体" w:eastAsia="宋体" w:cs="Times New Roman"/>
      <w:b/>
      <w:bCs/>
      <w:color w:val="FF0000"/>
      <w:sz w:val="22"/>
      <w:szCs w:val="22"/>
      <w:u w:val="none"/>
    </w:rPr>
  </w:style>
  <w:style w:type="character" w:customStyle="1" w:styleId="49">
    <w:name w:val="point_normal1"/>
    <w:qFormat/>
    <w:uiPriority w:val="99"/>
    <w:rPr>
      <w:rFonts w:ascii="Arial" w:hAnsi="Arial"/>
      <w:sz w:val="18"/>
    </w:rPr>
  </w:style>
  <w:style w:type="character" w:customStyle="1" w:styleId="50">
    <w:name w:val="title_emph1"/>
    <w:qFormat/>
    <w:uiPriority w:val="99"/>
    <w:rPr>
      <w:rFonts w:ascii="Arial" w:hAnsi="Arial"/>
      <w:b/>
      <w:sz w:val="20"/>
    </w:rPr>
  </w:style>
  <w:style w:type="character" w:customStyle="1" w:styleId="51">
    <w:name w:val="font121"/>
    <w:qFormat/>
    <w:uiPriority w:val="99"/>
    <w:rPr>
      <w:rFonts w:ascii="黑体" w:hAnsi="宋体" w:eastAsia="黑体"/>
      <w:b/>
      <w:color w:val="000000"/>
      <w:sz w:val="20"/>
      <w:u w:val="none"/>
    </w:rPr>
  </w:style>
  <w:style w:type="character" w:customStyle="1" w:styleId="52">
    <w:name w:val="font41"/>
    <w:qFormat/>
    <w:uiPriority w:val="99"/>
    <w:rPr>
      <w:rFonts w:ascii="宋体" w:hAnsi="宋体" w:eastAsia="宋体"/>
      <w:color w:val="000000"/>
      <w:sz w:val="20"/>
      <w:u w:val="none"/>
    </w:rPr>
  </w:style>
  <w:style w:type="character" w:customStyle="1" w:styleId="53">
    <w:name w:val="font21"/>
    <w:qFormat/>
    <w:uiPriority w:val="99"/>
    <w:rPr>
      <w:rFonts w:ascii="宋体" w:hAnsi="宋体" w:eastAsia="宋体"/>
      <w:b/>
      <w:color w:val="000000"/>
      <w:sz w:val="20"/>
      <w:u w:val="none"/>
    </w:rPr>
  </w:style>
  <w:style w:type="character" w:customStyle="1" w:styleId="54">
    <w:name w:val="Default Text Char"/>
    <w:link w:val="55"/>
    <w:qFormat/>
    <w:locked/>
    <w:uiPriority w:val="99"/>
    <w:rPr>
      <w:color w:val="000000"/>
      <w:sz w:val="24"/>
      <w:lang w:val="en-US" w:eastAsia="zh-CN"/>
    </w:rPr>
  </w:style>
  <w:style w:type="paragraph" w:customStyle="1" w:styleId="55">
    <w:name w:val="Default Text"/>
    <w:link w:val="54"/>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6">
    <w:name w:val="font91"/>
    <w:qFormat/>
    <w:uiPriority w:val="99"/>
    <w:rPr>
      <w:rFonts w:ascii="Arial" w:hAnsi="Arial"/>
      <w:b/>
      <w:color w:val="000000"/>
      <w:sz w:val="20"/>
      <w:u w:val="none"/>
    </w:rPr>
  </w:style>
  <w:style w:type="paragraph" w:customStyle="1" w:styleId="5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正文1"/>
    <w:basedOn w:val="1"/>
    <w:qFormat/>
    <w:uiPriority w:val="99"/>
    <w:pPr>
      <w:spacing w:after="120" w:line="360" w:lineRule="auto"/>
      <w:ind w:firstLine="425"/>
    </w:pPr>
    <w:rPr>
      <w:rFonts w:ascii="Arial" w:hAnsi="Arial"/>
      <w:spacing w:val="8"/>
      <w:sz w:val="24"/>
      <w:szCs w:val="20"/>
    </w:rPr>
  </w:style>
  <w:style w:type="paragraph" w:customStyle="1" w:styleId="61">
    <w:name w:val="xl23"/>
    <w:basedOn w:val="1"/>
    <w:qFormat/>
    <w:uiPriority w:val="99"/>
    <w:pPr>
      <w:widowControl/>
      <w:spacing w:before="100" w:beforeAutospacing="1" w:after="100" w:afterAutospacing="1"/>
      <w:jc w:val="center"/>
    </w:pPr>
    <w:rPr>
      <w:kern w:val="0"/>
      <w:szCs w:val="21"/>
    </w:rPr>
  </w:style>
  <w:style w:type="paragraph" w:customStyle="1" w:styleId="62">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4">
    <w:name w:val="p0"/>
    <w:basedOn w:val="1"/>
    <w:qFormat/>
    <w:uiPriority w:val="99"/>
    <w:pPr>
      <w:widowControl/>
    </w:pPr>
    <w:rPr>
      <w:b/>
      <w:bCs/>
      <w:kern w:val="0"/>
      <w:sz w:val="52"/>
      <w:szCs w:val="52"/>
    </w:rPr>
  </w:style>
  <w:style w:type="paragraph" w:customStyle="1" w:styleId="65">
    <w:name w:val="Date1"/>
    <w:basedOn w:val="1"/>
    <w:next w:val="1"/>
    <w:qFormat/>
    <w:uiPriority w:val="99"/>
    <w:pPr>
      <w:overflowPunct w:val="0"/>
      <w:autoSpaceDE w:val="0"/>
      <w:autoSpaceDN w:val="0"/>
      <w:adjustRightInd w:val="0"/>
    </w:pPr>
    <w:rPr>
      <w:rFonts w:ascii="宋体"/>
      <w:szCs w:val="20"/>
    </w:rPr>
  </w:style>
  <w:style w:type="character" w:customStyle="1" w:styleId="66">
    <w:name w:val="脚注文本 Char"/>
    <w:basedOn w:val="27"/>
    <w:link w:val="21"/>
    <w:semiHidden/>
    <w:qFormat/>
    <w:locked/>
    <w:uiPriority w:val="99"/>
    <w:rPr>
      <w:rFonts w:cs="Times New Roman"/>
      <w:sz w:val="18"/>
      <w:szCs w:val="18"/>
    </w:rPr>
  </w:style>
  <w:style w:type="paragraph" w:customStyle="1" w:styleId="67">
    <w:name w:val="WPS Plain"/>
    <w:qFormat/>
    <w:uiPriority w:val="99"/>
    <w:rPr>
      <w:rFonts w:ascii="Times New Roman" w:hAnsi="Times New Roman" w:eastAsia="宋体" w:cs="Times New Roman"/>
      <w:lang w:val="en-US" w:eastAsia="zh-CN" w:bidi="ar-SA"/>
    </w:rPr>
  </w:style>
  <w:style w:type="paragraph" w:customStyle="1" w:styleId="68">
    <w:name w:val="CM20"/>
    <w:basedOn w:val="63"/>
    <w:next w:val="63"/>
    <w:qFormat/>
    <w:uiPriority w:val="99"/>
    <w:pPr>
      <w:spacing w:after="263"/>
    </w:pPr>
    <w:rPr>
      <w:color w:val="auto"/>
    </w:rPr>
  </w:style>
  <w:style w:type="paragraph" w:customStyle="1" w:styleId="69">
    <w:name w:val="List Paragraph1"/>
    <w:basedOn w:val="1"/>
    <w:qFormat/>
    <w:uiPriority w:val="99"/>
    <w:pPr>
      <w:ind w:firstLine="420" w:firstLineChars="200"/>
    </w:pPr>
    <w:rPr>
      <w:rFonts w:ascii="Calibri" w:hAnsi="Calibri" w:cs="黑体"/>
      <w:szCs w:val="21"/>
    </w:rPr>
  </w:style>
  <w:style w:type="character" w:customStyle="1" w:styleId="70">
    <w:name w:val="font71"/>
    <w:basedOn w:val="27"/>
    <w:qFormat/>
    <w:uiPriority w:val="99"/>
    <w:rPr>
      <w:rFonts w:ascii="宋体" w:hAnsi="宋体" w:eastAsia="宋体" w:cs="宋体"/>
      <w:color w:val="000000"/>
      <w:sz w:val="22"/>
      <w:szCs w:val="22"/>
      <w:u w:val="none"/>
    </w:rPr>
  </w:style>
  <w:style w:type="character" w:customStyle="1" w:styleId="71">
    <w:name w:val="font11"/>
    <w:basedOn w:val="27"/>
    <w:qFormat/>
    <w:uiPriority w:val="99"/>
    <w:rPr>
      <w:rFonts w:ascii="Arial Narrow" w:hAnsi="Arial Narrow" w:eastAsia="Times New Roman" w:cs="Arial Narrow"/>
      <w:color w:val="000000"/>
      <w:sz w:val="22"/>
      <w:szCs w:val="22"/>
      <w:u w:val="none"/>
    </w:rPr>
  </w:style>
  <w:style w:type="character" w:customStyle="1" w:styleId="72">
    <w:name w:val="font31"/>
    <w:basedOn w:val="27"/>
    <w:qFormat/>
    <w:uiPriority w:val="0"/>
    <w:rPr>
      <w:rFonts w:hint="default" w:ascii="Tahoma" w:hAnsi="Tahoma" w:eastAsia="Tahoma" w:cs="Tahoma"/>
      <w:color w:val="000000"/>
      <w:sz w:val="24"/>
      <w:szCs w:val="24"/>
      <w:u w:val="none"/>
    </w:rPr>
  </w:style>
  <w:style w:type="character" w:customStyle="1" w:styleId="73">
    <w:name w:val="font111"/>
    <w:basedOn w:val="27"/>
    <w:qFormat/>
    <w:uiPriority w:val="0"/>
    <w:rPr>
      <w:rFonts w:hint="eastAsia" w:ascii="宋体" w:hAnsi="宋体" w:eastAsia="宋体" w:cs="宋体"/>
      <w:color w:val="000000"/>
      <w:sz w:val="20"/>
      <w:szCs w:val="20"/>
      <w:u w:val="none"/>
    </w:rPr>
  </w:style>
  <w:style w:type="character" w:customStyle="1" w:styleId="74">
    <w:name w:val="font81"/>
    <w:basedOn w:val="27"/>
    <w:qFormat/>
    <w:uiPriority w:val="0"/>
    <w:rPr>
      <w:rFonts w:hint="default" w:ascii="Tahoma" w:hAnsi="Tahoma" w:eastAsia="Tahoma" w:cs="Tahoma"/>
      <w:color w:val="000000"/>
      <w:sz w:val="22"/>
      <w:szCs w:val="22"/>
      <w:u w:val="none"/>
    </w:rPr>
  </w:style>
  <w:style w:type="character" w:customStyle="1" w:styleId="75">
    <w:name w:val="font101"/>
    <w:basedOn w:val="27"/>
    <w:qFormat/>
    <w:uiPriority w:val="0"/>
    <w:rPr>
      <w:rFonts w:hint="eastAsia" w:ascii="宋体" w:hAnsi="宋体" w:eastAsia="宋体" w:cs="宋体"/>
      <w:color w:val="000000"/>
      <w:sz w:val="22"/>
      <w:szCs w:val="22"/>
      <w:u w:val="none"/>
    </w:rPr>
  </w:style>
  <w:style w:type="paragraph" w:customStyle="1" w:styleId="76">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7">
    <w:name w:val="16"/>
    <w:basedOn w:val="27"/>
    <w:qFormat/>
    <w:uiPriority w:val="0"/>
    <w:rPr>
      <w:rFonts w:hint="default" w:ascii="Cambria" w:hAnsi="Cambria"/>
      <w:b/>
      <w:bCs/>
      <w:sz w:val="32"/>
      <w:szCs w:val="32"/>
    </w:rPr>
  </w:style>
  <w:style w:type="character" w:customStyle="1" w:styleId="78">
    <w:name w:val="15"/>
    <w:basedOn w:val="27"/>
    <w:qFormat/>
    <w:uiPriority w:val="0"/>
    <w:rPr>
      <w:rFonts w:hint="default" w:ascii="Times New Roman" w:hAnsi="Times New Roman" w:cs="Times New Roman"/>
    </w:rPr>
  </w:style>
  <w:style w:type="paragraph" w:styleId="79">
    <w:name w:val="List Paragraph"/>
    <w:basedOn w:val="1"/>
    <w:qFormat/>
    <w:uiPriority w:val="34"/>
    <w:pPr>
      <w:ind w:firstLine="420" w:firstLineChars="200"/>
    </w:pPr>
  </w:style>
  <w:style w:type="paragraph" w:customStyle="1" w:styleId="80">
    <w:name w:val="无间隔1"/>
    <w:basedOn w:val="1"/>
    <w:qFormat/>
    <w:uiPriority w:val="0"/>
  </w:style>
  <w:style w:type="paragraph" w:customStyle="1" w:styleId="81">
    <w:name w:val="样式3"/>
    <w:basedOn w:val="13"/>
    <w:qFormat/>
    <w:uiPriority w:val="0"/>
    <w:pPr>
      <w:spacing w:line="0" w:lineRule="atLeast"/>
      <w:outlineLvl w:val="0"/>
    </w:pPr>
    <w:rPr>
      <w:sz w:val="28"/>
    </w:rPr>
  </w:style>
  <w:style w:type="character" w:customStyle="1" w:styleId="82">
    <w:name w:val="标题 3 Char"/>
    <w:basedOn w:val="27"/>
    <w:link w:val="2"/>
    <w:qFormat/>
    <w:uiPriority w:val="0"/>
    <w:rPr>
      <w:rFonts w:ascii="Times New Roman" w:hAnsi="Times New Roman" w:eastAsia="宋体"/>
      <w:b/>
      <w:bCs/>
      <w:sz w:val="24"/>
      <w:szCs w:val="32"/>
      <w:lang w:bidi="ar-SA"/>
    </w:rPr>
  </w:style>
  <w:style w:type="paragraph" w:customStyle="1" w:styleId="83">
    <w:name w:val="样式1"/>
    <w:basedOn w:val="1"/>
    <w:qFormat/>
    <w:uiPriority w:val="0"/>
    <w:pPr>
      <w:numPr>
        <w:ilvl w:val="1"/>
        <w:numId w:val="2"/>
      </w:numPr>
      <w:adjustRightInd w:val="0"/>
      <w:snapToGrid w:val="0"/>
    </w:pPr>
    <w:rPr>
      <w:rFonts w:ascii="宋体" w:hAnsi="宋体"/>
      <w:kern w:val="0"/>
      <w:szCs w:val="21"/>
    </w:rPr>
  </w:style>
  <w:style w:type="character" w:customStyle="1" w:styleId="84">
    <w:name w:val="批注框文本 Char"/>
    <w:basedOn w:val="27"/>
    <w:link w:val="16"/>
    <w:semiHidden/>
    <w:qFormat/>
    <w:uiPriority w:val="99"/>
    <w:rPr>
      <w:kern w:val="2"/>
      <w:sz w:val="18"/>
      <w:szCs w:val="18"/>
    </w:rPr>
  </w:style>
  <w:style w:type="paragraph" w:customStyle="1" w:styleId="85">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86">
    <w:name w:val="索引 11"/>
    <w:basedOn w:val="1"/>
    <w:next w:val="1"/>
    <w:qFormat/>
    <w:uiPriority w:val="0"/>
    <w:pPr>
      <w:spacing w:line="360" w:lineRule="auto"/>
    </w:pPr>
    <w:rPr>
      <w:rFonts w:ascii="仿宋_GB2312" w:eastAsia="仿宋_GB2312"/>
      <w:sz w:val="24"/>
      <w:szCs w:val="20"/>
    </w:rPr>
  </w:style>
  <w:style w:type="paragraph" w:customStyle="1" w:styleId="87">
    <w:name w:val="纯文本1"/>
    <w:basedOn w:val="1"/>
    <w:qFormat/>
    <w:uiPriority w:val="0"/>
    <w:rPr>
      <w:rFonts w:ascii="宋体" w:hAnsi="Courier New" w:eastAsiaTheme="minorEastAsia" w:cstheme="minorBidi"/>
      <w:szCs w:val="22"/>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zfcgzx</Company>
  <Pages>1</Pages>
  <Words>4146</Words>
  <Characters>23634</Characters>
  <Lines>196</Lines>
  <Paragraphs>55</Paragraphs>
  <TotalTime>19</TotalTime>
  <ScaleCrop>false</ScaleCrop>
  <LinksUpToDate>false</LinksUpToDate>
  <CharactersWithSpaces>27725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白夜</cp:lastModifiedBy>
  <cp:lastPrinted>2019-11-14T06:07:00Z</cp:lastPrinted>
  <dcterms:modified xsi:type="dcterms:W3CDTF">2020-02-05T04:56:16Z</dcterms:modified>
  <dc:title>第一章  投标邀请</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