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D06FFB">
      <w:pPr>
        <w:rPr>
          <w:rFonts w:hint="eastAsia" w:ascii="仿宋_GB2312" w:hAnsi="仿宋_GB2312" w:eastAsia="仿宋_GB2312" w:cs="仿宋_GB2312"/>
        </w:rPr>
      </w:pPr>
      <w:r>
        <w:rPr>
          <w:sz w:val="21"/>
        </w:rPr>
        <mc:AlternateContent>
          <mc:Choice Requires="wps">
            <w:drawing>
              <wp:anchor distT="0" distB="0" distL="114300" distR="114300" simplePos="0" relativeHeight="251661312" behindDoc="0" locked="0" layoutInCell="1" allowOverlap="1">
                <wp:simplePos x="0" y="0"/>
                <wp:positionH relativeFrom="column">
                  <wp:posOffset>-1172845</wp:posOffset>
                </wp:positionH>
                <wp:positionV relativeFrom="paragraph">
                  <wp:posOffset>735330</wp:posOffset>
                </wp:positionV>
                <wp:extent cx="7621270" cy="1615440"/>
                <wp:effectExtent l="0" t="0" r="0" b="0"/>
                <wp:wrapNone/>
                <wp:docPr id="9" name="文本框 9"/>
                <wp:cNvGraphicFramePr/>
                <a:graphic xmlns:a="http://schemas.openxmlformats.org/drawingml/2006/main">
                  <a:graphicData uri="http://schemas.microsoft.com/office/word/2010/wordprocessingShape">
                    <wps:wsp>
                      <wps:cNvSpPr txBox="1"/>
                      <wps:spPr>
                        <a:xfrm>
                          <a:off x="0" y="0"/>
                          <a:ext cx="7621270" cy="16154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906B87">
                            <w:pPr>
                              <w:spacing w:line="360" w:lineRule="auto"/>
                              <w:jc w:val="center"/>
                              <w:rPr>
                                <w:rFonts w:hint="eastAsia" w:ascii="微软雅黑" w:hAnsi="微软雅黑" w:eastAsia="微软雅黑" w:cs="微软雅黑"/>
                                <w:b/>
                                <w:bCs/>
                                <w:color w:val="237085"/>
                                <w:sz w:val="44"/>
                                <w:szCs w:val="44"/>
                                <w:lang w:val="en-US" w:eastAsia="zh-CN"/>
                              </w:rPr>
                            </w:pPr>
                            <w:r>
                              <w:rPr>
                                <w:rFonts w:hint="eastAsia" w:ascii="微软雅黑" w:hAnsi="微软雅黑" w:eastAsia="微软雅黑" w:cs="微软雅黑"/>
                                <w:b/>
                                <w:bCs/>
                                <w:color w:val="237085"/>
                                <w:sz w:val="44"/>
                                <w:szCs w:val="44"/>
                                <w:lang w:val="en-US" w:eastAsia="zh-CN"/>
                              </w:rPr>
                              <w:t>新疆维吾尔自治区儿童医院危重症新生儿救治中心建设项目设备购置项目</w:t>
                            </w:r>
                          </w:p>
                          <w:p w14:paraId="296511C7">
                            <w:pPr>
                              <w:spacing w:line="360" w:lineRule="auto"/>
                              <w:jc w:val="center"/>
                              <w:rPr>
                                <w:rFonts w:hint="default" w:ascii="微软雅黑" w:hAnsi="微软雅黑" w:eastAsia="微软雅黑" w:cs="微软雅黑"/>
                                <w:b/>
                                <w:bCs/>
                                <w:color w:val="237085"/>
                                <w:sz w:val="28"/>
                                <w:szCs w:val="28"/>
                                <w:lang w:val="en-US" w:eastAsia="zh-CN"/>
                              </w:rPr>
                            </w:pPr>
                            <w:r>
                              <w:rPr>
                                <w:rFonts w:hint="eastAsia" w:ascii="微软雅黑" w:hAnsi="微软雅黑" w:eastAsia="微软雅黑" w:cs="微软雅黑"/>
                                <w:b/>
                                <w:bCs/>
                                <w:color w:val="237085"/>
                                <w:sz w:val="28"/>
                                <w:szCs w:val="28"/>
                                <w:lang w:val="en-US" w:eastAsia="zh-CN"/>
                              </w:rPr>
                              <w:t>（项目编号：SJX-2025-343）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2.35pt;margin-top:57.9pt;height:127.2pt;width:600.1pt;z-index:251661312;mso-width-relative:page;mso-height-relative:page;" filled="f" stroked="f" coordsize="21600,21600" o:gfxdata="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0egHmtwAAAANAQAADwAAAAAAAAABACAAAAAiAAAA&#10;ZHJzL2Rvd25yZXYueG1sUEsBAhQAFAAAAAgAh07iQKGzT388AgAAZwQAAA4AAAAAAAAAAQAgAAAA&#10;KwEAAGRycy9lMm9Eb2MueG1sUEsFBgAAAAAGAAYAWQEAANkFAAAAAA==&#10;">
                <v:fill on="f" focussize="0,0"/>
                <v:stroke on="f" weight="0.5pt"/>
                <v:imagedata o:title=""/>
                <o:lock v:ext="edit" aspectratio="f"/>
                <v:textbox>
                  <w:txbxContent>
                    <w:p w14:paraId="66906B87">
                      <w:pPr>
                        <w:spacing w:line="360" w:lineRule="auto"/>
                        <w:jc w:val="center"/>
                        <w:rPr>
                          <w:rFonts w:hint="eastAsia" w:ascii="微软雅黑" w:hAnsi="微软雅黑" w:eastAsia="微软雅黑" w:cs="微软雅黑"/>
                          <w:b/>
                          <w:bCs/>
                          <w:color w:val="237085"/>
                          <w:sz w:val="44"/>
                          <w:szCs w:val="44"/>
                          <w:lang w:val="en-US" w:eastAsia="zh-CN"/>
                        </w:rPr>
                      </w:pPr>
                      <w:r>
                        <w:rPr>
                          <w:rFonts w:hint="eastAsia" w:ascii="微软雅黑" w:hAnsi="微软雅黑" w:eastAsia="微软雅黑" w:cs="微软雅黑"/>
                          <w:b/>
                          <w:bCs/>
                          <w:color w:val="237085"/>
                          <w:sz w:val="44"/>
                          <w:szCs w:val="44"/>
                          <w:lang w:val="en-US" w:eastAsia="zh-CN"/>
                        </w:rPr>
                        <w:t>新疆维吾尔自治区儿童医院危重症新生儿救治中心建设项目设备购置项目</w:t>
                      </w:r>
                    </w:p>
                    <w:p w14:paraId="296511C7">
                      <w:pPr>
                        <w:spacing w:line="360" w:lineRule="auto"/>
                        <w:jc w:val="center"/>
                        <w:rPr>
                          <w:rFonts w:hint="default" w:ascii="微软雅黑" w:hAnsi="微软雅黑" w:eastAsia="微软雅黑" w:cs="微软雅黑"/>
                          <w:b/>
                          <w:bCs/>
                          <w:color w:val="237085"/>
                          <w:sz w:val="28"/>
                          <w:szCs w:val="28"/>
                          <w:lang w:val="en-US" w:eastAsia="zh-CN"/>
                        </w:rPr>
                      </w:pPr>
                      <w:r>
                        <w:rPr>
                          <w:rFonts w:hint="eastAsia" w:ascii="微软雅黑" w:hAnsi="微软雅黑" w:eastAsia="微软雅黑" w:cs="微软雅黑"/>
                          <w:b/>
                          <w:bCs/>
                          <w:color w:val="237085"/>
                          <w:sz w:val="28"/>
                          <w:szCs w:val="28"/>
                          <w:lang w:val="en-US" w:eastAsia="zh-CN"/>
                        </w:rPr>
                        <w:t>（项目编号：SJX-2025-343）</w:t>
                      </w:r>
                    </w:p>
                  </w:txbxContent>
                </v:textbox>
              </v:shape>
            </w:pict>
          </mc:Fallback>
        </mc:AlternateContent>
      </w:r>
      <w:r>
        <w:drawing>
          <wp:anchor distT="0" distB="0" distL="114300" distR="114300" simplePos="0" relativeHeight="251660288" behindDoc="1" locked="0" layoutInCell="1" allowOverlap="1">
            <wp:simplePos x="0" y="0"/>
            <wp:positionH relativeFrom="column">
              <wp:posOffset>-1240155</wp:posOffset>
            </wp:positionH>
            <wp:positionV relativeFrom="paragraph">
              <wp:posOffset>-911225</wp:posOffset>
            </wp:positionV>
            <wp:extent cx="7769225" cy="10739755"/>
            <wp:effectExtent l="0" t="0" r="3175" b="444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7769225" cy="10739755"/>
                    </a:xfrm>
                    <a:prstGeom prst="rect">
                      <a:avLst/>
                    </a:prstGeom>
                    <a:noFill/>
                    <a:ln>
                      <a:noFill/>
                    </a:ln>
                  </pic:spPr>
                </pic:pic>
              </a:graphicData>
            </a:graphic>
          </wp:anchor>
        </w:drawing>
      </w:r>
    </w:p>
    <w:p w14:paraId="6125EC80">
      <w:pPr>
        <w:rPr>
          <w:rFonts w:hint="eastAsia" w:ascii="仿宋_GB2312" w:hAnsi="仿宋_GB2312" w:eastAsia="仿宋_GB2312" w:cs="仿宋_GB2312"/>
        </w:rPr>
      </w:pPr>
    </w:p>
    <w:p w14:paraId="2E75FFF8">
      <w:pPr>
        <w:jc w:val="center"/>
        <w:rPr>
          <w:rFonts w:hint="eastAsia" w:ascii="仿宋_GB2312" w:hAnsi="仿宋_GB2312" w:eastAsia="仿宋_GB2312" w:cs="仿宋_GB2312"/>
          <w:sz w:val="32"/>
          <w:szCs w:val="32"/>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sz w:val="21"/>
        </w:rPr>
        <mc:AlternateContent>
          <mc:Choice Requires="wps">
            <w:drawing>
              <wp:anchor distT="0" distB="0" distL="114300" distR="114300" simplePos="0" relativeHeight="251663360" behindDoc="0" locked="0" layoutInCell="1" allowOverlap="1">
                <wp:simplePos x="0" y="0"/>
                <wp:positionH relativeFrom="column">
                  <wp:posOffset>1325880</wp:posOffset>
                </wp:positionH>
                <wp:positionV relativeFrom="paragraph">
                  <wp:posOffset>3750310</wp:posOffset>
                </wp:positionV>
                <wp:extent cx="2648585" cy="99695"/>
                <wp:effectExtent l="0" t="0" r="18415" b="14605"/>
                <wp:wrapNone/>
                <wp:docPr id="3" name="矩形 3"/>
                <wp:cNvGraphicFramePr/>
                <a:graphic xmlns:a="http://schemas.openxmlformats.org/drawingml/2006/main">
                  <a:graphicData uri="http://schemas.microsoft.com/office/word/2010/wordprocessingShape">
                    <wps:wsp>
                      <wps:cNvSpPr/>
                      <wps:spPr>
                        <a:xfrm>
                          <a:off x="0" y="0"/>
                          <a:ext cx="2648585" cy="99695"/>
                        </a:xfrm>
                        <a:prstGeom prst="rect">
                          <a:avLst/>
                        </a:prstGeom>
                        <a:solidFill>
                          <a:srgbClr val="2E93B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4.4pt;margin-top:295.3pt;height:7.85pt;width:208.55pt;z-index:251663360;v-text-anchor:middle;mso-width-relative:page;mso-height-relative:page;" fillcolor="#2E93B0" filled="t" stroked="f" coordsize="21600,21600" o:gfxdata="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ulyDQNkAAAALAQAADwAAAAAAAAABACAAAAAiAAAAZHJzL2Rvd25y&#10;ZXYueG1sUEsBAhQAFAAAAAgAh07iQLWhYHFvAgAAygQAAA4AAAAAAAAAAQAgAAAAKAEAAGRycy9l&#10;Mm9Eb2MueG1sUEsFBgAAAAAGAAYAWQEAAAkGAAAAAA==&#10;">
                <v:fill on="t" focussize="0,0"/>
                <v:stroke on="f" weight="1pt" miterlimit="8" joinstyle="miter"/>
                <v:imagedata o:title=""/>
                <o:lock v:ext="edit" aspectratio="f"/>
              </v:rect>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-889000</wp:posOffset>
                </wp:positionH>
                <wp:positionV relativeFrom="paragraph">
                  <wp:posOffset>2870835</wp:posOffset>
                </wp:positionV>
                <wp:extent cx="7130415" cy="88138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7130415" cy="8813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56789F">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微软雅黑" w:hAnsi="微软雅黑" w:eastAsia="微软雅黑" w:cs="微软雅黑"/>
                                <w:b/>
                                <w:bCs/>
                                <w:color w:val="2E93B0"/>
                                <w:sz w:val="72"/>
                                <w:szCs w:val="72"/>
                                <w:lang w:val="en-US" w:eastAsia="zh-CN"/>
                              </w:rPr>
                            </w:pPr>
                            <w:r>
                              <w:rPr>
                                <w:rFonts w:hint="eastAsia" w:ascii="微软雅黑" w:hAnsi="微软雅黑" w:eastAsia="微软雅黑" w:cs="微软雅黑"/>
                                <w:b/>
                                <w:bCs/>
                                <w:color w:val="2E93B0"/>
                                <w:sz w:val="72"/>
                                <w:szCs w:val="72"/>
                                <w:lang w:val="en-US" w:eastAsia="zh-CN"/>
                              </w:rPr>
                              <w:t>公开招标采购文件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0pt;margin-top:226.05pt;height:69.4pt;width:561.45pt;z-index:251662336;mso-width-relative:page;mso-height-relative:page;" filled="f" stroked="f" coordsize="21600,21600" o:gfxdata="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521M33QAAAAwBAAAPAAAAAAAAAAEAIAAAACIA&#10;AABkcnMvZG93bnJldi54bWxQSwECFAAUAAAACACHTuJA867+AT0CAABoBAAADgAAAAAAAAABACAA&#10;AAAsAQAAZHJzL2Uyb0RvYy54bWxQSwUGAAAAAAYABgBZAQAA2wUAAAAA&#10;">
                <v:fill on="f" focussize="0,0"/>
                <v:stroke on="f" weight="0.5pt"/>
                <v:imagedata o:title=""/>
                <o:lock v:ext="edit" aspectratio="f"/>
                <v:textbox>
                  <w:txbxContent>
                    <w:p w14:paraId="3856789F">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微软雅黑" w:hAnsi="微软雅黑" w:eastAsia="微软雅黑" w:cs="微软雅黑"/>
                          <w:b/>
                          <w:bCs/>
                          <w:color w:val="2E93B0"/>
                          <w:sz w:val="72"/>
                          <w:szCs w:val="72"/>
                          <w:lang w:val="en-US" w:eastAsia="zh-CN"/>
                        </w:rPr>
                      </w:pPr>
                      <w:r>
                        <w:rPr>
                          <w:rFonts w:hint="eastAsia" w:ascii="微软雅黑" w:hAnsi="微软雅黑" w:eastAsia="微软雅黑" w:cs="微软雅黑"/>
                          <w:b/>
                          <w:bCs/>
                          <w:color w:val="2E93B0"/>
                          <w:sz w:val="72"/>
                          <w:szCs w:val="72"/>
                          <w:lang w:val="en-US" w:eastAsia="zh-CN"/>
                        </w:rPr>
                        <w:t>公开招标采购文件</w:t>
                      </w:r>
                    </w:p>
                  </w:txbxContent>
                </v:textbox>
              </v:shape>
            </w:pict>
          </mc:Fallback>
        </mc:AlternateContent>
      </w:r>
      <w:r>
        <w:rPr>
          <w:rFonts w:hint="eastAsia" w:eastAsiaTheme="minorEastAsia"/>
          <w:lang w:eastAsia="zh-CN"/>
        </w:rPr>
        <w:drawing>
          <wp:anchor distT="0" distB="0" distL="114300" distR="114300" simplePos="0" relativeHeight="251665408" behindDoc="0" locked="0" layoutInCell="1" allowOverlap="1">
            <wp:simplePos x="0" y="0"/>
            <wp:positionH relativeFrom="column">
              <wp:posOffset>2974975</wp:posOffset>
            </wp:positionH>
            <wp:positionV relativeFrom="page">
              <wp:posOffset>7449185</wp:posOffset>
            </wp:positionV>
            <wp:extent cx="1417320" cy="1410970"/>
            <wp:effectExtent l="0" t="0" r="11430" b="17780"/>
            <wp:wrapNone/>
            <wp:docPr id="8" name="图片 8" descr="扫描全能王 2022-09-16 10.5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扫描全能王 2022-09-16 10.51_2"/>
                    <pic:cNvPicPr>
                      <a:picLocks noChangeAspect="1"/>
                    </pic:cNvPicPr>
                  </pic:nvPicPr>
                  <pic:blipFill>
                    <a:blip r:embed="rId7"/>
                    <a:srcRect l="22113" t="29394" r="21666" b="28715"/>
                    <a:stretch>
                      <a:fillRect/>
                    </a:stretch>
                  </pic:blipFill>
                  <pic:spPr>
                    <a:xfrm>
                      <a:off x="0" y="0"/>
                      <a:ext cx="1417320" cy="1410970"/>
                    </a:xfrm>
                    <a:prstGeom prst="rect">
                      <a:avLst/>
                    </a:prstGeom>
                  </pic:spPr>
                </pic:pic>
              </a:graphicData>
            </a:graphic>
          </wp:anchor>
        </w:drawing>
      </w:r>
      <w:r>
        <w:rPr>
          <w:sz w:val="21"/>
        </w:rPr>
        <mc:AlternateContent>
          <mc:Choice Requires="wps">
            <w:drawing>
              <wp:anchor distT="0" distB="0" distL="114300" distR="114300" simplePos="0" relativeHeight="251664384" behindDoc="0" locked="0" layoutInCell="1" allowOverlap="1">
                <wp:simplePos x="0" y="0"/>
                <wp:positionH relativeFrom="column">
                  <wp:posOffset>-86360</wp:posOffset>
                </wp:positionH>
                <wp:positionV relativeFrom="paragraph">
                  <wp:posOffset>5794375</wp:posOffset>
                </wp:positionV>
                <wp:extent cx="5464175" cy="2486025"/>
                <wp:effectExtent l="0" t="0" r="0" b="0"/>
                <wp:wrapNone/>
                <wp:docPr id="6" name="文本框 6"/>
                <wp:cNvGraphicFramePr/>
                <a:graphic xmlns:a="http://schemas.openxmlformats.org/drawingml/2006/main">
                  <a:graphicData uri="http://schemas.microsoft.com/office/word/2010/wordprocessingShape">
                    <wps:wsp>
                      <wps:cNvSpPr txBox="1"/>
                      <wps:spPr>
                        <a:xfrm>
                          <a:off x="0" y="0"/>
                          <a:ext cx="5464175" cy="24860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6E2F55">
                            <w:pPr>
                              <w:jc w:val="left"/>
                              <w:rPr>
                                <w:rFonts w:hint="eastAsia"/>
                                <w:lang w:val="en-US" w:eastAsia="zh-CN"/>
                              </w:rPr>
                            </w:pPr>
                            <w:r>
                              <w:rPr>
                                <w:rFonts w:hint="eastAsia" w:ascii="微软雅黑" w:hAnsi="微软雅黑" w:eastAsia="微软雅黑" w:cs="微软雅黑"/>
                                <w:b/>
                                <w:bCs/>
                                <w:color w:val="237085"/>
                                <w:sz w:val="32"/>
                                <w:szCs w:val="32"/>
                                <w:lang w:val="en-US" w:eastAsia="zh-CN"/>
                              </w:rPr>
                              <w:t>采购人：新疆维吾尔自治区儿童医院（盖章）</w:t>
                            </w:r>
                          </w:p>
                          <w:p w14:paraId="22577AB1">
                            <w:pPr>
                              <w:jc w:val="left"/>
                              <w:rPr>
                                <w:rFonts w:hint="eastAsia" w:ascii="微软雅黑" w:hAnsi="微软雅黑" w:eastAsia="微软雅黑" w:cs="微软雅黑"/>
                                <w:b/>
                                <w:bCs/>
                                <w:color w:val="237085"/>
                                <w:sz w:val="32"/>
                                <w:szCs w:val="32"/>
                                <w:lang w:val="en-US" w:eastAsia="zh-CN"/>
                              </w:rPr>
                            </w:pPr>
                          </w:p>
                          <w:p w14:paraId="2676BAD5">
                            <w:pPr>
                              <w:jc w:val="left"/>
                              <w:rPr>
                                <w:rFonts w:hint="eastAsia" w:ascii="微软雅黑" w:hAnsi="微软雅黑" w:eastAsia="微软雅黑" w:cs="微软雅黑"/>
                                <w:b/>
                                <w:bCs/>
                                <w:color w:val="237085"/>
                                <w:sz w:val="32"/>
                                <w:szCs w:val="32"/>
                                <w:lang w:val="en-US" w:eastAsia="zh-CN"/>
                              </w:rPr>
                            </w:pPr>
                            <w:r>
                              <w:rPr>
                                <w:rFonts w:hint="eastAsia" w:ascii="微软雅黑" w:hAnsi="微软雅黑" w:eastAsia="微软雅黑" w:cs="微软雅黑"/>
                                <w:b/>
                                <w:bCs/>
                                <w:color w:val="237085"/>
                                <w:sz w:val="32"/>
                                <w:szCs w:val="32"/>
                                <w:lang w:val="en-US" w:eastAsia="zh-CN"/>
                              </w:rPr>
                              <w:t>采购代理机构：新疆世纪星工程咨询有限公司（盖章）</w:t>
                            </w:r>
                          </w:p>
                          <w:p w14:paraId="3DE1C215">
                            <w:pPr>
                              <w:jc w:val="center"/>
                              <w:rPr>
                                <w:rFonts w:hint="eastAsia" w:ascii="微软雅黑" w:hAnsi="微软雅黑" w:eastAsia="微软雅黑" w:cs="微软雅黑"/>
                                <w:b/>
                                <w:bCs/>
                                <w:color w:val="237085"/>
                                <w:sz w:val="32"/>
                                <w:szCs w:val="32"/>
                                <w:lang w:val="en-US" w:eastAsia="zh-CN"/>
                              </w:rPr>
                            </w:pPr>
                          </w:p>
                          <w:p w14:paraId="7815DA95">
                            <w:pPr>
                              <w:jc w:val="center"/>
                              <w:rPr>
                                <w:rFonts w:hint="eastAsia"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lang w:val="en-US" w:eastAsia="zh-CN"/>
                              </w:rPr>
                              <w:t>日期：2025年6月17日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8pt;margin-top:456.25pt;height:195.75pt;width:430.25pt;z-index:251664384;mso-width-relative:page;mso-height-relative:page;" filled="f" stroked="f" coordsize="21600,21600" o:gfxdata="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Bw8aPbdAAAADAEAAA8AAAAAAAAAAQAgAAAAIgAA&#10;AGRycy9kb3ducmV2LnhtbFBLAQIUABQAAAAIAIdO4kC9B9GiPAIAAGcEAAAOAAAAAAAAAAEAIAAA&#10;ACwBAABkcnMvZTJvRG9jLnhtbFBLBQYAAAAABgAGAFkBAADaBQAAAAA=&#10;">
                <v:fill on="f" focussize="0,0"/>
                <v:stroke on="f" weight="0.5pt"/>
                <v:imagedata o:title=""/>
                <o:lock v:ext="edit" aspectratio="f"/>
                <v:textbox>
                  <w:txbxContent>
                    <w:p w14:paraId="626E2F55">
                      <w:pPr>
                        <w:jc w:val="left"/>
                        <w:rPr>
                          <w:rFonts w:hint="eastAsia"/>
                          <w:lang w:val="en-US" w:eastAsia="zh-CN"/>
                        </w:rPr>
                      </w:pPr>
                      <w:r>
                        <w:rPr>
                          <w:rFonts w:hint="eastAsia" w:ascii="微软雅黑" w:hAnsi="微软雅黑" w:eastAsia="微软雅黑" w:cs="微软雅黑"/>
                          <w:b/>
                          <w:bCs/>
                          <w:color w:val="237085"/>
                          <w:sz w:val="32"/>
                          <w:szCs w:val="32"/>
                          <w:lang w:val="en-US" w:eastAsia="zh-CN"/>
                        </w:rPr>
                        <w:t>采购人：新疆维吾尔自治区儿童医院（盖章）</w:t>
                      </w:r>
                    </w:p>
                    <w:p w14:paraId="22577AB1">
                      <w:pPr>
                        <w:jc w:val="left"/>
                        <w:rPr>
                          <w:rFonts w:hint="eastAsia" w:ascii="微软雅黑" w:hAnsi="微软雅黑" w:eastAsia="微软雅黑" w:cs="微软雅黑"/>
                          <w:b/>
                          <w:bCs/>
                          <w:color w:val="237085"/>
                          <w:sz w:val="32"/>
                          <w:szCs w:val="32"/>
                          <w:lang w:val="en-US" w:eastAsia="zh-CN"/>
                        </w:rPr>
                      </w:pPr>
                    </w:p>
                    <w:p w14:paraId="2676BAD5">
                      <w:pPr>
                        <w:jc w:val="left"/>
                        <w:rPr>
                          <w:rFonts w:hint="eastAsia" w:ascii="微软雅黑" w:hAnsi="微软雅黑" w:eastAsia="微软雅黑" w:cs="微软雅黑"/>
                          <w:b/>
                          <w:bCs/>
                          <w:color w:val="237085"/>
                          <w:sz w:val="32"/>
                          <w:szCs w:val="32"/>
                          <w:lang w:val="en-US" w:eastAsia="zh-CN"/>
                        </w:rPr>
                      </w:pPr>
                      <w:r>
                        <w:rPr>
                          <w:rFonts w:hint="eastAsia" w:ascii="微软雅黑" w:hAnsi="微软雅黑" w:eastAsia="微软雅黑" w:cs="微软雅黑"/>
                          <w:b/>
                          <w:bCs/>
                          <w:color w:val="237085"/>
                          <w:sz w:val="32"/>
                          <w:szCs w:val="32"/>
                          <w:lang w:val="en-US" w:eastAsia="zh-CN"/>
                        </w:rPr>
                        <w:t>采购代理机构：新疆世纪星工程咨询有限公司（盖章）</w:t>
                      </w:r>
                    </w:p>
                    <w:p w14:paraId="3DE1C215">
                      <w:pPr>
                        <w:jc w:val="center"/>
                        <w:rPr>
                          <w:rFonts w:hint="eastAsia" w:ascii="微软雅黑" w:hAnsi="微软雅黑" w:eastAsia="微软雅黑" w:cs="微软雅黑"/>
                          <w:b/>
                          <w:bCs/>
                          <w:color w:val="237085"/>
                          <w:sz w:val="32"/>
                          <w:szCs w:val="32"/>
                          <w:lang w:val="en-US" w:eastAsia="zh-CN"/>
                        </w:rPr>
                      </w:pPr>
                    </w:p>
                    <w:p w14:paraId="7815DA95">
                      <w:pPr>
                        <w:jc w:val="center"/>
                        <w:rPr>
                          <w:rFonts w:hint="eastAsia"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lang w:val="en-US" w:eastAsia="zh-CN"/>
                        </w:rPr>
                        <w:t>日期：2025年6月17日</w:t>
                      </w:r>
                    </w:p>
                  </w:txbxContent>
                </v:textbox>
              </v:shape>
            </w:pict>
          </mc:Fallback>
        </mc:AlternateContent>
      </w:r>
    </w:p>
    <w:p w14:paraId="0F027646">
      <w:pPr>
        <w:jc w:val="center"/>
        <w:rPr>
          <w:rFonts w:hint="eastAsia" w:ascii="仿宋_GB2312" w:hAnsi="仿宋_GB2312" w:eastAsia="仿宋_GB2312" w:cs="仿宋_GB2312"/>
          <w:sz w:val="32"/>
          <w:szCs w:val="32"/>
        </w:rPr>
      </w:pPr>
    </w:p>
    <w:tbl>
      <w:tblPr>
        <w:tblStyle w:val="17"/>
        <w:tblW w:w="928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80"/>
      </w:tblGrid>
      <w:tr w14:paraId="27C656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13" w:hRule="atLeast"/>
          <w:jc w:val="center"/>
        </w:trPr>
        <w:tc>
          <w:tcPr>
            <w:tcW w:w="9280" w:type="dxa"/>
            <w:tcBorders>
              <w:tl2br w:val="nil"/>
              <w:tr2bl w:val="nil"/>
            </w:tcBorders>
            <w:noWrap w:val="0"/>
            <w:vAlign w:val="top"/>
          </w:tcPr>
          <w:p w14:paraId="45248434">
            <w:pPr>
              <w:rPr>
                <w:rFonts w:hint="eastAsia" w:ascii="仿宋" w:hAnsi="仿宋" w:eastAsia="仿宋" w:cs="Arial"/>
                <w:b/>
                <w:bCs/>
                <w:sz w:val="32"/>
                <w:szCs w:val="32"/>
              </w:rPr>
            </w:pPr>
            <w:r>
              <w:rPr>
                <w:rFonts w:hint="eastAsia" w:ascii="仿宋_GB2312" w:hAnsi="仿宋_GB2312" w:eastAsia="仿宋_GB2312" w:cs="仿宋_GB2312"/>
                <w:sz w:val="32"/>
                <w:szCs w:val="32"/>
              </w:rPr>
              <w:br w:type="page"/>
            </w:r>
          </w:p>
          <w:p w14:paraId="64A2B222">
            <w:pPr>
              <w:spacing w:line="360" w:lineRule="auto"/>
              <w:ind w:right="31" w:rightChars="15"/>
              <w:jc w:val="center"/>
              <w:rPr>
                <w:rFonts w:hint="eastAsia" w:ascii="仿宋" w:hAnsi="仿宋" w:eastAsia="仿宋" w:cs="Arial"/>
                <w:b/>
                <w:bCs/>
                <w:sz w:val="32"/>
                <w:szCs w:val="32"/>
              </w:rPr>
            </w:pPr>
          </w:p>
          <w:p w14:paraId="25634EAE">
            <w:pPr>
              <w:spacing w:line="360" w:lineRule="auto"/>
              <w:ind w:right="31" w:rightChars="15"/>
              <w:jc w:val="center"/>
              <w:rPr>
                <w:rFonts w:hint="eastAsia" w:ascii="仿宋" w:hAnsi="仿宋" w:eastAsia="仿宋" w:cs="Arial"/>
                <w:b/>
                <w:bCs/>
                <w:sz w:val="32"/>
                <w:szCs w:val="32"/>
              </w:rPr>
            </w:pPr>
            <w:r>
              <w:rPr>
                <w:rFonts w:hint="eastAsia" w:ascii="仿宋" w:hAnsi="仿宋" w:eastAsia="仿宋" w:cs="Arial"/>
                <w:b/>
                <w:bCs/>
                <w:sz w:val="32"/>
                <w:szCs w:val="32"/>
              </w:rPr>
              <w:t>招标文件确认</w:t>
            </w:r>
            <w:r>
              <w:rPr>
                <w:rFonts w:hint="eastAsia" w:ascii="仿宋" w:hAnsi="仿宋" w:eastAsia="仿宋" w:cs="Arial"/>
                <w:b/>
                <w:bCs/>
                <w:sz w:val="32"/>
                <w:szCs w:val="32"/>
                <w:lang w:val="en-US" w:eastAsia="zh-CN"/>
              </w:rPr>
              <w:t>表</w:t>
            </w:r>
          </w:p>
          <w:p w14:paraId="0BF6C2E7">
            <w:pPr>
              <w:spacing w:line="360" w:lineRule="auto"/>
              <w:ind w:firstLine="720" w:firstLineChars="300"/>
              <w:jc w:val="both"/>
              <w:rPr>
                <w:rFonts w:hint="eastAsia" w:ascii="仿宋" w:hAnsi="仿宋" w:eastAsia="仿宋" w:cs="Arial"/>
                <w:sz w:val="24"/>
                <w:szCs w:val="24"/>
                <w:lang w:val="en-US" w:eastAsia="zh-CN"/>
              </w:rPr>
            </w:pPr>
          </w:p>
          <w:p w14:paraId="5DBC5383">
            <w:pPr>
              <w:spacing w:line="360" w:lineRule="auto"/>
              <w:jc w:val="both"/>
              <w:rPr>
                <w:rFonts w:hint="default" w:ascii="仿宋" w:hAnsi="仿宋" w:eastAsia="仿宋" w:cs="Arial"/>
                <w:sz w:val="28"/>
                <w:szCs w:val="28"/>
                <w:highlight w:val="none"/>
                <w:lang w:val="en-US" w:eastAsia="zh-CN"/>
              </w:rPr>
            </w:pPr>
            <w:r>
              <w:rPr>
                <w:rFonts w:hint="eastAsia" w:ascii="仿宋" w:hAnsi="仿宋" w:eastAsia="仿宋" w:cs="Arial"/>
                <w:sz w:val="28"/>
                <w:szCs w:val="28"/>
                <w:highlight w:val="none"/>
                <w:lang w:val="en-US" w:eastAsia="zh-CN"/>
              </w:rPr>
              <w:t>新疆世纪星工程咨询有限公司：</w:t>
            </w:r>
          </w:p>
          <w:p w14:paraId="02AE28E6">
            <w:pPr>
              <w:spacing w:line="360" w:lineRule="auto"/>
              <w:ind w:firstLine="840" w:firstLineChars="300"/>
              <w:jc w:val="both"/>
              <w:rPr>
                <w:rFonts w:hint="eastAsia" w:ascii="仿宋" w:hAnsi="仿宋" w:eastAsia="仿宋" w:cs="Arial"/>
                <w:sz w:val="28"/>
                <w:szCs w:val="28"/>
                <w:lang w:val="en-US" w:eastAsia="zh-CN"/>
              </w:rPr>
            </w:pPr>
            <w:r>
              <w:rPr>
                <w:rFonts w:hint="eastAsia" w:ascii="仿宋" w:hAnsi="仿宋" w:eastAsia="仿宋" w:cs="Arial"/>
                <w:sz w:val="28"/>
                <w:szCs w:val="28"/>
                <w:highlight w:val="none"/>
                <w:u w:val="single"/>
                <w:lang w:val="en-US" w:eastAsia="zh-CN"/>
              </w:rPr>
              <w:t>新疆维吾尔自治区儿童医院危重症新生儿救治中心建设项目设备购置项目（项目编号：SJX-2025-343）</w:t>
            </w:r>
            <w:r>
              <w:rPr>
                <w:rFonts w:hint="eastAsia" w:ascii="仿宋" w:hAnsi="仿宋" w:eastAsia="仿宋" w:cs="Arial"/>
                <w:sz w:val="28"/>
                <w:szCs w:val="28"/>
                <w:highlight w:val="none"/>
                <w:lang w:val="en-US" w:eastAsia="zh-CN"/>
              </w:rPr>
              <w:t>招标</w:t>
            </w:r>
            <w:r>
              <w:rPr>
                <w:rFonts w:hint="eastAsia" w:ascii="仿宋" w:hAnsi="仿宋" w:eastAsia="仿宋" w:cs="Arial"/>
                <w:sz w:val="28"/>
                <w:szCs w:val="28"/>
                <w:lang w:val="en-US" w:eastAsia="zh-CN"/>
              </w:rPr>
              <w:t>文件，经我单位审核符合我单位提出的招标要求，同意对外发布。</w:t>
            </w:r>
          </w:p>
          <w:p w14:paraId="627AF0E2">
            <w:pPr>
              <w:spacing w:line="360" w:lineRule="auto"/>
              <w:jc w:val="both"/>
              <w:rPr>
                <w:rFonts w:hint="eastAsia" w:ascii="仿宋" w:hAnsi="仿宋" w:eastAsia="仿宋" w:cs="Arial"/>
                <w:sz w:val="28"/>
                <w:szCs w:val="28"/>
              </w:rPr>
            </w:pPr>
          </w:p>
          <w:p w14:paraId="1C555A74">
            <w:pPr>
              <w:spacing w:line="360" w:lineRule="auto"/>
              <w:ind w:right="240"/>
              <w:jc w:val="both"/>
              <w:rPr>
                <w:rFonts w:hint="eastAsia" w:ascii="仿宋" w:hAnsi="仿宋" w:eastAsia="仿宋" w:cs="Arial"/>
                <w:sz w:val="28"/>
                <w:szCs w:val="28"/>
              </w:rPr>
            </w:pPr>
          </w:p>
          <w:p w14:paraId="7468B4EA">
            <w:pPr>
              <w:spacing w:line="360" w:lineRule="auto"/>
              <w:ind w:right="240"/>
              <w:jc w:val="both"/>
              <w:rPr>
                <w:rFonts w:hint="eastAsia" w:ascii="仿宋" w:hAnsi="仿宋" w:eastAsia="仿宋" w:cs="Arial"/>
                <w:sz w:val="28"/>
                <w:szCs w:val="28"/>
              </w:rPr>
            </w:pPr>
          </w:p>
          <w:p w14:paraId="3858DCED">
            <w:pPr>
              <w:spacing w:line="360" w:lineRule="auto"/>
              <w:ind w:right="840"/>
              <w:jc w:val="both"/>
              <w:rPr>
                <w:rFonts w:ascii="仿宋" w:hAnsi="仿宋" w:eastAsia="仿宋" w:cs="Arial"/>
                <w:sz w:val="28"/>
                <w:szCs w:val="28"/>
              </w:rPr>
            </w:pPr>
            <w:r>
              <w:rPr>
                <w:rFonts w:hint="eastAsia" w:ascii="仿宋" w:hAnsi="仿宋" w:eastAsia="仿宋" w:cs="Times New Roman"/>
                <w:sz w:val="28"/>
                <w:szCs w:val="28"/>
              </w:rPr>
              <w:t xml:space="preserve">  </w:t>
            </w:r>
            <w:r>
              <w:rPr>
                <w:rFonts w:hint="eastAsia" w:ascii="仿宋" w:hAnsi="仿宋" w:eastAsia="仿宋" w:cs="Times New Roman"/>
                <w:sz w:val="28"/>
                <w:szCs w:val="28"/>
                <w:lang w:val="en-US" w:eastAsia="zh-CN"/>
              </w:rPr>
              <w:t xml:space="preserve">                             采购人</w:t>
            </w:r>
            <w:r>
              <w:rPr>
                <w:rFonts w:hint="eastAsia" w:ascii="仿宋" w:hAnsi="仿宋" w:eastAsia="仿宋" w:cs="Arial"/>
                <w:sz w:val="28"/>
                <w:szCs w:val="28"/>
              </w:rPr>
              <w:t>（盖章）</w:t>
            </w:r>
            <w:r>
              <w:rPr>
                <w:rFonts w:hint="eastAsia" w:ascii="仿宋" w:hAnsi="仿宋" w:eastAsia="仿宋" w:cs="Times New Roman"/>
                <w:sz w:val="28"/>
                <w:szCs w:val="28"/>
                <w:lang w:val="en-US" w:eastAsia="zh-CN"/>
              </w:rPr>
              <w:t xml:space="preserve">：  </w:t>
            </w:r>
          </w:p>
          <w:p w14:paraId="1F488DA7">
            <w:pPr>
              <w:spacing w:line="360" w:lineRule="auto"/>
              <w:ind w:right="960"/>
              <w:jc w:val="both"/>
              <w:rPr>
                <w:rFonts w:ascii="仿宋" w:hAnsi="仿宋" w:eastAsia="仿宋" w:cs="Times New Roman"/>
                <w:b/>
                <w:sz w:val="40"/>
                <w:szCs w:val="32"/>
              </w:rPr>
            </w:pPr>
            <w:r>
              <w:rPr>
                <w:rFonts w:hint="eastAsia" w:ascii="仿宋" w:hAnsi="仿宋" w:eastAsia="仿宋" w:cs="Arial"/>
                <w:sz w:val="28"/>
                <w:szCs w:val="28"/>
              </w:rPr>
              <w:t xml:space="preserve">                                  </w:t>
            </w:r>
            <w:r>
              <w:rPr>
                <w:rFonts w:hint="eastAsia" w:ascii="仿宋" w:hAnsi="仿宋" w:eastAsia="仿宋" w:cs="Arial"/>
                <w:sz w:val="28"/>
                <w:szCs w:val="28"/>
                <w:lang w:val="en-US" w:eastAsia="zh-CN"/>
              </w:rPr>
              <w:t xml:space="preserve">2025 </w:t>
            </w:r>
            <w:r>
              <w:rPr>
                <w:rFonts w:hint="eastAsia" w:ascii="仿宋" w:hAnsi="仿宋" w:eastAsia="仿宋" w:cs="Arial"/>
                <w:sz w:val="28"/>
                <w:szCs w:val="28"/>
              </w:rPr>
              <w:t xml:space="preserve">年 </w:t>
            </w:r>
            <w:r>
              <w:rPr>
                <w:rFonts w:hint="eastAsia" w:ascii="仿宋" w:hAnsi="仿宋" w:eastAsia="仿宋" w:cs="Arial"/>
                <w:sz w:val="28"/>
                <w:szCs w:val="28"/>
                <w:lang w:val="en-US" w:eastAsia="zh-CN"/>
              </w:rPr>
              <w:t>6</w:t>
            </w:r>
            <w:r>
              <w:rPr>
                <w:rFonts w:hint="eastAsia" w:ascii="仿宋" w:hAnsi="仿宋" w:eastAsia="仿宋" w:cs="Arial"/>
                <w:sz w:val="28"/>
                <w:szCs w:val="28"/>
              </w:rPr>
              <w:t xml:space="preserve"> 月 </w:t>
            </w:r>
            <w:r>
              <w:rPr>
                <w:rFonts w:hint="eastAsia" w:ascii="仿宋" w:hAnsi="仿宋" w:eastAsia="仿宋" w:cs="Arial"/>
                <w:sz w:val="28"/>
                <w:szCs w:val="28"/>
                <w:lang w:val="en-US" w:eastAsia="zh-CN"/>
              </w:rPr>
              <w:t xml:space="preserve">17 </w:t>
            </w:r>
            <w:r>
              <w:rPr>
                <w:rFonts w:hint="eastAsia" w:ascii="仿宋" w:hAnsi="仿宋" w:eastAsia="仿宋" w:cs="Arial"/>
                <w:sz w:val="28"/>
                <w:szCs w:val="28"/>
              </w:rPr>
              <w:t>日</w:t>
            </w:r>
          </w:p>
        </w:tc>
      </w:tr>
    </w:tbl>
    <w:p w14:paraId="2DC4BD56">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09DCD6E5">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  录</w:t>
      </w:r>
    </w:p>
    <w:sdt>
      <w:sdtPr>
        <w:rPr>
          <w:rFonts w:ascii="宋体" w:hAnsi="宋体" w:eastAsia="宋体" w:cstheme="minorBidi"/>
          <w:kern w:val="2"/>
          <w:sz w:val="21"/>
          <w:szCs w:val="24"/>
          <w:lang w:val="en-US" w:eastAsia="zh-CN" w:bidi="ar-SA"/>
        </w:rPr>
        <w:id w:val="147457632"/>
        <w15:color w:val="DBDBDB"/>
        <w:docPartObj>
          <w:docPartGallery w:val="Table of Contents"/>
          <w:docPartUnique/>
        </w:docPartObj>
      </w:sdtPr>
      <w:sdtEndPr>
        <w:rPr>
          <w:rFonts w:hint="eastAsia" w:ascii="仿宋_GB2312" w:hAnsi="仿宋_GB2312" w:eastAsia="仿宋_GB2312" w:cs="仿宋_GB2312"/>
          <w:b/>
          <w:kern w:val="2"/>
          <w:sz w:val="21"/>
          <w:szCs w:val="32"/>
          <w:lang w:val="en-US" w:eastAsia="zh-CN" w:bidi="ar-SA"/>
        </w:rPr>
      </w:sdtEndPr>
      <w:sdtContent>
        <w:p w14:paraId="6A689BAA">
          <w:pPr>
            <w:spacing w:before="0" w:beforeLines="0" w:after="0" w:afterLines="0" w:line="240" w:lineRule="auto"/>
            <w:ind w:left="0" w:leftChars="0" w:right="0" w:rightChars="0" w:firstLine="0" w:firstLineChars="0"/>
            <w:jc w:val="center"/>
          </w:pPr>
        </w:p>
        <w:p w14:paraId="7592144E">
          <w:pPr>
            <w:pStyle w:val="24"/>
            <w:tabs>
              <w:tab w:val="right" w:leader="dot" w:pos="8306"/>
            </w:tabs>
            <w:rPr>
              <w:b/>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TOC \o "1-2" \h \u </w:instrText>
          </w:r>
          <w:r>
            <w:rPr>
              <w:rFonts w:hint="eastAsia" w:ascii="仿宋_GB2312" w:hAnsi="仿宋_GB2312" w:eastAsia="仿宋_GB2312" w:cs="仿宋_GB2312"/>
              <w:sz w:val="32"/>
              <w:szCs w:val="32"/>
            </w:rPr>
            <w:fldChar w:fldCharType="separate"/>
          </w:r>
        </w:p>
        <w:p w14:paraId="52CEF569">
          <w:pPr>
            <w:pStyle w:val="2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fldChar w:fldCharType="begin"/>
          </w:r>
          <w:r>
            <w:rPr>
              <w:rFonts w:hint="eastAsia" w:ascii="仿宋_GB2312" w:hAnsi="仿宋_GB2312" w:eastAsia="仿宋_GB2312" w:cs="仿宋_GB2312"/>
              <w:b/>
              <w:sz w:val="24"/>
              <w:szCs w:val="24"/>
            </w:rPr>
            <w:instrText xml:space="preserve"> HYPERLINK \l _Toc11868 </w:instrText>
          </w:r>
          <w:r>
            <w:rPr>
              <w:rFonts w:hint="eastAsia" w:ascii="仿宋_GB2312" w:hAnsi="仿宋_GB2312" w:eastAsia="仿宋_GB2312" w:cs="仿宋_GB2312"/>
              <w:b/>
              <w:sz w:val="24"/>
              <w:szCs w:val="24"/>
            </w:rPr>
            <w:fldChar w:fldCharType="separate"/>
          </w:r>
          <w:r>
            <w:rPr>
              <w:rFonts w:hint="eastAsia" w:ascii="仿宋_GB2312" w:hAnsi="仿宋_GB2312" w:eastAsia="仿宋_GB2312" w:cs="仿宋_GB2312"/>
              <w:b/>
              <w:sz w:val="24"/>
              <w:szCs w:val="24"/>
            </w:rPr>
            <w:t xml:space="preserve">第一章 </w:t>
          </w:r>
          <w:r>
            <w:rPr>
              <w:rFonts w:hint="eastAsia" w:ascii="仿宋_GB2312" w:hAnsi="仿宋_GB2312" w:eastAsia="仿宋_GB2312" w:cs="仿宋_GB2312"/>
              <w:b/>
              <w:sz w:val="24"/>
              <w:szCs w:val="24"/>
              <w:lang w:val="en-US" w:eastAsia="zh-CN"/>
            </w:rPr>
            <w:t>公开招标公告</w:t>
          </w:r>
          <w:r>
            <w:rPr>
              <w:rFonts w:hint="eastAsia" w:ascii="仿宋_GB2312" w:hAnsi="仿宋_GB2312" w:eastAsia="仿宋_GB2312" w:cs="仿宋_GB2312"/>
              <w:b/>
              <w:sz w:val="24"/>
              <w:szCs w:val="24"/>
            </w:rPr>
            <w:tab/>
          </w:r>
          <w:r>
            <w:rPr>
              <w:rFonts w:hint="eastAsia" w:ascii="仿宋_GB2312" w:hAnsi="仿宋_GB2312" w:eastAsia="仿宋_GB2312" w:cs="仿宋_GB2312"/>
              <w:b/>
              <w:sz w:val="24"/>
              <w:szCs w:val="24"/>
            </w:rPr>
            <w:fldChar w:fldCharType="begin"/>
          </w:r>
          <w:r>
            <w:rPr>
              <w:rFonts w:hint="eastAsia" w:ascii="仿宋_GB2312" w:hAnsi="仿宋_GB2312" w:eastAsia="仿宋_GB2312" w:cs="仿宋_GB2312"/>
              <w:b/>
              <w:sz w:val="24"/>
              <w:szCs w:val="24"/>
            </w:rPr>
            <w:instrText xml:space="preserve"> PAGEREF _Toc11868 \h </w:instrText>
          </w:r>
          <w:r>
            <w:rPr>
              <w:rFonts w:hint="eastAsia" w:ascii="仿宋_GB2312" w:hAnsi="仿宋_GB2312" w:eastAsia="仿宋_GB2312" w:cs="仿宋_GB2312"/>
              <w:b/>
              <w:sz w:val="24"/>
              <w:szCs w:val="24"/>
            </w:rPr>
            <w:fldChar w:fldCharType="separate"/>
          </w:r>
          <w:r>
            <w:rPr>
              <w:rFonts w:hint="eastAsia" w:ascii="仿宋_GB2312" w:hAnsi="仿宋_GB2312" w:eastAsia="仿宋_GB2312" w:cs="仿宋_GB2312"/>
              <w:b/>
              <w:sz w:val="24"/>
              <w:szCs w:val="24"/>
            </w:rPr>
            <w:t>1</w:t>
          </w:r>
          <w:r>
            <w:rPr>
              <w:rFonts w:hint="eastAsia" w:ascii="仿宋_GB2312" w:hAnsi="仿宋_GB2312" w:eastAsia="仿宋_GB2312" w:cs="仿宋_GB2312"/>
              <w:b/>
              <w:sz w:val="24"/>
              <w:szCs w:val="24"/>
            </w:rPr>
            <w:fldChar w:fldCharType="end"/>
          </w:r>
          <w:r>
            <w:rPr>
              <w:rFonts w:hint="eastAsia" w:ascii="仿宋_GB2312" w:hAnsi="仿宋_GB2312" w:eastAsia="仿宋_GB2312" w:cs="仿宋_GB2312"/>
              <w:b/>
              <w:sz w:val="24"/>
              <w:szCs w:val="24"/>
            </w:rPr>
            <w:fldChar w:fldCharType="end"/>
          </w:r>
        </w:p>
        <w:p w14:paraId="3EB46A83">
          <w:pPr>
            <w:pStyle w:val="2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_Toc21739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rPr>
            <w:t>一、项目基本情况</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_Toc21739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6B817CA2">
          <w:pPr>
            <w:pStyle w:val="2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_Toc15364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rPr>
            <w:t>二、申请人的资格要求：</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_Toc15364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76D8F61E">
          <w:pPr>
            <w:pStyle w:val="2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_Toc29084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rPr>
            <w:t>三、获取招标文件</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_Toc29084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1899C993">
          <w:pPr>
            <w:pStyle w:val="2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_Toc24224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highlight w:val="none"/>
            </w:rPr>
            <w:t>四、提交投标文件截止时间、开标时间和地点</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_Toc24224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6D5C2611">
          <w:pPr>
            <w:pStyle w:val="2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_Toc17115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rPr>
            <w:t>五、公告期限</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_Toc17115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01B65F33">
          <w:pPr>
            <w:pStyle w:val="2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_Toc22084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rPr>
            <w:t>六、其他补充事宜</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_Toc22084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0CF67833">
          <w:pPr>
            <w:pStyle w:val="2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_Toc21999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rPr>
            <w:t>七、对本次采购提出询问，请按以下方式联系</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_Toc21999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0FBDB8BB">
          <w:pPr>
            <w:pStyle w:val="2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fldChar w:fldCharType="begin"/>
          </w:r>
          <w:r>
            <w:rPr>
              <w:rFonts w:hint="eastAsia" w:ascii="仿宋_GB2312" w:hAnsi="仿宋_GB2312" w:eastAsia="仿宋_GB2312" w:cs="仿宋_GB2312"/>
              <w:b/>
              <w:sz w:val="24"/>
              <w:szCs w:val="24"/>
            </w:rPr>
            <w:instrText xml:space="preserve"> HYPERLINK \l _Toc31403 </w:instrText>
          </w:r>
          <w:r>
            <w:rPr>
              <w:rFonts w:hint="eastAsia" w:ascii="仿宋_GB2312" w:hAnsi="仿宋_GB2312" w:eastAsia="仿宋_GB2312" w:cs="仿宋_GB2312"/>
              <w:b/>
              <w:sz w:val="24"/>
              <w:szCs w:val="24"/>
            </w:rPr>
            <w:fldChar w:fldCharType="separate"/>
          </w:r>
          <w:r>
            <w:rPr>
              <w:rFonts w:hint="eastAsia" w:ascii="仿宋_GB2312" w:hAnsi="仿宋_GB2312" w:eastAsia="仿宋_GB2312" w:cs="仿宋_GB2312"/>
              <w:b/>
              <w:sz w:val="24"/>
              <w:szCs w:val="24"/>
            </w:rPr>
            <w:t>第二章 投标须知前附表</w:t>
          </w:r>
          <w:r>
            <w:rPr>
              <w:rFonts w:hint="eastAsia" w:ascii="仿宋_GB2312" w:hAnsi="仿宋_GB2312" w:eastAsia="仿宋_GB2312" w:cs="仿宋_GB2312"/>
              <w:b/>
              <w:sz w:val="24"/>
              <w:szCs w:val="24"/>
            </w:rPr>
            <w:tab/>
          </w:r>
          <w:r>
            <w:rPr>
              <w:rFonts w:hint="eastAsia" w:ascii="仿宋_GB2312" w:hAnsi="仿宋_GB2312" w:eastAsia="仿宋_GB2312" w:cs="仿宋_GB2312"/>
              <w:b/>
              <w:sz w:val="24"/>
              <w:szCs w:val="24"/>
            </w:rPr>
            <w:fldChar w:fldCharType="begin"/>
          </w:r>
          <w:r>
            <w:rPr>
              <w:rFonts w:hint="eastAsia" w:ascii="仿宋_GB2312" w:hAnsi="仿宋_GB2312" w:eastAsia="仿宋_GB2312" w:cs="仿宋_GB2312"/>
              <w:b/>
              <w:sz w:val="24"/>
              <w:szCs w:val="24"/>
            </w:rPr>
            <w:instrText xml:space="preserve"> PAGEREF _Toc31403 \h </w:instrText>
          </w:r>
          <w:r>
            <w:rPr>
              <w:rFonts w:hint="eastAsia" w:ascii="仿宋_GB2312" w:hAnsi="仿宋_GB2312" w:eastAsia="仿宋_GB2312" w:cs="仿宋_GB2312"/>
              <w:b/>
              <w:sz w:val="24"/>
              <w:szCs w:val="24"/>
            </w:rPr>
            <w:fldChar w:fldCharType="separate"/>
          </w:r>
          <w:r>
            <w:rPr>
              <w:rFonts w:hint="eastAsia" w:ascii="仿宋_GB2312" w:hAnsi="仿宋_GB2312" w:eastAsia="仿宋_GB2312" w:cs="仿宋_GB2312"/>
              <w:b/>
              <w:sz w:val="24"/>
              <w:szCs w:val="24"/>
            </w:rPr>
            <w:t>4</w:t>
          </w:r>
          <w:r>
            <w:rPr>
              <w:rFonts w:hint="eastAsia" w:ascii="仿宋_GB2312" w:hAnsi="仿宋_GB2312" w:eastAsia="仿宋_GB2312" w:cs="仿宋_GB2312"/>
              <w:b/>
              <w:sz w:val="24"/>
              <w:szCs w:val="24"/>
            </w:rPr>
            <w:fldChar w:fldCharType="end"/>
          </w:r>
          <w:r>
            <w:rPr>
              <w:rFonts w:hint="eastAsia" w:ascii="仿宋_GB2312" w:hAnsi="仿宋_GB2312" w:eastAsia="仿宋_GB2312" w:cs="仿宋_GB2312"/>
              <w:b/>
              <w:sz w:val="24"/>
              <w:szCs w:val="24"/>
            </w:rPr>
            <w:fldChar w:fldCharType="end"/>
          </w:r>
        </w:p>
        <w:p w14:paraId="314886B9">
          <w:pPr>
            <w:pStyle w:val="2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fldChar w:fldCharType="begin"/>
          </w:r>
          <w:r>
            <w:rPr>
              <w:rFonts w:hint="eastAsia" w:ascii="仿宋_GB2312" w:hAnsi="仿宋_GB2312" w:eastAsia="仿宋_GB2312" w:cs="仿宋_GB2312"/>
              <w:b/>
              <w:sz w:val="24"/>
              <w:szCs w:val="24"/>
            </w:rPr>
            <w:instrText xml:space="preserve"> HYPERLINK \l _Toc27881 </w:instrText>
          </w:r>
          <w:r>
            <w:rPr>
              <w:rFonts w:hint="eastAsia" w:ascii="仿宋_GB2312" w:hAnsi="仿宋_GB2312" w:eastAsia="仿宋_GB2312" w:cs="仿宋_GB2312"/>
              <w:b/>
              <w:sz w:val="24"/>
              <w:szCs w:val="24"/>
            </w:rPr>
            <w:fldChar w:fldCharType="separate"/>
          </w:r>
          <w:r>
            <w:rPr>
              <w:rFonts w:hint="eastAsia" w:ascii="仿宋_GB2312" w:hAnsi="仿宋_GB2312" w:eastAsia="仿宋_GB2312" w:cs="仿宋_GB2312"/>
              <w:b/>
              <w:sz w:val="24"/>
              <w:szCs w:val="24"/>
            </w:rPr>
            <w:t>第三章 投标人须知</w:t>
          </w:r>
          <w:r>
            <w:rPr>
              <w:rFonts w:hint="eastAsia" w:ascii="仿宋_GB2312" w:hAnsi="仿宋_GB2312" w:eastAsia="仿宋_GB2312" w:cs="仿宋_GB2312"/>
              <w:b/>
              <w:sz w:val="24"/>
              <w:szCs w:val="24"/>
            </w:rPr>
            <w:tab/>
          </w:r>
          <w:r>
            <w:rPr>
              <w:rFonts w:hint="eastAsia" w:ascii="仿宋_GB2312" w:hAnsi="仿宋_GB2312" w:eastAsia="仿宋_GB2312" w:cs="仿宋_GB2312"/>
              <w:b/>
              <w:sz w:val="24"/>
              <w:szCs w:val="24"/>
            </w:rPr>
            <w:fldChar w:fldCharType="begin"/>
          </w:r>
          <w:r>
            <w:rPr>
              <w:rFonts w:hint="eastAsia" w:ascii="仿宋_GB2312" w:hAnsi="仿宋_GB2312" w:eastAsia="仿宋_GB2312" w:cs="仿宋_GB2312"/>
              <w:b/>
              <w:sz w:val="24"/>
              <w:szCs w:val="24"/>
            </w:rPr>
            <w:instrText xml:space="preserve"> PAGEREF _Toc27881 \h </w:instrText>
          </w:r>
          <w:r>
            <w:rPr>
              <w:rFonts w:hint="eastAsia" w:ascii="仿宋_GB2312" w:hAnsi="仿宋_GB2312" w:eastAsia="仿宋_GB2312" w:cs="仿宋_GB2312"/>
              <w:b/>
              <w:sz w:val="24"/>
              <w:szCs w:val="24"/>
            </w:rPr>
            <w:fldChar w:fldCharType="separate"/>
          </w:r>
          <w:r>
            <w:rPr>
              <w:rFonts w:hint="eastAsia" w:ascii="仿宋_GB2312" w:hAnsi="仿宋_GB2312" w:eastAsia="仿宋_GB2312" w:cs="仿宋_GB2312"/>
              <w:b/>
              <w:sz w:val="24"/>
              <w:szCs w:val="24"/>
            </w:rPr>
            <w:t>9</w:t>
          </w:r>
          <w:r>
            <w:rPr>
              <w:rFonts w:hint="eastAsia" w:ascii="仿宋_GB2312" w:hAnsi="仿宋_GB2312" w:eastAsia="仿宋_GB2312" w:cs="仿宋_GB2312"/>
              <w:b/>
              <w:sz w:val="24"/>
              <w:szCs w:val="24"/>
            </w:rPr>
            <w:fldChar w:fldCharType="end"/>
          </w:r>
          <w:r>
            <w:rPr>
              <w:rFonts w:hint="eastAsia" w:ascii="仿宋_GB2312" w:hAnsi="仿宋_GB2312" w:eastAsia="仿宋_GB2312" w:cs="仿宋_GB2312"/>
              <w:b/>
              <w:sz w:val="24"/>
              <w:szCs w:val="24"/>
            </w:rPr>
            <w:fldChar w:fldCharType="end"/>
          </w:r>
        </w:p>
        <w:p w14:paraId="6A4AC209">
          <w:pPr>
            <w:pStyle w:val="2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_Toc20936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rPr>
            <w:t>一、 说 明</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_Toc20936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9</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5B84BF4F">
          <w:pPr>
            <w:pStyle w:val="2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_Toc6547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lang w:val="en-US" w:eastAsia="zh-CN"/>
            </w:rPr>
            <w:t>二、 招标文件</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_Toc6547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14</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6361CDE2">
          <w:pPr>
            <w:pStyle w:val="2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_Toc9070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lang w:val="en-US" w:eastAsia="zh-CN"/>
            </w:rPr>
            <w:t>三、 投标文件的编制</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_Toc9070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16</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246A2B0B">
          <w:pPr>
            <w:pStyle w:val="2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_Toc21719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lang w:val="en-US" w:eastAsia="zh-CN"/>
            </w:rPr>
            <w:t>四、 投标文件的提交</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_Toc21719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19</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1CC1931D">
          <w:pPr>
            <w:pStyle w:val="2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_Toc15263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lang w:val="en-US" w:eastAsia="zh-CN"/>
            </w:rPr>
            <w:t>五、 开标、资格审查及评标</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_Toc15263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20</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7154ABE2">
          <w:pPr>
            <w:pStyle w:val="2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_Toc7787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lang w:val="en-US" w:eastAsia="zh-CN"/>
            </w:rPr>
            <w:t>六、 确定中标</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_Toc7787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22</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78A80C63">
          <w:pPr>
            <w:pStyle w:val="2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fldChar w:fldCharType="begin"/>
          </w:r>
          <w:r>
            <w:rPr>
              <w:rFonts w:hint="eastAsia" w:ascii="仿宋_GB2312" w:hAnsi="仿宋_GB2312" w:eastAsia="仿宋_GB2312" w:cs="仿宋_GB2312"/>
              <w:b/>
              <w:sz w:val="24"/>
              <w:szCs w:val="24"/>
            </w:rPr>
            <w:instrText xml:space="preserve"> HYPERLINK \l _Toc22543 </w:instrText>
          </w:r>
          <w:r>
            <w:rPr>
              <w:rFonts w:hint="eastAsia" w:ascii="仿宋_GB2312" w:hAnsi="仿宋_GB2312" w:eastAsia="仿宋_GB2312" w:cs="仿宋_GB2312"/>
              <w:b/>
              <w:sz w:val="24"/>
              <w:szCs w:val="24"/>
            </w:rPr>
            <w:fldChar w:fldCharType="separate"/>
          </w:r>
          <w:r>
            <w:rPr>
              <w:rFonts w:hint="eastAsia" w:ascii="仿宋_GB2312" w:hAnsi="仿宋_GB2312" w:eastAsia="仿宋_GB2312" w:cs="仿宋_GB2312"/>
              <w:b/>
              <w:sz w:val="24"/>
              <w:szCs w:val="24"/>
              <w:lang w:val="en-US" w:eastAsia="zh-CN"/>
            </w:rPr>
            <w:t>第四章 政府采购合同</w:t>
          </w:r>
          <w:r>
            <w:rPr>
              <w:rFonts w:hint="eastAsia" w:ascii="仿宋_GB2312" w:hAnsi="仿宋_GB2312" w:eastAsia="仿宋_GB2312" w:cs="仿宋_GB2312"/>
              <w:b/>
              <w:sz w:val="24"/>
              <w:szCs w:val="24"/>
            </w:rPr>
            <w:tab/>
          </w:r>
          <w:r>
            <w:rPr>
              <w:rFonts w:hint="eastAsia" w:ascii="仿宋_GB2312" w:hAnsi="仿宋_GB2312" w:eastAsia="仿宋_GB2312" w:cs="仿宋_GB2312"/>
              <w:b/>
              <w:sz w:val="24"/>
              <w:szCs w:val="24"/>
            </w:rPr>
            <w:fldChar w:fldCharType="begin"/>
          </w:r>
          <w:r>
            <w:rPr>
              <w:rFonts w:hint="eastAsia" w:ascii="仿宋_GB2312" w:hAnsi="仿宋_GB2312" w:eastAsia="仿宋_GB2312" w:cs="仿宋_GB2312"/>
              <w:b/>
              <w:sz w:val="24"/>
              <w:szCs w:val="24"/>
            </w:rPr>
            <w:instrText xml:space="preserve"> PAGEREF _Toc22543 \h </w:instrText>
          </w:r>
          <w:r>
            <w:rPr>
              <w:rFonts w:hint="eastAsia" w:ascii="仿宋_GB2312" w:hAnsi="仿宋_GB2312" w:eastAsia="仿宋_GB2312" w:cs="仿宋_GB2312"/>
              <w:b/>
              <w:sz w:val="24"/>
              <w:szCs w:val="24"/>
            </w:rPr>
            <w:fldChar w:fldCharType="separate"/>
          </w:r>
          <w:r>
            <w:rPr>
              <w:rFonts w:hint="eastAsia" w:ascii="仿宋_GB2312" w:hAnsi="仿宋_GB2312" w:eastAsia="仿宋_GB2312" w:cs="仿宋_GB2312"/>
              <w:b/>
              <w:sz w:val="24"/>
              <w:szCs w:val="24"/>
            </w:rPr>
            <w:t>26</w:t>
          </w:r>
          <w:r>
            <w:rPr>
              <w:rFonts w:hint="eastAsia" w:ascii="仿宋_GB2312" w:hAnsi="仿宋_GB2312" w:eastAsia="仿宋_GB2312" w:cs="仿宋_GB2312"/>
              <w:b/>
              <w:sz w:val="24"/>
              <w:szCs w:val="24"/>
            </w:rPr>
            <w:fldChar w:fldCharType="end"/>
          </w:r>
          <w:r>
            <w:rPr>
              <w:rFonts w:hint="eastAsia" w:ascii="仿宋_GB2312" w:hAnsi="仿宋_GB2312" w:eastAsia="仿宋_GB2312" w:cs="仿宋_GB2312"/>
              <w:b/>
              <w:sz w:val="24"/>
              <w:szCs w:val="24"/>
            </w:rPr>
            <w:fldChar w:fldCharType="end"/>
          </w:r>
        </w:p>
        <w:p w14:paraId="18D7154D">
          <w:pPr>
            <w:pStyle w:val="2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fldChar w:fldCharType="begin"/>
          </w:r>
          <w:r>
            <w:rPr>
              <w:rFonts w:hint="eastAsia" w:ascii="仿宋_GB2312" w:hAnsi="仿宋_GB2312" w:eastAsia="仿宋_GB2312" w:cs="仿宋_GB2312"/>
              <w:b/>
              <w:sz w:val="24"/>
              <w:szCs w:val="24"/>
            </w:rPr>
            <w:instrText xml:space="preserve"> HYPERLINK \l _Toc20159 </w:instrText>
          </w:r>
          <w:r>
            <w:rPr>
              <w:rFonts w:hint="eastAsia" w:ascii="仿宋_GB2312" w:hAnsi="仿宋_GB2312" w:eastAsia="仿宋_GB2312" w:cs="仿宋_GB2312"/>
              <w:b/>
              <w:sz w:val="24"/>
              <w:szCs w:val="24"/>
            </w:rPr>
            <w:fldChar w:fldCharType="separate"/>
          </w:r>
          <w:r>
            <w:rPr>
              <w:rFonts w:hint="eastAsia" w:ascii="仿宋_GB2312" w:hAnsi="仿宋_GB2312" w:eastAsia="仿宋_GB2312" w:cs="仿宋_GB2312"/>
              <w:b/>
              <w:sz w:val="24"/>
              <w:szCs w:val="24"/>
              <w:lang w:val="en-US" w:eastAsia="zh-CN"/>
            </w:rPr>
            <w:t>第五章 采购需求</w:t>
          </w:r>
          <w:r>
            <w:rPr>
              <w:rFonts w:hint="eastAsia" w:ascii="仿宋_GB2312" w:hAnsi="仿宋_GB2312" w:eastAsia="仿宋_GB2312" w:cs="仿宋_GB2312"/>
              <w:b/>
              <w:sz w:val="24"/>
              <w:szCs w:val="24"/>
            </w:rPr>
            <w:tab/>
          </w:r>
          <w:r>
            <w:rPr>
              <w:rFonts w:hint="eastAsia" w:ascii="仿宋_GB2312" w:hAnsi="仿宋_GB2312" w:eastAsia="仿宋_GB2312" w:cs="仿宋_GB2312"/>
              <w:b/>
              <w:sz w:val="24"/>
              <w:szCs w:val="24"/>
            </w:rPr>
            <w:fldChar w:fldCharType="begin"/>
          </w:r>
          <w:r>
            <w:rPr>
              <w:rFonts w:hint="eastAsia" w:ascii="仿宋_GB2312" w:hAnsi="仿宋_GB2312" w:eastAsia="仿宋_GB2312" w:cs="仿宋_GB2312"/>
              <w:b/>
              <w:sz w:val="24"/>
              <w:szCs w:val="24"/>
            </w:rPr>
            <w:instrText xml:space="preserve"> PAGEREF _Toc20159 \h </w:instrText>
          </w:r>
          <w:r>
            <w:rPr>
              <w:rFonts w:hint="eastAsia" w:ascii="仿宋_GB2312" w:hAnsi="仿宋_GB2312" w:eastAsia="仿宋_GB2312" w:cs="仿宋_GB2312"/>
              <w:b/>
              <w:sz w:val="24"/>
              <w:szCs w:val="24"/>
            </w:rPr>
            <w:fldChar w:fldCharType="separate"/>
          </w:r>
          <w:r>
            <w:rPr>
              <w:rFonts w:hint="eastAsia" w:ascii="仿宋_GB2312" w:hAnsi="仿宋_GB2312" w:eastAsia="仿宋_GB2312" w:cs="仿宋_GB2312"/>
              <w:b/>
              <w:sz w:val="24"/>
              <w:szCs w:val="24"/>
            </w:rPr>
            <w:t>27</w:t>
          </w:r>
          <w:r>
            <w:rPr>
              <w:rFonts w:hint="eastAsia" w:ascii="仿宋_GB2312" w:hAnsi="仿宋_GB2312" w:eastAsia="仿宋_GB2312" w:cs="仿宋_GB2312"/>
              <w:b/>
              <w:sz w:val="24"/>
              <w:szCs w:val="24"/>
            </w:rPr>
            <w:fldChar w:fldCharType="end"/>
          </w:r>
          <w:r>
            <w:rPr>
              <w:rFonts w:hint="eastAsia" w:ascii="仿宋_GB2312" w:hAnsi="仿宋_GB2312" w:eastAsia="仿宋_GB2312" w:cs="仿宋_GB2312"/>
              <w:b/>
              <w:sz w:val="24"/>
              <w:szCs w:val="24"/>
            </w:rPr>
            <w:fldChar w:fldCharType="end"/>
          </w:r>
        </w:p>
        <w:p w14:paraId="7BC1176F">
          <w:pPr>
            <w:pStyle w:val="2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fldChar w:fldCharType="begin"/>
          </w:r>
          <w:r>
            <w:rPr>
              <w:rFonts w:hint="eastAsia" w:ascii="仿宋_GB2312" w:hAnsi="仿宋_GB2312" w:eastAsia="仿宋_GB2312" w:cs="仿宋_GB2312"/>
              <w:b/>
              <w:sz w:val="24"/>
              <w:szCs w:val="24"/>
            </w:rPr>
            <w:instrText xml:space="preserve"> HYPERLINK \l _Toc21893 </w:instrText>
          </w:r>
          <w:r>
            <w:rPr>
              <w:rFonts w:hint="eastAsia" w:ascii="仿宋_GB2312" w:hAnsi="仿宋_GB2312" w:eastAsia="仿宋_GB2312" w:cs="仿宋_GB2312"/>
              <w:b/>
              <w:sz w:val="24"/>
              <w:szCs w:val="24"/>
            </w:rPr>
            <w:fldChar w:fldCharType="separate"/>
          </w:r>
          <w:r>
            <w:rPr>
              <w:rFonts w:hint="eastAsia" w:ascii="仿宋_GB2312" w:hAnsi="仿宋_GB2312" w:eastAsia="仿宋_GB2312" w:cs="仿宋_GB2312"/>
              <w:b/>
              <w:sz w:val="24"/>
              <w:szCs w:val="24"/>
              <w:lang w:val="en-US" w:eastAsia="zh-CN"/>
            </w:rPr>
            <w:t>第六章 评标程序、评标方法和评标标准</w:t>
          </w:r>
          <w:r>
            <w:rPr>
              <w:rFonts w:hint="eastAsia" w:ascii="仿宋_GB2312" w:hAnsi="仿宋_GB2312" w:eastAsia="仿宋_GB2312" w:cs="仿宋_GB2312"/>
              <w:b/>
              <w:sz w:val="24"/>
              <w:szCs w:val="24"/>
            </w:rPr>
            <w:tab/>
          </w:r>
          <w:r>
            <w:rPr>
              <w:rFonts w:hint="eastAsia" w:ascii="仿宋_GB2312" w:hAnsi="仿宋_GB2312" w:eastAsia="仿宋_GB2312" w:cs="仿宋_GB2312"/>
              <w:b/>
              <w:sz w:val="24"/>
              <w:szCs w:val="24"/>
            </w:rPr>
            <w:fldChar w:fldCharType="begin"/>
          </w:r>
          <w:r>
            <w:rPr>
              <w:rFonts w:hint="eastAsia" w:ascii="仿宋_GB2312" w:hAnsi="仿宋_GB2312" w:eastAsia="仿宋_GB2312" w:cs="仿宋_GB2312"/>
              <w:b/>
              <w:sz w:val="24"/>
              <w:szCs w:val="24"/>
            </w:rPr>
            <w:instrText xml:space="preserve"> PAGEREF _Toc21893 \h </w:instrText>
          </w:r>
          <w:r>
            <w:rPr>
              <w:rFonts w:hint="eastAsia" w:ascii="仿宋_GB2312" w:hAnsi="仿宋_GB2312" w:eastAsia="仿宋_GB2312" w:cs="仿宋_GB2312"/>
              <w:b/>
              <w:sz w:val="24"/>
              <w:szCs w:val="24"/>
            </w:rPr>
            <w:fldChar w:fldCharType="separate"/>
          </w:r>
          <w:r>
            <w:rPr>
              <w:rFonts w:hint="eastAsia" w:ascii="仿宋_GB2312" w:hAnsi="仿宋_GB2312" w:eastAsia="仿宋_GB2312" w:cs="仿宋_GB2312"/>
              <w:b/>
              <w:sz w:val="24"/>
              <w:szCs w:val="24"/>
            </w:rPr>
            <w:t>28</w:t>
          </w:r>
          <w:r>
            <w:rPr>
              <w:rFonts w:hint="eastAsia" w:ascii="仿宋_GB2312" w:hAnsi="仿宋_GB2312" w:eastAsia="仿宋_GB2312" w:cs="仿宋_GB2312"/>
              <w:b/>
              <w:sz w:val="24"/>
              <w:szCs w:val="24"/>
            </w:rPr>
            <w:fldChar w:fldCharType="end"/>
          </w:r>
          <w:r>
            <w:rPr>
              <w:rFonts w:hint="eastAsia" w:ascii="仿宋_GB2312" w:hAnsi="仿宋_GB2312" w:eastAsia="仿宋_GB2312" w:cs="仿宋_GB2312"/>
              <w:b/>
              <w:sz w:val="24"/>
              <w:szCs w:val="24"/>
            </w:rPr>
            <w:fldChar w:fldCharType="end"/>
          </w:r>
        </w:p>
        <w:p w14:paraId="0665BF8B">
          <w:pPr>
            <w:pStyle w:val="2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_Toc27440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lang w:val="en-US" w:eastAsia="zh-CN"/>
            </w:rPr>
            <w:t>1. 评标方法</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_Toc27440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28</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7E14A503">
          <w:pPr>
            <w:pStyle w:val="2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_Toc12617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lang w:val="en-US" w:eastAsia="zh-CN"/>
            </w:rPr>
            <w:t>2. 评标原则</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_Toc12617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28</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3E2AA71F">
          <w:pPr>
            <w:pStyle w:val="2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_Toc6046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lang w:val="en-US" w:eastAsia="zh-CN"/>
            </w:rPr>
            <w:t>3. 资格审查</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_Toc6046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28</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6B7DFE3F">
          <w:pPr>
            <w:pStyle w:val="2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_Toc4337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lang w:val="en-US" w:eastAsia="zh-CN"/>
            </w:rPr>
            <w:t>4. 符合性审查</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_Toc4337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30</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36B18D9A">
          <w:pPr>
            <w:pStyle w:val="2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_Toc23924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lang w:val="en-US" w:eastAsia="zh-CN"/>
            </w:rPr>
            <w:t>5. 投标文件有关事项的澄清或者说明</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_Toc23924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7D476681">
          <w:pPr>
            <w:pStyle w:val="2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_Toc22049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lang w:val="en-US" w:eastAsia="zh-CN"/>
            </w:rPr>
            <w:t>6. 详细评审</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_Toc22049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32</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2E2940CA">
          <w:pPr>
            <w:pStyle w:val="2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fldChar w:fldCharType="begin"/>
          </w:r>
          <w:r>
            <w:rPr>
              <w:rFonts w:hint="eastAsia" w:ascii="仿宋_GB2312" w:hAnsi="仿宋_GB2312" w:eastAsia="仿宋_GB2312" w:cs="仿宋_GB2312"/>
              <w:b/>
              <w:sz w:val="24"/>
              <w:szCs w:val="24"/>
            </w:rPr>
            <w:instrText xml:space="preserve"> HYPERLINK \l _Toc31337 </w:instrText>
          </w:r>
          <w:r>
            <w:rPr>
              <w:rFonts w:hint="eastAsia" w:ascii="仿宋_GB2312" w:hAnsi="仿宋_GB2312" w:eastAsia="仿宋_GB2312" w:cs="仿宋_GB2312"/>
              <w:b/>
              <w:sz w:val="24"/>
              <w:szCs w:val="24"/>
            </w:rPr>
            <w:fldChar w:fldCharType="separate"/>
          </w:r>
          <w:r>
            <w:rPr>
              <w:rFonts w:hint="eastAsia" w:ascii="仿宋_GB2312" w:hAnsi="仿宋_GB2312" w:eastAsia="仿宋_GB2312" w:cs="仿宋_GB2312"/>
              <w:b/>
              <w:sz w:val="24"/>
              <w:szCs w:val="24"/>
              <w:lang w:val="en-US" w:eastAsia="zh-CN"/>
            </w:rPr>
            <w:t>第七章 投标文件格式</w:t>
          </w:r>
          <w:r>
            <w:rPr>
              <w:rFonts w:hint="eastAsia" w:ascii="仿宋_GB2312" w:hAnsi="仿宋_GB2312" w:eastAsia="仿宋_GB2312" w:cs="仿宋_GB2312"/>
              <w:b/>
              <w:sz w:val="24"/>
              <w:szCs w:val="24"/>
            </w:rPr>
            <w:tab/>
          </w:r>
          <w:r>
            <w:rPr>
              <w:rFonts w:hint="eastAsia" w:ascii="仿宋_GB2312" w:hAnsi="仿宋_GB2312" w:eastAsia="仿宋_GB2312" w:cs="仿宋_GB2312"/>
              <w:b/>
              <w:sz w:val="24"/>
              <w:szCs w:val="24"/>
            </w:rPr>
            <w:fldChar w:fldCharType="begin"/>
          </w:r>
          <w:r>
            <w:rPr>
              <w:rFonts w:hint="eastAsia" w:ascii="仿宋_GB2312" w:hAnsi="仿宋_GB2312" w:eastAsia="仿宋_GB2312" w:cs="仿宋_GB2312"/>
              <w:b/>
              <w:sz w:val="24"/>
              <w:szCs w:val="24"/>
            </w:rPr>
            <w:instrText xml:space="preserve"> PAGEREF _Toc31337 \h </w:instrText>
          </w:r>
          <w:r>
            <w:rPr>
              <w:rFonts w:hint="eastAsia" w:ascii="仿宋_GB2312" w:hAnsi="仿宋_GB2312" w:eastAsia="仿宋_GB2312" w:cs="仿宋_GB2312"/>
              <w:b/>
              <w:sz w:val="24"/>
              <w:szCs w:val="24"/>
            </w:rPr>
            <w:fldChar w:fldCharType="separate"/>
          </w:r>
          <w:r>
            <w:rPr>
              <w:rFonts w:hint="eastAsia" w:ascii="仿宋_GB2312" w:hAnsi="仿宋_GB2312" w:eastAsia="仿宋_GB2312" w:cs="仿宋_GB2312"/>
              <w:b/>
              <w:sz w:val="24"/>
              <w:szCs w:val="24"/>
            </w:rPr>
            <w:t>36</w:t>
          </w:r>
          <w:r>
            <w:rPr>
              <w:rFonts w:hint="eastAsia" w:ascii="仿宋_GB2312" w:hAnsi="仿宋_GB2312" w:eastAsia="仿宋_GB2312" w:cs="仿宋_GB2312"/>
              <w:b/>
              <w:sz w:val="24"/>
              <w:szCs w:val="24"/>
            </w:rPr>
            <w:fldChar w:fldCharType="end"/>
          </w:r>
          <w:r>
            <w:rPr>
              <w:rFonts w:hint="eastAsia" w:ascii="仿宋_GB2312" w:hAnsi="仿宋_GB2312" w:eastAsia="仿宋_GB2312" w:cs="仿宋_GB2312"/>
              <w:b/>
              <w:sz w:val="24"/>
              <w:szCs w:val="24"/>
            </w:rPr>
            <w:fldChar w:fldCharType="end"/>
          </w:r>
        </w:p>
        <w:p w14:paraId="039B5540">
          <w:pPr>
            <w:pStyle w:val="25"/>
            <w:tabs>
              <w:tab w:val="right" w:leader="dot" w:pos="8306"/>
            </w:tabs>
          </w:pPr>
        </w:p>
        <w:p w14:paraId="1409214F">
          <w:pPr>
            <w:jc w:val="both"/>
            <w:rPr>
              <w:rFonts w:hint="eastAsia" w:ascii="仿宋_GB2312" w:hAnsi="仿宋_GB2312" w:eastAsia="仿宋_GB2312" w:cs="仿宋_GB2312"/>
              <w:sz w:val="32"/>
              <w:szCs w:val="32"/>
            </w:rPr>
          </w:pPr>
          <w:r>
            <w:rPr>
              <w:rFonts w:hint="eastAsia" w:ascii="仿宋_GB2312" w:hAnsi="仿宋_GB2312" w:eastAsia="仿宋_GB2312" w:cs="仿宋_GB2312"/>
              <w:b/>
              <w:szCs w:val="32"/>
            </w:rPr>
            <w:fldChar w:fldCharType="end"/>
          </w:r>
        </w:p>
      </w:sdtContent>
    </w:sdt>
    <w:p w14:paraId="5FC6BE31">
      <w:pPr>
        <w:pStyle w:val="2"/>
        <w:numPr>
          <w:ilvl w:val="0"/>
          <w:numId w:val="1"/>
        </w:numPr>
        <w:bidi w:val="0"/>
        <w:jc w:val="center"/>
        <w:rPr>
          <w:rFonts w:hint="eastAsia" w:ascii="仿宋_GB2312" w:hAnsi="仿宋_GB2312" w:eastAsia="仿宋_GB2312" w:cs="仿宋_GB2312"/>
          <w:sz w:val="32"/>
          <w:szCs w:val="32"/>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bookmarkStart w:id="0" w:name="_Toc11868"/>
    </w:p>
    <w:p w14:paraId="0B2D058C">
      <w:pPr>
        <w:pStyle w:val="2"/>
        <w:numPr>
          <w:ilvl w:val="0"/>
          <w:numId w:val="1"/>
        </w:num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招标</w:t>
      </w:r>
      <w:r>
        <w:rPr>
          <w:rFonts w:hint="eastAsia" w:ascii="仿宋_GB2312" w:hAnsi="仿宋_GB2312" w:eastAsia="仿宋_GB2312" w:cs="仿宋_GB2312"/>
          <w:sz w:val="32"/>
          <w:szCs w:val="32"/>
        </w:rPr>
        <w:t>公告</w:t>
      </w:r>
      <w:bookmarkEnd w:id="0"/>
    </w:p>
    <w:p w14:paraId="1A74ECFF">
      <w:pPr>
        <w:jc w:val="both"/>
        <w:rPr>
          <w:rFonts w:hint="eastAsia" w:ascii="仿宋_GB2312" w:hAnsi="仿宋_GB2312" w:eastAsia="仿宋_GB2312" w:cs="仿宋_GB2312"/>
          <w:sz w:val="32"/>
          <w:szCs w:val="32"/>
        </w:rPr>
      </w:pPr>
    </w:p>
    <w:p w14:paraId="127A32B6">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_GB2312" w:hAnsi="仿宋_GB2312" w:eastAsia="仿宋_GB2312" w:cs="仿宋_GB2312"/>
          <w:b/>
          <w:bCs/>
          <w:sz w:val="24"/>
          <w:szCs w:val="24"/>
        </w:rPr>
      </w:pPr>
      <w:bookmarkStart w:id="1" w:name="_Toc21739"/>
      <w:r>
        <w:rPr>
          <w:rFonts w:hint="eastAsia" w:ascii="仿宋_GB2312" w:hAnsi="仿宋_GB2312" w:eastAsia="仿宋_GB2312" w:cs="仿宋_GB2312"/>
          <w:b/>
          <w:bCs/>
          <w:sz w:val="24"/>
          <w:szCs w:val="24"/>
        </w:rPr>
        <w:t>一、项目基本情况</w:t>
      </w:r>
      <w:bookmarkEnd w:id="1"/>
    </w:p>
    <w:p w14:paraId="6AF4B3A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项目编号：SJX-2025-343</w:t>
      </w:r>
    </w:p>
    <w:p w14:paraId="0B4E0EF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Arial"/>
          <w:sz w:val="24"/>
          <w:szCs w:val="24"/>
          <w:highlight w:val="none"/>
          <w:u w:val="single"/>
          <w:lang w:val="en-US" w:eastAsia="zh-CN"/>
        </w:rPr>
      </w:pPr>
      <w:r>
        <w:rPr>
          <w:rFonts w:hint="eastAsia" w:ascii="仿宋_GB2312" w:hAnsi="仿宋_GB2312" w:eastAsia="仿宋_GB2312" w:cs="仿宋_GB2312"/>
          <w:sz w:val="24"/>
          <w:szCs w:val="24"/>
          <w:highlight w:val="none"/>
        </w:rPr>
        <w:t>项目名称：</w:t>
      </w:r>
      <w:r>
        <w:rPr>
          <w:rFonts w:hint="eastAsia" w:ascii="仿宋" w:hAnsi="仿宋" w:eastAsia="仿宋" w:cs="Arial"/>
          <w:sz w:val="24"/>
          <w:szCs w:val="24"/>
          <w:highlight w:val="none"/>
          <w:u w:val="single"/>
          <w:lang w:val="en-US" w:eastAsia="zh-CN"/>
        </w:rPr>
        <w:t>新疆维吾尔自治区儿童医院危重症新生儿救治中心建设项目设备购置项目</w:t>
      </w:r>
    </w:p>
    <w:p w14:paraId="549357E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采购方式：</w:t>
      </w:r>
      <w:r>
        <w:rPr>
          <w:rFonts w:hint="eastAsia" w:ascii="仿宋_GB2312" w:hAnsi="仿宋_GB2312" w:eastAsia="仿宋_GB2312" w:cs="仿宋_GB2312"/>
          <w:sz w:val="24"/>
          <w:szCs w:val="24"/>
          <w:highlight w:val="none"/>
          <w:u w:val="single"/>
        </w:rPr>
        <w:t>公开招标</w:t>
      </w:r>
    </w:p>
    <w:p w14:paraId="2AB8A2D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4"/>
          <w:szCs w:val="24"/>
          <w:highlight w:val="none"/>
          <w:u w:val="single"/>
          <w:lang w:val="en-US" w:eastAsia="zh-CN"/>
        </w:rPr>
      </w:pPr>
      <w:r>
        <w:rPr>
          <w:rFonts w:hint="eastAsia" w:ascii="仿宋_GB2312" w:hAnsi="仿宋_GB2312" w:eastAsia="仿宋_GB2312" w:cs="仿宋_GB2312"/>
          <w:sz w:val="24"/>
          <w:szCs w:val="24"/>
          <w:highlight w:val="none"/>
        </w:rPr>
        <w:t>预算金额（元）：</w:t>
      </w:r>
      <w:r>
        <w:rPr>
          <w:rFonts w:hint="eastAsia" w:ascii="仿宋_GB2312" w:hAnsi="仿宋_GB2312" w:eastAsia="仿宋_GB2312" w:cs="仿宋_GB2312"/>
          <w:sz w:val="24"/>
          <w:szCs w:val="24"/>
          <w:highlight w:val="none"/>
          <w:u w:val="single"/>
          <w:lang w:val="en-US" w:eastAsia="zh-CN"/>
        </w:rPr>
        <w:t>1513000</w:t>
      </w:r>
    </w:p>
    <w:p w14:paraId="3BC2345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最高限价（元）：</w:t>
      </w:r>
      <w:r>
        <w:rPr>
          <w:rFonts w:hint="eastAsia" w:ascii="仿宋_GB2312" w:hAnsi="仿宋_GB2312" w:eastAsia="仿宋_GB2312" w:cs="仿宋_GB2312"/>
          <w:sz w:val="24"/>
          <w:szCs w:val="24"/>
          <w:highlight w:val="none"/>
          <w:u w:val="single"/>
          <w:lang w:val="en-US" w:eastAsia="zh-CN"/>
        </w:rPr>
        <w:t>1513000</w:t>
      </w:r>
    </w:p>
    <w:p w14:paraId="1550EC0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采购需求：</w:t>
      </w:r>
    </w:p>
    <w:p w14:paraId="52CD09C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p w14:paraId="270A549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标项名称:</w:t>
      </w:r>
      <w:r>
        <w:rPr>
          <w:rFonts w:hint="eastAsia" w:ascii="仿宋_GB2312" w:hAnsi="仿宋_GB2312" w:eastAsia="仿宋_GB2312" w:cs="仿宋_GB2312"/>
          <w:sz w:val="24"/>
          <w:szCs w:val="24"/>
          <w:highlight w:val="none"/>
          <w:u w:val="single"/>
          <w:lang w:val="en-US" w:eastAsia="zh-CN"/>
        </w:rPr>
        <w:t>标项1：</w:t>
      </w:r>
      <w:r>
        <w:rPr>
          <w:rFonts w:hint="eastAsia" w:ascii="仿宋" w:hAnsi="仿宋" w:eastAsia="仿宋" w:cs="Arial"/>
          <w:sz w:val="24"/>
          <w:szCs w:val="24"/>
          <w:highlight w:val="none"/>
          <w:u w:val="single"/>
          <w:lang w:val="en-US" w:eastAsia="zh-CN"/>
        </w:rPr>
        <w:t>新疆维吾尔自治区儿童医院危重症新生儿救治中心建设项目设备购置项目</w:t>
      </w:r>
    </w:p>
    <w:p w14:paraId="18DB507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数量:</w:t>
      </w:r>
      <w:r>
        <w:rPr>
          <w:rFonts w:hint="eastAsia" w:ascii="仿宋_GB2312" w:hAnsi="仿宋_GB2312" w:eastAsia="仿宋_GB2312" w:cs="仿宋_GB2312"/>
          <w:sz w:val="24"/>
          <w:szCs w:val="24"/>
          <w:highlight w:val="none"/>
          <w:lang w:val="en-US" w:eastAsia="zh-CN"/>
        </w:rPr>
        <w:t>30台</w:t>
      </w:r>
    </w:p>
    <w:p w14:paraId="126A8B3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预算金额（元）:</w:t>
      </w:r>
      <w:r>
        <w:rPr>
          <w:rFonts w:hint="eastAsia" w:ascii="仿宋_GB2312" w:hAnsi="仿宋_GB2312" w:eastAsia="仿宋_GB2312" w:cs="仿宋_GB2312"/>
          <w:sz w:val="24"/>
          <w:szCs w:val="24"/>
          <w:highlight w:val="none"/>
          <w:u w:val="single"/>
          <w:lang w:val="en-US" w:eastAsia="zh-CN"/>
        </w:rPr>
        <w:t>1513000</w:t>
      </w:r>
    </w:p>
    <w:p w14:paraId="7E25C7F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简要规格描述或项目基本概况介绍、用途：</w:t>
      </w:r>
      <w:bookmarkStart w:id="94" w:name="_GoBack"/>
      <w:r>
        <w:rPr>
          <w:rFonts w:hint="eastAsia" w:ascii="仿宋_GB2312" w:hAnsi="仿宋_GB2312" w:eastAsia="仿宋_GB2312" w:cs="仿宋_GB2312"/>
          <w:sz w:val="24"/>
          <w:szCs w:val="24"/>
          <w:highlight w:val="none"/>
        </w:rPr>
        <w:t>母乳分析仪</w:t>
      </w:r>
      <w:r>
        <w:rPr>
          <w:rFonts w:hint="eastAsia" w:ascii="仿宋_GB2312" w:hAnsi="仿宋_GB2312" w:eastAsia="仿宋_GB2312" w:cs="仿宋_GB2312"/>
          <w:sz w:val="24"/>
          <w:szCs w:val="24"/>
          <w:highlight w:val="none"/>
          <w:lang w:eastAsia="zh-CN"/>
        </w:rPr>
        <w:t>、经皮黄疸仪、暖箱、输液泵、婴儿辐射保暖台、心电监护仪</w:t>
      </w:r>
      <w:r>
        <w:rPr>
          <w:rFonts w:hint="eastAsia" w:ascii="仿宋_GB2312" w:hAnsi="仿宋_GB2312" w:eastAsia="仿宋_GB2312" w:cs="仿宋_GB2312"/>
          <w:sz w:val="24"/>
          <w:szCs w:val="24"/>
          <w:highlight w:val="none"/>
          <w:lang w:val="en-US" w:eastAsia="zh-CN"/>
        </w:rPr>
        <w:t>等，详见本项目采购需求</w:t>
      </w:r>
      <w:bookmarkEnd w:id="94"/>
    </w:p>
    <w:p w14:paraId="28E5C35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备注：</w:t>
      </w:r>
      <w:r>
        <w:rPr>
          <w:rFonts w:hint="eastAsia" w:ascii="仿宋_GB2312" w:hAnsi="仿宋_GB2312" w:eastAsia="仿宋_GB2312" w:cs="仿宋_GB2312"/>
          <w:sz w:val="24"/>
          <w:szCs w:val="24"/>
          <w:highlight w:val="none"/>
          <w:lang w:val="en-US" w:eastAsia="zh-CN"/>
        </w:rPr>
        <w:t>/</w:t>
      </w:r>
    </w:p>
    <w:p w14:paraId="3EBE631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合同履约期限：</w:t>
      </w:r>
      <w:r>
        <w:rPr>
          <w:rFonts w:hint="eastAsia" w:ascii="仿宋_GB2312" w:hAnsi="仿宋_GB2312" w:eastAsia="仿宋_GB2312" w:cs="仿宋_GB2312"/>
          <w:sz w:val="24"/>
          <w:szCs w:val="24"/>
          <w:highlight w:val="none"/>
          <w:u w:val="single"/>
        </w:rPr>
        <w:t>合同签订后30日内将货物送达指定地点</w:t>
      </w:r>
    </w:p>
    <w:p w14:paraId="422FF35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本项目（否）接受联合体投标。</w:t>
      </w:r>
    </w:p>
    <w:p w14:paraId="039242B7">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_GB2312" w:hAnsi="仿宋_GB2312" w:eastAsia="仿宋_GB2312" w:cs="仿宋_GB2312"/>
          <w:b/>
          <w:bCs/>
          <w:sz w:val="24"/>
          <w:szCs w:val="24"/>
          <w:highlight w:val="none"/>
        </w:rPr>
      </w:pPr>
      <w:bookmarkStart w:id="2" w:name="_Toc15364"/>
      <w:r>
        <w:rPr>
          <w:rFonts w:hint="eastAsia" w:ascii="仿宋_GB2312" w:hAnsi="仿宋_GB2312" w:eastAsia="仿宋_GB2312" w:cs="仿宋_GB2312"/>
          <w:b/>
          <w:bCs/>
          <w:sz w:val="24"/>
          <w:szCs w:val="24"/>
          <w:highlight w:val="none"/>
        </w:rPr>
        <w:t>二、申请人的资格要求：</w:t>
      </w:r>
      <w:bookmarkEnd w:id="2"/>
    </w:p>
    <w:p w14:paraId="3725B36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1.满足《中华人民共和国政府采购法》第二十二条规定；</w:t>
      </w:r>
    </w:p>
    <w:p w14:paraId="0D65DED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2.落实政府采购政策需满足的资格要求：</w:t>
      </w:r>
      <w:r>
        <w:rPr>
          <w:rFonts w:hint="eastAsia" w:ascii="仿宋_GB2312" w:hAnsi="仿宋_GB2312" w:eastAsia="仿宋_GB2312" w:cs="仿宋_GB2312"/>
          <w:sz w:val="24"/>
          <w:szCs w:val="24"/>
          <w:highlight w:val="none"/>
          <w:u w:val="single"/>
        </w:rPr>
        <w:t>标项1：本项目专门面向中小企业，货物的制造商应符合《政府采购促进中小企业发展管理办法》(财库〔2020〕46号) 第四条规定的情形，且应当提供《政府采购促进中小企业发展管理办法》(财库〔2020〕46号)规定的《中小企业声明函》</w:t>
      </w:r>
    </w:p>
    <w:p w14:paraId="54C353C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u w:val="single"/>
        </w:rPr>
      </w:pPr>
      <w:r>
        <w:rPr>
          <w:rFonts w:hint="eastAsia" w:ascii="仿宋_GB2312" w:hAnsi="仿宋_GB2312" w:eastAsia="仿宋_GB2312" w:cs="仿宋_GB2312"/>
          <w:sz w:val="24"/>
          <w:szCs w:val="24"/>
          <w:highlight w:val="none"/>
        </w:rPr>
        <w:t>3.本项目的特定资格要求：</w:t>
      </w:r>
      <w:r>
        <w:rPr>
          <w:rFonts w:hint="eastAsia" w:ascii="仿宋_GB2312" w:hAnsi="仿宋_GB2312" w:eastAsia="仿宋_GB2312" w:cs="仿宋_GB2312"/>
          <w:sz w:val="24"/>
          <w:szCs w:val="24"/>
          <w:highlight w:val="none"/>
          <w:u w:val="single"/>
        </w:rPr>
        <w:t>所投货物若属于医疗器械管理范畴，按照国家医疗</w:t>
      </w:r>
    </w:p>
    <w:p w14:paraId="320C810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u w:val="single"/>
        </w:rPr>
      </w:pPr>
      <w:r>
        <w:rPr>
          <w:rFonts w:hint="eastAsia" w:ascii="仿宋_GB2312" w:hAnsi="仿宋_GB2312" w:eastAsia="仿宋_GB2312" w:cs="仿宋_GB2312"/>
          <w:sz w:val="24"/>
          <w:szCs w:val="24"/>
          <w:highlight w:val="none"/>
          <w:u w:val="single"/>
        </w:rPr>
        <w:t>器械监督管理条例，投标人须具有医疗器械的生产或经营资格。投标人如为代</w:t>
      </w:r>
    </w:p>
    <w:p w14:paraId="56C2FDE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u w:val="single"/>
        </w:rPr>
      </w:pPr>
      <w:r>
        <w:rPr>
          <w:rFonts w:hint="eastAsia" w:ascii="仿宋_GB2312" w:hAnsi="仿宋_GB2312" w:eastAsia="仿宋_GB2312" w:cs="仿宋_GB2312"/>
          <w:sz w:val="24"/>
          <w:szCs w:val="24"/>
          <w:highlight w:val="none"/>
          <w:u w:val="single"/>
        </w:rPr>
        <w:t>理商，所投产品属第二类医疗器械的应具有医疗器械经营备案凭证，属第三类医</w:t>
      </w:r>
    </w:p>
    <w:p w14:paraId="0634139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u w:val="single"/>
        </w:rPr>
      </w:pPr>
      <w:r>
        <w:rPr>
          <w:rFonts w:hint="eastAsia" w:ascii="仿宋_GB2312" w:hAnsi="仿宋_GB2312" w:eastAsia="仿宋_GB2312" w:cs="仿宋_GB2312"/>
          <w:sz w:val="24"/>
          <w:szCs w:val="24"/>
          <w:highlight w:val="none"/>
          <w:u w:val="single"/>
        </w:rPr>
        <w:t>疗器械的应具有医疗器械经营许可证；投标人如为制造商，使用自身生产的产品</w:t>
      </w:r>
    </w:p>
    <w:p w14:paraId="280AEEA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u w:val="single"/>
        </w:rPr>
      </w:pPr>
      <w:r>
        <w:rPr>
          <w:rFonts w:hint="eastAsia" w:ascii="仿宋_GB2312" w:hAnsi="仿宋_GB2312" w:eastAsia="仿宋_GB2312" w:cs="仿宋_GB2312"/>
          <w:sz w:val="24"/>
          <w:szCs w:val="24"/>
          <w:highlight w:val="none"/>
          <w:u w:val="single"/>
        </w:rPr>
        <w:t>投标时，所投产品属第一类医疗器械的应具有医疗器械生产备案凭证，属第二类、</w:t>
      </w:r>
    </w:p>
    <w:p w14:paraId="444F159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u w:val="single"/>
        </w:rPr>
        <w:t>第三类医疗器械的应具有医疗器械生产许可证。</w:t>
      </w:r>
    </w:p>
    <w:p w14:paraId="7DE7DE3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p>
    <w:p w14:paraId="78DF0983">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_GB2312" w:hAnsi="仿宋_GB2312" w:eastAsia="仿宋_GB2312" w:cs="仿宋_GB2312"/>
          <w:b/>
          <w:bCs/>
          <w:sz w:val="24"/>
          <w:szCs w:val="24"/>
          <w:highlight w:val="none"/>
        </w:rPr>
      </w:pPr>
      <w:bookmarkStart w:id="3" w:name="_Toc29084"/>
      <w:r>
        <w:rPr>
          <w:rFonts w:hint="eastAsia" w:ascii="仿宋_GB2312" w:hAnsi="仿宋_GB2312" w:eastAsia="仿宋_GB2312" w:cs="仿宋_GB2312"/>
          <w:b/>
          <w:bCs/>
          <w:sz w:val="24"/>
          <w:szCs w:val="24"/>
          <w:highlight w:val="none"/>
        </w:rPr>
        <w:t>三、获取招标文件</w:t>
      </w:r>
      <w:bookmarkEnd w:id="3"/>
    </w:p>
    <w:p w14:paraId="1D82BDC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时间：202</w:t>
      </w: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sz w:val="24"/>
          <w:szCs w:val="24"/>
          <w:highlight w:val="none"/>
        </w:rPr>
        <w:t>年0</w:t>
      </w:r>
      <w:r>
        <w:rPr>
          <w:rFonts w:hint="eastAsia" w:ascii="仿宋_GB2312" w:hAnsi="仿宋_GB2312" w:eastAsia="仿宋_GB2312" w:cs="仿宋_GB2312"/>
          <w:sz w:val="24"/>
          <w:szCs w:val="24"/>
          <w:highlight w:val="none"/>
          <w:lang w:val="en-US" w:eastAsia="zh-CN"/>
        </w:rPr>
        <w:t>6</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lang w:val="en-US" w:eastAsia="zh-CN"/>
        </w:rPr>
        <w:t>19</w:t>
      </w:r>
      <w:r>
        <w:rPr>
          <w:rFonts w:hint="eastAsia" w:ascii="仿宋_GB2312" w:hAnsi="仿宋_GB2312" w:eastAsia="仿宋_GB2312" w:cs="仿宋_GB2312"/>
          <w:sz w:val="24"/>
          <w:szCs w:val="24"/>
          <w:highlight w:val="none"/>
        </w:rPr>
        <w:t>日至202</w:t>
      </w: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sz w:val="24"/>
          <w:szCs w:val="24"/>
          <w:highlight w:val="none"/>
        </w:rPr>
        <w:t>年0</w:t>
      </w:r>
      <w:r>
        <w:rPr>
          <w:rFonts w:hint="eastAsia" w:ascii="仿宋_GB2312" w:hAnsi="仿宋_GB2312" w:eastAsia="仿宋_GB2312" w:cs="仿宋_GB2312"/>
          <w:sz w:val="24"/>
          <w:szCs w:val="24"/>
          <w:highlight w:val="none"/>
          <w:lang w:val="en-US" w:eastAsia="zh-CN"/>
        </w:rPr>
        <w:t>6</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lang w:val="en-US" w:eastAsia="zh-CN"/>
        </w:rPr>
        <w:t>26</w:t>
      </w:r>
      <w:r>
        <w:rPr>
          <w:rFonts w:hint="eastAsia" w:ascii="仿宋_GB2312" w:hAnsi="仿宋_GB2312" w:eastAsia="仿宋_GB2312" w:cs="仿宋_GB2312"/>
          <w:sz w:val="24"/>
          <w:szCs w:val="24"/>
          <w:highlight w:val="none"/>
        </w:rPr>
        <w:t>日，每天上午0</w:t>
      </w:r>
      <w:r>
        <w:rPr>
          <w:rFonts w:hint="eastAsia" w:ascii="仿宋_GB2312" w:hAnsi="仿宋_GB2312" w:eastAsia="仿宋_GB2312" w:cs="仿宋_GB2312"/>
          <w:sz w:val="24"/>
          <w:szCs w:val="24"/>
          <w:highlight w:val="none"/>
          <w:lang w:val="en-US" w:eastAsia="zh-CN"/>
        </w:rPr>
        <w:t>0</w:t>
      </w:r>
      <w:r>
        <w:rPr>
          <w:rFonts w:hint="eastAsia" w:ascii="仿宋_GB2312" w:hAnsi="仿宋_GB2312" w:eastAsia="仿宋_GB2312" w:cs="仿宋_GB2312"/>
          <w:sz w:val="24"/>
          <w:szCs w:val="24"/>
          <w:highlight w:val="none"/>
        </w:rPr>
        <w:t>:00至1</w:t>
      </w:r>
      <w:r>
        <w:rPr>
          <w:rFonts w:hint="eastAsia" w:ascii="仿宋_GB2312" w:hAnsi="仿宋_GB2312" w:eastAsia="仿宋_GB2312" w:cs="仿宋_GB2312"/>
          <w:sz w:val="24"/>
          <w:szCs w:val="24"/>
          <w:highlight w:val="none"/>
          <w:lang w:val="en-US" w:eastAsia="zh-CN"/>
        </w:rPr>
        <w:t>2</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00</w:t>
      </w:r>
      <w:r>
        <w:rPr>
          <w:rFonts w:hint="eastAsia" w:ascii="仿宋_GB2312" w:hAnsi="仿宋_GB2312" w:eastAsia="仿宋_GB2312" w:cs="仿宋_GB2312"/>
          <w:sz w:val="24"/>
          <w:szCs w:val="24"/>
          <w:highlight w:val="none"/>
        </w:rPr>
        <w:t>，下午12:00至</w:t>
      </w:r>
      <w:r>
        <w:rPr>
          <w:rFonts w:hint="eastAsia" w:ascii="仿宋_GB2312" w:hAnsi="仿宋_GB2312" w:eastAsia="仿宋_GB2312" w:cs="仿宋_GB2312"/>
          <w:sz w:val="24"/>
          <w:szCs w:val="24"/>
          <w:highlight w:val="none"/>
          <w:lang w:val="en-US" w:eastAsia="zh-CN"/>
        </w:rPr>
        <w:t>23</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59</w:t>
      </w:r>
      <w:r>
        <w:rPr>
          <w:rFonts w:hint="eastAsia" w:ascii="仿宋_GB2312" w:hAnsi="仿宋_GB2312" w:eastAsia="仿宋_GB2312" w:cs="仿宋_GB2312"/>
          <w:sz w:val="24"/>
          <w:szCs w:val="24"/>
          <w:highlight w:val="none"/>
        </w:rPr>
        <w:t>（北京时间，法定节假日除外）</w:t>
      </w:r>
    </w:p>
    <w:p w14:paraId="7E5B54B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地点：政采云平台（https://www.zcygov.cn/）</w:t>
      </w:r>
    </w:p>
    <w:p w14:paraId="55F02FD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方式：供应商登录政采云平台https://www.zcygov.cn/在线申请获取采购文件（进入“项目采购”应用，在获取采购文件菜单中选择项目，申请获取采购文件）本次招标不提供纸质版招标文件。</w:t>
      </w:r>
    </w:p>
    <w:p w14:paraId="6A19738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售价（元）：0元</w:t>
      </w:r>
    </w:p>
    <w:p w14:paraId="66C56073">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_GB2312" w:hAnsi="仿宋_GB2312" w:eastAsia="仿宋_GB2312" w:cs="仿宋_GB2312"/>
          <w:b/>
          <w:bCs/>
          <w:sz w:val="24"/>
          <w:szCs w:val="24"/>
          <w:highlight w:val="none"/>
        </w:rPr>
      </w:pPr>
      <w:bookmarkStart w:id="4" w:name="_Toc24224"/>
      <w:r>
        <w:rPr>
          <w:rFonts w:hint="eastAsia" w:ascii="仿宋_GB2312" w:hAnsi="仿宋_GB2312" w:eastAsia="仿宋_GB2312" w:cs="仿宋_GB2312"/>
          <w:b/>
          <w:bCs/>
          <w:sz w:val="24"/>
          <w:szCs w:val="24"/>
          <w:highlight w:val="none"/>
        </w:rPr>
        <w:t>四、提交投标文件截止时间、开标时间和地点</w:t>
      </w:r>
      <w:bookmarkEnd w:id="4"/>
    </w:p>
    <w:p w14:paraId="5C9C66A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提交投标文件截止时间：202</w:t>
      </w: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sz w:val="24"/>
          <w:szCs w:val="24"/>
          <w:highlight w:val="none"/>
        </w:rPr>
        <w:t>年0</w:t>
      </w:r>
      <w:r>
        <w:rPr>
          <w:rFonts w:hint="eastAsia" w:ascii="仿宋_GB2312" w:hAnsi="仿宋_GB2312" w:eastAsia="仿宋_GB2312" w:cs="仿宋_GB2312"/>
          <w:sz w:val="24"/>
          <w:szCs w:val="24"/>
          <w:highlight w:val="none"/>
          <w:lang w:val="en-US" w:eastAsia="zh-CN"/>
        </w:rPr>
        <w:t>7</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lang w:val="en-US" w:eastAsia="zh-CN"/>
        </w:rPr>
        <w:t>11</w:t>
      </w:r>
      <w:r>
        <w:rPr>
          <w:rFonts w:hint="eastAsia" w:ascii="仿宋_GB2312" w:hAnsi="仿宋_GB2312" w:eastAsia="仿宋_GB2312" w:cs="仿宋_GB2312"/>
          <w:sz w:val="24"/>
          <w:szCs w:val="24"/>
          <w:highlight w:val="none"/>
        </w:rPr>
        <w:t>日 11:00（北京时间）</w:t>
      </w:r>
    </w:p>
    <w:p w14:paraId="45665C6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投标地点：政采云平台（https://www.zcygov.cn/），本项目采用不见面开标，加密的电子投标文件在投标截止时间前在政采云平台上传。</w:t>
      </w:r>
    </w:p>
    <w:p w14:paraId="6CC90B3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开标时间：202</w:t>
      </w: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sz w:val="24"/>
          <w:szCs w:val="24"/>
          <w:highlight w:val="none"/>
        </w:rPr>
        <w:t>年0</w:t>
      </w:r>
      <w:r>
        <w:rPr>
          <w:rFonts w:hint="eastAsia" w:ascii="仿宋_GB2312" w:hAnsi="仿宋_GB2312" w:eastAsia="仿宋_GB2312" w:cs="仿宋_GB2312"/>
          <w:sz w:val="24"/>
          <w:szCs w:val="24"/>
          <w:highlight w:val="none"/>
          <w:lang w:val="en-US" w:eastAsia="zh-CN"/>
        </w:rPr>
        <w:t>7</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lang w:val="en-US" w:eastAsia="zh-CN"/>
        </w:rPr>
        <w:t>11</w:t>
      </w:r>
      <w:r>
        <w:rPr>
          <w:rFonts w:hint="eastAsia" w:ascii="仿宋_GB2312" w:hAnsi="仿宋_GB2312" w:eastAsia="仿宋_GB2312" w:cs="仿宋_GB2312"/>
          <w:sz w:val="24"/>
          <w:szCs w:val="24"/>
          <w:highlight w:val="none"/>
        </w:rPr>
        <w:t>日 11:00（北京时间）</w:t>
      </w:r>
    </w:p>
    <w:p w14:paraId="43D8762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开标地点：政采云平台（https://www.zcygov.cn/）不见面开标系统</w:t>
      </w:r>
    </w:p>
    <w:p w14:paraId="2E56C9B9">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_GB2312" w:hAnsi="仿宋_GB2312" w:eastAsia="仿宋_GB2312" w:cs="仿宋_GB2312"/>
          <w:b/>
          <w:bCs/>
          <w:sz w:val="24"/>
          <w:szCs w:val="24"/>
          <w:highlight w:val="none"/>
        </w:rPr>
      </w:pPr>
      <w:bookmarkStart w:id="5" w:name="_Toc17115"/>
      <w:r>
        <w:rPr>
          <w:rFonts w:hint="eastAsia" w:ascii="仿宋_GB2312" w:hAnsi="仿宋_GB2312" w:eastAsia="仿宋_GB2312" w:cs="仿宋_GB2312"/>
          <w:b/>
          <w:bCs/>
          <w:sz w:val="24"/>
          <w:szCs w:val="24"/>
          <w:highlight w:val="none"/>
        </w:rPr>
        <w:t>五、公告期限</w:t>
      </w:r>
      <w:bookmarkEnd w:id="5"/>
    </w:p>
    <w:p w14:paraId="7990CD7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自本公告发布之日起5个工作日。</w:t>
      </w:r>
    </w:p>
    <w:p w14:paraId="7A1F9BF6">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_GB2312" w:hAnsi="仿宋_GB2312" w:eastAsia="仿宋_GB2312" w:cs="仿宋_GB2312"/>
          <w:b/>
          <w:bCs/>
          <w:sz w:val="24"/>
          <w:szCs w:val="24"/>
          <w:highlight w:val="none"/>
        </w:rPr>
      </w:pPr>
      <w:bookmarkStart w:id="6" w:name="_Toc22084"/>
      <w:r>
        <w:rPr>
          <w:rFonts w:hint="eastAsia" w:ascii="仿宋_GB2312" w:hAnsi="仿宋_GB2312" w:eastAsia="仿宋_GB2312" w:cs="仿宋_GB2312"/>
          <w:b/>
          <w:bCs/>
          <w:sz w:val="24"/>
          <w:szCs w:val="24"/>
          <w:highlight w:val="none"/>
        </w:rPr>
        <w:t>六、其他补充事宜</w:t>
      </w:r>
      <w:bookmarkEnd w:id="6"/>
    </w:p>
    <w:p w14:paraId="23274B1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1、关于本项目所有公告、公示在新疆政府采购网发布。</w:t>
      </w:r>
    </w:p>
    <w:p w14:paraId="1DECD39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2、请投标单位随时关注本项目的澄清、答疑、变更事项。</w:t>
      </w:r>
    </w:p>
    <w:p w14:paraId="7B65356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3、本项目实行电子招投标，供应商须登录政采云平台申请获取招标文件，并通过政采云电子投标客户端制作响应文件，同时自行承担与投标有关的一切费用。</w:t>
      </w:r>
    </w:p>
    <w:p w14:paraId="7976112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4、各供应商应在开标前确保成为</w:t>
      </w:r>
      <w:r>
        <w:rPr>
          <w:rFonts w:hint="eastAsia" w:ascii="仿宋_GB2312" w:hAnsi="仿宋_GB2312" w:eastAsia="仿宋_GB2312" w:cs="仿宋_GB2312"/>
          <w:b/>
          <w:bCs/>
          <w:sz w:val="24"/>
          <w:szCs w:val="24"/>
          <w:highlight w:val="none"/>
        </w:rPr>
        <w:t>新疆政府采购网</w:t>
      </w:r>
      <w:r>
        <w:rPr>
          <w:rFonts w:hint="eastAsia" w:ascii="仿宋_GB2312" w:hAnsi="仿宋_GB2312" w:eastAsia="仿宋_GB2312" w:cs="仿宋_GB2312"/>
          <w:sz w:val="24"/>
          <w:szCs w:val="24"/>
          <w:highlight w:val="none"/>
        </w:rPr>
        <w:t>正式注册入库供应商，并完成CA数字证书申领。因未注册入库、未办理CA数字证书等原因造成无法投标或投标失败等后果由供应商自行承担。</w:t>
      </w:r>
    </w:p>
    <w:p w14:paraId="1ED260C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5、有意向参与电子开评标的供应商，可访问新疆数字证书认证中心官方网站（https://www.xjca.com.cn/）或下载“新疆政务通”APP自行进行申领。如需咨询，请联系新疆CA服务热线0991-2819290。</w:t>
      </w:r>
    </w:p>
    <w:p w14:paraId="1C2631A9">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_GB2312" w:hAnsi="仿宋_GB2312" w:eastAsia="仿宋_GB2312" w:cs="仿宋_GB2312"/>
          <w:b/>
          <w:bCs/>
          <w:sz w:val="24"/>
          <w:szCs w:val="24"/>
          <w:highlight w:val="none"/>
        </w:rPr>
      </w:pPr>
      <w:bookmarkStart w:id="7" w:name="_Toc21999"/>
      <w:r>
        <w:rPr>
          <w:rFonts w:hint="eastAsia" w:ascii="仿宋_GB2312" w:hAnsi="仿宋_GB2312" w:eastAsia="仿宋_GB2312" w:cs="仿宋_GB2312"/>
          <w:b/>
          <w:bCs/>
          <w:sz w:val="24"/>
          <w:szCs w:val="24"/>
          <w:highlight w:val="none"/>
        </w:rPr>
        <w:t>七、对本次采购提出询问，请按以下方式联系</w:t>
      </w:r>
      <w:bookmarkEnd w:id="7"/>
    </w:p>
    <w:p w14:paraId="30B196B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1.采购人信息</w:t>
      </w:r>
    </w:p>
    <w:p w14:paraId="0590A27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名 称：新疆维吾尔自治区儿童医院</w:t>
      </w:r>
    </w:p>
    <w:p w14:paraId="7756045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地 址：乌鲁木齐市沙依巴克区阿勒泰路393号</w:t>
      </w:r>
    </w:p>
    <w:p w14:paraId="24B8D44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联系方式：张老师 0991-3056196</w:t>
      </w:r>
    </w:p>
    <w:p w14:paraId="000595B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2.采购代理机构信息</w:t>
      </w:r>
    </w:p>
    <w:p w14:paraId="573E919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名 称：新疆世纪星工程咨询有限公司</w:t>
      </w:r>
    </w:p>
    <w:p w14:paraId="01D1FDF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地 址：乌鲁木齐经济技术开发区二期黄山街一品九点阳光德港大厦B座20楼</w:t>
      </w:r>
    </w:p>
    <w:p w14:paraId="2D09588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联系方式：0991-3678303</w:t>
      </w:r>
    </w:p>
    <w:p w14:paraId="144DDA2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3.项目联系方式</w:t>
      </w:r>
    </w:p>
    <w:p w14:paraId="21AC558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项目联系人：</w:t>
      </w:r>
      <w:r>
        <w:rPr>
          <w:rFonts w:hint="eastAsia" w:ascii="仿宋_GB2312" w:hAnsi="仿宋_GB2312" w:eastAsia="仿宋_GB2312" w:cs="仿宋_GB2312"/>
          <w:sz w:val="24"/>
          <w:szCs w:val="24"/>
          <w:highlight w:val="none"/>
          <w:lang w:val="en-US" w:eastAsia="zh-CN"/>
        </w:rPr>
        <w:t>郑倩如、李航、杜萍、范艳娥</w:t>
      </w:r>
    </w:p>
    <w:p w14:paraId="334FF4C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电 话：0991-3678303</w:t>
      </w:r>
    </w:p>
    <w:p w14:paraId="23993385">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br w:type="page"/>
      </w:r>
    </w:p>
    <w:p w14:paraId="266CFE89">
      <w:pPr>
        <w:pStyle w:val="2"/>
        <w:numPr>
          <w:ilvl w:val="0"/>
          <w:numId w:val="1"/>
        </w:numPr>
        <w:bidi w:val="0"/>
        <w:jc w:val="center"/>
        <w:rPr>
          <w:rFonts w:hint="eastAsia" w:ascii="仿宋_GB2312" w:hAnsi="仿宋_GB2312" w:eastAsia="仿宋_GB2312" w:cs="仿宋_GB2312"/>
          <w:sz w:val="32"/>
          <w:szCs w:val="32"/>
        </w:rPr>
      </w:pPr>
      <w:bookmarkStart w:id="8" w:name="_Toc31403"/>
      <w:r>
        <w:rPr>
          <w:rFonts w:hint="eastAsia" w:ascii="仿宋_GB2312" w:hAnsi="仿宋_GB2312" w:eastAsia="仿宋_GB2312" w:cs="仿宋_GB2312"/>
          <w:sz w:val="32"/>
          <w:szCs w:val="32"/>
        </w:rPr>
        <w:t>投标须知前附表</w:t>
      </w:r>
      <w:bookmarkEnd w:id="8"/>
    </w:p>
    <w:p w14:paraId="7524684D">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rPr>
        <w:t>本表是本招标项目的具体资料，是对投标人须知的具体补充和修改，如有矛盾，均以本资料表为准。标记“☑”的选项意为适用于本项目，标记“□”的选项意为不适用于本项目。</w:t>
      </w:r>
    </w:p>
    <w:p w14:paraId="6CB70F45">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_GB2312" w:hAnsi="仿宋_GB2312" w:eastAsia="仿宋_GB2312" w:cs="仿宋_GB2312"/>
          <w:sz w:val="24"/>
          <w:szCs w:val="24"/>
          <w:highlight w:val="none"/>
        </w:rPr>
      </w:pPr>
    </w:p>
    <w:tbl>
      <w:tblPr>
        <w:tblStyle w:val="18"/>
        <w:tblW w:w="0" w:type="auto"/>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870"/>
        <w:gridCol w:w="6652"/>
      </w:tblGrid>
      <w:tr w14:paraId="7C0C243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25F7995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24"/>
                <w:szCs w:val="24"/>
                <w:highlight w:val="none"/>
                <w:vertAlign w:val="baseline"/>
              </w:rPr>
            </w:pPr>
            <w:r>
              <w:rPr>
                <w:rFonts w:hint="eastAsia" w:ascii="仿宋_GB2312" w:hAnsi="仿宋_GB2312" w:eastAsia="仿宋_GB2312" w:cs="仿宋_GB2312"/>
                <w:b/>
                <w:bCs/>
                <w:sz w:val="24"/>
                <w:szCs w:val="24"/>
                <w:highlight w:val="none"/>
                <w:vertAlign w:val="baseline"/>
                <w:lang w:val="en-US" w:eastAsia="zh-CN"/>
              </w:rPr>
              <w:t>条款号</w:t>
            </w:r>
          </w:p>
        </w:tc>
        <w:tc>
          <w:tcPr>
            <w:tcW w:w="6652" w:type="dxa"/>
            <w:tcBorders>
              <w:tl2br w:val="nil"/>
              <w:tr2bl w:val="nil"/>
            </w:tcBorders>
          </w:tcPr>
          <w:p w14:paraId="5F06727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24"/>
                <w:szCs w:val="24"/>
                <w:highlight w:val="none"/>
                <w:vertAlign w:val="baseline"/>
              </w:rPr>
            </w:pPr>
            <w:r>
              <w:rPr>
                <w:rFonts w:hint="eastAsia" w:ascii="仿宋_GB2312" w:hAnsi="仿宋_GB2312" w:eastAsia="仿宋_GB2312" w:cs="仿宋_GB2312"/>
                <w:b/>
                <w:bCs/>
                <w:sz w:val="24"/>
                <w:szCs w:val="24"/>
                <w:highlight w:val="none"/>
                <w:vertAlign w:val="baseline"/>
                <w:lang w:val="en-US" w:eastAsia="zh-CN"/>
              </w:rPr>
              <w:t>内容</w:t>
            </w:r>
          </w:p>
        </w:tc>
      </w:tr>
      <w:tr w14:paraId="1306291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63D2ADB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1.1</w:t>
            </w:r>
          </w:p>
        </w:tc>
        <w:tc>
          <w:tcPr>
            <w:tcW w:w="6652" w:type="dxa"/>
            <w:tcBorders>
              <w:tl2br w:val="nil"/>
              <w:tr2bl w:val="nil"/>
            </w:tcBorders>
            <w:vAlign w:val="center"/>
          </w:tcPr>
          <w:p w14:paraId="1D60F80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采购人：新疆维吾尔自治区儿童医院</w:t>
            </w:r>
          </w:p>
          <w:p w14:paraId="521DDA8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 xml:space="preserve">地  址：乌鲁木齐市沙依巴克区阿勒泰路393号 </w:t>
            </w:r>
          </w:p>
          <w:p w14:paraId="52CF663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lang w:val="en-US" w:eastAsia="zh-CN"/>
              </w:rPr>
              <w:t>电  话：张老师 0991-3056196</w:t>
            </w:r>
          </w:p>
        </w:tc>
      </w:tr>
      <w:tr w14:paraId="17B2BAA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569CE81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1.2</w:t>
            </w:r>
          </w:p>
        </w:tc>
        <w:tc>
          <w:tcPr>
            <w:tcW w:w="6652" w:type="dxa"/>
            <w:tcBorders>
              <w:tl2br w:val="nil"/>
              <w:tr2bl w:val="nil"/>
            </w:tcBorders>
            <w:vAlign w:val="center"/>
          </w:tcPr>
          <w:p w14:paraId="6C74EAA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rPr>
              <w:t xml:space="preserve">采购代理机构：新疆世纪星工程咨询有限公司 </w:t>
            </w:r>
          </w:p>
          <w:p w14:paraId="5C84CF3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rPr>
              <w:t xml:space="preserve">地址：乌鲁木齐经济技术开发区二期黄山街一品九点阳光德港大厦B座20楼 </w:t>
            </w:r>
          </w:p>
          <w:p w14:paraId="159E725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rPr>
              <w:t>业务联系人：</w:t>
            </w:r>
            <w:r>
              <w:rPr>
                <w:rFonts w:hint="eastAsia" w:ascii="仿宋_GB2312" w:hAnsi="仿宋_GB2312" w:eastAsia="仿宋_GB2312" w:cs="仿宋_GB2312"/>
                <w:sz w:val="24"/>
                <w:szCs w:val="24"/>
                <w:highlight w:val="none"/>
                <w:vertAlign w:val="baseline"/>
                <w:lang w:val="en-US" w:eastAsia="zh-CN"/>
              </w:rPr>
              <w:t>郑倩如、李航</w:t>
            </w:r>
            <w:r>
              <w:rPr>
                <w:rFonts w:hint="eastAsia" w:ascii="仿宋_GB2312" w:hAnsi="仿宋_GB2312" w:eastAsia="仿宋_GB2312" w:cs="仿宋_GB2312"/>
                <w:sz w:val="24"/>
                <w:szCs w:val="24"/>
                <w:highlight w:val="none"/>
                <w:vertAlign w:val="baseline"/>
              </w:rPr>
              <w:t xml:space="preserve">  </w:t>
            </w:r>
            <w:r>
              <w:rPr>
                <w:rFonts w:hint="eastAsia" w:ascii="仿宋_GB2312" w:hAnsi="仿宋_GB2312" w:eastAsia="仿宋_GB2312" w:cs="仿宋_GB2312"/>
                <w:sz w:val="24"/>
                <w:szCs w:val="24"/>
                <w:highlight w:val="none"/>
                <w:vertAlign w:val="baseline"/>
                <w:lang w:val="en-US" w:eastAsia="zh-CN"/>
              </w:rPr>
              <w:t xml:space="preserve">  </w:t>
            </w:r>
            <w:r>
              <w:rPr>
                <w:rFonts w:hint="eastAsia" w:ascii="仿宋_GB2312" w:hAnsi="仿宋_GB2312" w:eastAsia="仿宋_GB2312" w:cs="仿宋_GB2312"/>
                <w:sz w:val="24"/>
                <w:szCs w:val="24"/>
                <w:highlight w:val="none"/>
                <w:vertAlign w:val="baseline"/>
              </w:rPr>
              <w:t xml:space="preserve">电话：0991-3678303 </w:t>
            </w:r>
          </w:p>
          <w:p w14:paraId="1730289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rPr>
              <w:t>电子邮箱：</w:t>
            </w:r>
            <w:r>
              <w:rPr>
                <w:rFonts w:hint="eastAsia" w:ascii="仿宋_GB2312" w:hAnsi="仿宋_GB2312" w:eastAsia="仿宋_GB2312" w:cs="仿宋_GB2312"/>
                <w:sz w:val="24"/>
                <w:szCs w:val="24"/>
                <w:highlight w:val="none"/>
                <w:vertAlign w:val="baseline"/>
                <w:lang w:val="en-US" w:eastAsia="zh-CN"/>
              </w:rPr>
              <w:t>522439995@qq.com</w:t>
            </w:r>
          </w:p>
        </w:tc>
      </w:tr>
      <w:tr w14:paraId="5089362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786FB51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1.3.3</w:t>
            </w:r>
          </w:p>
        </w:tc>
        <w:tc>
          <w:tcPr>
            <w:tcW w:w="6652" w:type="dxa"/>
            <w:tcBorders>
              <w:tl2br w:val="nil"/>
              <w:tr2bl w:val="nil"/>
            </w:tcBorders>
            <w:vAlign w:val="center"/>
          </w:tcPr>
          <w:p w14:paraId="184705F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eastAsiaTheme="minorEastAsia"/>
                <w:highlight w:val="none"/>
                <w:lang w:val="en-US" w:eastAsia="zh-CN"/>
              </w:rPr>
            </w:pPr>
            <w:r>
              <w:rPr>
                <w:rFonts w:hint="eastAsia" w:ascii="仿宋_GB2312" w:hAnsi="仿宋_GB2312" w:eastAsia="仿宋_GB2312" w:cs="仿宋_GB2312"/>
                <w:sz w:val="24"/>
                <w:szCs w:val="24"/>
                <w:highlight w:val="none"/>
                <w:vertAlign w:val="baseline"/>
              </w:rPr>
              <w:t>合格投标人的其他资格要求：</w:t>
            </w:r>
            <w:r>
              <w:rPr>
                <w:rFonts w:hint="eastAsia" w:ascii="仿宋_GB2312" w:hAnsi="仿宋_GB2312" w:eastAsia="仿宋_GB2312" w:cs="仿宋_GB2312"/>
                <w:kern w:val="2"/>
                <w:sz w:val="24"/>
                <w:szCs w:val="24"/>
                <w:highlight w:val="none"/>
                <w:vertAlign w:val="baseline"/>
                <w:lang w:val="en-US" w:eastAsia="zh-CN" w:bidi="ar-SA"/>
              </w:rPr>
              <w:t>所投货物若属于医疗器械管理范畴，按照国家医疗器械监督管理条例，投标人须具有医疗器械的生产或经营资格。投标人如为代理商，所投产品属第二类医疗器械的应具有医疗器械经营备案凭证，属第三类医疗器械的应具有医疗器械经营许可证；投标人如为制造商，使用自身生产的产品投标时，所投产品属第一类医疗器械的应具有医疗器械生产备案凭证，属第二类、第三类医疗器械的应具有医疗器械生产许可证。</w:t>
            </w:r>
          </w:p>
        </w:tc>
      </w:tr>
      <w:tr w14:paraId="3282FFA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55949B2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1.4</w:t>
            </w:r>
          </w:p>
        </w:tc>
        <w:tc>
          <w:tcPr>
            <w:tcW w:w="6652" w:type="dxa"/>
            <w:tcBorders>
              <w:tl2br w:val="nil"/>
              <w:tr2bl w:val="nil"/>
            </w:tcBorders>
            <w:vAlign w:val="center"/>
          </w:tcPr>
          <w:p w14:paraId="2D462C1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lang w:val="en-US" w:eastAsia="zh-CN"/>
              </w:rPr>
              <w:t>是否允许采购进口产品：否</w:t>
            </w:r>
          </w:p>
        </w:tc>
      </w:tr>
      <w:tr w14:paraId="49192CA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7D89166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1.5.1</w:t>
            </w:r>
          </w:p>
        </w:tc>
        <w:tc>
          <w:tcPr>
            <w:tcW w:w="6652" w:type="dxa"/>
            <w:tcBorders>
              <w:tl2br w:val="nil"/>
              <w:tr2bl w:val="nil"/>
            </w:tcBorders>
            <w:vAlign w:val="center"/>
          </w:tcPr>
          <w:p w14:paraId="424B72D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eastAsia="仿宋_GB2312"/>
                <w:highlight w:val="none"/>
                <w:lang w:val="en-US" w:eastAsia="zh-CN"/>
              </w:rPr>
            </w:pPr>
            <w:r>
              <w:rPr>
                <w:rFonts w:hint="eastAsia" w:ascii="仿宋_GB2312" w:hAnsi="仿宋_GB2312" w:eastAsia="仿宋_GB2312" w:cs="仿宋_GB2312"/>
                <w:sz w:val="24"/>
                <w:szCs w:val="24"/>
                <w:highlight w:val="none"/>
                <w:vertAlign w:val="baseline"/>
              </w:rPr>
              <w:t>本项目采购标的对应的中小企业划分标准所属行业：</w:t>
            </w:r>
            <w:r>
              <w:rPr>
                <w:rFonts w:hint="eastAsia" w:ascii="仿宋_GB2312" w:hAnsi="仿宋_GB2312" w:eastAsia="仿宋_GB2312" w:cs="仿宋_GB2312"/>
                <w:sz w:val="24"/>
                <w:szCs w:val="24"/>
                <w:highlight w:val="none"/>
                <w:vertAlign w:val="baseline"/>
                <w:lang w:val="en-US" w:eastAsia="zh-CN"/>
              </w:rPr>
              <w:t>详见本项目招标文件“第五章采购需求”</w:t>
            </w:r>
          </w:p>
        </w:tc>
      </w:tr>
      <w:tr w14:paraId="556436F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1ABE3EA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1.5.2</w:t>
            </w:r>
          </w:p>
        </w:tc>
        <w:tc>
          <w:tcPr>
            <w:tcW w:w="6652" w:type="dxa"/>
            <w:tcBorders>
              <w:tl2br w:val="nil"/>
              <w:tr2bl w:val="nil"/>
            </w:tcBorders>
            <w:vAlign w:val="center"/>
          </w:tcPr>
          <w:p w14:paraId="1E7D2AB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□本项目不专门面向中小企业预留采购份额。</w:t>
            </w:r>
          </w:p>
          <w:p w14:paraId="203033E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☑本项目专门面向</w:t>
            </w:r>
            <w:r>
              <w:rPr>
                <w:rFonts w:hint="eastAsia" w:ascii="仿宋_GB2312" w:hAnsi="仿宋_GB2312" w:eastAsia="仿宋_GB2312" w:cs="仿宋_GB2312"/>
                <w:b/>
                <w:bCs/>
                <w:sz w:val="24"/>
                <w:szCs w:val="24"/>
                <w:highlight w:val="none"/>
                <w:vertAlign w:val="baseline"/>
                <w:lang w:val="en-US" w:eastAsia="zh-CN"/>
              </w:rPr>
              <w:t>☑中小□小微企业</w:t>
            </w:r>
            <w:r>
              <w:rPr>
                <w:rFonts w:hint="eastAsia" w:ascii="仿宋_GB2312" w:hAnsi="仿宋_GB2312" w:eastAsia="仿宋_GB2312" w:cs="仿宋_GB2312"/>
                <w:sz w:val="24"/>
                <w:szCs w:val="24"/>
                <w:highlight w:val="none"/>
                <w:vertAlign w:val="baseline"/>
                <w:lang w:val="en-US" w:eastAsia="zh-CN"/>
              </w:rPr>
              <w:t xml:space="preserve"> 采购。即: 提供的货物全部由符合政策要求的☑</w:t>
            </w:r>
            <w:r>
              <w:rPr>
                <w:rFonts w:hint="eastAsia" w:ascii="仿宋_GB2312" w:hAnsi="仿宋_GB2312" w:eastAsia="仿宋_GB2312" w:cs="仿宋_GB2312"/>
                <w:b/>
                <w:bCs/>
                <w:sz w:val="24"/>
                <w:szCs w:val="24"/>
                <w:highlight w:val="none"/>
                <w:vertAlign w:val="baseline"/>
                <w:lang w:val="en-US" w:eastAsia="zh-CN"/>
              </w:rPr>
              <w:t>中小□小微</w:t>
            </w:r>
            <w:r>
              <w:rPr>
                <w:rFonts w:hint="eastAsia" w:ascii="仿宋_GB2312" w:hAnsi="仿宋_GB2312" w:eastAsia="仿宋_GB2312" w:cs="仿宋_GB2312"/>
                <w:sz w:val="24"/>
                <w:szCs w:val="24"/>
                <w:highlight w:val="none"/>
                <w:vertAlign w:val="baseline"/>
                <w:lang w:val="en-US" w:eastAsia="zh-CN"/>
              </w:rPr>
              <w:t>企业制造、服务全部由符合政策要求的</w:t>
            </w:r>
            <w:r>
              <w:rPr>
                <w:rFonts w:hint="eastAsia" w:ascii="仿宋_GB2312" w:hAnsi="仿宋_GB2312" w:eastAsia="仿宋_GB2312" w:cs="仿宋_GB2312"/>
                <w:b/>
                <w:bCs/>
                <w:sz w:val="24"/>
                <w:szCs w:val="24"/>
                <w:highlight w:val="none"/>
                <w:vertAlign w:val="baseline"/>
                <w:lang w:val="en-US" w:eastAsia="zh-CN"/>
              </w:rPr>
              <w:t>☑中小□小微</w:t>
            </w:r>
            <w:r>
              <w:rPr>
                <w:rFonts w:hint="eastAsia" w:ascii="仿宋_GB2312" w:hAnsi="仿宋_GB2312" w:eastAsia="仿宋_GB2312" w:cs="仿宋_GB2312"/>
                <w:sz w:val="24"/>
                <w:szCs w:val="24"/>
                <w:highlight w:val="none"/>
                <w:vertAlign w:val="baseline"/>
                <w:lang w:val="en-US" w:eastAsia="zh-CN"/>
              </w:rPr>
              <w:t>企业承接。</w:t>
            </w:r>
          </w:p>
          <w:p w14:paraId="4A2CD82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□本项目预留部分采购项目预算专门面向中小企业采购。对于预留份额，提供的货物由符合政策要求的中小企业制造、服务(或工程) 由符合政策要求的中小企业承接。预留份额通过以下措施进行:</w:t>
            </w:r>
            <w:r>
              <w:rPr>
                <w:rFonts w:hint="eastAsia" w:ascii="仿宋_GB2312" w:hAnsi="仿宋_GB2312" w:eastAsia="仿宋_GB2312" w:cs="仿宋_GB2312"/>
                <w:b/>
                <w:bCs/>
                <w:sz w:val="24"/>
                <w:szCs w:val="24"/>
                <w:highlight w:val="none"/>
                <w:u w:val="single"/>
                <w:vertAlign w:val="baseline"/>
                <w:lang w:val="en-US" w:eastAsia="zh-CN"/>
              </w:rPr>
              <w:t>/。</w:t>
            </w:r>
          </w:p>
        </w:tc>
      </w:tr>
      <w:tr w14:paraId="6B6A4D6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051925D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1.11</w:t>
            </w:r>
          </w:p>
        </w:tc>
        <w:tc>
          <w:tcPr>
            <w:tcW w:w="6652" w:type="dxa"/>
            <w:tcBorders>
              <w:tl2br w:val="nil"/>
              <w:tr2bl w:val="nil"/>
            </w:tcBorders>
            <w:vAlign w:val="center"/>
          </w:tcPr>
          <w:p w14:paraId="5676583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是否允许联合体投标：否</w:t>
            </w:r>
          </w:p>
          <w:p w14:paraId="2E83D23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联合体的其他资格要求：无</w:t>
            </w:r>
          </w:p>
        </w:tc>
      </w:tr>
      <w:tr w14:paraId="5F2BE12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28F5D43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2.2</w:t>
            </w:r>
          </w:p>
        </w:tc>
        <w:tc>
          <w:tcPr>
            <w:tcW w:w="6652" w:type="dxa"/>
            <w:tcBorders>
              <w:tl2br w:val="nil"/>
              <w:tr2bl w:val="nil"/>
            </w:tcBorders>
            <w:vAlign w:val="center"/>
          </w:tcPr>
          <w:p w14:paraId="10BEBC1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项目预算金额：151.3万元</w:t>
            </w:r>
          </w:p>
          <w:p w14:paraId="56A5A88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lang w:val="en-US" w:eastAsia="zh-CN"/>
              </w:rPr>
              <w:t>最高限价：151.3万元</w:t>
            </w:r>
          </w:p>
        </w:tc>
      </w:tr>
      <w:tr w14:paraId="7ED5AE1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6195F04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5.4</w:t>
            </w:r>
          </w:p>
        </w:tc>
        <w:tc>
          <w:tcPr>
            <w:tcW w:w="6652" w:type="dxa"/>
            <w:tcBorders>
              <w:tl2br w:val="nil"/>
              <w:tr2bl w:val="nil"/>
            </w:tcBorders>
            <w:vAlign w:val="center"/>
          </w:tcPr>
          <w:p w14:paraId="2AEB5CF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 xml:space="preserve">是否组织现场考察或者召开答疑会：否 </w:t>
            </w:r>
          </w:p>
          <w:p w14:paraId="22A4491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组织现场考察或者召开答疑会相关要求：/</w:t>
            </w:r>
          </w:p>
        </w:tc>
      </w:tr>
      <w:tr w14:paraId="68E94A4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7AD02EB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5.7 </w:t>
            </w:r>
          </w:p>
        </w:tc>
        <w:tc>
          <w:tcPr>
            <w:tcW w:w="6652" w:type="dxa"/>
            <w:tcBorders>
              <w:tl2br w:val="nil"/>
              <w:tr2bl w:val="nil"/>
            </w:tcBorders>
            <w:vAlign w:val="center"/>
          </w:tcPr>
          <w:p w14:paraId="104C563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 xml:space="preserve">是否需要提供样品：否 </w:t>
            </w:r>
          </w:p>
          <w:p w14:paraId="5F0ACC3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rPr>
              <w:t>提供样品要求包括：</w:t>
            </w:r>
            <w:r>
              <w:rPr>
                <w:rFonts w:hint="eastAsia" w:ascii="仿宋_GB2312" w:hAnsi="仿宋_GB2312" w:eastAsia="仿宋_GB2312" w:cs="仿宋_GB2312"/>
                <w:sz w:val="24"/>
                <w:szCs w:val="24"/>
                <w:vertAlign w:val="baseline"/>
                <w:lang w:val="en-US" w:eastAsia="zh-CN"/>
              </w:rPr>
              <w:t>/</w:t>
            </w:r>
          </w:p>
        </w:tc>
      </w:tr>
      <w:tr w14:paraId="4538A61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0285BF2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7.1 </w:t>
            </w:r>
          </w:p>
        </w:tc>
        <w:tc>
          <w:tcPr>
            <w:tcW w:w="6652" w:type="dxa"/>
            <w:tcBorders>
              <w:tl2br w:val="nil"/>
              <w:tr2bl w:val="nil"/>
            </w:tcBorders>
            <w:vAlign w:val="center"/>
          </w:tcPr>
          <w:p w14:paraId="3D9636B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如投标人对多个包进行投标，可以中标</w:t>
            </w:r>
            <w:r>
              <w:rPr>
                <w:rFonts w:hint="eastAsia" w:ascii="仿宋_GB2312" w:hAnsi="仿宋_GB2312" w:eastAsia="仿宋_GB2312" w:cs="仿宋_GB2312"/>
                <w:b/>
                <w:bCs/>
                <w:sz w:val="24"/>
                <w:szCs w:val="24"/>
                <w:u w:val="single"/>
                <w:vertAlign w:val="baseline"/>
              </w:rPr>
              <w:t>多</w:t>
            </w:r>
            <w:r>
              <w:rPr>
                <w:rFonts w:hint="eastAsia" w:ascii="仿宋_GB2312" w:hAnsi="仿宋_GB2312" w:eastAsia="仿宋_GB2312" w:cs="仿宋_GB2312"/>
                <w:sz w:val="24"/>
                <w:szCs w:val="24"/>
                <w:vertAlign w:val="baseline"/>
              </w:rPr>
              <w:t>包（本项目不适用）</w:t>
            </w:r>
          </w:p>
        </w:tc>
      </w:tr>
      <w:tr w14:paraId="2F43F90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1C20FB8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6652" w:type="dxa"/>
            <w:tcBorders>
              <w:tl2br w:val="nil"/>
              <w:tr2bl w:val="nil"/>
            </w:tcBorders>
            <w:vAlign w:val="center"/>
          </w:tcPr>
          <w:p w14:paraId="67925E9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rPr>
              <w:t>保证金形式：支票、汇票、本票、网上银行支付或者金融机构、担保机构出具的保函等</w:t>
            </w:r>
            <w:r>
              <w:rPr>
                <w:rFonts w:hint="eastAsia" w:ascii="仿宋_GB2312" w:hAnsi="仿宋_GB2312" w:eastAsia="仿宋_GB2312" w:cs="仿宋_GB2312"/>
                <w:sz w:val="24"/>
                <w:szCs w:val="24"/>
                <w:highlight w:val="none"/>
                <w:vertAlign w:val="baseline"/>
                <w:lang w:val="en-US" w:eastAsia="zh-CN"/>
              </w:rPr>
              <w:t>政府采购法律法规中要求的</w:t>
            </w:r>
            <w:r>
              <w:rPr>
                <w:rFonts w:hint="eastAsia" w:ascii="仿宋_GB2312" w:hAnsi="仿宋_GB2312" w:eastAsia="仿宋_GB2312" w:cs="仿宋_GB2312"/>
                <w:sz w:val="24"/>
                <w:szCs w:val="24"/>
                <w:highlight w:val="none"/>
                <w:vertAlign w:val="baseline"/>
              </w:rPr>
              <w:t>非现金形式</w:t>
            </w:r>
          </w:p>
          <w:p w14:paraId="783FB1F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rPr>
              <w:t>保证金数额：</w:t>
            </w:r>
            <w:r>
              <w:rPr>
                <w:rFonts w:hint="eastAsia" w:ascii="仿宋_GB2312" w:hAnsi="仿宋_GB2312" w:eastAsia="仿宋_GB2312" w:cs="仿宋_GB2312"/>
                <w:sz w:val="24"/>
                <w:szCs w:val="24"/>
                <w:highlight w:val="none"/>
                <w:vertAlign w:val="baseline"/>
                <w:lang w:val="en-US" w:eastAsia="zh-CN"/>
              </w:rPr>
              <w:t>30000</w:t>
            </w:r>
            <w:r>
              <w:rPr>
                <w:rFonts w:hint="eastAsia" w:ascii="仿宋_GB2312" w:hAnsi="仿宋_GB2312" w:eastAsia="仿宋_GB2312" w:cs="仿宋_GB2312"/>
                <w:sz w:val="24"/>
                <w:szCs w:val="24"/>
                <w:highlight w:val="none"/>
                <w:vertAlign w:val="baseline"/>
              </w:rPr>
              <w:t xml:space="preserve">元 </w:t>
            </w:r>
          </w:p>
          <w:p w14:paraId="06AF9D7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bCs/>
                <w:sz w:val="24"/>
                <w:szCs w:val="24"/>
                <w:highlight w:val="none"/>
                <w:vertAlign w:val="baseline"/>
              </w:rPr>
            </w:pPr>
            <w:r>
              <w:rPr>
                <w:rFonts w:hint="eastAsia" w:ascii="仿宋_GB2312" w:hAnsi="仿宋_GB2312" w:eastAsia="仿宋_GB2312" w:cs="仿宋_GB2312"/>
                <w:b/>
                <w:bCs/>
                <w:sz w:val="24"/>
                <w:szCs w:val="24"/>
                <w:highlight w:val="none"/>
                <w:vertAlign w:val="baseline"/>
              </w:rPr>
              <w:t>如采用网上银行方式，采购代理机构账号信息如下：</w:t>
            </w:r>
          </w:p>
          <w:p w14:paraId="28C65CF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rPr>
              <w:t>保证金收款人：新疆世纪星工程咨询有限公司</w:t>
            </w:r>
          </w:p>
          <w:p w14:paraId="15AA04F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rPr>
              <w:t>保证金收款账号：512090100100073085</w:t>
            </w:r>
          </w:p>
          <w:p w14:paraId="7E4D57F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rPr>
              <w:t>保证收款银行及行号: 兴业银行乌鲁木齐分行营业部309881002010</w:t>
            </w:r>
          </w:p>
          <w:p w14:paraId="65144B7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投标保证金到账（保函提交）截止时间同投标截止时间。</w:t>
            </w:r>
          </w:p>
          <w:p w14:paraId="4D63267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以支票、汇票、本票、网上银行支付等形式提交投标保证金的，应在投标截止时间前到账；</w:t>
            </w:r>
          </w:p>
          <w:p w14:paraId="1D1E250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bCs/>
                <w:sz w:val="24"/>
                <w:szCs w:val="24"/>
                <w:highlight w:val="none"/>
                <w:vertAlign w:val="baseline"/>
                <w:lang w:val="en-US" w:eastAsia="zh-CN"/>
              </w:rPr>
              <w:t>投标保函递交方式：</w:t>
            </w:r>
            <w:r>
              <w:rPr>
                <w:rFonts w:hint="eastAsia" w:ascii="仿宋_GB2312" w:hAnsi="仿宋_GB2312" w:eastAsia="仿宋_GB2312" w:cs="仿宋_GB2312"/>
                <w:b w:val="0"/>
                <w:bCs w:val="0"/>
                <w:sz w:val="24"/>
                <w:szCs w:val="24"/>
                <w:highlight w:val="none"/>
                <w:vertAlign w:val="baseline"/>
                <w:lang w:val="en-US" w:eastAsia="zh-CN"/>
              </w:rPr>
              <w:t>供应商通过"政采云平台金融服务中心"(https://jinrong.zcygov.cn/)，申请办理投标电子保函，开标时采购人或代理机构通过政采云平台保函系统进行查询，保函信息以查询结果为准，未查询到的电子保函评审时将按无效投标（响应）处理。</w:t>
            </w:r>
          </w:p>
          <w:p w14:paraId="2D68786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由于到账时间晚于投标截止时间的，或者票据错误、印鉴不清等原因导致不能到账的，其投标无效。</w:t>
            </w:r>
          </w:p>
          <w:p w14:paraId="651ED73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b w:val="0"/>
                <w:bCs w:val="0"/>
                <w:sz w:val="24"/>
                <w:szCs w:val="24"/>
                <w:highlight w:val="none"/>
                <w:vertAlign w:val="baseline"/>
                <w:lang w:val="en-US" w:eastAsia="zh-CN"/>
              </w:rPr>
              <w:t>投标保证金（投标电子保函）有效期与投标有效期一致。</w:t>
            </w:r>
          </w:p>
        </w:tc>
      </w:tr>
      <w:tr w14:paraId="243F230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200E8A3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11.1</w:t>
            </w:r>
          </w:p>
        </w:tc>
        <w:tc>
          <w:tcPr>
            <w:tcW w:w="6652" w:type="dxa"/>
            <w:tcBorders>
              <w:tl2br w:val="nil"/>
              <w:tr2bl w:val="nil"/>
            </w:tcBorders>
            <w:vAlign w:val="center"/>
          </w:tcPr>
          <w:p w14:paraId="005D15E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b w:val="0"/>
                <w:bCs w:val="0"/>
                <w:sz w:val="24"/>
                <w:szCs w:val="24"/>
                <w:vertAlign w:val="baseline"/>
              </w:rPr>
              <w:t>投标有效期：90 日历日</w:t>
            </w:r>
          </w:p>
        </w:tc>
      </w:tr>
      <w:tr w14:paraId="3BD9106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16837E9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13.1</w:t>
            </w:r>
          </w:p>
        </w:tc>
        <w:tc>
          <w:tcPr>
            <w:tcW w:w="6652" w:type="dxa"/>
            <w:tcBorders>
              <w:tl2br w:val="nil"/>
              <w:tr2bl w:val="nil"/>
            </w:tcBorders>
            <w:vAlign w:val="center"/>
          </w:tcPr>
          <w:p w14:paraId="7E3562A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投标截止时间：</w:t>
            </w:r>
            <w:r>
              <w:rPr>
                <w:rFonts w:hint="eastAsia" w:ascii="仿宋_GB2312" w:hAnsi="仿宋_GB2312" w:eastAsia="仿宋_GB2312" w:cs="仿宋_GB2312"/>
                <w:sz w:val="24"/>
                <w:szCs w:val="24"/>
                <w:highlight w:val="none"/>
              </w:rPr>
              <w:t>202</w:t>
            </w: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sz w:val="24"/>
                <w:szCs w:val="24"/>
                <w:highlight w:val="none"/>
              </w:rPr>
              <w:t>年0</w:t>
            </w:r>
            <w:r>
              <w:rPr>
                <w:rFonts w:hint="eastAsia" w:ascii="仿宋_GB2312" w:hAnsi="仿宋_GB2312" w:eastAsia="仿宋_GB2312" w:cs="仿宋_GB2312"/>
                <w:sz w:val="24"/>
                <w:szCs w:val="24"/>
                <w:highlight w:val="none"/>
                <w:lang w:val="en-US" w:eastAsia="zh-CN"/>
              </w:rPr>
              <w:t>7</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lang w:val="en-US" w:eastAsia="zh-CN"/>
              </w:rPr>
              <w:t>11</w:t>
            </w:r>
            <w:r>
              <w:rPr>
                <w:rFonts w:hint="eastAsia" w:ascii="仿宋_GB2312" w:hAnsi="仿宋_GB2312" w:eastAsia="仿宋_GB2312" w:cs="仿宋_GB2312"/>
                <w:sz w:val="24"/>
                <w:szCs w:val="24"/>
                <w:highlight w:val="none"/>
              </w:rPr>
              <w:t>日</w:t>
            </w:r>
            <w:r>
              <w:rPr>
                <w:rFonts w:hint="eastAsia" w:ascii="仿宋_GB2312" w:hAnsi="仿宋_GB2312" w:eastAsia="仿宋_GB2312" w:cs="仿宋_GB2312"/>
                <w:b w:val="0"/>
                <w:bCs w:val="0"/>
                <w:sz w:val="24"/>
                <w:szCs w:val="24"/>
                <w:highlight w:val="none"/>
                <w:vertAlign w:val="baseline"/>
                <w:lang w:val="en-US" w:eastAsia="zh-CN"/>
              </w:rPr>
              <w:t xml:space="preserve"> 11:00（北京时间）</w:t>
            </w:r>
          </w:p>
        </w:tc>
      </w:tr>
      <w:tr w14:paraId="2C8E751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13F624D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14.1</w:t>
            </w:r>
          </w:p>
        </w:tc>
        <w:tc>
          <w:tcPr>
            <w:tcW w:w="6652" w:type="dxa"/>
            <w:tcBorders>
              <w:tl2br w:val="nil"/>
              <w:tr2bl w:val="nil"/>
            </w:tcBorders>
            <w:vAlign w:val="center"/>
          </w:tcPr>
          <w:p w14:paraId="6F73D95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 xml:space="preserve">开标时间：同投标截止时间 </w:t>
            </w:r>
          </w:p>
          <w:p w14:paraId="399C7B2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开标地点：政采云平台（https://www.zcygov.cn/）不见面开标系统</w:t>
            </w:r>
          </w:p>
        </w:tc>
      </w:tr>
      <w:tr w14:paraId="75ACB34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7" w:hRule="atLeast"/>
        </w:trPr>
        <w:tc>
          <w:tcPr>
            <w:tcW w:w="1870" w:type="dxa"/>
            <w:tcBorders>
              <w:bottom w:val="single" w:color="auto" w:sz="4" w:space="0"/>
              <w:tl2br w:val="nil"/>
              <w:tr2bl w:val="nil"/>
            </w:tcBorders>
            <w:vAlign w:val="center"/>
          </w:tcPr>
          <w:p w14:paraId="7A85755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18.1</w:t>
            </w:r>
          </w:p>
        </w:tc>
        <w:tc>
          <w:tcPr>
            <w:tcW w:w="6652" w:type="dxa"/>
            <w:tcBorders>
              <w:bottom w:val="single" w:color="auto" w:sz="4" w:space="0"/>
              <w:tl2br w:val="nil"/>
              <w:tr2bl w:val="nil"/>
            </w:tcBorders>
            <w:vAlign w:val="center"/>
          </w:tcPr>
          <w:p w14:paraId="340F279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 xml:space="preserve">采购人是否委托评标委员会直接确定中标人：否 </w:t>
            </w:r>
          </w:p>
        </w:tc>
      </w:tr>
      <w:tr w14:paraId="61491A4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5" w:hRule="atLeast"/>
        </w:trPr>
        <w:tc>
          <w:tcPr>
            <w:tcW w:w="1870" w:type="dxa"/>
            <w:tcBorders>
              <w:top w:val="single" w:color="auto" w:sz="4" w:space="0"/>
              <w:tl2br w:val="nil"/>
              <w:tr2bl w:val="nil"/>
            </w:tcBorders>
            <w:vAlign w:val="center"/>
          </w:tcPr>
          <w:p w14:paraId="46C642E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21.5</w:t>
            </w:r>
          </w:p>
        </w:tc>
        <w:tc>
          <w:tcPr>
            <w:tcW w:w="6652" w:type="dxa"/>
            <w:tcBorders>
              <w:top w:val="single" w:color="auto" w:sz="4" w:space="0"/>
              <w:tl2br w:val="nil"/>
              <w:tr2bl w:val="nil"/>
            </w:tcBorders>
            <w:vAlign w:val="center"/>
          </w:tcPr>
          <w:p w14:paraId="4FB9DDF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本项目是否允许分包：</w:t>
            </w:r>
          </w:p>
          <w:p w14:paraId="2098B55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☑不允许</w:t>
            </w:r>
          </w:p>
          <w:p w14:paraId="5102EA6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□允许，具体要求：</w:t>
            </w:r>
          </w:p>
          <w:p w14:paraId="33E8C85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（1）可以分包履行的具体内容：</w:t>
            </w:r>
            <w:r>
              <w:rPr>
                <w:rFonts w:hint="eastAsia" w:ascii="仿宋_GB2312" w:hAnsi="仿宋_GB2312" w:eastAsia="仿宋_GB2312" w:cs="仿宋_GB2312"/>
                <w:b w:val="0"/>
                <w:bCs w:val="0"/>
                <w:sz w:val="24"/>
                <w:szCs w:val="24"/>
                <w:highlight w:val="none"/>
                <w:u w:val="single"/>
                <w:vertAlign w:val="baseline"/>
                <w:lang w:val="en-US" w:eastAsia="zh-CN"/>
              </w:rPr>
              <w:t xml:space="preserve">          </w:t>
            </w:r>
            <w:r>
              <w:rPr>
                <w:rFonts w:hint="eastAsia" w:ascii="仿宋_GB2312" w:hAnsi="仿宋_GB2312" w:eastAsia="仿宋_GB2312" w:cs="仿宋_GB2312"/>
                <w:b w:val="0"/>
                <w:bCs w:val="0"/>
                <w:sz w:val="24"/>
                <w:szCs w:val="24"/>
                <w:highlight w:val="none"/>
                <w:vertAlign w:val="baseline"/>
                <w:lang w:val="en-US" w:eastAsia="zh-CN"/>
              </w:rPr>
              <w:t>；</w:t>
            </w:r>
          </w:p>
          <w:p w14:paraId="08D26B1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（2）允许分包的金额或者比例：</w:t>
            </w:r>
            <w:r>
              <w:rPr>
                <w:rFonts w:hint="eastAsia" w:ascii="仿宋_GB2312" w:hAnsi="仿宋_GB2312" w:eastAsia="仿宋_GB2312" w:cs="仿宋_GB2312"/>
                <w:b w:val="0"/>
                <w:bCs w:val="0"/>
                <w:sz w:val="24"/>
                <w:szCs w:val="24"/>
                <w:highlight w:val="none"/>
                <w:u w:val="single"/>
                <w:vertAlign w:val="baseline"/>
                <w:lang w:val="en-US" w:eastAsia="zh-CN"/>
              </w:rPr>
              <w:t xml:space="preserve">          </w:t>
            </w:r>
            <w:r>
              <w:rPr>
                <w:rFonts w:hint="eastAsia" w:ascii="仿宋_GB2312" w:hAnsi="仿宋_GB2312" w:eastAsia="仿宋_GB2312" w:cs="仿宋_GB2312"/>
                <w:b w:val="0"/>
                <w:bCs w:val="0"/>
                <w:sz w:val="24"/>
                <w:szCs w:val="24"/>
                <w:highlight w:val="none"/>
                <w:vertAlign w:val="baseline"/>
                <w:lang w:val="en-US" w:eastAsia="zh-CN"/>
              </w:rPr>
              <w:t>；</w:t>
            </w:r>
          </w:p>
          <w:p w14:paraId="0922AFA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（3）其他要求：</w:t>
            </w:r>
            <w:r>
              <w:rPr>
                <w:rFonts w:hint="eastAsia" w:ascii="仿宋_GB2312" w:hAnsi="仿宋_GB2312" w:eastAsia="仿宋_GB2312" w:cs="仿宋_GB2312"/>
                <w:b w:val="0"/>
                <w:bCs w:val="0"/>
                <w:sz w:val="24"/>
                <w:szCs w:val="24"/>
                <w:highlight w:val="none"/>
                <w:u w:val="single"/>
                <w:vertAlign w:val="baseline"/>
                <w:lang w:val="en-US" w:eastAsia="zh-CN"/>
              </w:rPr>
              <w:t xml:space="preserve">              </w:t>
            </w:r>
            <w:r>
              <w:rPr>
                <w:rFonts w:hint="eastAsia" w:ascii="仿宋_GB2312" w:hAnsi="仿宋_GB2312" w:eastAsia="仿宋_GB2312" w:cs="仿宋_GB2312"/>
                <w:b w:val="0"/>
                <w:bCs w:val="0"/>
                <w:sz w:val="24"/>
                <w:szCs w:val="24"/>
                <w:highlight w:val="none"/>
                <w:vertAlign w:val="baseline"/>
                <w:lang w:val="en-US" w:eastAsia="zh-CN"/>
              </w:rPr>
              <w:t>。</w:t>
            </w:r>
          </w:p>
        </w:tc>
      </w:tr>
      <w:tr w14:paraId="3BB894D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607FA4F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22.1</w:t>
            </w:r>
          </w:p>
        </w:tc>
        <w:tc>
          <w:tcPr>
            <w:tcW w:w="6652" w:type="dxa"/>
            <w:tcBorders>
              <w:tl2br w:val="nil"/>
              <w:tr2bl w:val="nil"/>
            </w:tcBorders>
            <w:vAlign w:val="center"/>
          </w:tcPr>
          <w:p w14:paraId="6E9EB3E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 xml:space="preserve">提交履约保证金的时间：合同签订后 </w:t>
            </w:r>
          </w:p>
          <w:p w14:paraId="3769EE2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 xml:space="preserve">履约保证金金额：合同总金额的 10% </w:t>
            </w:r>
          </w:p>
          <w:p w14:paraId="7B408AC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履约保证金形式：符合政府采购法律法规的规定并经采购同意的形式</w:t>
            </w:r>
          </w:p>
        </w:tc>
      </w:tr>
      <w:tr w14:paraId="2BDA71D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54" w:hRule="atLeast"/>
        </w:trPr>
        <w:tc>
          <w:tcPr>
            <w:tcW w:w="1870" w:type="dxa"/>
            <w:tcBorders>
              <w:bottom w:val="single" w:color="auto" w:sz="4" w:space="0"/>
              <w:tl2br w:val="nil"/>
              <w:tr2bl w:val="nil"/>
            </w:tcBorders>
            <w:vAlign w:val="center"/>
          </w:tcPr>
          <w:p w14:paraId="45BD484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23.1</w:t>
            </w:r>
          </w:p>
        </w:tc>
        <w:tc>
          <w:tcPr>
            <w:tcW w:w="6652" w:type="dxa"/>
            <w:tcBorders>
              <w:bottom w:val="single" w:color="auto" w:sz="4" w:space="0"/>
              <w:tl2br w:val="nil"/>
              <w:tr2bl w:val="nil"/>
            </w:tcBorders>
            <w:vAlign w:val="center"/>
          </w:tcPr>
          <w:p w14:paraId="2A8CE39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 xml:space="preserve">是否由中标人缴纳招标代理费：是 </w:t>
            </w:r>
          </w:p>
          <w:p w14:paraId="085ABBF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 xml:space="preserve">招标代理费：参照原国家计委计价格【2002】1980 号文的计算方法收取。  </w:t>
            </w:r>
          </w:p>
          <w:p w14:paraId="6DE3731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 xml:space="preserve">支付形式：支票、电汇等形式 </w:t>
            </w:r>
          </w:p>
          <w:p w14:paraId="1A29769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支付时间：在中标人领取中标通知书时，由中标人向采购代理机构一次性支付全部招标代理服务费</w:t>
            </w:r>
          </w:p>
          <w:p w14:paraId="0D6FFAD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代理服务费缴纳账户：</w:t>
            </w:r>
          </w:p>
          <w:p w14:paraId="533243D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账户名称：新疆世纪星工程咨询有限公司</w:t>
            </w:r>
          </w:p>
          <w:p w14:paraId="032015A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账户号码：651651056018800020157</w:t>
            </w:r>
          </w:p>
          <w:p w14:paraId="148C7E0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highlight w:val="none"/>
                <w:lang w:val="en-US" w:eastAsia="zh-CN"/>
              </w:rPr>
            </w:pPr>
            <w:r>
              <w:rPr>
                <w:rFonts w:hint="eastAsia" w:ascii="仿宋_GB2312" w:hAnsi="仿宋_GB2312" w:eastAsia="仿宋_GB2312" w:cs="仿宋_GB2312"/>
                <w:b w:val="0"/>
                <w:bCs w:val="0"/>
                <w:sz w:val="24"/>
                <w:szCs w:val="24"/>
                <w:highlight w:val="none"/>
                <w:vertAlign w:val="baseline"/>
                <w:lang w:val="en-US" w:eastAsia="zh-CN"/>
              </w:rPr>
              <w:t>开户银行：交通银行股份有限公司乌鲁木齐卫星路支行</w:t>
            </w:r>
          </w:p>
        </w:tc>
      </w:tr>
      <w:tr w14:paraId="3751328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9" w:hRule="atLeast"/>
        </w:trPr>
        <w:tc>
          <w:tcPr>
            <w:tcW w:w="1870" w:type="dxa"/>
            <w:tcBorders>
              <w:top w:val="single" w:color="auto" w:sz="4" w:space="0"/>
              <w:tl2br w:val="nil"/>
              <w:tr2bl w:val="nil"/>
            </w:tcBorders>
            <w:vAlign w:val="center"/>
          </w:tcPr>
          <w:p w14:paraId="06F0B1D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24</w:t>
            </w:r>
          </w:p>
        </w:tc>
        <w:tc>
          <w:tcPr>
            <w:tcW w:w="6652" w:type="dxa"/>
            <w:tcBorders>
              <w:top w:val="single" w:color="auto" w:sz="4" w:space="0"/>
              <w:tl2br w:val="nil"/>
              <w:tr2bl w:val="nil"/>
            </w:tcBorders>
            <w:vAlign w:val="center"/>
          </w:tcPr>
          <w:p w14:paraId="17BB687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接收询问和质疑的联系方式：</w:t>
            </w:r>
          </w:p>
          <w:p w14:paraId="6BAC10E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1、询问</w:t>
            </w:r>
          </w:p>
          <w:p w14:paraId="719F522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联系部门、联系电话、通讯地址：见第一章《招标公告》中的采购代理机构信息和项目联系方式。</w:t>
            </w:r>
          </w:p>
          <w:p w14:paraId="1CA30E1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2、质疑</w:t>
            </w:r>
          </w:p>
          <w:p w14:paraId="6A57A78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联系部门：新疆世纪星工程咨询有限公司招标部</w:t>
            </w:r>
          </w:p>
          <w:p w14:paraId="4932C5A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联系人、联系电话：郑倩如  李航    0991-3678303</w:t>
            </w:r>
          </w:p>
          <w:p w14:paraId="5D75B60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通讯地址：乌鲁木齐经济技术开发区二期黄山街一品九点阳光德港大厦B座20楼</w:t>
            </w:r>
          </w:p>
          <w:p w14:paraId="2BF1922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bCs/>
                <w:sz w:val="24"/>
                <w:szCs w:val="24"/>
                <w:highlight w:val="none"/>
                <w:vertAlign w:val="baseline"/>
                <w:lang w:val="en-US" w:eastAsia="zh-CN"/>
              </w:rPr>
              <w:t>其他要求：质疑书、授权委托书及报名成功截图PDF扫描件发送至代理机构邮箱，以上资料原件邮寄或送至代理机构。</w:t>
            </w:r>
          </w:p>
        </w:tc>
      </w:tr>
      <w:tr w14:paraId="7BA25A5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8" w:hRule="atLeast"/>
        </w:trPr>
        <w:tc>
          <w:tcPr>
            <w:tcW w:w="8522" w:type="dxa"/>
            <w:gridSpan w:val="2"/>
            <w:tcBorders>
              <w:top w:val="single" w:color="auto" w:sz="4" w:space="0"/>
              <w:bottom w:val="single" w:color="auto" w:sz="4" w:space="0"/>
              <w:tl2br w:val="nil"/>
              <w:tr2bl w:val="nil"/>
            </w:tcBorders>
            <w:vAlign w:val="center"/>
          </w:tcPr>
          <w:p w14:paraId="4096946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适用于本投标人须知的额外增加的变动：</w:t>
            </w:r>
          </w:p>
        </w:tc>
      </w:tr>
      <w:tr w14:paraId="5AC370F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93" w:hRule="atLeast"/>
        </w:trPr>
        <w:tc>
          <w:tcPr>
            <w:tcW w:w="1870" w:type="dxa"/>
            <w:tcBorders>
              <w:top w:val="single" w:color="auto" w:sz="4" w:space="0"/>
              <w:bottom w:val="single" w:color="auto" w:sz="4" w:space="0"/>
              <w:tl2br w:val="nil"/>
              <w:tr2bl w:val="nil"/>
            </w:tcBorders>
            <w:vAlign w:val="center"/>
          </w:tcPr>
          <w:p w14:paraId="754CDC3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vertAlign w:val="baseline"/>
                <w:lang w:val="en-US" w:eastAsia="zh-CN"/>
              </w:rPr>
            </w:pPr>
          </w:p>
        </w:tc>
        <w:tc>
          <w:tcPr>
            <w:tcW w:w="6652" w:type="dxa"/>
            <w:tcBorders>
              <w:top w:val="single" w:color="auto" w:sz="4" w:space="0"/>
              <w:bottom w:val="single" w:color="auto" w:sz="4" w:space="0"/>
              <w:tl2br w:val="nil"/>
              <w:tr2bl w:val="nil"/>
            </w:tcBorders>
            <w:vAlign w:val="center"/>
          </w:tcPr>
          <w:p w14:paraId="27DF0C3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bCs/>
                <w:sz w:val="24"/>
                <w:szCs w:val="24"/>
                <w:highlight w:val="none"/>
                <w:vertAlign w:val="baseline"/>
                <w:lang w:val="en-US" w:eastAsia="zh-CN"/>
              </w:rPr>
              <w:t>核心产品：</w:t>
            </w:r>
          </w:p>
          <w:p w14:paraId="0FA4533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□本项目</w:t>
            </w:r>
            <w:r>
              <w:rPr>
                <w:rFonts w:hint="eastAsia" w:ascii="仿宋_GB2312" w:hAnsi="仿宋_GB2312" w:eastAsia="仿宋_GB2312" w:cs="仿宋_GB2312"/>
                <w:b w:val="0"/>
                <w:bCs w:val="0"/>
                <w:sz w:val="24"/>
                <w:szCs w:val="24"/>
                <w:highlight w:val="none"/>
                <w:u w:val="single"/>
                <w:vertAlign w:val="baseline"/>
                <w:lang w:val="en-US" w:eastAsia="zh-CN"/>
              </w:rPr>
              <w:t>标项一</w:t>
            </w:r>
            <w:r>
              <w:rPr>
                <w:rFonts w:hint="eastAsia" w:ascii="仿宋_GB2312" w:hAnsi="仿宋_GB2312" w:eastAsia="仿宋_GB2312" w:cs="仿宋_GB2312"/>
                <w:b w:val="0"/>
                <w:bCs w:val="0"/>
                <w:sz w:val="24"/>
                <w:szCs w:val="24"/>
                <w:highlight w:val="none"/>
                <w:vertAlign w:val="baseline"/>
                <w:lang w:val="en-US" w:eastAsia="zh-CN"/>
              </w:rPr>
              <w:t>为单一产品采购项目。</w:t>
            </w:r>
          </w:p>
          <w:p w14:paraId="39F06FC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b w:val="0"/>
                <w:bCs w:val="0"/>
                <w:sz w:val="24"/>
                <w:szCs w:val="24"/>
                <w:highlight w:val="none"/>
                <w:u w:val="singl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☑本项目</w:t>
            </w:r>
            <w:r>
              <w:rPr>
                <w:rFonts w:hint="eastAsia" w:ascii="仿宋_GB2312" w:hAnsi="仿宋_GB2312" w:eastAsia="仿宋_GB2312" w:cs="仿宋_GB2312"/>
                <w:b w:val="0"/>
                <w:bCs w:val="0"/>
                <w:sz w:val="24"/>
                <w:szCs w:val="24"/>
                <w:highlight w:val="none"/>
                <w:u w:val="single"/>
                <w:vertAlign w:val="baseline"/>
                <w:lang w:val="en-US" w:eastAsia="zh-CN"/>
              </w:rPr>
              <w:t>标项一</w:t>
            </w:r>
            <w:r>
              <w:rPr>
                <w:rFonts w:hint="eastAsia" w:ascii="仿宋_GB2312" w:hAnsi="仿宋_GB2312" w:eastAsia="仿宋_GB2312" w:cs="仿宋_GB2312"/>
                <w:b w:val="0"/>
                <w:bCs w:val="0"/>
                <w:sz w:val="24"/>
                <w:szCs w:val="24"/>
                <w:highlight w:val="none"/>
                <w:vertAlign w:val="baseline"/>
                <w:lang w:val="en-US" w:eastAsia="zh-CN"/>
              </w:rPr>
              <w:t>为非单一产品采购项目，核心产品为：</w:t>
            </w:r>
            <w:r>
              <w:rPr>
                <w:rFonts w:hint="eastAsia" w:ascii="仿宋_GB2312" w:hAnsi="仿宋_GB2312" w:eastAsia="仿宋_GB2312" w:cs="仿宋_GB2312"/>
                <w:b w:val="0"/>
                <w:bCs w:val="0"/>
                <w:sz w:val="24"/>
                <w:szCs w:val="24"/>
                <w:highlight w:val="none"/>
                <w:u w:val="single"/>
                <w:vertAlign w:val="baseline"/>
                <w:lang w:val="en-US" w:eastAsia="zh-CN"/>
              </w:rPr>
              <w:t>暖箱</w:t>
            </w:r>
          </w:p>
          <w:p w14:paraId="63F20A4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highlight w:val="none"/>
                <w:lang w:val="en-US" w:eastAsia="zh-CN"/>
              </w:rPr>
            </w:pPr>
            <w:r>
              <w:rPr>
                <w:rFonts w:hint="eastAsia" w:ascii="仿宋_GB2312" w:hAnsi="仿宋_GB2312" w:eastAsia="仿宋_GB2312" w:cs="仿宋_GB2312"/>
                <w:b/>
                <w:bCs/>
                <w:sz w:val="24"/>
                <w:szCs w:val="24"/>
                <w:highlight w:val="none"/>
                <w:vertAlign w:val="baseline"/>
                <w:lang w:val="en-US" w:eastAsia="zh-CN"/>
              </w:rPr>
              <w:t>注：若不单独标明核心产品则所有产品均被视为核心产品</w:t>
            </w:r>
          </w:p>
        </w:tc>
      </w:tr>
      <w:tr w14:paraId="0E12AE9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47" w:hRule="atLeast"/>
        </w:trPr>
        <w:tc>
          <w:tcPr>
            <w:tcW w:w="1870" w:type="dxa"/>
            <w:tcBorders>
              <w:top w:val="single" w:color="auto" w:sz="4" w:space="0"/>
              <w:bottom w:val="single" w:color="auto" w:sz="4" w:space="0"/>
              <w:tl2br w:val="nil"/>
              <w:tr2bl w:val="nil"/>
            </w:tcBorders>
            <w:vAlign w:val="center"/>
          </w:tcPr>
          <w:p w14:paraId="0C05AA8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vertAlign w:val="baseline"/>
                <w:lang w:val="en-US" w:eastAsia="zh-CN"/>
              </w:rPr>
            </w:pPr>
          </w:p>
        </w:tc>
        <w:tc>
          <w:tcPr>
            <w:tcW w:w="6652" w:type="dxa"/>
            <w:tcBorders>
              <w:top w:val="single" w:color="auto" w:sz="4" w:space="0"/>
              <w:bottom w:val="single" w:color="auto" w:sz="4" w:space="0"/>
              <w:tl2br w:val="nil"/>
              <w:tr2bl w:val="nil"/>
            </w:tcBorders>
            <w:vAlign w:val="center"/>
          </w:tcPr>
          <w:p w14:paraId="780B26B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评标方法：综合评分法</w:t>
            </w:r>
          </w:p>
        </w:tc>
      </w:tr>
      <w:tr w14:paraId="22D1CAF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3" w:hRule="atLeast"/>
        </w:trPr>
        <w:tc>
          <w:tcPr>
            <w:tcW w:w="1870" w:type="dxa"/>
            <w:tcBorders>
              <w:top w:val="single" w:color="auto" w:sz="4" w:space="0"/>
              <w:bottom w:val="single" w:color="auto" w:sz="4" w:space="0"/>
              <w:tl2br w:val="nil"/>
              <w:tr2bl w:val="nil"/>
            </w:tcBorders>
            <w:vAlign w:val="center"/>
          </w:tcPr>
          <w:p w14:paraId="4BE8BD7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vertAlign w:val="baseline"/>
                <w:lang w:val="en-US" w:eastAsia="zh-CN"/>
              </w:rPr>
            </w:pPr>
          </w:p>
        </w:tc>
        <w:tc>
          <w:tcPr>
            <w:tcW w:w="6652" w:type="dxa"/>
            <w:tcBorders>
              <w:top w:val="single" w:color="auto" w:sz="4" w:space="0"/>
              <w:tl2br w:val="nil"/>
              <w:tr2bl w:val="nil"/>
            </w:tcBorders>
            <w:vAlign w:val="center"/>
          </w:tcPr>
          <w:p w14:paraId="50BC8BC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项目属性：货物</w:t>
            </w:r>
          </w:p>
        </w:tc>
      </w:tr>
      <w:tr w14:paraId="57DAA8C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190" w:hRule="atLeast"/>
        </w:trPr>
        <w:tc>
          <w:tcPr>
            <w:tcW w:w="8522" w:type="dxa"/>
            <w:gridSpan w:val="2"/>
            <w:tcBorders>
              <w:tl2br w:val="nil"/>
              <w:tr2bl w:val="nil"/>
            </w:tcBorders>
            <w:vAlign w:val="center"/>
          </w:tcPr>
          <w:p w14:paraId="680CDAD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适用于本投标人须知的额外增加的变动：</w:t>
            </w:r>
          </w:p>
          <w:p w14:paraId="26157CF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1、关于本项目所有公告、公示在新疆政府采购网发布。</w:t>
            </w:r>
          </w:p>
          <w:p w14:paraId="55EA65A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2、请投标单位随时关注本项目的澄清、答疑、变更事项。</w:t>
            </w:r>
          </w:p>
          <w:p w14:paraId="0780822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3、本项目实行电子招投标，供应商须登录政采云平台申请获取招标文件，并通过政采云电子投标客户端制作响应文件，同时自行承担与投标有关的一切费用。</w:t>
            </w:r>
          </w:p>
          <w:p w14:paraId="0A5DEB5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4、各供应商应在开标前确保成为新疆维吾尔自治区政府采购网正式注册入库供应商，并完成CA数字证书申领。因未注册入库、未办理CA数字证书等原因造成无法投标或投标失败等后果由供应商自行承担。</w:t>
            </w:r>
          </w:p>
          <w:p w14:paraId="38E88E0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5、有意向参与新疆区域电子开评标的供应商，可访问新疆数字证书认证中心官方网站（https://www.xjca.com.cn/）或下载“新疆政务通”APP自行进行申领。如需咨询，请联系新疆CA服务热线0991-2819290。</w:t>
            </w:r>
          </w:p>
          <w:p w14:paraId="1DAD6C3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5、供应商可前往新疆政府采购网（http://www.ccgp-xinjiang.gov.cn/）下载专区，下载政采云电子投标客户端，安装完成后，可通过账号密码或CA登录客户端进行响应文件制作。在使用政采云电子投标客户端时，如有问题可拨打政采云客户服务热线进行咨询。</w:t>
            </w:r>
          </w:p>
          <w:p w14:paraId="2823B1B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6、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5DD4AB6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7、供应商在开标前须提前配置好电脑浏览器（建议使用360浏览器或谷歌浏览器），开标时请使用制作加密电子响应文件的CA锁进行解密及报价确认。</w:t>
            </w:r>
            <w:r>
              <w:rPr>
                <w:rFonts w:hint="eastAsia" w:ascii="仿宋_GB2312" w:hAnsi="仿宋_GB2312" w:eastAsia="仿宋_GB2312" w:cs="仿宋_GB2312"/>
                <w:b/>
                <w:bCs/>
                <w:sz w:val="24"/>
                <w:szCs w:val="24"/>
                <w:highlight w:val="none"/>
                <w:vertAlign w:val="baseline"/>
                <w:lang w:val="en-US" w:eastAsia="zh-CN"/>
              </w:rPr>
              <w:t>本项目投标文件解密时间定为30分钟，如投标人因自身原因导致在规定的时间无法正常解密，视为开标后撤销其投标文件，投标保证金招标人有权不予退还。</w:t>
            </w:r>
          </w:p>
          <w:p w14:paraId="2B5A7CE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bCs/>
                <w:sz w:val="24"/>
                <w:szCs w:val="24"/>
                <w:highlight w:val="none"/>
                <w:vertAlign w:val="baseline"/>
                <w:lang w:val="en-US" w:eastAsia="zh-CN"/>
              </w:rPr>
              <w:t>8、政采云投标客户端中上传电子投标文件为三部分，分别为资格文件、报价文件、商务技术文件。投标人除分别按要求分别上传文件外，建议商务技术文件部分上传整本投标文件（包含资格部分、报价部分、商务技术部分）。</w:t>
            </w:r>
          </w:p>
        </w:tc>
      </w:tr>
    </w:tbl>
    <w:p w14:paraId="70223A46">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4CE062F9">
      <w:pPr>
        <w:pStyle w:val="2"/>
        <w:numPr>
          <w:ilvl w:val="0"/>
          <w:numId w:val="1"/>
        </w:numPr>
        <w:bidi w:val="0"/>
        <w:jc w:val="center"/>
        <w:rPr>
          <w:rFonts w:hint="eastAsia" w:ascii="仿宋_GB2312" w:hAnsi="仿宋_GB2312" w:eastAsia="仿宋_GB2312" w:cs="仿宋_GB2312"/>
          <w:sz w:val="32"/>
          <w:szCs w:val="32"/>
        </w:rPr>
      </w:pPr>
      <w:bookmarkStart w:id="9" w:name="_Toc27881"/>
      <w:r>
        <w:rPr>
          <w:rFonts w:hint="eastAsia" w:ascii="仿宋_GB2312" w:hAnsi="仿宋_GB2312" w:eastAsia="仿宋_GB2312" w:cs="仿宋_GB2312"/>
          <w:sz w:val="32"/>
          <w:szCs w:val="32"/>
        </w:rPr>
        <w:t>投标人须知</w:t>
      </w:r>
      <w:bookmarkEnd w:id="9"/>
    </w:p>
    <w:p w14:paraId="7ACB8B7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rPr>
      </w:pPr>
    </w:p>
    <w:p w14:paraId="5B33DD65">
      <w:pPr>
        <w:keepNext w:val="0"/>
        <w:keepLines w:val="0"/>
        <w:pageBreakBefore w:val="0"/>
        <w:widowControl w:val="0"/>
        <w:numPr>
          <w:ilvl w:val="0"/>
          <w:numId w:val="2"/>
        </w:numPr>
        <w:kinsoku/>
        <w:wordWrap/>
        <w:overflowPunct/>
        <w:topLinePunct w:val="0"/>
        <w:autoSpaceDE/>
        <w:autoSpaceDN/>
        <w:bidi w:val="0"/>
        <w:adjustRightInd/>
        <w:snapToGrid/>
        <w:spacing w:line="500" w:lineRule="exact"/>
        <w:jc w:val="center"/>
        <w:textAlignment w:val="auto"/>
        <w:outlineLvl w:val="1"/>
        <w:rPr>
          <w:rFonts w:hint="eastAsia" w:ascii="仿宋_GB2312" w:hAnsi="仿宋_GB2312" w:eastAsia="仿宋_GB2312" w:cs="仿宋_GB2312"/>
          <w:b/>
          <w:bCs/>
          <w:sz w:val="24"/>
          <w:szCs w:val="24"/>
        </w:rPr>
      </w:pPr>
      <w:bookmarkStart w:id="10" w:name="_Toc20936"/>
      <w:r>
        <w:rPr>
          <w:rFonts w:hint="eastAsia" w:ascii="仿宋_GB2312" w:hAnsi="仿宋_GB2312" w:eastAsia="仿宋_GB2312" w:cs="仿宋_GB2312"/>
          <w:b/>
          <w:bCs/>
          <w:sz w:val="24"/>
          <w:szCs w:val="24"/>
        </w:rPr>
        <w:t>说 明</w:t>
      </w:r>
      <w:bookmarkEnd w:id="10"/>
    </w:p>
    <w:p w14:paraId="19ADED7B">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采购人、采购代理机构及投标人</w:t>
      </w:r>
    </w:p>
    <w:p w14:paraId="1750318A">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采购人：是指依法进行政府采购的国家机构、事业单位、团体组织。</w:t>
      </w:r>
    </w:p>
    <w:p w14:paraId="7CF0F685">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采购代理机构：本次招标的采购代理机构为新疆世纪星工程咨询有限公司。</w:t>
      </w:r>
    </w:p>
    <w:p w14:paraId="7C58B4A8">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投标人：是指向采购人提供货物、工程或者服务的法人、其他组织或者自然人。</w:t>
      </w:r>
    </w:p>
    <w:p w14:paraId="1670828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投标人须满足以下条件：</w:t>
      </w:r>
    </w:p>
    <w:p w14:paraId="45BA554C">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具备《中华人民共和国政府采购法》第二十二条关于投标人条件的规定，遵守国家、本项目采购人本级和上级财政部门政府采购的有关规定。</w:t>
      </w:r>
    </w:p>
    <w:p w14:paraId="3D934503">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以招标文件规定的方式获得了本项目的招标文件。</w:t>
      </w:r>
    </w:p>
    <w:p w14:paraId="10DA8C0B">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符合</w:t>
      </w:r>
      <w:r>
        <w:rPr>
          <w:rFonts w:hint="eastAsia" w:ascii="仿宋_GB2312" w:hAnsi="仿宋_GB2312" w:eastAsia="仿宋_GB2312" w:cs="仿宋_GB2312"/>
          <w:b w:val="0"/>
          <w:bCs w:val="0"/>
          <w:sz w:val="24"/>
          <w:szCs w:val="24"/>
          <w:u w:val="single"/>
          <w:lang w:val="en-US" w:eastAsia="zh-CN"/>
        </w:rPr>
        <w:t>投标须知前附表</w:t>
      </w:r>
      <w:r>
        <w:rPr>
          <w:rFonts w:hint="eastAsia" w:ascii="仿宋_GB2312" w:hAnsi="仿宋_GB2312" w:eastAsia="仿宋_GB2312" w:cs="仿宋_GB2312"/>
          <w:b w:val="0"/>
          <w:bCs w:val="0"/>
          <w:sz w:val="24"/>
          <w:szCs w:val="24"/>
          <w:lang w:val="en-US" w:eastAsia="zh-CN"/>
        </w:rPr>
        <w:t>中规定的其他资格要求。</w:t>
      </w:r>
    </w:p>
    <w:p w14:paraId="0F634950">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如经财政主管部门批准可以采购进口产品，将在投标须知前附表中写明。但投标人应保证所投产品可履行合法报通关手续进入中国关境内。若</w:t>
      </w:r>
      <w:r>
        <w:rPr>
          <w:rFonts w:hint="eastAsia" w:ascii="仿宋_GB2312" w:hAnsi="仿宋_GB2312" w:eastAsia="仿宋_GB2312" w:cs="仿宋_GB2312"/>
          <w:b w:val="0"/>
          <w:bCs w:val="0"/>
          <w:sz w:val="24"/>
          <w:szCs w:val="24"/>
          <w:u w:val="single"/>
          <w:lang w:val="en-US" w:eastAsia="zh-CN"/>
        </w:rPr>
        <w:t>投标须知前附表</w:t>
      </w:r>
      <w:r>
        <w:rPr>
          <w:rFonts w:hint="eastAsia" w:ascii="仿宋_GB2312" w:hAnsi="仿宋_GB2312" w:eastAsia="仿宋_GB2312" w:cs="仿宋_GB2312"/>
          <w:b w:val="0"/>
          <w:bCs w:val="0"/>
          <w:sz w:val="24"/>
          <w:szCs w:val="24"/>
          <w:lang w:val="en-US" w:eastAsia="zh-CN"/>
        </w:rPr>
        <w:t>中未写明允许采购进口产品，如投标人所投产品为进口产品，其投标将作为</w:t>
      </w:r>
      <w:r>
        <w:rPr>
          <w:rFonts w:hint="eastAsia" w:ascii="仿宋_GB2312" w:hAnsi="仿宋_GB2312" w:eastAsia="仿宋_GB2312" w:cs="仿宋_GB2312"/>
          <w:b/>
          <w:bCs/>
          <w:sz w:val="24"/>
          <w:szCs w:val="24"/>
          <w:lang w:val="en-US" w:eastAsia="zh-CN"/>
        </w:rPr>
        <w:t>无效投标</w:t>
      </w:r>
      <w:r>
        <w:rPr>
          <w:rFonts w:hint="eastAsia" w:ascii="仿宋_GB2312" w:hAnsi="仿宋_GB2312" w:eastAsia="仿宋_GB2312" w:cs="仿宋_GB2312"/>
          <w:b w:val="0"/>
          <w:bCs w:val="0"/>
          <w:sz w:val="24"/>
          <w:szCs w:val="24"/>
          <w:lang w:val="en-US" w:eastAsia="zh-CN"/>
        </w:rPr>
        <w:t xml:space="preserve">被拒绝。 </w:t>
      </w:r>
    </w:p>
    <w:p w14:paraId="74ABD2D7">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中小企业、监狱企业及残疾人福利性单位。</w:t>
      </w:r>
    </w:p>
    <w:p w14:paraId="309083FB">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采购标的对应的中小企业划分标准所属行业见</w:t>
      </w:r>
      <w:r>
        <w:rPr>
          <w:rFonts w:hint="eastAsia" w:ascii="仿宋_GB2312" w:hAnsi="仿宋_GB2312" w:eastAsia="仿宋_GB2312" w:cs="仿宋_GB2312"/>
          <w:b w:val="0"/>
          <w:bCs w:val="0"/>
          <w:sz w:val="24"/>
          <w:szCs w:val="24"/>
          <w:u w:val="single"/>
          <w:lang w:val="en-US" w:eastAsia="zh-CN"/>
        </w:rPr>
        <w:t>投标须知前附表</w:t>
      </w:r>
      <w:r>
        <w:rPr>
          <w:rFonts w:hint="eastAsia" w:ascii="仿宋_GB2312" w:hAnsi="仿宋_GB2312" w:eastAsia="仿宋_GB2312" w:cs="仿宋_GB2312"/>
          <w:b w:val="0"/>
          <w:bCs w:val="0"/>
          <w:sz w:val="24"/>
          <w:szCs w:val="24"/>
          <w:lang w:val="en-US" w:eastAsia="zh-CN"/>
        </w:rPr>
        <w:t>。</w:t>
      </w:r>
    </w:p>
    <w:p w14:paraId="03A680C1">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若投标须知前附表中写明专门面向中小或小微企业采购的，如投标人所提供的货物为非中小或小微企业制造，或提供的服务、工程为非中小或小微企业承接，其投标将被认定为</w:t>
      </w:r>
      <w:r>
        <w:rPr>
          <w:rFonts w:hint="eastAsia" w:ascii="仿宋_GB2312" w:hAnsi="仿宋_GB2312" w:eastAsia="仿宋_GB2312" w:cs="仿宋_GB2312"/>
          <w:b/>
          <w:bCs/>
          <w:sz w:val="24"/>
          <w:szCs w:val="24"/>
          <w:lang w:val="en-US" w:eastAsia="zh-CN"/>
        </w:rPr>
        <w:t>投标无效</w:t>
      </w:r>
      <w:r>
        <w:rPr>
          <w:rFonts w:hint="eastAsia" w:ascii="仿宋_GB2312" w:hAnsi="仿宋_GB2312" w:eastAsia="仿宋_GB2312" w:cs="仿宋_GB2312"/>
          <w:b w:val="0"/>
          <w:bCs w:val="0"/>
          <w:sz w:val="24"/>
          <w:szCs w:val="24"/>
          <w:lang w:val="en-US" w:eastAsia="zh-CN"/>
        </w:rPr>
        <w:t>。若投标须知前附表中写明本项目预留部分采购项目预算专门面向中小企业采购的，本项目面向中小企业采购预留份额、措施及比例见</w:t>
      </w:r>
      <w:r>
        <w:rPr>
          <w:rFonts w:hint="eastAsia" w:ascii="仿宋_GB2312" w:hAnsi="仿宋_GB2312" w:eastAsia="仿宋_GB2312" w:cs="仿宋_GB2312"/>
          <w:b w:val="0"/>
          <w:bCs w:val="0"/>
          <w:sz w:val="24"/>
          <w:szCs w:val="24"/>
          <w:u w:val="single"/>
          <w:lang w:val="en-US" w:eastAsia="zh-CN"/>
        </w:rPr>
        <w:t>投标须知前附表</w:t>
      </w:r>
      <w:r>
        <w:rPr>
          <w:rFonts w:hint="eastAsia" w:ascii="仿宋_GB2312" w:hAnsi="仿宋_GB2312" w:eastAsia="仿宋_GB2312" w:cs="仿宋_GB2312"/>
          <w:b w:val="0"/>
          <w:bCs w:val="0"/>
          <w:sz w:val="24"/>
          <w:szCs w:val="24"/>
          <w:lang w:val="en-US" w:eastAsia="zh-CN"/>
        </w:rPr>
        <w:t>，未达到上述比例的投标将被认定为</w:t>
      </w:r>
      <w:r>
        <w:rPr>
          <w:rFonts w:hint="eastAsia" w:ascii="仿宋_GB2312" w:hAnsi="仿宋_GB2312" w:eastAsia="仿宋_GB2312" w:cs="仿宋_GB2312"/>
          <w:b/>
          <w:bCs/>
          <w:sz w:val="24"/>
          <w:szCs w:val="24"/>
          <w:lang w:val="en-US" w:eastAsia="zh-CN"/>
        </w:rPr>
        <w:t>投标无效</w:t>
      </w:r>
      <w:r>
        <w:rPr>
          <w:rFonts w:hint="eastAsia" w:ascii="仿宋_GB2312" w:hAnsi="仿宋_GB2312" w:eastAsia="仿宋_GB2312" w:cs="仿宋_GB2312"/>
          <w:b w:val="0"/>
          <w:bCs w:val="0"/>
          <w:sz w:val="24"/>
          <w:szCs w:val="24"/>
          <w:lang w:val="en-US" w:eastAsia="zh-CN"/>
        </w:rPr>
        <w:t>。承接企业如为监狱企业或残疾人福利性单位的，视同为小型、微型企业。</w:t>
      </w:r>
    </w:p>
    <w:p w14:paraId="67A7BC67">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 号）、《关于印发中小企业划型标准规定的通知》（工信部联企业〔2011〕300 号）、《国务院关于进一步促进中小企业发展的若干意见》（国发〔2009〕36 号）。</w:t>
      </w:r>
    </w:p>
    <w:p w14:paraId="1A9C9E4F">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 投标人提供的货物、工程或者服务符合下列情形的，享受中小企业扶持政策：</w:t>
      </w:r>
    </w:p>
    <w:p w14:paraId="4BB87C83">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在货物采购项目中，货物由中小企业制造，即货物由中小企业生产且使用该中小企业商号或者注册商标；</w:t>
      </w:r>
    </w:p>
    <w:p w14:paraId="094D8372">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在工程采购项目中，工程由中小企业承建，即工程施工单位为中小企业；</w:t>
      </w:r>
    </w:p>
    <w:p w14:paraId="3A417F0B">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在服务采购项目中，服务由中小企业承接，即提供服务的人员为中小企业依照《中华人民共和国劳动合同法》订立劳动合同的从业人员。 </w:t>
      </w:r>
    </w:p>
    <w:p w14:paraId="345E3C7E">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在货物采购项目中，投标人提供的货物既有中小企业制造货物，也有大型企业制造货物的，不享受中小企业扶持政策。 </w:t>
      </w:r>
    </w:p>
    <w:p w14:paraId="2E6BF040">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以联合体形式参加政府采购活动，联合体各方均为中小企业的，联合体视同中小企业。其中，联合体各方均为小微企业的，联合体视同小微企业。</w:t>
      </w:r>
    </w:p>
    <w:p w14:paraId="1A8A4C83">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14:paraId="1637F9D6">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享受政府采购支持政策的残疾人福利性单位根据《关于促进残疾人就业政府采购政策的通知》（财库〔2017〕141号）应当同时满足以下条件： </w:t>
      </w:r>
    </w:p>
    <w:p w14:paraId="48A937E6">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安置的残疾人占本单位在职职工人数的比例不低于25%（含25%），并且安置的残疾人人数不少于10人（含10人）； </w:t>
      </w:r>
    </w:p>
    <w:p w14:paraId="3C6DDEB8">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依法与安置的每位残疾人签订了一年以上（含一年）的劳动合同或服务协议；</w:t>
      </w:r>
    </w:p>
    <w:p w14:paraId="686CA50B">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为安置的每位残疾人按月足额缴纳了基本养老保险、基本医疗保险、失业保险、工伤保险和生育保险等社会保险费；</w:t>
      </w:r>
    </w:p>
    <w:p w14:paraId="596F7F93">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通过银行等金融机构向安置的每位残疾人，按月支付了不低于单位所在区县适用的经省级人民政府批准的月最低工资标准的工资；</w:t>
      </w:r>
    </w:p>
    <w:p w14:paraId="71DC8777">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提供本单位制造的货物、承担的工程或者服务，或者提供其他残疾人福利性单位制造的货物（不包括使用非残疾人福利性单位注册商标的货物）。</w:t>
      </w:r>
    </w:p>
    <w:p w14:paraId="1E8D4EB7">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8365942">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享受中小企业扶持政策获得政府采购合同的，小微企业不得将合同分包给大中型企业，中型企业不得将合同分包给大型企业。</w:t>
      </w:r>
    </w:p>
    <w:p w14:paraId="03DD1CFD">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政府采购节能产品、环境标志产品</w:t>
      </w:r>
    </w:p>
    <w:p w14:paraId="66351C18">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11A84AB5">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 号）。 </w:t>
      </w:r>
    </w:p>
    <w:p w14:paraId="1EF7C620">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如本项目采购产品属于实施政府强制采购品目清单范围的节能产品，则投标人所报产品必须获得国家确定的认证机构出具的、处于有效期之内的节能产品认证证书，否则</w:t>
      </w:r>
      <w:r>
        <w:rPr>
          <w:rFonts w:hint="eastAsia" w:ascii="仿宋_GB2312" w:hAnsi="仿宋_GB2312" w:eastAsia="仿宋_GB2312" w:cs="仿宋_GB2312"/>
          <w:b/>
          <w:bCs/>
          <w:sz w:val="24"/>
          <w:szCs w:val="24"/>
          <w:lang w:val="en-US" w:eastAsia="zh-CN"/>
        </w:rPr>
        <w:t>投标无效</w:t>
      </w:r>
      <w:r>
        <w:rPr>
          <w:rFonts w:hint="eastAsia" w:ascii="仿宋_GB2312" w:hAnsi="仿宋_GB2312" w:eastAsia="仿宋_GB2312" w:cs="仿宋_GB2312"/>
          <w:b w:val="0"/>
          <w:bCs w:val="0"/>
          <w:sz w:val="24"/>
          <w:szCs w:val="24"/>
          <w:lang w:val="en-US" w:eastAsia="zh-CN"/>
        </w:rPr>
        <w:t>；</w:t>
      </w:r>
    </w:p>
    <w:p w14:paraId="5B8B8CC7">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非政府强制采购的节能产品或环境标志产品，依据品目清单和认证证书实施政府优先采购。优先采购的具体规定见第六章《评标程序、评标方法和评标标准》（如涉及）。</w:t>
      </w:r>
    </w:p>
    <w:p w14:paraId="64DA244C">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支持乡村产业振兴管理</w:t>
      </w:r>
    </w:p>
    <w:p w14:paraId="2847A76C">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为落实《关于运用政府采购政策支持乡村产业振兴的通知》（财库〔2021〕19 号）有关要求，做好支持脱贫攻坚工作，本项目采购活动中对于支持乡村振兴管理的相关要求见第五章《采购需求》（如涉及）。</w:t>
      </w:r>
    </w:p>
    <w:p w14:paraId="243E7617">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 正版软件</w:t>
      </w:r>
    </w:p>
    <w:p w14:paraId="2863401E">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15629.11/1102）并通过国家产品认证的产品。其中，国家有特殊信息安全要求的项目必须采购认证产品，否则</w:t>
      </w:r>
      <w:r>
        <w:rPr>
          <w:rFonts w:hint="eastAsia" w:ascii="仿宋_GB2312" w:hAnsi="仿宋_GB2312" w:eastAsia="仿宋_GB2312" w:cs="仿宋_GB2312"/>
          <w:b/>
          <w:bCs/>
          <w:sz w:val="24"/>
          <w:szCs w:val="24"/>
          <w:lang w:val="en-US" w:eastAsia="zh-CN"/>
        </w:rPr>
        <w:t>投标无效</w:t>
      </w:r>
      <w:r>
        <w:rPr>
          <w:rFonts w:hint="eastAsia" w:ascii="仿宋_GB2312" w:hAnsi="仿宋_GB2312" w:eastAsia="仿宋_GB2312" w:cs="仿宋_GB2312"/>
          <w:b w:val="0"/>
          <w:bCs w:val="0"/>
          <w:sz w:val="24"/>
          <w:szCs w:val="24"/>
          <w:lang w:val="en-US" w:eastAsia="zh-CN"/>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1B946306">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 </w:t>
      </w:r>
    </w:p>
    <w:p w14:paraId="21959E9A">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供应商信用记录</w:t>
      </w:r>
    </w:p>
    <w:p w14:paraId="3ED3E953">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依据《财政部关于在政府采购活动中查询及使用信用记录有关问题的通知》（财库〔2016〕125号），采购人、采购代理机构应当通过“信用中国”网站（www.creditchina.gov.cn）、中国政府采购网（www.ccgp.gov.cn）等渠道查询相关主体信用记录，对列入失信被执行人、重大税收违法案件当事人名单、政府采购严重违法失信行为记录名单、《中华人民共和国政府采购法实施条例》第十九条规定的行政处罚记录及其他不符合《中华人民共和国政府采购法》第二十二条规定条件的供应商，其响应文件将被认定为无效响应。两个以上的自然人、法人或者其他组织组成一个联合体，以一个供应商的身份共同参加政府采购活动的，应当对所有联合体成员进行信用记录查询，联合体成员存在不良信用记录的，视同联合体存在不良信用记录，其响应文件将被认定为无效响应。</w:t>
      </w:r>
    </w:p>
    <w:p w14:paraId="0FE13A48">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采购需求标准</w:t>
      </w:r>
    </w:p>
    <w:p w14:paraId="1384D389">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商品包装、快递包装政府采购需求标准（试行）</w:t>
      </w:r>
    </w:p>
    <w:p w14:paraId="16D8FBA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号），本项目如涉及商品包装和快递包装的，则其具体要求见第五章《采购需求》。</w:t>
      </w:r>
    </w:p>
    <w:p w14:paraId="06C71E1B">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绿色数据中心政府采购需求标准（试行）</w:t>
      </w:r>
    </w:p>
    <w:p w14:paraId="386E0AD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为加快数据中心绿色转型，根据财政部生态环境部工业和信息化部关于印发《绿色数据中心政府采购需求标准（试行）》的通知（财库〔2023〕7 号），本项目如涉及绿色数据中心，则具体要求见第五章《采购需求》。</w:t>
      </w:r>
    </w:p>
    <w:p w14:paraId="0D70E644">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其他采购需求标准</w:t>
      </w:r>
    </w:p>
    <w:p w14:paraId="3371736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为提高数据库政府采购需求管理的科学化、规范化水平，财政部、工业和信息化部制定了《数据库政府采购需求标准（2023版）》、《操作系统政府采购需求标准（2023版）》、《工作站政府采购需求标准（2023年版）》、《通用服务器政府采购需求标准（2023年版）》、《一体式计算机政府采购需求标准（2023年版）》、《便携式计算机政府采购需求标准（2023年版）》、《台式计算机政府采购需求标准（2023年版）》，本项目如涉及数据库、操作系统、工作站、通用服务器、一体式计算机、便携式计算机、台式计算机等，则具体要求见第五章《采购需求》。</w:t>
      </w:r>
    </w:p>
    <w:p w14:paraId="19E0424F">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如</w:t>
      </w:r>
      <w:r>
        <w:rPr>
          <w:rFonts w:hint="eastAsia" w:ascii="仿宋_GB2312" w:hAnsi="仿宋_GB2312" w:eastAsia="仿宋_GB2312" w:cs="仿宋_GB2312"/>
          <w:b w:val="0"/>
          <w:bCs w:val="0"/>
          <w:sz w:val="24"/>
          <w:szCs w:val="24"/>
          <w:u w:val="single"/>
          <w:lang w:val="en-US" w:eastAsia="zh-CN"/>
        </w:rPr>
        <w:t>投标须知前附表</w:t>
      </w:r>
      <w:r>
        <w:rPr>
          <w:rFonts w:hint="eastAsia" w:ascii="仿宋_GB2312" w:hAnsi="仿宋_GB2312" w:eastAsia="仿宋_GB2312" w:cs="仿宋_GB2312"/>
          <w:b w:val="0"/>
          <w:bCs w:val="0"/>
          <w:sz w:val="24"/>
          <w:szCs w:val="24"/>
          <w:lang w:val="en-US" w:eastAsia="zh-CN"/>
        </w:rPr>
        <w:t>中允许联合体投标，对联合体规定如下：</w:t>
      </w:r>
    </w:p>
    <w:p w14:paraId="666DA32C">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两个以上投标人可以组成一个投标联合体，以一个投标人的身份投标。  </w:t>
      </w:r>
    </w:p>
    <w:p w14:paraId="35DC8045">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联合体各方均应符合《中华人民共和国政府采购法》第二十二条规定的条件，遵守国家、本项目采购人本级和上级财政部门政府采购的有关规定。</w:t>
      </w:r>
    </w:p>
    <w:p w14:paraId="5FC5767A">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采购人根据采购项目对投标人的特殊要求，联合体中至少应当有一方符合相关规定。</w:t>
      </w:r>
    </w:p>
    <w:p w14:paraId="43F82DFA">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联合体各方应签订共同投标协议，明确约定联合体各方承担的工作和相应的责任，并将共同投标协议连同投标文件一并提交采购人或采购代理机构。</w:t>
      </w:r>
    </w:p>
    <w:p w14:paraId="54E32D2E">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大中型企业、自然人、法人或者其他组织与小型、微型企业组成联合体共同参加投标，共同投标协议中应写明小型、微型企业的协议合同金额占到共同投标协议投标总金额的比例。联合体各方均为中小企业的，联合体视同中小企业。其中，联合体各方均为小微企业的，联合体视同小微企业。</w:t>
      </w:r>
    </w:p>
    <w:p w14:paraId="7F8C967E">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联合体中有同类资质的投标人按照联合体分工承担相同工作的，按照资质等级较低的投标人确定资质等级。</w:t>
      </w:r>
    </w:p>
    <w:p w14:paraId="34E1EEA9">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对联合体投标的其他资格要求见</w:t>
      </w:r>
      <w:r>
        <w:rPr>
          <w:rFonts w:hint="eastAsia" w:ascii="仿宋_GB2312" w:hAnsi="仿宋_GB2312" w:eastAsia="仿宋_GB2312" w:cs="仿宋_GB2312"/>
          <w:b w:val="0"/>
          <w:bCs w:val="0"/>
          <w:sz w:val="24"/>
          <w:szCs w:val="24"/>
          <w:u w:val="single"/>
          <w:lang w:val="en-US" w:eastAsia="zh-CN"/>
        </w:rPr>
        <w:t>投标须知前附表</w:t>
      </w:r>
      <w:r>
        <w:rPr>
          <w:rFonts w:hint="eastAsia" w:ascii="仿宋_GB2312" w:hAnsi="仿宋_GB2312" w:eastAsia="仿宋_GB2312" w:cs="仿宋_GB2312"/>
          <w:b w:val="0"/>
          <w:bCs w:val="0"/>
          <w:sz w:val="24"/>
          <w:szCs w:val="24"/>
          <w:lang w:val="en-US" w:eastAsia="zh-CN"/>
        </w:rPr>
        <w:t>。</w:t>
      </w:r>
    </w:p>
    <w:p w14:paraId="62B80BF8">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单位负责人为同一人或者存在直接控股、管理关系的不同投标人，其投标将被认定为</w:t>
      </w:r>
      <w:r>
        <w:rPr>
          <w:rFonts w:hint="eastAsia" w:ascii="仿宋_GB2312" w:hAnsi="仿宋_GB2312" w:eastAsia="仿宋_GB2312" w:cs="仿宋_GB2312"/>
          <w:b/>
          <w:bCs/>
          <w:sz w:val="24"/>
          <w:szCs w:val="24"/>
          <w:lang w:val="en-US" w:eastAsia="zh-CN"/>
        </w:rPr>
        <w:t>投标无效</w:t>
      </w:r>
      <w:r>
        <w:rPr>
          <w:rFonts w:hint="eastAsia" w:ascii="仿宋_GB2312" w:hAnsi="仿宋_GB2312" w:eastAsia="仿宋_GB2312" w:cs="仿宋_GB2312"/>
          <w:b w:val="0"/>
          <w:bCs w:val="0"/>
          <w:sz w:val="24"/>
          <w:szCs w:val="24"/>
          <w:lang w:val="en-US" w:eastAsia="zh-CN"/>
        </w:rPr>
        <w:t xml:space="preserve">。 </w:t>
      </w:r>
    </w:p>
    <w:p w14:paraId="588D93A0">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为本项目提供整体设计、规范编制或者项目管理、监理、检测等服务的投标人，其投标将被认定为</w:t>
      </w:r>
      <w:r>
        <w:rPr>
          <w:rFonts w:hint="eastAsia" w:ascii="仿宋_GB2312" w:hAnsi="仿宋_GB2312" w:eastAsia="仿宋_GB2312" w:cs="仿宋_GB2312"/>
          <w:b/>
          <w:bCs/>
          <w:sz w:val="24"/>
          <w:szCs w:val="24"/>
          <w:lang w:val="en-US" w:eastAsia="zh-CN"/>
        </w:rPr>
        <w:t>投标无效</w:t>
      </w:r>
      <w:r>
        <w:rPr>
          <w:rFonts w:hint="eastAsia" w:ascii="仿宋_GB2312" w:hAnsi="仿宋_GB2312" w:eastAsia="仿宋_GB2312" w:cs="仿宋_GB2312"/>
          <w:b w:val="0"/>
          <w:bCs w:val="0"/>
          <w:sz w:val="24"/>
          <w:szCs w:val="24"/>
          <w:lang w:val="en-US" w:eastAsia="zh-CN"/>
        </w:rPr>
        <w:t>。</w:t>
      </w:r>
    </w:p>
    <w:p w14:paraId="0DAF1E22">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 xml:space="preserve"> 资金来源 </w:t>
      </w:r>
    </w:p>
    <w:p w14:paraId="4F57C1A8">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本项目的采购人已获得足以支付本次招标后所签订的合同项下的资金（包括财政性资金和本项目采购中无法与财政性资金分割的非财政性资金）。 </w:t>
      </w:r>
    </w:p>
    <w:p w14:paraId="0E60C31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项目预算金额和最高限价见</w:t>
      </w:r>
      <w:r>
        <w:rPr>
          <w:rFonts w:hint="eastAsia" w:ascii="仿宋_GB2312" w:hAnsi="仿宋_GB2312" w:eastAsia="仿宋_GB2312" w:cs="仿宋_GB2312"/>
          <w:b w:val="0"/>
          <w:bCs w:val="0"/>
          <w:sz w:val="24"/>
          <w:szCs w:val="24"/>
          <w:u w:val="single"/>
          <w:lang w:val="en-US" w:eastAsia="zh-CN"/>
        </w:rPr>
        <w:t>投标须知前附表</w:t>
      </w:r>
      <w:r>
        <w:rPr>
          <w:rFonts w:hint="eastAsia" w:ascii="仿宋_GB2312" w:hAnsi="仿宋_GB2312" w:eastAsia="仿宋_GB2312" w:cs="仿宋_GB2312"/>
          <w:b w:val="0"/>
          <w:bCs w:val="0"/>
          <w:sz w:val="24"/>
          <w:szCs w:val="24"/>
          <w:lang w:val="en-US" w:eastAsia="zh-CN"/>
        </w:rPr>
        <w:t>。</w:t>
      </w:r>
    </w:p>
    <w:p w14:paraId="6FF76C0A">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投标人报价超过招标文件规定的预算金额或者最高限价的，其投标将被认定为</w:t>
      </w:r>
      <w:r>
        <w:rPr>
          <w:rFonts w:hint="eastAsia" w:ascii="仿宋_GB2312" w:hAnsi="仿宋_GB2312" w:eastAsia="仿宋_GB2312" w:cs="仿宋_GB2312"/>
          <w:b/>
          <w:bCs/>
          <w:sz w:val="24"/>
          <w:szCs w:val="24"/>
          <w:lang w:val="en-US" w:eastAsia="zh-CN"/>
        </w:rPr>
        <w:t>投标无效</w:t>
      </w:r>
      <w:r>
        <w:rPr>
          <w:rFonts w:hint="eastAsia" w:ascii="仿宋_GB2312" w:hAnsi="仿宋_GB2312" w:eastAsia="仿宋_GB2312" w:cs="仿宋_GB2312"/>
          <w:b w:val="0"/>
          <w:bCs w:val="0"/>
          <w:sz w:val="24"/>
          <w:szCs w:val="24"/>
          <w:lang w:val="en-US" w:eastAsia="zh-CN"/>
        </w:rPr>
        <w:t xml:space="preserve">。 </w:t>
      </w:r>
    </w:p>
    <w:p w14:paraId="06D1C8D0">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投标费用</w:t>
      </w:r>
    </w:p>
    <w:p w14:paraId="31C6AB9B">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投标人应自行承担所有与准备和参加投标有关的费用，无论投标的结果如何，采购人或采购代理机构在任何情况下均无承担这些费用的义务和责任。</w:t>
      </w:r>
    </w:p>
    <w:p w14:paraId="3EF778AC">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bCs/>
          <w:sz w:val="24"/>
          <w:szCs w:val="24"/>
          <w:lang w:val="en-US" w:eastAsia="zh-CN"/>
        </w:rPr>
        <w:t>适用法律</w:t>
      </w:r>
    </w:p>
    <w:p w14:paraId="45C9A712">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本项目采购人、采购代理机构、投标人、评标委员会的相关行为均受《中华人民共和国政府采购法》、《中华人民共和国政府采购法实施条例》、《政府采购货物和服务招标投标管理办法》（财政部令第87号）及本项目本级和上级财政部门政府采购有关规定的约束，其权利受到上述法律法规的保护。</w:t>
      </w:r>
    </w:p>
    <w:p w14:paraId="6F8D3310">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bCs/>
          <w:sz w:val="24"/>
          <w:szCs w:val="24"/>
          <w:lang w:val="en-US" w:eastAsia="zh-CN"/>
        </w:rPr>
      </w:pPr>
    </w:p>
    <w:p w14:paraId="18BBB03A">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00" w:lineRule="exact"/>
        <w:ind w:leftChars="0"/>
        <w:jc w:val="center"/>
        <w:textAlignment w:val="auto"/>
        <w:outlineLvl w:val="1"/>
        <w:rPr>
          <w:rFonts w:hint="eastAsia" w:ascii="仿宋_GB2312" w:hAnsi="仿宋_GB2312" w:eastAsia="仿宋_GB2312" w:cs="仿宋_GB2312"/>
          <w:b/>
          <w:bCs/>
          <w:sz w:val="24"/>
          <w:szCs w:val="24"/>
          <w:lang w:val="en-US" w:eastAsia="zh-CN"/>
        </w:rPr>
      </w:pPr>
      <w:bookmarkStart w:id="11" w:name="_Toc6547"/>
      <w:r>
        <w:rPr>
          <w:rFonts w:hint="eastAsia" w:ascii="仿宋_GB2312" w:hAnsi="仿宋_GB2312" w:eastAsia="仿宋_GB2312" w:cs="仿宋_GB2312"/>
          <w:b/>
          <w:bCs/>
          <w:sz w:val="24"/>
          <w:szCs w:val="24"/>
          <w:lang w:val="en-US" w:eastAsia="zh-CN"/>
        </w:rPr>
        <w:t>招标文件</w:t>
      </w:r>
      <w:bookmarkEnd w:id="11"/>
    </w:p>
    <w:p w14:paraId="364BE066">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招标文件构成</w:t>
      </w:r>
    </w:p>
    <w:p w14:paraId="509D870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招标文件包括以下部分：</w:t>
      </w:r>
    </w:p>
    <w:p w14:paraId="1091F071">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第一章 招标公告（投标邀请） </w:t>
      </w:r>
    </w:p>
    <w:p w14:paraId="3331E39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第二章 投标须知前附表 </w:t>
      </w:r>
    </w:p>
    <w:p w14:paraId="56E8928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第三章 投标人须知</w:t>
      </w:r>
    </w:p>
    <w:p w14:paraId="7D0C3985">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第四章 政府采购合同 </w:t>
      </w:r>
    </w:p>
    <w:p w14:paraId="0780A5D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第五章 采购需求 </w:t>
      </w:r>
    </w:p>
    <w:p w14:paraId="7D599DF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第六章 评标程序、评标方法和评标标准</w:t>
      </w:r>
    </w:p>
    <w:p w14:paraId="607249A1">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第七章 投标文件格式 </w:t>
      </w:r>
    </w:p>
    <w:p w14:paraId="1A5866E5">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投标人应认真阅读招标文件的全部内容。投标人应按照招标文件要求提交投标文件并保证所提供的全部资料的真实性，并对招标文件做出实质性响应，否则</w:t>
      </w:r>
      <w:r>
        <w:rPr>
          <w:rFonts w:hint="eastAsia" w:ascii="仿宋_GB2312" w:hAnsi="仿宋_GB2312" w:eastAsia="仿宋_GB2312" w:cs="仿宋_GB2312"/>
          <w:b/>
          <w:bCs/>
          <w:sz w:val="24"/>
          <w:szCs w:val="24"/>
          <w:lang w:val="en-US" w:eastAsia="zh-CN"/>
        </w:rPr>
        <w:t>投标无效</w:t>
      </w:r>
      <w:r>
        <w:rPr>
          <w:rFonts w:hint="eastAsia" w:ascii="仿宋_GB2312" w:hAnsi="仿宋_GB2312" w:eastAsia="仿宋_GB2312" w:cs="仿宋_GB2312"/>
          <w:b w:val="0"/>
          <w:bCs w:val="0"/>
          <w:sz w:val="24"/>
          <w:szCs w:val="24"/>
          <w:lang w:val="en-US" w:eastAsia="zh-CN"/>
        </w:rPr>
        <w:t>。</w:t>
      </w:r>
    </w:p>
    <w:p w14:paraId="205A04E9">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招标文件中有不一致的，有澄清的部分以最终的澄清更正内容为准；未澄清的，以投标须知前附表为准；</w:t>
      </w:r>
      <w:r>
        <w:rPr>
          <w:rFonts w:hint="eastAsia" w:ascii="仿宋_GB2312" w:hAnsi="仿宋_GB2312" w:eastAsia="仿宋_GB2312" w:cs="仿宋_GB2312"/>
          <w:b w:val="0"/>
          <w:bCs w:val="0"/>
          <w:sz w:val="24"/>
          <w:szCs w:val="24"/>
          <w:u w:val="none"/>
          <w:lang w:val="en-US" w:eastAsia="zh-CN"/>
        </w:rPr>
        <w:t>投标须知前附表</w:t>
      </w:r>
      <w:r>
        <w:rPr>
          <w:rFonts w:hint="eastAsia" w:ascii="仿宋_GB2312" w:hAnsi="仿宋_GB2312" w:eastAsia="仿宋_GB2312" w:cs="仿宋_GB2312"/>
          <w:b w:val="0"/>
          <w:bCs w:val="0"/>
          <w:sz w:val="24"/>
          <w:szCs w:val="24"/>
          <w:lang w:val="en-US" w:eastAsia="zh-CN"/>
        </w:rPr>
        <w:t>不涉及的内容，以编排在后的最后描述为准。</w:t>
      </w:r>
    </w:p>
    <w:p w14:paraId="18C5278F">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现场考察或者答疑会及相关事项见</w:t>
      </w:r>
      <w:r>
        <w:rPr>
          <w:rFonts w:hint="eastAsia" w:ascii="仿宋_GB2312" w:hAnsi="仿宋_GB2312" w:eastAsia="仿宋_GB2312" w:cs="仿宋_GB2312"/>
          <w:b w:val="0"/>
          <w:bCs w:val="0"/>
          <w:sz w:val="24"/>
          <w:szCs w:val="24"/>
          <w:u w:val="single"/>
          <w:lang w:val="en-US" w:eastAsia="zh-CN"/>
        </w:rPr>
        <w:t>投标须知前附表</w:t>
      </w:r>
      <w:r>
        <w:rPr>
          <w:rFonts w:hint="eastAsia" w:ascii="仿宋_GB2312" w:hAnsi="仿宋_GB2312" w:eastAsia="仿宋_GB2312" w:cs="仿宋_GB2312"/>
          <w:b w:val="0"/>
          <w:bCs w:val="0"/>
          <w:sz w:val="24"/>
          <w:szCs w:val="24"/>
          <w:lang w:val="en-US" w:eastAsia="zh-CN"/>
        </w:rPr>
        <w:t>。</w:t>
      </w:r>
    </w:p>
    <w:p w14:paraId="449CF21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采购人在踏勘现场中介绍的资料和数据等，只是为了使投标人能够利用招标人现有的资料。招标人对投标人由此而作出的推论、解释和结论概不负责。</w:t>
      </w:r>
    </w:p>
    <w:p w14:paraId="1FF377D9">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投标人自行承担踏勘现场发生的责任、风险和自身费用。</w:t>
      </w:r>
    </w:p>
    <w:p w14:paraId="5186784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原则上采购人、采购代理机构不要求投标人提供样品。除仅凭书面方式不能准确描述采购需求，或者需要对样品进行主观判断以确认是否满足采购需求等特殊情况除外。如需提供样品，对样品相关要求见</w:t>
      </w:r>
      <w:r>
        <w:rPr>
          <w:rFonts w:hint="eastAsia" w:ascii="仿宋_GB2312" w:hAnsi="仿宋_GB2312" w:eastAsia="仿宋_GB2312" w:cs="仿宋_GB2312"/>
          <w:b w:val="0"/>
          <w:bCs w:val="0"/>
          <w:sz w:val="24"/>
          <w:szCs w:val="24"/>
          <w:u w:val="single"/>
          <w:lang w:val="en-US" w:eastAsia="zh-CN"/>
        </w:rPr>
        <w:t>投标须知前附表</w:t>
      </w:r>
      <w:r>
        <w:rPr>
          <w:rFonts w:hint="eastAsia" w:ascii="仿宋_GB2312" w:hAnsi="仿宋_GB2312" w:eastAsia="仿宋_GB2312" w:cs="仿宋_GB2312"/>
          <w:b w:val="0"/>
          <w:bCs w:val="0"/>
          <w:sz w:val="24"/>
          <w:szCs w:val="24"/>
          <w:lang w:val="en-US" w:eastAsia="zh-CN"/>
        </w:rPr>
        <w:t>，对样品的评审方法及评审标准见招标文件第六章《评标程序、评标方法和评标标准》。</w:t>
      </w:r>
    </w:p>
    <w:p w14:paraId="4995B714">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招标文件规定投标人提交样品的，样品属于投标文件的组成部分。样品的生产、运输、安装、保全等一切费用由投标人自理。</w:t>
      </w:r>
    </w:p>
    <w:p w14:paraId="7E54015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采购结果公告发布后，中标供应商的样品由采购人封存，作为履约验收的依据之一。未中标供应商在接到采购代理机构通知后，应按规定时间尽快自行取回样品，否则视同供应商不再认领，代理机构有权进行处理。</w:t>
      </w:r>
    </w:p>
    <w:p w14:paraId="71C36ADE">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对招标文件的澄清或修改</w:t>
      </w:r>
    </w:p>
    <w:p w14:paraId="5F1BDFE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采购人或采购代理机构对已发出的招标文件进行必要澄清或者修改的，将在原公告发布媒体（网站）上发布更正公告（通知），因投标人未及时登陆媒体（网站）查看导致通知未及时收到通知的，采购人或采购代理机构不承担责任。</w:t>
      </w:r>
    </w:p>
    <w:p w14:paraId="088C4810">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14:paraId="53C5568E">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澄清或者修改的内容为招标文件的组成部分，并对所有获取招标文件的潜在投标人具有约束力。澄清或者修改的内容可能影响投标文件编制的，将在投标截止时间至少 15 日前发布；不足 15 日的，将顺延提交投标文件的截止时间和开标时间。</w:t>
      </w:r>
    </w:p>
    <w:p w14:paraId="77615D9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为了保证对招标文件的澄清和修改满足法律的时限要求，任何要求对招标文件进行澄清的投标人，均应在投标截止期十五日前，以书面形式将澄清要求通知采购人或采购代理机构。</w:t>
      </w:r>
    </w:p>
    <w:p w14:paraId="21747320">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如更正公告有重新发布电子招标文件的，投标人应登录电子招投标平台下载最新发布的电子招标文件制作投标文件。</w:t>
      </w:r>
    </w:p>
    <w:p w14:paraId="1FB0234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投标人在规定的时间内未对招标文件提出疑问、质疑或要求澄清的，将视其为无异议。对招标文件中描述有歧义或前后不一致的地方，评标委员会有权进行评判，但对同一条款的评判应适用于每个投标人。</w:t>
      </w:r>
    </w:p>
    <w:p w14:paraId="54A99331">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lang w:val="en-US" w:eastAsia="zh-CN"/>
        </w:rPr>
      </w:pPr>
    </w:p>
    <w:p w14:paraId="16CB4D13">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_GB2312" w:hAnsi="仿宋_GB2312" w:eastAsia="仿宋_GB2312" w:cs="仿宋_GB2312"/>
          <w:b/>
          <w:bCs/>
          <w:sz w:val="24"/>
          <w:szCs w:val="24"/>
          <w:lang w:val="en-US" w:eastAsia="zh-CN"/>
        </w:rPr>
      </w:pPr>
      <w:bookmarkStart w:id="12" w:name="_Toc9070"/>
      <w:r>
        <w:rPr>
          <w:rFonts w:hint="eastAsia" w:ascii="仿宋_GB2312" w:hAnsi="仿宋_GB2312" w:eastAsia="仿宋_GB2312" w:cs="仿宋_GB2312"/>
          <w:b/>
          <w:bCs/>
          <w:sz w:val="24"/>
          <w:szCs w:val="24"/>
          <w:lang w:val="en-US" w:eastAsia="zh-CN"/>
        </w:rPr>
        <w:t>投标文件的编制</w:t>
      </w:r>
      <w:bookmarkEnd w:id="12"/>
    </w:p>
    <w:p w14:paraId="215A7743">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u w:val="single"/>
          <w:lang w:val="en-US" w:eastAsia="zh-CN"/>
        </w:rPr>
      </w:pPr>
      <w:r>
        <w:rPr>
          <w:rFonts w:hint="eastAsia" w:ascii="仿宋_GB2312" w:hAnsi="仿宋_GB2312" w:eastAsia="仿宋_GB2312" w:cs="仿宋_GB2312"/>
          <w:b w:val="0"/>
          <w:bCs w:val="0"/>
          <w:sz w:val="24"/>
          <w:szCs w:val="24"/>
          <w:lang w:val="en-US" w:eastAsia="zh-CN"/>
        </w:rPr>
        <w:t>投标范围、投标文件中计量单位的使用及投标语言</w:t>
      </w:r>
    </w:p>
    <w:p w14:paraId="0E051073">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投标人可对招标文件中一个或几个分包进行投标，除非在</w:t>
      </w:r>
      <w:r>
        <w:rPr>
          <w:rFonts w:hint="eastAsia" w:ascii="仿宋_GB2312" w:hAnsi="仿宋_GB2312" w:eastAsia="仿宋_GB2312" w:cs="仿宋_GB2312"/>
          <w:b w:val="0"/>
          <w:bCs w:val="0"/>
          <w:sz w:val="24"/>
          <w:szCs w:val="24"/>
          <w:u w:val="single"/>
          <w:lang w:val="en-US" w:eastAsia="zh-CN"/>
        </w:rPr>
        <w:t>投标须知前附表中另有规定</w:t>
      </w:r>
      <w:r>
        <w:rPr>
          <w:rFonts w:hint="eastAsia" w:ascii="仿宋_GB2312" w:hAnsi="仿宋_GB2312" w:eastAsia="仿宋_GB2312" w:cs="仿宋_GB2312"/>
          <w:b w:val="0"/>
          <w:bCs w:val="0"/>
          <w:sz w:val="24"/>
          <w:szCs w:val="24"/>
          <w:lang w:val="en-US" w:eastAsia="zh-CN"/>
        </w:rPr>
        <w:t xml:space="preserve">。 </w:t>
      </w:r>
    </w:p>
    <w:p w14:paraId="2024F265">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投标人应当对所投采购包对应第五章《采购需求》所列的全部内容进行投标，不得将一个采购包中的内容拆分投标，其该包投标将被认定为</w:t>
      </w:r>
      <w:r>
        <w:rPr>
          <w:rFonts w:hint="eastAsia" w:ascii="仿宋_GB2312" w:hAnsi="仿宋_GB2312" w:eastAsia="仿宋_GB2312" w:cs="仿宋_GB2312"/>
          <w:b/>
          <w:bCs/>
          <w:sz w:val="24"/>
          <w:szCs w:val="24"/>
          <w:lang w:val="en-US" w:eastAsia="zh-CN"/>
        </w:rPr>
        <w:t>投标无效</w:t>
      </w:r>
      <w:r>
        <w:rPr>
          <w:rFonts w:hint="eastAsia" w:ascii="仿宋_GB2312" w:hAnsi="仿宋_GB2312" w:eastAsia="仿宋_GB2312" w:cs="仿宋_GB2312"/>
          <w:b w:val="0"/>
          <w:bCs w:val="0"/>
          <w:sz w:val="24"/>
          <w:szCs w:val="24"/>
          <w:lang w:val="en-US" w:eastAsia="zh-CN"/>
        </w:rPr>
        <w:t>。</w:t>
      </w:r>
    </w:p>
    <w:p w14:paraId="72C19BCC">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无论招标文件中是否要求，投标人所投货物或服务均应符合国家强制性标准。</w:t>
      </w:r>
    </w:p>
    <w:p w14:paraId="57758C9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除招标文件有特殊要求外，本项目投标所使用的计量单位，应采用中华人民共和国法定计量单位。</w:t>
      </w:r>
    </w:p>
    <w:p w14:paraId="7D28B2C9">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 </w:t>
      </w:r>
    </w:p>
    <w:p w14:paraId="44B2E4DD">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投标文件构成</w:t>
      </w:r>
    </w:p>
    <w:p w14:paraId="0665B7B6">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投标人应当按照招标文件的要求编制投标文件。投标文件应由资格证明文件、报价文件、商务和技术文件四部分构成。投标文件的部分格式要求，见第七章《投标文件格式》。</w:t>
      </w:r>
    </w:p>
    <w:p w14:paraId="3CA66D8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第五章《采购需求》及第六章《评标程序、评标方法和评标标准》中涉及的证明文件。</w:t>
      </w:r>
    </w:p>
    <w:p w14:paraId="6EC549F4">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对照第五章《采购需求》，说明所提供货物或服务已对第五章《采购需求》做出了响应，或申明与第五章《采购需求》的偏差和例外。如第五章《采购需求》中要求提供证明文件的，投标人应当按具体要求提供证明文件。</w:t>
      </w:r>
    </w:p>
    <w:p w14:paraId="77E89BB2">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投标人认为应附的其他材料。</w:t>
      </w:r>
    </w:p>
    <w:p w14:paraId="3BB59A4B">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上述文件应按照招标文件的规定签署和盖公章或经公章授权的其他单位章（以下统称公章）。采用公章授权方式的，应当在投标文件中附公章授权书（格式自定）。使用电子签名和电子印章的（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文件指定位置进行签名（含电子签名）和盖章（含电子印章），对允许采用手写签名的文件，应在纸质文件手写签名后，提供文件的彩色扫描电子文档进行后续操作。</w:t>
      </w:r>
    </w:p>
    <w:p w14:paraId="74D6443D">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投标报价</w:t>
      </w:r>
    </w:p>
    <w:p w14:paraId="0B43D14C">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所有投标均以人民币报价。</w:t>
      </w:r>
    </w:p>
    <w:p w14:paraId="557D10E9">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人的报价应当包括完成本次招标全部采购需求所应提供的全部内容所发生的一切费用和税费，采购人将不再支付报价以外的任何费用。采购需求中有特殊规定的，从其规定。投标人的投标报价应遵守《中华人民共和国价格法》。同时，根据《中华人民共和国政府采购法》及相关配套法律、法规的规定，为保证公平竞争，如投标人有赠与行为的，将导致其</w:t>
      </w:r>
      <w:r>
        <w:rPr>
          <w:rFonts w:hint="eastAsia" w:ascii="仿宋_GB2312" w:hAnsi="仿宋_GB2312" w:eastAsia="仿宋_GB2312" w:cs="仿宋_GB2312"/>
          <w:b/>
          <w:bCs/>
          <w:sz w:val="24"/>
          <w:szCs w:val="24"/>
          <w:lang w:val="en-US" w:eastAsia="zh-CN"/>
        </w:rPr>
        <w:t>投标被拒绝</w:t>
      </w:r>
      <w:r>
        <w:rPr>
          <w:rFonts w:hint="eastAsia" w:ascii="仿宋_GB2312" w:hAnsi="仿宋_GB2312" w:eastAsia="仿宋_GB2312" w:cs="仿宋_GB2312"/>
          <w:b w:val="0"/>
          <w:bCs w:val="0"/>
          <w:sz w:val="24"/>
          <w:szCs w:val="24"/>
          <w:lang w:val="en-US" w:eastAsia="zh-CN"/>
        </w:rPr>
        <w:t>。</w:t>
      </w:r>
    </w:p>
    <w:p w14:paraId="11FBD3E9">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投标人所报的各分项投标单价在合同履行过程中是固定不变的，不得以任何理由予以变更。任何包含价格调整要求的投标或有选择性或可调整的报价（招标文件另有规定的除外），其投标将被认定为</w:t>
      </w:r>
      <w:r>
        <w:rPr>
          <w:rFonts w:hint="eastAsia" w:ascii="仿宋_GB2312" w:hAnsi="仿宋_GB2312" w:eastAsia="仿宋_GB2312" w:cs="仿宋_GB2312"/>
          <w:b/>
          <w:bCs/>
          <w:sz w:val="24"/>
          <w:szCs w:val="24"/>
          <w:lang w:val="en-US" w:eastAsia="zh-CN"/>
        </w:rPr>
        <w:t>投标无效</w:t>
      </w:r>
      <w:r>
        <w:rPr>
          <w:rFonts w:hint="eastAsia" w:ascii="仿宋_GB2312" w:hAnsi="仿宋_GB2312" w:eastAsia="仿宋_GB2312" w:cs="仿宋_GB2312"/>
          <w:b w:val="0"/>
          <w:bCs w:val="0"/>
          <w:sz w:val="24"/>
          <w:szCs w:val="24"/>
          <w:lang w:val="en-US" w:eastAsia="zh-CN"/>
        </w:rPr>
        <w:t xml:space="preserve">。 </w:t>
      </w:r>
    </w:p>
    <w:p w14:paraId="27DC2BBF">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人应按照““第五章采购需求”的需求内容、责任范围以及第四章政府采购合同”进行报价。并按“开标一览表”和“分项报价表”规定的格式报出总价和分项价格。投标总价中不得包含招标文件要求以外的内容，否则，在评审时不予核减。</w:t>
      </w:r>
    </w:p>
    <w:p w14:paraId="0367E3BB">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投标保证金</w:t>
      </w:r>
    </w:p>
    <w:p w14:paraId="6CBD27D4">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投标人应按</w:t>
      </w:r>
      <w:r>
        <w:rPr>
          <w:rFonts w:hint="eastAsia" w:ascii="仿宋_GB2312" w:hAnsi="仿宋_GB2312" w:eastAsia="仿宋_GB2312" w:cs="仿宋_GB2312"/>
          <w:b w:val="0"/>
          <w:bCs w:val="0"/>
          <w:sz w:val="24"/>
          <w:szCs w:val="24"/>
          <w:u w:val="single"/>
          <w:lang w:val="en-US" w:eastAsia="zh-CN"/>
        </w:rPr>
        <w:t>投标须知前附表</w:t>
      </w:r>
      <w:r>
        <w:rPr>
          <w:rFonts w:hint="eastAsia" w:ascii="仿宋_GB2312" w:hAnsi="仿宋_GB2312" w:eastAsia="仿宋_GB2312" w:cs="仿宋_GB2312"/>
          <w:b w:val="0"/>
          <w:bCs w:val="0"/>
          <w:sz w:val="24"/>
          <w:szCs w:val="24"/>
          <w:lang w:val="en-US" w:eastAsia="zh-CN"/>
        </w:rPr>
        <w:t>中规定的金额及要求交纳投标保证金，并作为其投标的一部分。</w:t>
      </w:r>
    </w:p>
    <w:p w14:paraId="54E410BF">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交纳保证金的形式除</w:t>
      </w:r>
      <w:r>
        <w:rPr>
          <w:rFonts w:hint="eastAsia" w:ascii="仿宋_GB2312" w:hAnsi="仿宋_GB2312" w:eastAsia="仿宋_GB2312" w:cs="仿宋_GB2312"/>
          <w:b w:val="0"/>
          <w:bCs w:val="0"/>
          <w:sz w:val="24"/>
          <w:szCs w:val="24"/>
          <w:u w:val="single"/>
          <w:lang w:val="en-US" w:eastAsia="zh-CN"/>
        </w:rPr>
        <w:t>供应商须知前附表</w:t>
      </w:r>
      <w:r>
        <w:rPr>
          <w:rFonts w:hint="eastAsia" w:ascii="仿宋_GB2312" w:hAnsi="仿宋_GB2312" w:eastAsia="仿宋_GB2312" w:cs="仿宋_GB2312"/>
          <w:b w:val="0"/>
          <w:bCs w:val="0"/>
          <w:sz w:val="24"/>
          <w:szCs w:val="24"/>
          <w:lang w:val="en-US" w:eastAsia="zh-CN"/>
        </w:rPr>
        <w:t>中另有约定外，可采用的形式：政府采购法律法规接受的支票、汇票、本票、网上银行支付或者金融机构、担保机构出具的保函等非现金形式。</w:t>
      </w:r>
    </w:p>
    <w:p w14:paraId="6308B00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w:t>
      </w:r>
      <w:r>
        <w:rPr>
          <w:rFonts w:hint="eastAsia" w:ascii="仿宋_GB2312" w:hAnsi="仿宋_GB2312" w:eastAsia="仿宋_GB2312" w:cs="仿宋_GB2312"/>
          <w:b/>
          <w:bCs/>
          <w:sz w:val="24"/>
          <w:szCs w:val="24"/>
          <w:lang w:val="en-US" w:eastAsia="zh-CN"/>
        </w:rPr>
        <w:t>投标无效</w:t>
      </w:r>
      <w:r>
        <w:rPr>
          <w:rFonts w:hint="eastAsia" w:ascii="仿宋_GB2312" w:hAnsi="仿宋_GB2312" w:eastAsia="仿宋_GB2312" w:cs="仿宋_GB2312"/>
          <w:b w:val="0"/>
          <w:bCs w:val="0"/>
          <w:sz w:val="24"/>
          <w:szCs w:val="24"/>
          <w:lang w:val="en-US" w:eastAsia="zh-CN"/>
        </w:rPr>
        <w:t>。</w:t>
      </w:r>
    </w:p>
    <w:p w14:paraId="243BA4B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如采用金融机构、专业担保机构开具的投标担保函、投标保证保险函等形式提交投标保证金的，投标担保函或投标保证保险函须开具给采购人（保险受益人须为采购人），否则其</w:t>
      </w:r>
      <w:r>
        <w:rPr>
          <w:rFonts w:hint="eastAsia" w:ascii="仿宋_GB2312" w:hAnsi="仿宋_GB2312" w:eastAsia="仿宋_GB2312" w:cs="仿宋_GB2312"/>
          <w:b/>
          <w:bCs/>
          <w:sz w:val="24"/>
          <w:szCs w:val="24"/>
          <w:lang w:val="en-US" w:eastAsia="zh-CN"/>
        </w:rPr>
        <w:t>投标无效</w:t>
      </w:r>
      <w:r>
        <w:rPr>
          <w:rFonts w:hint="eastAsia" w:ascii="仿宋_GB2312" w:hAnsi="仿宋_GB2312" w:eastAsia="仿宋_GB2312" w:cs="仿宋_GB2312"/>
          <w:b w:val="0"/>
          <w:bCs w:val="0"/>
          <w:sz w:val="24"/>
          <w:szCs w:val="24"/>
          <w:lang w:val="en-US" w:eastAsia="zh-CN"/>
        </w:rPr>
        <w:t>。电子保函与纸质保函具有同样效力。</w:t>
      </w:r>
    </w:p>
    <w:p w14:paraId="374773D5">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投标保证金（保函）有效期同投标有效期。</w:t>
      </w:r>
    </w:p>
    <w:p w14:paraId="6B4970A2">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联合体投标的，可以由联合体中的一方或者共同提交投标保证金，以一方名义提交投标保证金的，对联合体各方均具有约束力。</w:t>
      </w:r>
    </w:p>
    <w:p w14:paraId="3E18915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采购人、采购代理机构将及时退还投标人的投标保证金，采用银行保函、担保机构担保函等形式递交的投标保证金，经供应商同意后采购人、采购代理机构可以不再退还，但因投标人自身原因导致无法及时退还的除外。</w:t>
      </w:r>
    </w:p>
    <w:p w14:paraId="445F2DB9">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投标人在投标截止时间前撤回已提交的投标文件的，自收到投标人书面撤回通知之日起 5 个工作日内退还已收取的投标保证金。 </w:t>
      </w:r>
    </w:p>
    <w:p w14:paraId="0F90A7CB">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中标人的投标保证金，自采购合同签订之日起 5 个工作日内退还中标人。 </w:t>
      </w:r>
    </w:p>
    <w:p w14:paraId="0393EEE8">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未中标投标人的投标保证金，自中标通知书发出之日起 5 个工作日内退还未中标人。</w:t>
      </w:r>
    </w:p>
    <w:p w14:paraId="075C4FF8">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终止采购活动的项目已经收取投标保证金的，自终止采购活动后 5 个工作日内退还已收取的投标保证金。</w:t>
      </w:r>
    </w:p>
    <w:p w14:paraId="4916563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有下列情形之一的，采购人或采购代理机构可以不予退还投标保证金：</w:t>
      </w:r>
    </w:p>
    <w:p w14:paraId="098C36DA">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在投标有效期内，投标人撤回投标的； </w:t>
      </w:r>
    </w:p>
    <w:p w14:paraId="2BCB7E46">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中标人不按本招标文件的规定与采购人签订合同的； </w:t>
      </w:r>
    </w:p>
    <w:p w14:paraId="7BC0BBB7">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中标人不按本招标文件的规定提交履约保证金的； </w:t>
      </w:r>
    </w:p>
    <w:p w14:paraId="3055CB11">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中标人不按本招标文件的规定缴纳中标服务费的； </w:t>
      </w:r>
    </w:p>
    <w:p w14:paraId="281DCEB3">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存在的串通投标情形的； </w:t>
      </w:r>
    </w:p>
    <w:p w14:paraId="15FDC07C">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存在向采购人、代理机构或评标专家行贿事实的； </w:t>
      </w:r>
    </w:p>
    <w:p w14:paraId="09E47491">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法律、法规规定的其它情况。 </w:t>
      </w:r>
    </w:p>
    <w:p w14:paraId="7AA11602">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投标有效期</w:t>
      </w:r>
    </w:p>
    <w:p w14:paraId="53100152">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投标文件应在</w:t>
      </w:r>
      <w:r>
        <w:rPr>
          <w:rFonts w:hint="eastAsia" w:ascii="仿宋_GB2312" w:hAnsi="仿宋_GB2312" w:eastAsia="仿宋_GB2312" w:cs="仿宋_GB2312"/>
          <w:b w:val="0"/>
          <w:bCs w:val="0"/>
          <w:sz w:val="24"/>
          <w:szCs w:val="24"/>
          <w:u w:val="single"/>
          <w:lang w:val="en-US" w:eastAsia="zh-CN"/>
        </w:rPr>
        <w:t>投标须知前附表</w:t>
      </w:r>
      <w:r>
        <w:rPr>
          <w:rFonts w:hint="eastAsia" w:ascii="仿宋_GB2312" w:hAnsi="仿宋_GB2312" w:eastAsia="仿宋_GB2312" w:cs="仿宋_GB2312"/>
          <w:b w:val="0"/>
          <w:bCs w:val="0"/>
          <w:sz w:val="24"/>
          <w:szCs w:val="24"/>
          <w:lang w:val="en-US" w:eastAsia="zh-CN"/>
        </w:rPr>
        <w:t>中规定的投标有效期内保持有效，投标有效期少于招标文件规定期限的，其</w:t>
      </w:r>
      <w:r>
        <w:rPr>
          <w:rFonts w:hint="eastAsia" w:ascii="仿宋_GB2312" w:hAnsi="仿宋_GB2312" w:eastAsia="仿宋_GB2312" w:cs="仿宋_GB2312"/>
          <w:b/>
          <w:bCs/>
          <w:sz w:val="24"/>
          <w:szCs w:val="24"/>
          <w:lang w:val="en-US" w:eastAsia="zh-CN"/>
        </w:rPr>
        <w:t>投标无效</w:t>
      </w:r>
      <w:r>
        <w:rPr>
          <w:rFonts w:hint="eastAsia" w:ascii="仿宋_GB2312" w:hAnsi="仿宋_GB2312" w:eastAsia="仿宋_GB2312" w:cs="仿宋_GB2312"/>
          <w:b w:val="0"/>
          <w:bCs w:val="0"/>
          <w:sz w:val="24"/>
          <w:szCs w:val="24"/>
          <w:lang w:val="en-US" w:eastAsia="zh-CN"/>
        </w:rPr>
        <w:t>。</w:t>
      </w:r>
    </w:p>
    <w:p w14:paraId="5E40563B">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也可以拒绝延长投标有效期的要求，退还其投标保证金。上述要求和答复都应以书面形式提交。</w:t>
      </w:r>
    </w:p>
    <w:p w14:paraId="7DDACD8D">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投标文件的制作</w:t>
      </w:r>
    </w:p>
    <w:p w14:paraId="2FB81A85">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文件中，所有内容均以电子文件编制，如因不按电子招投标平台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14:paraId="011F147C">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投标人应使用电子招投标平台提供的投标客户端编制、标记、加密投标文件，成功加密后将生成指定格式的电子投标文件和电子备用投标文件</w:t>
      </w:r>
    </w:p>
    <w:p w14:paraId="4830A1BC">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如有对多个采购包投标的，要对每个采购包独立制作电子投标文件。</w:t>
      </w:r>
    </w:p>
    <w:p w14:paraId="285BF9CB">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投标人须对招标文件的对应要求给予唯一的实质性响应，否则将视为</w:t>
      </w:r>
      <w:r>
        <w:rPr>
          <w:rFonts w:hint="eastAsia" w:ascii="仿宋_GB2312" w:hAnsi="仿宋_GB2312" w:eastAsia="仿宋_GB2312" w:cs="仿宋_GB2312"/>
          <w:b/>
          <w:bCs/>
          <w:sz w:val="24"/>
          <w:szCs w:val="24"/>
          <w:lang w:val="en-US" w:eastAsia="zh-CN"/>
        </w:rPr>
        <w:t>不响应</w:t>
      </w:r>
      <w:r>
        <w:rPr>
          <w:rFonts w:hint="eastAsia" w:ascii="仿宋_GB2312" w:hAnsi="仿宋_GB2312" w:eastAsia="仿宋_GB2312" w:cs="仿宋_GB2312"/>
          <w:b w:val="0"/>
          <w:bCs w:val="0"/>
          <w:sz w:val="24"/>
          <w:szCs w:val="24"/>
          <w:lang w:val="en-US" w:eastAsia="zh-CN"/>
        </w:rPr>
        <w:t>。</w:t>
      </w:r>
    </w:p>
    <w:p w14:paraId="7F54BC3D">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招标文件中，凡标有“※”的地方均为实质性响应条款，投标人若有一项带“※”的条款未响应或不满足，将按无效投标处理。</w:t>
      </w:r>
    </w:p>
    <w:p w14:paraId="436E1D33">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w:t>
      </w:r>
    </w:p>
    <w:p w14:paraId="6E16858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lang w:val="en-US" w:eastAsia="zh-CN"/>
        </w:rPr>
      </w:pPr>
    </w:p>
    <w:p w14:paraId="546BFBFB">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_GB2312" w:hAnsi="仿宋_GB2312" w:eastAsia="仿宋_GB2312" w:cs="仿宋_GB2312"/>
          <w:b/>
          <w:bCs/>
          <w:sz w:val="24"/>
          <w:szCs w:val="24"/>
          <w:lang w:val="en-US" w:eastAsia="zh-CN"/>
        </w:rPr>
      </w:pPr>
      <w:bookmarkStart w:id="13" w:name="_Toc21719"/>
      <w:r>
        <w:rPr>
          <w:rFonts w:hint="eastAsia" w:ascii="仿宋_GB2312" w:hAnsi="仿宋_GB2312" w:eastAsia="仿宋_GB2312" w:cs="仿宋_GB2312"/>
          <w:b/>
          <w:bCs/>
          <w:sz w:val="24"/>
          <w:szCs w:val="24"/>
          <w:lang w:val="en-US" w:eastAsia="zh-CN"/>
        </w:rPr>
        <w:t>投标文件的提交</w:t>
      </w:r>
      <w:bookmarkEnd w:id="13"/>
    </w:p>
    <w:p w14:paraId="1B31B25B">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投标文件的提交</w:t>
      </w:r>
    </w:p>
    <w:p w14:paraId="1B5FCC58">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投标人应在</w:t>
      </w:r>
      <w:r>
        <w:rPr>
          <w:rFonts w:hint="eastAsia" w:ascii="仿宋_GB2312" w:hAnsi="仿宋_GB2312" w:eastAsia="仿宋_GB2312" w:cs="仿宋_GB2312"/>
          <w:b w:val="0"/>
          <w:bCs w:val="0"/>
          <w:sz w:val="24"/>
          <w:szCs w:val="24"/>
          <w:u w:val="single"/>
          <w:lang w:val="en-US" w:eastAsia="zh-CN"/>
        </w:rPr>
        <w:t>投标须知前附表</w:t>
      </w:r>
      <w:r>
        <w:rPr>
          <w:rFonts w:hint="eastAsia" w:ascii="仿宋_GB2312" w:hAnsi="仿宋_GB2312" w:eastAsia="仿宋_GB2312" w:cs="仿宋_GB2312"/>
          <w:b w:val="0"/>
          <w:bCs w:val="0"/>
          <w:sz w:val="24"/>
          <w:szCs w:val="24"/>
          <w:lang w:val="en-US" w:eastAsia="zh-CN"/>
        </w:rPr>
        <w:t>中规定的截止时间前，将投标文件递交到招标公告中规定的电子招投标平台。时间以电子招投标平台系统服务器从中国科学院国家授时中心取得的北京时间为准，投标截止时间结束后，系统将不允许投标人上传投标文件，已上传投标文件但未完成传输的文件系统将拒绝接收。</w:t>
      </w:r>
    </w:p>
    <w:p w14:paraId="40D6DA58">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代理机构对因不可抗力事件造成的投标文件的损坏、丢失的，不承担责任。</w:t>
      </w:r>
    </w:p>
    <w:p w14:paraId="1E39423B">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出现下述情形之一，属于未成功提交投标文件，按无效</w:t>
      </w:r>
      <w:r>
        <w:rPr>
          <w:rFonts w:hint="eastAsia" w:ascii="仿宋_GB2312" w:hAnsi="仿宋_GB2312" w:eastAsia="仿宋_GB2312" w:cs="仿宋_GB2312"/>
          <w:b/>
          <w:bCs/>
          <w:sz w:val="24"/>
          <w:szCs w:val="24"/>
          <w:lang w:val="en-US" w:eastAsia="zh-CN"/>
        </w:rPr>
        <w:t>投标处理</w:t>
      </w:r>
      <w:r>
        <w:rPr>
          <w:rFonts w:hint="eastAsia" w:ascii="仿宋_GB2312" w:hAnsi="仿宋_GB2312" w:eastAsia="仿宋_GB2312" w:cs="仿宋_GB2312"/>
          <w:b w:val="0"/>
          <w:bCs w:val="0"/>
          <w:sz w:val="24"/>
          <w:szCs w:val="24"/>
          <w:lang w:val="en-US" w:eastAsia="zh-CN"/>
        </w:rPr>
        <w:t>：</w:t>
      </w:r>
    </w:p>
    <w:p w14:paraId="78DB36DA">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至提交投标文件截止时，投标文件未完整上传的。 </w:t>
      </w:r>
    </w:p>
    <w:p w14:paraId="5BD79A06">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投标文件未按投标格式中注明需签字盖章的要求进行签名（含电子签名）和加盖电子印章，或签名（含电子签名）或电子印章不完整的。</w:t>
      </w:r>
    </w:p>
    <w:p w14:paraId="65352711">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投标文件损坏或格式不正确的。</w:t>
      </w:r>
    </w:p>
    <w:p w14:paraId="3BFC353B">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投标文件的修改、撤回与撤销</w:t>
      </w:r>
    </w:p>
    <w:p w14:paraId="1612EB51">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在提交投标文件截止时间前，投标人可以修改或撤回未解密的电子投标文件，并于提交投标文件截止时间前将修改后重新生成的电子投标文件上传至系统，到达投标文件提交截止时间后，将不允许修改或撤回。</w:t>
      </w:r>
    </w:p>
    <w:p w14:paraId="02FE500C">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val="0"/>
          <w:bCs w:val="0"/>
          <w:sz w:val="24"/>
          <w:szCs w:val="24"/>
          <w:lang w:val="en-US" w:eastAsia="zh-CN"/>
        </w:rPr>
        <w:t>在提交投标文件截止时间后，投标人不得补充、修改和更换投标文件。</w:t>
      </w:r>
      <w:r>
        <w:rPr>
          <w:rFonts w:hint="eastAsia" w:ascii="仿宋_GB2312" w:hAnsi="仿宋_GB2312" w:eastAsia="仿宋_GB2312" w:cs="仿宋_GB2312"/>
          <w:b/>
          <w:bCs/>
          <w:sz w:val="24"/>
          <w:szCs w:val="24"/>
          <w:lang w:val="en-US" w:eastAsia="zh-CN"/>
        </w:rPr>
        <w:t xml:space="preserve"> </w:t>
      </w:r>
    </w:p>
    <w:p w14:paraId="2F37F367">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bCs/>
          <w:sz w:val="24"/>
          <w:szCs w:val="24"/>
          <w:lang w:val="en-US" w:eastAsia="zh-CN"/>
        </w:rPr>
      </w:pPr>
    </w:p>
    <w:p w14:paraId="11191FE4">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_GB2312" w:hAnsi="仿宋_GB2312" w:eastAsia="仿宋_GB2312" w:cs="仿宋_GB2312"/>
          <w:b/>
          <w:bCs/>
          <w:sz w:val="24"/>
          <w:szCs w:val="24"/>
          <w:lang w:val="en-US" w:eastAsia="zh-CN"/>
        </w:rPr>
      </w:pPr>
      <w:bookmarkStart w:id="14" w:name="_Toc15263"/>
      <w:r>
        <w:rPr>
          <w:rFonts w:hint="eastAsia" w:ascii="仿宋_GB2312" w:hAnsi="仿宋_GB2312" w:eastAsia="仿宋_GB2312" w:cs="仿宋_GB2312"/>
          <w:b/>
          <w:bCs/>
          <w:sz w:val="24"/>
          <w:szCs w:val="24"/>
          <w:lang w:val="en-US" w:eastAsia="zh-CN"/>
        </w:rPr>
        <w:t>开标、资格审查及评标</w:t>
      </w:r>
      <w:bookmarkEnd w:id="14"/>
    </w:p>
    <w:p w14:paraId="02F48BE3">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开标</w:t>
      </w:r>
    </w:p>
    <w:p w14:paraId="31682647">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采购人和采购代理机构将按</w:t>
      </w:r>
      <w:r>
        <w:rPr>
          <w:rFonts w:hint="eastAsia" w:ascii="仿宋_GB2312" w:hAnsi="仿宋_GB2312" w:eastAsia="仿宋_GB2312" w:cs="仿宋_GB2312"/>
          <w:b w:val="0"/>
          <w:bCs w:val="0"/>
          <w:sz w:val="24"/>
          <w:szCs w:val="24"/>
          <w:u w:val="single"/>
          <w:lang w:val="en-US" w:eastAsia="zh-CN"/>
        </w:rPr>
        <w:t>投标须知前附表</w:t>
      </w:r>
      <w:r>
        <w:rPr>
          <w:rFonts w:hint="eastAsia" w:ascii="仿宋_GB2312" w:hAnsi="仿宋_GB2312" w:eastAsia="仿宋_GB2312" w:cs="仿宋_GB2312"/>
          <w:b w:val="0"/>
          <w:bCs w:val="0"/>
          <w:sz w:val="24"/>
          <w:szCs w:val="24"/>
          <w:lang w:val="en-US" w:eastAsia="zh-CN"/>
        </w:rPr>
        <w:t>中规定的开标时间和地点组织公开开标并邀请所有投标人代表参加。开标时，由采购人或者采购代理机构工作人员宣布投标人名称、解密情况，投标价格和招标文件规定的需要宣布的其他内容（以开标一览表要求为准），开标为远程电子开标。</w:t>
      </w:r>
    </w:p>
    <w:p w14:paraId="26E46340">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采用远程电子开标的：</w:t>
      </w:r>
    </w:p>
    <w:p w14:paraId="612D3B0F">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人的法定代表人或其授权代表应当按照本招标公告载明的时间和模式等要求参加开标。在投标截止时间前30分钟，应当登录开标大厅进行签到，并且填写授权代表的姓名与手机号码。若因签到时填写的授权代表信息有误而导致的不良后果，由供应商自行承担。</w:t>
      </w:r>
    </w:p>
    <w:p w14:paraId="76533351">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14:paraId="44D522D2">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如在电子开标过程中出现因系统原因无法正常解密的，代理机构可根据实际情况开启上传备用电子投标文件通道。系统将对上传的备用电子投标文件的合法性进行验证，若发现提交的备用电子投标文件与加密的电子投标文件版本不一致（即两份文件不是编制投标文件同时生成的），系统将拒绝接收，视为无效投标。如供应商无法在代理规定的时间内完成备用电子投标文件的上传，投标将被拒绝，作无效</w:t>
      </w:r>
      <w:r>
        <w:rPr>
          <w:rFonts w:hint="eastAsia" w:ascii="仿宋_GB2312" w:hAnsi="仿宋_GB2312" w:eastAsia="仿宋_GB2312" w:cs="仿宋_GB2312"/>
          <w:b/>
          <w:bCs/>
          <w:sz w:val="24"/>
          <w:szCs w:val="24"/>
          <w:lang w:val="en-US" w:eastAsia="zh-CN"/>
        </w:rPr>
        <w:t>投标处理</w:t>
      </w:r>
      <w:r>
        <w:rPr>
          <w:rFonts w:hint="eastAsia" w:ascii="仿宋_GB2312" w:hAnsi="仿宋_GB2312" w:eastAsia="仿宋_GB2312" w:cs="仿宋_GB2312"/>
          <w:b w:val="0"/>
          <w:bCs w:val="0"/>
          <w:sz w:val="24"/>
          <w:szCs w:val="24"/>
          <w:lang w:val="en-US" w:eastAsia="zh-CN"/>
        </w:rPr>
        <w:t>。</w:t>
      </w:r>
    </w:p>
    <w:p w14:paraId="7C852C6B">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投标人代表对开标过程和开标记录有疑义，以及认为采购人、采购代理机构相关工作人员有需要回避的情形的，应当场提出询问或者回避申请。投标人未参加开标的，视同认可开标结果。</w:t>
      </w:r>
    </w:p>
    <w:p w14:paraId="11D9A325">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投标截止时间后，投标人不足3家的，不得开标。同时，本次采购活动结束。</w:t>
      </w:r>
    </w:p>
    <w:p w14:paraId="148C28E1">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开标时出现下列情况的，视为</w:t>
      </w:r>
      <w:r>
        <w:rPr>
          <w:rFonts w:hint="eastAsia" w:ascii="仿宋_GB2312" w:hAnsi="仿宋_GB2312" w:eastAsia="仿宋_GB2312" w:cs="仿宋_GB2312"/>
          <w:b/>
          <w:bCs/>
          <w:sz w:val="24"/>
          <w:szCs w:val="24"/>
          <w:lang w:val="en-US" w:eastAsia="zh-CN"/>
        </w:rPr>
        <w:t>投标无效</w:t>
      </w:r>
      <w:r>
        <w:rPr>
          <w:rFonts w:hint="eastAsia" w:ascii="仿宋_GB2312" w:hAnsi="仿宋_GB2312" w:eastAsia="仿宋_GB2312" w:cs="仿宋_GB2312"/>
          <w:b w:val="0"/>
          <w:bCs w:val="0"/>
          <w:sz w:val="24"/>
          <w:szCs w:val="24"/>
          <w:lang w:val="en-US" w:eastAsia="zh-CN"/>
        </w:rPr>
        <w:t>处理：</w:t>
      </w:r>
    </w:p>
    <w:p w14:paraId="341BF910">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因投标人自身原因，未在规定时间内完成电子投标文件解密的；</w:t>
      </w:r>
    </w:p>
    <w:p w14:paraId="405120A6">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如需使用备用电子投标文件解密时，在规定的解密时间内无法提供备用电子投标文件或提供的备用电子投标文件与加密的电子投标文件版本不一致（即两份文件不是投标客户端编制同时生成的）。 </w:t>
      </w:r>
    </w:p>
    <w:p w14:paraId="60445376">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采购人或采购代理机构将对开标过程进行记录，由参加开标的各投标人代表和相关工作人员签字确认。</w:t>
      </w:r>
    </w:p>
    <w:p w14:paraId="0F108A56">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资格审查</w:t>
      </w:r>
    </w:p>
    <w:p w14:paraId="591C47A1">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采购人或采购代理机构依据法律法规和招标文件中规定的内容，对投标人及其投标货物或服务的资格进行审查，未通过资格审查的投标人不进入评标；资格证明文件不按电子招投标平台要求编制导致系统无法检索、读取相关信息时，将被认定为未通过资格审查；通过资格审查的投标人少于三家的，不进行评标。 </w:t>
      </w:r>
    </w:p>
    <w:p w14:paraId="232B523F">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资格审查要求详见第六章《评标程序、评标方法和评标标准》。</w:t>
      </w:r>
    </w:p>
    <w:p w14:paraId="20790DA2">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采购人或采购代理机构将按</w:t>
      </w:r>
      <w:r>
        <w:rPr>
          <w:rFonts w:hint="eastAsia" w:ascii="仿宋_GB2312" w:hAnsi="仿宋_GB2312" w:eastAsia="仿宋_GB2312" w:cs="仿宋_GB2312"/>
          <w:b w:val="0"/>
          <w:bCs w:val="0"/>
          <w:sz w:val="24"/>
          <w:szCs w:val="24"/>
          <w:u w:val="none"/>
          <w:lang w:val="en-US" w:eastAsia="zh-CN"/>
        </w:rPr>
        <w:t>第六章《评标程序、评标方法和评标标准》</w:t>
      </w:r>
      <w:r>
        <w:rPr>
          <w:rFonts w:hint="eastAsia" w:ascii="仿宋_GB2312" w:hAnsi="仿宋_GB2312" w:eastAsia="仿宋_GB2312" w:cs="仿宋_GB2312"/>
          <w:b w:val="0"/>
          <w:bCs w:val="0"/>
          <w:sz w:val="24"/>
          <w:szCs w:val="24"/>
          <w:lang w:val="en-US" w:eastAsia="zh-CN"/>
        </w:rPr>
        <w:t>中规定的时间查询投标人的信用记录。采购人或采购代理机构将查询网页打印、签字并存档备查。投标人不良信用记录以采购人或采购代理机构查询结果为准。在本招标文件规定的查询时间之外，网站信息发生的任何变更均不作为资格审查依据。</w:t>
      </w:r>
    </w:p>
    <w:p w14:paraId="71EAE5D9">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评标委员会</w:t>
      </w:r>
    </w:p>
    <w:p w14:paraId="4B0D0C62">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评标委员会根据政府采购有关规定和本次招标采购项目的特点进行组建，并负责具体评标事务，独立履行职责。 </w:t>
      </w:r>
    </w:p>
    <w:p w14:paraId="01B1A48D">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评审专家须符合《财政部关于在政府采购活动中查询及使用信用记录有关问题的通知》（财库〔2016〕125 号）的规定。依法自行选定评审专家的，采购人和采购代理机构将查询有关信用记录，对具有行贿、受贿、欺诈等不良信用记录的人员，拒绝其参与政府采购活动。</w:t>
      </w:r>
    </w:p>
    <w:p w14:paraId="4F9A1913">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评标程序、评标方法和评标标准</w:t>
      </w:r>
    </w:p>
    <w:p w14:paraId="4E336452">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详见第六章《评标程序、评标方法和评标标准》</w:t>
      </w:r>
    </w:p>
    <w:p w14:paraId="1F7FBB3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p>
    <w:p w14:paraId="0A9072CC">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_GB2312" w:hAnsi="仿宋_GB2312" w:eastAsia="仿宋_GB2312" w:cs="仿宋_GB2312"/>
          <w:b/>
          <w:bCs/>
          <w:sz w:val="24"/>
          <w:szCs w:val="24"/>
          <w:lang w:val="en-US" w:eastAsia="zh-CN"/>
        </w:rPr>
      </w:pPr>
      <w:bookmarkStart w:id="15" w:name="_Toc7787"/>
      <w:r>
        <w:rPr>
          <w:rFonts w:hint="eastAsia" w:ascii="仿宋_GB2312" w:hAnsi="仿宋_GB2312" w:eastAsia="仿宋_GB2312" w:cs="仿宋_GB2312"/>
          <w:b/>
          <w:bCs/>
          <w:sz w:val="24"/>
          <w:szCs w:val="24"/>
          <w:lang w:val="en-US" w:eastAsia="zh-CN"/>
        </w:rPr>
        <w:t>确定中标</w:t>
      </w:r>
      <w:bookmarkEnd w:id="15"/>
    </w:p>
    <w:p w14:paraId="5FE77B56">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确定中标人</w:t>
      </w:r>
    </w:p>
    <w:p w14:paraId="115035B9">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w:t>
      </w:r>
      <w:r>
        <w:rPr>
          <w:rFonts w:hint="eastAsia" w:ascii="仿宋_GB2312" w:hAnsi="仿宋_GB2312" w:eastAsia="仿宋_GB2312" w:cs="仿宋_GB2312"/>
          <w:b w:val="0"/>
          <w:bCs w:val="0"/>
          <w:sz w:val="24"/>
          <w:szCs w:val="24"/>
          <w:u w:val="single"/>
          <w:lang w:val="en-US" w:eastAsia="zh-CN"/>
        </w:rPr>
        <w:t>投标须知前附表</w:t>
      </w:r>
      <w:r>
        <w:rPr>
          <w:rFonts w:hint="eastAsia" w:ascii="仿宋_GB2312" w:hAnsi="仿宋_GB2312" w:eastAsia="仿宋_GB2312" w:cs="仿宋_GB2312"/>
          <w:b w:val="0"/>
          <w:bCs w:val="0"/>
          <w:sz w:val="24"/>
          <w:szCs w:val="24"/>
          <w:lang w:val="en-US" w:eastAsia="zh-CN"/>
        </w:rPr>
        <w:t>。</w:t>
      </w:r>
    </w:p>
    <w:p w14:paraId="06E70104">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中标公告与中标通知书</w:t>
      </w:r>
    </w:p>
    <w:p w14:paraId="791F76D0">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采购人或采购代理机构自中标人确定之日起 2 个工作日内，在招标公告发布媒体发布中标结果，同时向中标人发出中标通知书，中标公告期限为 1 个工作日。</w:t>
      </w:r>
    </w:p>
    <w:p w14:paraId="3113375F">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中标通知书对采购人和中标供应商均具有法律效力。中标通知书发出后，中标供应商放弃中标项目的，应当依法承担法律责任。</w:t>
      </w:r>
    </w:p>
    <w:p w14:paraId="16093712">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废标</w:t>
      </w:r>
    </w:p>
    <w:p w14:paraId="2A74BA36">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在招标采购中，出现下列情形之一的，应予废标：</w:t>
      </w:r>
    </w:p>
    <w:p w14:paraId="7DC8163B">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符合专业条件的供应商或者对招标文件作实质响应的供应商不足三家的；</w:t>
      </w:r>
    </w:p>
    <w:p w14:paraId="5B434994">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出现影响采购公正的违法、违规行为的；</w:t>
      </w:r>
    </w:p>
    <w:p w14:paraId="5012118B">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投标人的报价均超过了采购预算，采购人不能支付的；</w:t>
      </w:r>
    </w:p>
    <w:p w14:paraId="6BE6684B">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因重大变故，采购任务取消的；</w:t>
      </w:r>
    </w:p>
    <w:p w14:paraId="07861E6C">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val="0"/>
          <w:bCs w:val="0"/>
          <w:sz w:val="24"/>
          <w:szCs w:val="24"/>
          <w:lang w:val="en-US" w:eastAsia="zh-CN"/>
        </w:rPr>
        <w:t>法律、法规规定的其他情形。</w:t>
      </w:r>
    </w:p>
    <w:p w14:paraId="68B9B08B">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废标后，采购人将废标理由通知所有投标人。</w:t>
      </w:r>
    </w:p>
    <w:p w14:paraId="12AD59C0">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签订合同</w:t>
      </w:r>
    </w:p>
    <w:p w14:paraId="6627FE6B">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中标人、采购人应当自中标通知书发出之日起 30 日内，按照招标文件和中标人投标文件的规定签订书面合同。所签订的合同不得对招标文件确定的事项和中标人投标文件作实质性修改。 </w:t>
      </w:r>
    </w:p>
    <w:p w14:paraId="0764912F">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中标人拒绝与采购人签订合同的，采购人可以按照评标报告推荐的中标候选人名单排序，确定下一候选人为中标人，也可以重新开展政府采购活动。</w:t>
      </w:r>
    </w:p>
    <w:p w14:paraId="4550DAF0">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联合体中标的，联合体各方应当共同与采购人签订合同，就中标项目向采购人承担连带责任。 </w:t>
      </w:r>
    </w:p>
    <w:p w14:paraId="1A5F2305">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政府采购合同不能转包。如采购人允许采用分包方式履行合同的，中标人可以依法在中标后将中标项目的非主体、非关键性工作采取分包方式履行合同。政府采购合同分包履行的，应当在投标文件中载明分包承担主体，分包承担主体应当具备相应资质条件且不得再次分包，否则</w:t>
      </w:r>
      <w:r>
        <w:rPr>
          <w:rFonts w:hint="eastAsia" w:ascii="仿宋_GB2312" w:hAnsi="仿宋_GB2312" w:eastAsia="仿宋_GB2312" w:cs="仿宋_GB2312"/>
          <w:b/>
          <w:bCs/>
          <w:sz w:val="24"/>
          <w:szCs w:val="24"/>
          <w:lang w:val="en-US" w:eastAsia="zh-CN"/>
        </w:rPr>
        <w:t>投标无效</w:t>
      </w:r>
      <w:r>
        <w:rPr>
          <w:rFonts w:hint="eastAsia" w:ascii="仿宋_GB2312" w:hAnsi="仿宋_GB2312" w:eastAsia="仿宋_GB2312" w:cs="仿宋_GB2312"/>
          <w:b w:val="0"/>
          <w:bCs w:val="0"/>
          <w:sz w:val="24"/>
          <w:szCs w:val="24"/>
          <w:lang w:val="en-US" w:eastAsia="zh-CN"/>
        </w:rPr>
        <w:t>。中标人就采购项目和分包项目向采购人负责，分包供应商就分包项目承担责任。</w:t>
      </w:r>
    </w:p>
    <w:p w14:paraId="47CC2DD1">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履约保证金</w:t>
      </w:r>
    </w:p>
    <w:p w14:paraId="45079AB2">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中标人应按照</w:t>
      </w:r>
      <w:r>
        <w:rPr>
          <w:rFonts w:hint="eastAsia" w:ascii="仿宋_GB2312" w:hAnsi="仿宋_GB2312" w:eastAsia="仿宋_GB2312" w:cs="仿宋_GB2312"/>
          <w:b w:val="0"/>
          <w:bCs w:val="0"/>
          <w:sz w:val="24"/>
          <w:szCs w:val="24"/>
          <w:u w:val="single"/>
          <w:lang w:val="en-US" w:eastAsia="zh-CN"/>
        </w:rPr>
        <w:t>投标须知前附表</w:t>
      </w:r>
      <w:r>
        <w:rPr>
          <w:rFonts w:hint="eastAsia" w:ascii="仿宋_GB2312" w:hAnsi="仿宋_GB2312" w:eastAsia="仿宋_GB2312" w:cs="仿宋_GB2312"/>
          <w:b w:val="0"/>
          <w:bCs w:val="0"/>
          <w:sz w:val="24"/>
          <w:szCs w:val="24"/>
          <w:lang w:val="en-US" w:eastAsia="zh-CN"/>
        </w:rPr>
        <w:t>规定的金额、形式和时间向采购人缴纳履约保证金。</w:t>
      </w:r>
    </w:p>
    <w:p w14:paraId="554C31B9">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经采购人同意，中标人也可以自愿采用其他履约保证金的提供方式。</w:t>
      </w:r>
    </w:p>
    <w:p w14:paraId="6E4C0B00">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如果中标人没有按照上述条款规定缴纳履约保证金，将视为放弃中标资格，中标人的投标保证金将被没收。在此情况下，采购人可确定下一候选人为中标人，也可以重新开展政府采购活动。</w:t>
      </w:r>
    </w:p>
    <w:p w14:paraId="7A6971E1">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代理服务费</w:t>
      </w:r>
    </w:p>
    <w:p w14:paraId="73C0B6BD">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收费对象、收费标准及缴纳时间见</w:t>
      </w:r>
      <w:r>
        <w:rPr>
          <w:rFonts w:hint="eastAsia" w:ascii="仿宋_GB2312" w:hAnsi="仿宋_GB2312" w:eastAsia="仿宋_GB2312" w:cs="仿宋_GB2312"/>
          <w:b w:val="0"/>
          <w:bCs w:val="0"/>
          <w:sz w:val="24"/>
          <w:szCs w:val="24"/>
          <w:u w:val="single"/>
          <w:lang w:val="en-US" w:eastAsia="zh-CN"/>
        </w:rPr>
        <w:t>投标须知前附表</w:t>
      </w:r>
      <w:r>
        <w:rPr>
          <w:rFonts w:hint="eastAsia" w:ascii="仿宋_GB2312" w:hAnsi="仿宋_GB2312" w:eastAsia="仿宋_GB2312" w:cs="仿宋_GB2312"/>
          <w:b w:val="0"/>
          <w:bCs w:val="0"/>
          <w:sz w:val="24"/>
          <w:szCs w:val="24"/>
          <w:lang w:val="en-US" w:eastAsia="zh-CN"/>
        </w:rPr>
        <w:t xml:space="preserve">。由中标人支付的，中标人须一次性向采购代理机构缴纳代理费，投标报价应包含代理费用。 </w:t>
      </w:r>
    </w:p>
    <w:p w14:paraId="65DBCB60">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询问与质疑</w:t>
      </w:r>
    </w:p>
    <w:p w14:paraId="2ADC8F0B">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询问</w:t>
      </w:r>
    </w:p>
    <w:p w14:paraId="5D62C579">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人对政府采购活动事项（招标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w:t>
      </w:r>
      <w:r>
        <w:rPr>
          <w:rFonts w:hint="eastAsia" w:ascii="仿宋_GB2312" w:hAnsi="仿宋_GB2312" w:eastAsia="仿宋_GB2312" w:cs="仿宋_GB2312"/>
          <w:b w:val="0"/>
          <w:bCs w:val="0"/>
          <w:sz w:val="24"/>
          <w:szCs w:val="24"/>
          <w:u w:val="single"/>
          <w:lang w:val="en-US" w:eastAsia="zh-CN"/>
        </w:rPr>
        <w:t>投标须知前附表</w:t>
      </w:r>
      <w:r>
        <w:rPr>
          <w:rFonts w:hint="eastAsia" w:ascii="仿宋_GB2312" w:hAnsi="仿宋_GB2312" w:eastAsia="仿宋_GB2312" w:cs="仿宋_GB2312"/>
          <w:b w:val="0"/>
          <w:bCs w:val="0"/>
          <w:sz w:val="24"/>
          <w:szCs w:val="24"/>
          <w:lang w:val="en-US" w:eastAsia="zh-CN"/>
        </w:rPr>
        <w:t>中“采购人、采购代理机构的名称、地址和联系方式”。</w:t>
      </w:r>
    </w:p>
    <w:p w14:paraId="1D8336B3">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质疑</w:t>
      </w:r>
    </w:p>
    <w:p w14:paraId="378CDAC9">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投标人认为招标文件、采购过程、中标结果使自己的权益受到损害的，可以在知道或者应知其权益受到损害之日起 7 个工作日内，由投标人派授权代表以书面形式向采购人、采购代理机构提出质疑。采购人、采购代理机构在收到质疑函后 7 个工作日内作出答复。</w:t>
      </w:r>
    </w:p>
    <w:p w14:paraId="61AD2DFC">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供应商应知其权益受到损害之日是指：</w:t>
      </w:r>
    </w:p>
    <w:p w14:paraId="1FF489E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（1）对招标文件提出质疑的，为获取招标文件之日或者招标文件获取期限届满之日；</w:t>
      </w:r>
    </w:p>
    <w:p w14:paraId="6237D3A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（2）对采购过程提出质疑的，为各采购程序环节结束之日；</w:t>
      </w:r>
    </w:p>
    <w:p w14:paraId="26017D1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（3）对中标结果提出质疑的，为中标结果公告期限届满之日。 </w:t>
      </w:r>
    </w:p>
    <w:p w14:paraId="1D3D1A20">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人质疑应当有明确的请求和必要的证明材料。依照谁主张谁举证的原则，提出质疑者须同时提交相关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14:paraId="3C30CA26">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质疑函须使用财政部制定的范本文件。投标人为自然人的，应当由本人签字；投标人为法人或者其他组织的，应当由法定代表人、主要负责人，或者其授权代表签字或者盖章，并加盖公章。</w:t>
      </w:r>
    </w:p>
    <w:p w14:paraId="70EA96A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质疑函应当包括下列内容： </w:t>
      </w:r>
    </w:p>
    <w:p w14:paraId="5995E8F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（1）投标人名称、地址、邮编、联系人及联系电话； </w:t>
      </w:r>
    </w:p>
    <w:p w14:paraId="7C73B7C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（2）质疑项目的名称、编号； </w:t>
      </w:r>
    </w:p>
    <w:p w14:paraId="13080AA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（3）具体、明确的质疑事项和与质疑事项相关的请求； </w:t>
      </w:r>
    </w:p>
    <w:p w14:paraId="4E91254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（4）事实依据； </w:t>
      </w:r>
    </w:p>
    <w:p w14:paraId="353E44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（5）必要的法律依据； </w:t>
      </w:r>
    </w:p>
    <w:p w14:paraId="61C33FA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（6）提出质疑的日期。</w:t>
      </w:r>
    </w:p>
    <w:p w14:paraId="786FF54E">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3A8A8145">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人应在法定质疑期内一次性提出针对同一采购程序环节的质疑，法定质疑期内针对同一采购程序环节再次提出的质疑、超出法定质疑期的、重复提出的、分次提出的或内容、形式不符合《政府采购质疑和投诉办法》的采购人、采购代理机构有权不予回复。</w:t>
      </w:r>
    </w:p>
    <w:p w14:paraId="0E945D3F">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其他</w:t>
      </w:r>
    </w:p>
    <w:p w14:paraId="1FD23C65">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本次招标活动中除招标文件规定外还需执行《中华人民共和国政府采购法》、《中华人民共和国政府采购法实施条例》、《政府采购货物和服务招标投标管理办法》（财政部令第87号）及本项目本级和上级财政部门政府采购有关规定。</w:t>
      </w:r>
    </w:p>
    <w:p w14:paraId="578303F1">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在采购人或采购代理机构认为适当时、国家机关调查、审查、审计时以及其他符合法律规定的情形下，采购人或采购代理机构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14:paraId="5396F50F">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适用于本投标人须知的额外增加的变动详见</w:t>
      </w:r>
      <w:r>
        <w:rPr>
          <w:rFonts w:hint="eastAsia" w:ascii="仿宋_GB2312" w:hAnsi="仿宋_GB2312" w:eastAsia="仿宋_GB2312" w:cs="仿宋_GB2312"/>
          <w:b w:val="0"/>
          <w:bCs w:val="0"/>
          <w:sz w:val="24"/>
          <w:szCs w:val="24"/>
          <w:u w:val="single"/>
          <w:lang w:val="en-US" w:eastAsia="zh-CN"/>
        </w:rPr>
        <w:t>投标须知前附表</w:t>
      </w:r>
      <w:r>
        <w:rPr>
          <w:rFonts w:hint="eastAsia" w:ascii="仿宋_GB2312" w:hAnsi="仿宋_GB2312" w:eastAsia="仿宋_GB2312" w:cs="仿宋_GB2312"/>
          <w:b w:val="0"/>
          <w:bCs w:val="0"/>
          <w:sz w:val="24"/>
          <w:szCs w:val="24"/>
          <w:lang w:val="en-US" w:eastAsia="zh-CN"/>
        </w:rPr>
        <w:t>。</w:t>
      </w:r>
    </w:p>
    <w:p w14:paraId="399D04A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p>
    <w:p w14:paraId="779F0C6C">
      <w:pP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br w:type="page"/>
      </w:r>
    </w:p>
    <w:p w14:paraId="3BD73112">
      <w:pPr>
        <w:pStyle w:val="2"/>
        <w:numPr>
          <w:ilvl w:val="0"/>
          <w:numId w:val="1"/>
        </w:numPr>
        <w:bidi w:val="0"/>
        <w:jc w:val="center"/>
        <w:rPr>
          <w:rFonts w:hint="eastAsia" w:ascii="仿宋_GB2312" w:hAnsi="仿宋_GB2312" w:eastAsia="仿宋_GB2312" w:cs="仿宋_GB2312"/>
          <w:sz w:val="32"/>
          <w:szCs w:val="32"/>
          <w:lang w:val="en-US" w:eastAsia="zh-CN"/>
        </w:rPr>
      </w:pPr>
      <w:bookmarkStart w:id="16" w:name="_Toc22543"/>
      <w:r>
        <w:rPr>
          <w:rFonts w:hint="eastAsia" w:ascii="仿宋_GB2312" w:hAnsi="仿宋_GB2312" w:eastAsia="仿宋_GB2312" w:cs="仿宋_GB2312"/>
          <w:sz w:val="32"/>
          <w:szCs w:val="32"/>
          <w:lang w:val="en-US" w:eastAsia="zh-CN"/>
        </w:rPr>
        <w:t>政府采购合同</w:t>
      </w:r>
      <w:bookmarkEnd w:id="16"/>
    </w:p>
    <w:p w14:paraId="5217E3C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 </w:t>
      </w:r>
    </w:p>
    <w:p w14:paraId="0CE106C1">
      <w:pPr>
        <w:jc w:val="center"/>
        <w:rPr>
          <w:rFonts w:eastAsia="仿宋"/>
          <w:bCs/>
          <w:color w:val="000000"/>
          <w:sz w:val="48"/>
          <w:szCs w:val="48"/>
          <w:highlight w:val="none"/>
        </w:rPr>
      </w:pPr>
      <w:r>
        <w:rPr>
          <w:rFonts w:eastAsia="仿宋"/>
          <w:bCs/>
          <w:color w:val="000000"/>
          <w:sz w:val="28"/>
          <w:highlight w:val="none"/>
        </w:rPr>
        <w:t>（具体以实际签订合同为主）</w:t>
      </w:r>
    </w:p>
    <w:p w14:paraId="0CCAA78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highlight w:val="none"/>
          <w:lang w:val="en-US" w:eastAsia="zh-CN"/>
        </w:rPr>
      </w:pPr>
    </w:p>
    <w:p w14:paraId="468683C3">
      <w:pPr>
        <w:spacing w:line="660" w:lineRule="exact"/>
        <w:jc w:val="center"/>
        <w:rPr>
          <w:rFonts w:hint="eastAsia" w:ascii="仿宋_GB2312" w:hAnsi="仿宋_GB2312" w:eastAsia="仿宋_GB2312"/>
          <w:b/>
          <w:color w:val="000000"/>
          <w:sz w:val="44"/>
          <w:szCs w:val="44"/>
          <w:highlight w:val="none"/>
        </w:rPr>
      </w:pPr>
      <w:r>
        <w:rPr>
          <w:rFonts w:hint="eastAsia" w:ascii="仿宋_GB2312" w:hAnsi="仿宋_GB2312" w:eastAsia="仿宋_GB2312"/>
          <w:b/>
          <w:color w:val="000000"/>
          <w:sz w:val="44"/>
          <w:szCs w:val="44"/>
          <w:highlight w:val="none"/>
        </w:rPr>
        <w:t>新疆维吾尔自治区儿童医院</w:t>
      </w:r>
    </w:p>
    <w:p w14:paraId="220BE7D3">
      <w:pPr>
        <w:spacing w:line="660" w:lineRule="exact"/>
        <w:jc w:val="center"/>
        <w:rPr>
          <w:rFonts w:ascii="仿宋_GB2312" w:hAnsi="仿宋_GB2312" w:eastAsia="仿宋_GB2312"/>
          <w:b/>
          <w:color w:val="000000"/>
          <w:sz w:val="44"/>
          <w:szCs w:val="44"/>
          <w:highlight w:val="none"/>
        </w:rPr>
      </w:pPr>
      <w:r>
        <w:rPr>
          <w:rFonts w:hint="eastAsia" w:ascii="仿宋_GB2312" w:hAnsi="仿宋_GB2312" w:eastAsia="仿宋_GB2312"/>
          <w:b/>
          <w:color w:val="000000"/>
          <w:sz w:val="44"/>
          <w:szCs w:val="44"/>
          <w:highlight w:val="none"/>
        </w:rPr>
        <w:t>货物采购安装合同书</w:t>
      </w:r>
    </w:p>
    <w:p w14:paraId="68A6C20F">
      <w:pPr>
        <w:spacing w:line="560" w:lineRule="exact"/>
        <w:jc w:val="center"/>
        <w:rPr>
          <w:rFonts w:hint="eastAsia" w:ascii="仿宋_GB2312" w:hAnsi="仿宋_GB2312" w:eastAsia="仿宋_GB2312"/>
          <w:b/>
          <w:color w:val="000000"/>
          <w:sz w:val="44"/>
          <w:szCs w:val="44"/>
          <w:highlight w:val="none"/>
        </w:rPr>
      </w:pPr>
    </w:p>
    <w:p w14:paraId="48F8E546">
      <w:pPr>
        <w:spacing w:line="560" w:lineRule="exact"/>
        <w:jc w:val="center"/>
        <w:rPr>
          <w:rFonts w:hint="eastAsia" w:ascii="仿宋_GB2312" w:hAnsi="仿宋_GB2312" w:eastAsia="仿宋_GB2312"/>
          <w:b/>
          <w:color w:val="000000"/>
          <w:sz w:val="44"/>
          <w:szCs w:val="44"/>
          <w:highlight w:val="none"/>
        </w:rPr>
      </w:pPr>
    </w:p>
    <w:p w14:paraId="591DF288">
      <w:pPr>
        <w:spacing w:line="560" w:lineRule="exact"/>
        <w:jc w:val="center"/>
        <w:rPr>
          <w:rFonts w:hint="eastAsia" w:ascii="仿宋_GB2312" w:hAnsi="仿宋_GB2312" w:eastAsia="仿宋_GB2312"/>
          <w:b/>
          <w:color w:val="000000"/>
          <w:sz w:val="44"/>
          <w:szCs w:val="44"/>
          <w:highlight w:val="none"/>
        </w:rPr>
      </w:pPr>
    </w:p>
    <w:p w14:paraId="4B6C6295">
      <w:pPr>
        <w:spacing w:line="560" w:lineRule="exact"/>
        <w:jc w:val="center"/>
        <w:rPr>
          <w:rFonts w:hint="eastAsia" w:ascii="仿宋_GB2312" w:hAnsi="仿宋_GB2312" w:eastAsia="仿宋_GB2312"/>
          <w:b/>
          <w:color w:val="000000"/>
          <w:sz w:val="44"/>
          <w:szCs w:val="44"/>
          <w:highlight w:val="none"/>
        </w:rPr>
      </w:pPr>
    </w:p>
    <w:p w14:paraId="55FADA2E">
      <w:pPr>
        <w:spacing w:line="560" w:lineRule="exact"/>
        <w:jc w:val="center"/>
        <w:rPr>
          <w:rFonts w:hint="eastAsia" w:ascii="仿宋_GB2312" w:hAnsi="仿宋_GB2312" w:eastAsia="仿宋_GB2312"/>
          <w:b/>
          <w:color w:val="000000"/>
          <w:sz w:val="44"/>
          <w:szCs w:val="44"/>
          <w:highlight w:val="none"/>
        </w:rPr>
      </w:pPr>
    </w:p>
    <w:p w14:paraId="41693696">
      <w:pPr>
        <w:spacing w:line="560" w:lineRule="exact"/>
        <w:ind w:firstLine="1350" w:firstLineChars="450"/>
        <w:jc w:val="left"/>
        <w:rPr>
          <w:rFonts w:ascii="仿宋_GB2312" w:hAnsi="仿宋_GB2312" w:eastAsia="仿宋_GB2312"/>
          <w:color w:val="000000"/>
          <w:sz w:val="30"/>
          <w:szCs w:val="30"/>
          <w:highlight w:val="none"/>
        </w:rPr>
      </w:pPr>
      <w:r>
        <w:rPr>
          <w:rFonts w:hint="eastAsia" w:ascii="仿宋_GB2312" w:hAnsi="仿宋_GB2312" w:eastAsia="仿宋_GB2312"/>
          <w:color w:val="000000"/>
          <w:sz w:val="30"/>
          <w:szCs w:val="30"/>
          <w:highlight w:val="none"/>
        </w:rPr>
        <w:t>甲方（买方）：新疆维吾尔自治区儿童医院</w:t>
      </w:r>
    </w:p>
    <w:p w14:paraId="2C935DB2">
      <w:pPr>
        <w:spacing w:line="560" w:lineRule="exact"/>
        <w:ind w:firstLine="1350" w:firstLineChars="450"/>
        <w:jc w:val="left"/>
        <w:rPr>
          <w:rFonts w:hint="eastAsia" w:ascii="仿宋_GB2312" w:hAnsi="仿宋_GB2312" w:eastAsia="仿宋_GB2312"/>
          <w:color w:val="000000"/>
          <w:sz w:val="30"/>
          <w:szCs w:val="30"/>
          <w:highlight w:val="none"/>
        </w:rPr>
      </w:pPr>
      <w:r>
        <w:rPr>
          <w:rFonts w:hint="eastAsia" w:ascii="仿宋_GB2312" w:hAnsi="仿宋_GB2312" w:eastAsia="仿宋_GB2312"/>
          <w:color w:val="000000"/>
          <w:sz w:val="30"/>
          <w:szCs w:val="30"/>
          <w:highlight w:val="none"/>
        </w:rPr>
        <w:t>乙方（卖方）：</w:t>
      </w:r>
    </w:p>
    <w:p w14:paraId="46989295">
      <w:pPr>
        <w:spacing w:line="560" w:lineRule="exact"/>
        <w:ind w:firstLine="1350" w:firstLineChars="450"/>
        <w:jc w:val="left"/>
        <w:rPr>
          <w:rFonts w:hint="eastAsia" w:ascii="仿宋_GB2312" w:hAnsi="仿宋_GB2312" w:eastAsia="仿宋_GB2312"/>
          <w:color w:val="000000"/>
          <w:sz w:val="30"/>
          <w:szCs w:val="30"/>
          <w:highlight w:val="none"/>
        </w:rPr>
      </w:pPr>
      <w:r>
        <w:rPr>
          <w:rFonts w:hint="eastAsia" w:ascii="仿宋_GB2312" w:hAnsi="仿宋_GB2312" w:eastAsia="仿宋_GB2312"/>
          <w:color w:val="000000"/>
          <w:sz w:val="30"/>
          <w:szCs w:val="30"/>
          <w:highlight w:val="none"/>
        </w:rPr>
        <w:t>签约地点：新疆·乌鲁木齐市</w:t>
      </w:r>
    </w:p>
    <w:p w14:paraId="0DF1AD70">
      <w:pPr>
        <w:spacing w:line="560" w:lineRule="exact"/>
        <w:ind w:firstLine="1350" w:firstLineChars="450"/>
        <w:jc w:val="left"/>
        <w:rPr>
          <w:rFonts w:ascii="仿宋_GB2312" w:hAnsi="仿宋_GB2312" w:eastAsia="仿宋_GB2312"/>
          <w:color w:val="000000"/>
          <w:sz w:val="30"/>
          <w:szCs w:val="30"/>
          <w:highlight w:val="none"/>
        </w:rPr>
      </w:pPr>
      <w:r>
        <w:rPr>
          <w:rFonts w:hint="eastAsia" w:ascii="仿宋_GB2312" w:hAnsi="仿宋_GB2312" w:eastAsia="仿宋_GB2312"/>
          <w:color w:val="000000"/>
          <w:sz w:val="30"/>
          <w:szCs w:val="30"/>
          <w:highlight w:val="none"/>
        </w:rPr>
        <w:t>签约日期：</w:t>
      </w:r>
    </w:p>
    <w:p w14:paraId="579B0EE8">
      <w:pPr>
        <w:spacing w:line="560" w:lineRule="exact"/>
        <w:ind w:firstLine="1350" w:firstLineChars="450"/>
        <w:jc w:val="left"/>
        <w:rPr>
          <w:rFonts w:hint="eastAsia" w:ascii="仿宋_GB2312" w:hAnsi="仿宋_GB2312" w:eastAsia="仿宋_GB2312"/>
          <w:color w:val="000000"/>
          <w:sz w:val="30"/>
          <w:szCs w:val="30"/>
          <w:highlight w:val="none"/>
        </w:rPr>
      </w:pPr>
      <w:r>
        <w:rPr>
          <w:rFonts w:hint="eastAsia" w:ascii="仿宋_GB2312" w:hAnsi="仿宋_GB2312" w:eastAsia="仿宋_GB2312"/>
          <w:color w:val="000000"/>
          <w:sz w:val="30"/>
          <w:szCs w:val="30"/>
          <w:highlight w:val="none"/>
        </w:rPr>
        <w:t>合同编号：</w:t>
      </w:r>
    </w:p>
    <w:p w14:paraId="2B45A909">
      <w:pPr>
        <w:spacing w:line="560" w:lineRule="exact"/>
        <w:jc w:val="center"/>
        <w:rPr>
          <w:rFonts w:ascii="仿宋_GB2312" w:hAnsi="仿宋_GB2312" w:eastAsia="仿宋_GB2312"/>
          <w:color w:val="000000"/>
          <w:sz w:val="30"/>
          <w:szCs w:val="30"/>
          <w:highlight w:val="none"/>
        </w:rPr>
      </w:pPr>
    </w:p>
    <w:p w14:paraId="5B704439">
      <w:pPr>
        <w:spacing w:line="560" w:lineRule="exact"/>
        <w:jc w:val="center"/>
        <w:rPr>
          <w:rFonts w:ascii="仿宋_GB2312" w:hAnsi="仿宋_GB2312" w:eastAsia="仿宋_GB2312"/>
          <w:color w:val="000000"/>
          <w:sz w:val="30"/>
          <w:szCs w:val="30"/>
          <w:highlight w:val="none"/>
        </w:rPr>
      </w:pPr>
    </w:p>
    <w:p w14:paraId="1FDD6FBD">
      <w:pPr>
        <w:spacing w:line="560" w:lineRule="exact"/>
        <w:jc w:val="center"/>
        <w:rPr>
          <w:rFonts w:ascii="仿宋_GB2312" w:hAnsi="仿宋_GB2312" w:eastAsia="仿宋_GB2312"/>
          <w:color w:val="000000"/>
          <w:sz w:val="30"/>
          <w:szCs w:val="30"/>
          <w:highlight w:val="none"/>
        </w:rPr>
      </w:pPr>
    </w:p>
    <w:p w14:paraId="1F636E18">
      <w:pPr>
        <w:spacing w:line="560" w:lineRule="exact"/>
        <w:jc w:val="center"/>
        <w:rPr>
          <w:rFonts w:ascii="仿宋_GB2312" w:hAnsi="仿宋_GB2312" w:eastAsia="仿宋_GB2312"/>
          <w:color w:val="000000"/>
          <w:sz w:val="30"/>
          <w:szCs w:val="30"/>
          <w:highlight w:val="none"/>
        </w:rPr>
      </w:pPr>
    </w:p>
    <w:p w14:paraId="4F346270">
      <w:pPr>
        <w:spacing w:line="560" w:lineRule="exact"/>
        <w:jc w:val="center"/>
        <w:rPr>
          <w:rFonts w:ascii="仿宋_GB2312" w:hAnsi="仿宋_GB2312" w:eastAsia="仿宋_GB2312"/>
          <w:color w:val="000000"/>
          <w:sz w:val="30"/>
          <w:szCs w:val="30"/>
          <w:highlight w:val="none"/>
        </w:rPr>
      </w:pPr>
    </w:p>
    <w:p w14:paraId="41A81E91">
      <w:pPr>
        <w:spacing w:line="560" w:lineRule="exact"/>
        <w:jc w:val="both"/>
        <w:rPr>
          <w:rFonts w:hint="eastAsia" w:ascii="仿宋_GB2312" w:hAnsi="仿宋_GB2312" w:eastAsia="仿宋_GB2312"/>
          <w:color w:val="000000"/>
          <w:sz w:val="30"/>
          <w:szCs w:val="30"/>
          <w:highlight w:val="none"/>
        </w:rPr>
      </w:pPr>
    </w:p>
    <w:p w14:paraId="4091489C">
      <w:pPr>
        <w:spacing w:line="360" w:lineRule="auto"/>
        <w:jc w:val="center"/>
        <w:rPr>
          <w:rFonts w:hint="eastAsia" w:ascii="仿宋_GB2312" w:hAnsi="仿宋_GB2312" w:eastAsia="仿宋_GB2312" w:cs="宋体"/>
          <w:color w:val="000000"/>
          <w:sz w:val="30"/>
          <w:szCs w:val="30"/>
          <w:highlight w:val="none"/>
        </w:rPr>
      </w:pPr>
      <w:r>
        <w:rPr>
          <w:rFonts w:hint="eastAsia" w:ascii="仿宋_GB2312" w:hAnsi="仿宋_GB2312" w:eastAsia="仿宋_GB2312" w:cs="宋体"/>
          <w:color w:val="000000"/>
          <w:sz w:val="30"/>
          <w:szCs w:val="30"/>
          <w:highlight w:val="none"/>
        </w:rPr>
        <w:t>二0二</w:t>
      </w:r>
      <w:r>
        <w:rPr>
          <w:rFonts w:hint="eastAsia" w:ascii="仿宋_GB2312" w:hAnsi="仿宋_GB2312" w:eastAsia="仿宋_GB2312" w:cs="宋体"/>
          <w:color w:val="000000"/>
          <w:sz w:val="30"/>
          <w:szCs w:val="30"/>
          <w:highlight w:val="none"/>
          <w:lang w:val="en-US" w:eastAsia="zh-CN"/>
        </w:rPr>
        <w:t>五</w:t>
      </w:r>
      <w:r>
        <w:rPr>
          <w:rFonts w:hint="eastAsia" w:ascii="仿宋_GB2312" w:hAnsi="仿宋_GB2312" w:eastAsia="仿宋_GB2312" w:cs="宋体"/>
          <w:color w:val="000000"/>
          <w:sz w:val="30"/>
          <w:szCs w:val="30"/>
          <w:highlight w:val="none"/>
        </w:rPr>
        <w:t>年</w:t>
      </w:r>
      <w:r>
        <w:rPr>
          <w:rFonts w:hint="eastAsia" w:ascii="仿宋_GB2312" w:hAnsi="仿宋_GB2312" w:eastAsia="仿宋_GB2312" w:cs="宋体"/>
          <w:color w:val="000000"/>
          <w:sz w:val="30"/>
          <w:szCs w:val="30"/>
          <w:highlight w:val="none"/>
          <w:lang w:val="en-US" w:eastAsia="zh-CN"/>
        </w:rPr>
        <w:t xml:space="preserve">  </w:t>
      </w:r>
      <w:r>
        <w:rPr>
          <w:rFonts w:hint="eastAsia" w:ascii="仿宋_GB2312" w:hAnsi="仿宋_GB2312" w:eastAsia="仿宋_GB2312" w:cs="宋体"/>
          <w:color w:val="000000"/>
          <w:sz w:val="30"/>
          <w:szCs w:val="30"/>
          <w:highlight w:val="none"/>
        </w:rPr>
        <w:t>月</w:t>
      </w:r>
    </w:p>
    <w:p w14:paraId="2F351BA9">
      <w:pPr>
        <w:spacing w:line="500" w:lineRule="exact"/>
        <w:rPr>
          <w:rFonts w:ascii="仿宋_GB2312" w:hAnsi="仿宋_GB2312" w:eastAsia="仿宋_GB2312"/>
          <w:b/>
          <w:bCs/>
          <w:color w:val="000000"/>
          <w:sz w:val="24"/>
          <w:highlight w:val="none"/>
        </w:rPr>
      </w:pPr>
      <w:r>
        <w:rPr>
          <w:rFonts w:hint="eastAsia" w:ascii="仿宋_GB2312" w:hAnsi="仿宋_GB2312" w:eastAsia="仿宋_GB2312"/>
          <w:b/>
          <w:bCs/>
          <w:color w:val="000000"/>
          <w:sz w:val="24"/>
          <w:highlight w:val="none"/>
        </w:rPr>
        <w:t>甲方（买方）：新疆维吾尔自治区儿童医院</w:t>
      </w:r>
    </w:p>
    <w:p w14:paraId="0DC55A02">
      <w:pPr>
        <w:spacing w:line="500" w:lineRule="exact"/>
        <w:rPr>
          <w:rFonts w:hint="eastAsia" w:ascii="仿宋_GB2312" w:hAnsi="仿宋_GB2312" w:eastAsia="仿宋_GB2312"/>
          <w:color w:val="000000"/>
          <w:sz w:val="24"/>
          <w:highlight w:val="none"/>
        </w:rPr>
      </w:pPr>
      <w:r>
        <w:rPr>
          <w:rFonts w:hint="eastAsia" w:ascii="仿宋_GB2312" w:hAnsi="仿宋_GB2312" w:eastAsia="仿宋_GB2312"/>
          <w:color w:val="000000"/>
          <w:sz w:val="24"/>
          <w:highlight w:val="none"/>
        </w:rPr>
        <w:t>地址：乌鲁木齐市沙依巴克区阿勒泰路393号</w:t>
      </w:r>
    </w:p>
    <w:p w14:paraId="31341549">
      <w:pPr>
        <w:spacing w:line="500" w:lineRule="exact"/>
        <w:rPr>
          <w:rFonts w:hint="eastAsia" w:ascii="仿宋_GB2312" w:hAnsi="仿宋_GB2312" w:eastAsia="仿宋_GB2312"/>
          <w:color w:val="000000"/>
          <w:sz w:val="24"/>
          <w:highlight w:val="none"/>
        </w:rPr>
      </w:pPr>
      <w:r>
        <w:rPr>
          <w:rFonts w:hint="eastAsia" w:ascii="仿宋_GB2312" w:hAnsi="仿宋_GB2312" w:eastAsia="仿宋_GB2312"/>
          <w:color w:val="000000"/>
          <w:sz w:val="24"/>
          <w:highlight w:val="none"/>
        </w:rPr>
        <w:t>统一社会信用代码：</w:t>
      </w:r>
      <w:r>
        <w:rPr>
          <w:rFonts w:ascii="仿宋_GB2312" w:hAnsi="仿宋_GB2312" w:eastAsia="仿宋_GB2312"/>
          <w:color w:val="000000"/>
          <w:sz w:val="24"/>
          <w:highlight w:val="none"/>
        </w:rPr>
        <w:t>12650000MB0285544Y</w:t>
      </w:r>
    </w:p>
    <w:p w14:paraId="7567657E">
      <w:pPr>
        <w:spacing w:line="500" w:lineRule="exact"/>
        <w:rPr>
          <w:rFonts w:ascii="仿宋_GB2312" w:hAnsi="仿宋_GB2312" w:eastAsia="仿宋_GB2312"/>
          <w:color w:val="000000"/>
          <w:sz w:val="24"/>
          <w:highlight w:val="none"/>
        </w:rPr>
      </w:pPr>
    </w:p>
    <w:p w14:paraId="708B5F6B">
      <w:pPr>
        <w:spacing w:line="500" w:lineRule="exact"/>
        <w:rPr>
          <w:rFonts w:hint="eastAsia" w:ascii="仿宋_GB2312" w:hAnsi="仿宋_GB2312" w:eastAsia="仿宋_GB2312"/>
          <w:color w:val="000000"/>
          <w:sz w:val="24"/>
          <w:highlight w:val="none"/>
        </w:rPr>
      </w:pPr>
      <w:r>
        <w:rPr>
          <w:rFonts w:hint="eastAsia" w:ascii="仿宋_GB2312" w:hAnsi="仿宋_GB2312" w:eastAsia="仿宋_GB2312"/>
          <w:b/>
          <w:bCs/>
          <w:color w:val="000000"/>
          <w:sz w:val="24"/>
          <w:highlight w:val="none"/>
        </w:rPr>
        <w:t>乙方（卖</w:t>
      </w:r>
      <w:r>
        <w:rPr>
          <w:rFonts w:ascii="仿宋_GB2312" w:hAnsi="仿宋_GB2312" w:eastAsia="仿宋_GB2312"/>
          <w:b/>
          <w:bCs/>
          <w:color w:val="000000"/>
          <w:sz w:val="24"/>
          <w:highlight w:val="none"/>
        </w:rPr>
        <w:t>方</w:t>
      </w:r>
      <w:r>
        <w:rPr>
          <w:rFonts w:hint="eastAsia" w:ascii="仿宋_GB2312" w:hAnsi="仿宋_GB2312" w:eastAsia="仿宋_GB2312"/>
          <w:b/>
          <w:bCs/>
          <w:color w:val="000000"/>
          <w:sz w:val="24"/>
          <w:highlight w:val="none"/>
        </w:rPr>
        <w:t>）</w:t>
      </w:r>
      <w:r>
        <w:rPr>
          <w:rFonts w:ascii="仿宋_GB2312" w:hAnsi="仿宋_GB2312" w:eastAsia="仿宋_GB2312"/>
          <w:b/>
          <w:bCs/>
          <w:color w:val="000000"/>
          <w:sz w:val="24"/>
          <w:highlight w:val="none"/>
        </w:rPr>
        <w:t>：</w:t>
      </w:r>
    </w:p>
    <w:p w14:paraId="6E72A83D">
      <w:pPr>
        <w:spacing w:line="500" w:lineRule="exact"/>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法定代表人/经营者：</w:t>
      </w:r>
    </w:p>
    <w:p w14:paraId="5B4639A2">
      <w:pPr>
        <w:spacing w:line="500" w:lineRule="exact"/>
        <w:rPr>
          <w:rFonts w:hint="eastAsia" w:ascii="仿宋_GB2312" w:hAnsi="仿宋_GB2312" w:eastAsia="仿宋_GB2312"/>
          <w:color w:val="000000"/>
          <w:sz w:val="24"/>
          <w:highlight w:val="none"/>
        </w:rPr>
      </w:pPr>
      <w:r>
        <w:rPr>
          <w:rFonts w:hint="eastAsia" w:ascii="仿宋_GB2312" w:hAnsi="仿宋_GB2312" w:eastAsia="仿宋_GB2312"/>
          <w:color w:val="000000"/>
          <w:sz w:val="24"/>
          <w:highlight w:val="none"/>
        </w:rPr>
        <w:t>地址：</w:t>
      </w:r>
    </w:p>
    <w:p w14:paraId="45379D9B">
      <w:pPr>
        <w:spacing w:line="500" w:lineRule="exact"/>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统一社会信用代码：</w:t>
      </w:r>
    </w:p>
    <w:p w14:paraId="5FC369E5">
      <w:pPr>
        <w:spacing w:line="500" w:lineRule="exact"/>
        <w:rPr>
          <w:rFonts w:hint="eastAsia" w:ascii="仿宋_GB2312" w:hAnsi="仿宋_GB2312" w:eastAsia="仿宋_GB2312"/>
          <w:color w:val="000000"/>
          <w:sz w:val="24"/>
          <w:highlight w:val="none"/>
        </w:rPr>
      </w:pPr>
      <w:r>
        <w:rPr>
          <w:rFonts w:hint="eastAsia" w:ascii="仿宋_GB2312" w:hAnsi="仿宋_GB2312" w:eastAsia="仿宋_GB2312"/>
          <w:color w:val="000000"/>
          <w:sz w:val="24"/>
          <w:highlight w:val="none"/>
        </w:rPr>
        <w:t>联系电话：</w:t>
      </w:r>
    </w:p>
    <w:p w14:paraId="593E68C7">
      <w:pPr>
        <w:spacing w:line="500" w:lineRule="exact"/>
        <w:ind w:firstLine="480" w:firstLineChars="200"/>
        <w:rPr>
          <w:rFonts w:ascii="仿宋_GB2312" w:hAnsi="仿宋_GB2312" w:eastAsia="仿宋_GB2312"/>
          <w:color w:val="000000"/>
          <w:sz w:val="24"/>
          <w:highlight w:val="none"/>
        </w:rPr>
      </w:pPr>
      <w:r>
        <w:rPr>
          <w:rFonts w:hint="eastAsia" w:ascii="仿宋_GB2312" w:hAnsi="仿宋_GB2312" w:eastAsia="仿宋_GB2312"/>
          <w:color w:val="000000"/>
          <w:sz w:val="24"/>
          <w:highlight w:val="none"/>
          <w:u w:val="single"/>
        </w:rPr>
        <w:t xml:space="preserve"> 新疆维吾尔自治区儿童医院 </w:t>
      </w:r>
      <w:r>
        <w:rPr>
          <w:rFonts w:hint="eastAsia" w:ascii="仿宋_GB2312" w:hAnsi="仿宋_GB2312" w:eastAsia="仿宋_GB2312"/>
          <w:color w:val="000000"/>
          <w:sz w:val="24"/>
          <w:highlight w:val="none"/>
        </w:rPr>
        <w:t>（以下简称甲方）与</w:t>
      </w:r>
      <w:r>
        <w:rPr>
          <w:rFonts w:hint="eastAsia" w:ascii="仿宋_GB2312" w:hAnsi="仿宋_GB2312" w:eastAsia="仿宋_GB2312"/>
          <w:color w:val="000000"/>
          <w:sz w:val="24"/>
          <w:highlight w:val="none"/>
          <w:u w:val="single"/>
          <w:lang w:val="en-US" w:eastAsia="zh-CN"/>
        </w:rPr>
        <w:t xml:space="preserve">             </w:t>
      </w:r>
      <w:r>
        <w:rPr>
          <w:rFonts w:hint="eastAsia" w:ascii="仿宋_GB2312" w:hAnsi="仿宋_GB2312" w:eastAsia="仿宋_GB2312"/>
          <w:color w:val="000000"/>
          <w:sz w:val="24"/>
          <w:highlight w:val="none"/>
        </w:rPr>
        <w:t>（以下简称乙方）就</w:t>
      </w:r>
      <w:r>
        <w:rPr>
          <w:rFonts w:hint="eastAsia" w:ascii="仿宋_GB2312" w:hAnsi="仿宋_GB2312" w:eastAsia="仿宋_GB2312"/>
          <w:color w:val="000000"/>
          <w:sz w:val="24"/>
          <w:highlight w:val="none"/>
          <w:u w:val="single"/>
          <w:lang w:val="en-US" w:eastAsia="zh-CN"/>
        </w:rPr>
        <w:t xml:space="preserve">          </w:t>
      </w:r>
      <w:r>
        <w:rPr>
          <w:rFonts w:hint="eastAsia" w:ascii="仿宋_GB2312" w:hAnsi="仿宋_GB2312" w:eastAsia="仿宋_GB2312"/>
          <w:color w:val="000000"/>
          <w:sz w:val="24"/>
          <w:highlight w:val="none"/>
        </w:rPr>
        <w:t>的采购、安装事宜，根据《中华人民共和国政府采购法》及《中华人民共和国民法典》等相关法律、法规之规定，本着平等、自愿、互利、互惠的原则，经各方协商一致，订立本合同。</w:t>
      </w:r>
    </w:p>
    <w:p w14:paraId="2EC5B903">
      <w:pPr>
        <w:spacing w:line="500" w:lineRule="exact"/>
        <w:jc w:val="center"/>
        <w:rPr>
          <w:rFonts w:ascii="仿宋_GB2312" w:hAnsi="仿宋_GB2312" w:eastAsia="仿宋_GB2312"/>
          <w:b/>
          <w:color w:val="000000"/>
          <w:sz w:val="24"/>
          <w:highlight w:val="none"/>
        </w:rPr>
      </w:pPr>
    </w:p>
    <w:p w14:paraId="55DDB3B3">
      <w:pPr>
        <w:spacing w:line="500" w:lineRule="exact"/>
        <w:jc w:val="center"/>
        <w:rPr>
          <w:rFonts w:ascii="仿宋_GB2312" w:hAnsi="仿宋_GB2312" w:eastAsia="仿宋_GB2312"/>
          <w:b/>
          <w:color w:val="000000"/>
          <w:sz w:val="24"/>
          <w:highlight w:val="none"/>
        </w:rPr>
      </w:pPr>
      <w:r>
        <w:rPr>
          <w:rFonts w:hint="eastAsia" w:ascii="仿宋_GB2312" w:hAnsi="仿宋_GB2312" w:eastAsia="仿宋_GB2312"/>
          <w:b/>
          <w:color w:val="000000"/>
          <w:sz w:val="24"/>
          <w:highlight w:val="none"/>
        </w:rPr>
        <w:t>第一部分 通用条款</w:t>
      </w:r>
    </w:p>
    <w:p w14:paraId="20DB094D">
      <w:pPr>
        <w:spacing w:line="500" w:lineRule="exact"/>
        <w:rPr>
          <w:rFonts w:hint="eastAsia" w:ascii="仿宋_GB2312" w:hAnsi="仿宋_GB2312" w:eastAsia="仿宋_GB2312"/>
          <w:b/>
          <w:color w:val="000000"/>
          <w:sz w:val="24"/>
          <w:highlight w:val="none"/>
        </w:rPr>
      </w:pPr>
    </w:p>
    <w:p w14:paraId="685D5E56">
      <w:pPr>
        <w:spacing w:line="500" w:lineRule="exact"/>
        <w:ind w:firstLine="480" w:firstLineChars="200"/>
        <w:jc w:val="left"/>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在此供应的货物，乙方同意做如下保证</w:t>
      </w:r>
      <w:r>
        <w:rPr>
          <w:rFonts w:ascii="仿宋_GB2312" w:hAnsi="仿宋_GB2312" w:eastAsia="仿宋_GB2312"/>
          <w:color w:val="000000"/>
          <w:sz w:val="24"/>
          <w:highlight w:val="none"/>
        </w:rPr>
        <w:t>:</w:t>
      </w:r>
    </w:p>
    <w:p w14:paraId="2A64DE24">
      <w:pPr>
        <w:spacing w:line="500" w:lineRule="exact"/>
        <w:ind w:firstLine="480" w:firstLineChars="200"/>
        <w:jc w:val="left"/>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一、乙方供应的全部货物，必须在不涉及任何担保、留置权、专利权使用费的情况下，交付与本合同规定完全相同的货物。</w:t>
      </w:r>
    </w:p>
    <w:p w14:paraId="061682CF">
      <w:pPr>
        <w:spacing w:line="500" w:lineRule="exact"/>
        <w:ind w:firstLine="480" w:firstLineChars="200"/>
        <w:jc w:val="left"/>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二、不能将甲方全部或部分付款看作对有缺陷的工艺或不合格货物的认可。</w:t>
      </w:r>
    </w:p>
    <w:p w14:paraId="47F93EB0">
      <w:pPr>
        <w:spacing w:line="500" w:lineRule="exact"/>
        <w:ind w:firstLine="480" w:firstLineChars="200"/>
        <w:jc w:val="left"/>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三、所供货物均须符合相应图纸和技术规范中的相关规定，并且不涉及到任何侵权行为或任何索赔。</w:t>
      </w:r>
    </w:p>
    <w:p w14:paraId="6A3BFF34">
      <w:pPr>
        <w:spacing w:line="500" w:lineRule="exact"/>
        <w:ind w:firstLine="480" w:firstLineChars="200"/>
        <w:jc w:val="left"/>
        <w:rPr>
          <w:rFonts w:hint="eastAsia" w:ascii="仿宋_GB2312" w:hAnsi="仿宋_GB2312" w:eastAsia="仿宋_GB2312"/>
          <w:color w:val="000000"/>
          <w:sz w:val="24"/>
          <w:highlight w:val="none"/>
        </w:rPr>
      </w:pPr>
      <w:r>
        <w:rPr>
          <w:rFonts w:hint="eastAsia" w:ascii="仿宋_GB2312" w:hAnsi="仿宋_GB2312" w:eastAsia="仿宋_GB2312"/>
          <w:color w:val="000000"/>
          <w:sz w:val="24"/>
          <w:highlight w:val="none"/>
        </w:rPr>
        <w:t>四、甲方收到本合同项下的货物，并不表示甲方自动放弃因延期交货、货物不合格或货物与本合同不相符造成的损失而提出索赔的权利。若货物名称、型号、规格、数量、质量等不符合本合同约定，甲方可在收货后随时向乙方提出异议，乙方应免费更换直至货物完全符合本合同约定，且乙方需承担逾期交货的责任。甲方未提出异议的，乙方仍应于货物质保期内承担保固责任。甲方对货物的验收手续仅仅证明乙方交货的行为，并不能免除乙方应当承担的货物质量责任。因乙方货物质量瑕疵原因导致甲方对其他第三方承担的违约金、损失赔偿等任何赔偿责任，甲方均有权将该赔偿责任转移给乙方，乙方对此无异议。</w:t>
      </w:r>
    </w:p>
    <w:p w14:paraId="24262641">
      <w:pPr>
        <w:spacing w:line="500" w:lineRule="exact"/>
        <w:ind w:firstLine="480" w:firstLineChars="200"/>
        <w:jc w:val="left"/>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五、甲方有要求乙方延迟一段合理时间再行交货的权利。</w:t>
      </w:r>
    </w:p>
    <w:p w14:paraId="57359D90">
      <w:pPr>
        <w:spacing w:line="500" w:lineRule="exact"/>
        <w:ind w:firstLine="480" w:firstLineChars="200"/>
        <w:jc w:val="left"/>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六、除非甲方书面要求，乙方必须在本合同规定时间内进行交货。乙方同意偿付甲方可能因无法按照本合同约定时间进行交货而引起的所有额外的违约金、赔偿金以及其他费用。</w:t>
      </w:r>
    </w:p>
    <w:p w14:paraId="6F4874B4">
      <w:pPr>
        <w:spacing w:line="500" w:lineRule="exact"/>
        <w:ind w:firstLine="480" w:firstLineChars="200"/>
        <w:jc w:val="left"/>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七、在项目终止或甲方订立本合同所依据的本项目合同终止时，甲方经书面通知可解除本合同，此种情况不作违约处理。</w:t>
      </w:r>
    </w:p>
    <w:p w14:paraId="3EF9066A">
      <w:pPr>
        <w:spacing w:line="500" w:lineRule="exact"/>
        <w:ind w:firstLine="480" w:firstLineChars="200"/>
        <w:jc w:val="left"/>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八、所有交付到甲方现场的货物必须附有交货单。签字的交货单必须附在所有发票上作为本合同付款的前提条件。</w:t>
      </w:r>
    </w:p>
    <w:p w14:paraId="5D39C8D9">
      <w:pPr>
        <w:spacing w:line="500" w:lineRule="exact"/>
        <w:ind w:firstLine="480" w:firstLineChars="200"/>
        <w:jc w:val="left"/>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九、所有交货费用均由乙方承担，乙方保证使甲方免于承担全部运费、快递费、保险费、装卸费、其他杂费以及由此带来的任何索赔，本合同专用条款有特别约定的，从特别约定。</w:t>
      </w:r>
    </w:p>
    <w:p w14:paraId="48C48558">
      <w:pPr>
        <w:spacing w:line="500" w:lineRule="exact"/>
        <w:ind w:firstLine="480" w:firstLineChars="200"/>
        <w:jc w:val="left"/>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十、乙方分批供应货物的，甲方有权对任何一批货物的数量进行抽查核实，如果实际数量与乙方所提供的数量有短缺的，则乙方此前所供货物的全部数量均应按本批货物短缺比例作相应减少计算。</w:t>
      </w:r>
    </w:p>
    <w:p w14:paraId="3E7D67AC">
      <w:pPr>
        <w:spacing w:line="500" w:lineRule="exact"/>
        <w:ind w:firstLine="480" w:firstLineChars="200"/>
        <w:jc w:val="left"/>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十一、因乙方所交货物的权利瑕疵、品质瑕疵等导致甲方遭受任何损失的，乙方保证承担全部赔偿责任。在因上述瑕疵导致甲方陷入索赔纠纷或诉讼中的，在该索赔纠纷或诉讼未得到解决之前，乙方的结算可按甲方的意见作延迟处理，直至上述索赔得到解决或乙方提供令甲方满意的赔偿为止。</w:t>
      </w:r>
    </w:p>
    <w:p w14:paraId="549564BF">
      <w:pPr>
        <w:spacing w:line="500" w:lineRule="exact"/>
        <w:ind w:firstLine="480" w:firstLineChars="200"/>
        <w:jc w:val="left"/>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十二、因乙方全部或部分违约导致双方发生的诉讼</w:t>
      </w:r>
      <w:r>
        <w:rPr>
          <w:rFonts w:ascii="仿宋_GB2312" w:hAnsi="仿宋_GB2312" w:eastAsia="仿宋_GB2312"/>
          <w:color w:val="000000"/>
          <w:sz w:val="24"/>
          <w:highlight w:val="none"/>
        </w:rPr>
        <w:t>/</w:t>
      </w:r>
      <w:r>
        <w:rPr>
          <w:rFonts w:hint="eastAsia" w:ascii="仿宋_GB2312" w:hAnsi="仿宋_GB2312" w:eastAsia="仿宋_GB2312"/>
          <w:color w:val="000000"/>
          <w:sz w:val="24"/>
          <w:highlight w:val="none"/>
        </w:rPr>
        <w:t>仲裁或甲方与第三方发生的诉讼</w:t>
      </w:r>
      <w:r>
        <w:rPr>
          <w:rFonts w:ascii="仿宋_GB2312" w:hAnsi="仿宋_GB2312" w:eastAsia="仿宋_GB2312"/>
          <w:color w:val="000000"/>
          <w:sz w:val="24"/>
          <w:highlight w:val="none"/>
        </w:rPr>
        <w:t>/</w:t>
      </w:r>
      <w:r>
        <w:rPr>
          <w:rFonts w:hint="eastAsia" w:ascii="仿宋_GB2312" w:hAnsi="仿宋_GB2312" w:eastAsia="仿宋_GB2312"/>
          <w:color w:val="000000"/>
          <w:sz w:val="24"/>
          <w:highlight w:val="none"/>
        </w:rPr>
        <w:t>仲裁，乙方同意承担甲方因此而支出的全部诉讼费、律师费、调查费、交通费及其他合理费用。</w:t>
      </w:r>
    </w:p>
    <w:p w14:paraId="2EA742AA">
      <w:pPr>
        <w:spacing w:line="500" w:lineRule="exact"/>
        <w:ind w:firstLine="480" w:firstLineChars="200"/>
        <w:jc w:val="left"/>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十三、未经甲方书面同意，乙方不得将本合同的工作内容全部或部分转让给任何第三人。</w:t>
      </w:r>
    </w:p>
    <w:p w14:paraId="003637B9">
      <w:pPr>
        <w:spacing w:line="500" w:lineRule="exact"/>
        <w:ind w:firstLine="480" w:firstLineChars="200"/>
        <w:jc w:val="left"/>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十四、乙方声明、陈述和保证其是合法设立并有效存续的独立法人，其授权代表已获得法人授权可代表其签署合同。</w:t>
      </w:r>
    </w:p>
    <w:p w14:paraId="65297239">
      <w:pPr>
        <w:spacing w:line="500" w:lineRule="exact"/>
        <w:ind w:firstLine="480" w:firstLineChars="200"/>
        <w:jc w:val="left"/>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十五、甲方作为提供本合同的一方，已经郑重提醒乙方注意本合同的所有条款，并且甲方已经按照乙方的要求，对每一条款均予以了说明。本合同通用条款与专用条款约定不一致的，应以专用条款约定为准。</w:t>
      </w:r>
    </w:p>
    <w:p w14:paraId="3029E56E">
      <w:pPr>
        <w:spacing w:line="500" w:lineRule="exact"/>
        <w:ind w:firstLine="480" w:firstLineChars="200"/>
        <w:jc w:val="left"/>
        <w:rPr>
          <w:rFonts w:hint="eastAsia" w:ascii="仿宋_GB2312" w:hAnsi="仿宋_GB2312" w:eastAsia="仿宋_GB2312"/>
          <w:color w:val="000000"/>
          <w:sz w:val="24"/>
          <w:highlight w:val="none"/>
        </w:rPr>
      </w:pPr>
    </w:p>
    <w:p w14:paraId="5ABE4E2F">
      <w:pPr>
        <w:spacing w:line="500" w:lineRule="exact"/>
        <w:jc w:val="center"/>
        <w:rPr>
          <w:rFonts w:ascii="仿宋_GB2312" w:hAnsi="仿宋_GB2312" w:eastAsia="仿宋_GB2312"/>
          <w:b/>
          <w:color w:val="000000"/>
          <w:sz w:val="24"/>
          <w:highlight w:val="none"/>
        </w:rPr>
      </w:pPr>
      <w:r>
        <w:rPr>
          <w:rFonts w:hint="eastAsia" w:ascii="仿宋_GB2312" w:hAnsi="仿宋_GB2312" w:eastAsia="仿宋_GB2312"/>
          <w:b/>
          <w:color w:val="000000"/>
          <w:sz w:val="24"/>
          <w:highlight w:val="none"/>
        </w:rPr>
        <w:t>第二部分 专用条款</w:t>
      </w:r>
    </w:p>
    <w:p w14:paraId="27D30DDC">
      <w:pPr>
        <w:spacing w:line="500" w:lineRule="exact"/>
        <w:jc w:val="center"/>
        <w:rPr>
          <w:rFonts w:hint="eastAsia" w:ascii="仿宋_GB2312" w:hAnsi="仿宋_GB2312" w:eastAsia="仿宋_GB2312"/>
          <w:b/>
          <w:color w:val="000000"/>
          <w:sz w:val="24"/>
          <w:highlight w:val="none"/>
        </w:rPr>
      </w:pPr>
    </w:p>
    <w:p w14:paraId="5E521565">
      <w:pPr>
        <w:spacing w:line="500" w:lineRule="exact"/>
        <w:ind w:firstLine="482" w:firstLineChars="200"/>
        <w:jc w:val="left"/>
        <w:rPr>
          <w:rFonts w:ascii="仿宋_GB2312" w:hAnsi="仿宋_GB2312" w:eastAsia="仿宋_GB2312"/>
          <w:b/>
          <w:color w:val="000000"/>
          <w:sz w:val="24"/>
          <w:highlight w:val="none"/>
        </w:rPr>
      </w:pPr>
      <w:r>
        <w:rPr>
          <w:rFonts w:hint="eastAsia" w:ascii="仿宋_GB2312" w:hAnsi="仿宋_GB2312" w:eastAsia="仿宋_GB2312"/>
          <w:b/>
          <w:color w:val="000000"/>
          <w:sz w:val="24"/>
          <w:highlight w:val="none"/>
        </w:rPr>
        <w:t>一、合同标的</w:t>
      </w:r>
    </w:p>
    <w:p w14:paraId="75CC8F9A">
      <w:pPr>
        <w:spacing w:line="500" w:lineRule="exact"/>
        <w:ind w:firstLine="480" w:firstLineChars="200"/>
        <w:jc w:val="left"/>
        <w:rPr>
          <w:rFonts w:ascii="仿宋_GB2312" w:hAnsi="仿宋_GB2312" w:eastAsia="仿宋_GB2312"/>
          <w:color w:val="000000"/>
          <w:sz w:val="24"/>
          <w:highlight w:val="none"/>
        </w:rPr>
      </w:pPr>
      <w:r>
        <w:rPr>
          <w:rFonts w:ascii="仿宋_GB2312" w:hAnsi="仿宋_GB2312" w:eastAsia="仿宋_GB2312"/>
          <w:color w:val="000000"/>
          <w:sz w:val="24"/>
          <w:highlight w:val="none"/>
        </w:rPr>
        <w:t>1</w:t>
      </w:r>
      <w:r>
        <w:rPr>
          <w:rFonts w:hint="eastAsia" w:ascii="仿宋_GB2312" w:hAnsi="仿宋_GB2312" w:eastAsia="仿宋_GB2312"/>
          <w:color w:val="000000"/>
          <w:sz w:val="24"/>
          <w:highlight w:val="none"/>
        </w:rPr>
        <w:t>、货物</w:t>
      </w:r>
    </w:p>
    <w:p w14:paraId="75F64166">
      <w:pPr>
        <w:spacing w:line="500" w:lineRule="exact"/>
        <w:ind w:firstLine="480" w:firstLineChars="200"/>
        <w:jc w:val="left"/>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乙方提供的货物为全新产品，并符合合同附件的技术规格所述的标准及相关的国家标准和行业标准，这些标准必须是合同签订时有关机构发布的最新的有效版本。除非技术规格中另有规定，计量单位均采用中华人民共和国法定计量单位。</w:t>
      </w:r>
    </w:p>
    <w:p w14:paraId="6D378217">
      <w:pPr>
        <w:spacing w:line="500" w:lineRule="exact"/>
        <w:ind w:firstLine="480" w:firstLineChars="200"/>
        <w:jc w:val="left"/>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注</w:t>
      </w:r>
      <w:r>
        <w:rPr>
          <w:rFonts w:ascii="仿宋_GB2312" w:hAnsi="仿宋_GB2312" w:eastAsia="仿宋_GB2312"/>
          <w:color w:val="000000"/>
          <w:sz w:val="24"/>
          <w:highlight w:val="none"/>
        </w:rPr>
        <w:t>:</w:t>
      </w:r>
      <w:r>
        <w:rPr>
          <w:rFonts w:hint="eastAsia" w:ascii="仿宋_GB2312" w:hAnsi="仿宋_GB2312" w:eastAsia="仿宋_GB2312"/>
          <w:color w:val="000000"/>
          <w:sz w:val="24"/>
          <w:highlight w:val="none"/>
        </w:rPr>
        <w:t>乙方应保证，甲方在中华人民共和国使用该货物或货物的任何一部分时，免受第三方提出的侵犯其专利权、商标权、工业设计权或其他知识产权的起诉。</w:t>
      </w:r>
    </w:p>
    <w:p w14:paraId="56F5FFE2">
      <w:pPr>
        <w:numPr>
          <w:ilvl w:val="0"/>
          <w:numId w:val="9"/>
        </w:numPr>
        <w:spacing w:line="520" w:lineRule="exact"/>
        <w:ind w:firstLine="480" w:firstLineChars="200"/>
        <w:jc w:val="left"/>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产品名称、规格、数量、单价、价款（详细技术要求见附件）</w:t>
      </w:r>
    </w:p>
    <w:tbl>
      <w:tblPr>
        <w:tblStyle w:val="17"/>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7"/>
        <w:gridCol w:w="1175"/>
        <w:gridCol w:w="2329"/>
        <w:gridCol w:w="980"/>
        <w:gridCol w:w="1429"/>
        <w:gridCol w:w="1570"/>
      </w:tblGrid>
      <w:tr w14:paraId="2827D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47" w:type="dxa"/>
            <w:noWrap w:val="0"/>
            <w:vAlign w:val="top"/>
          </w:tcPr>
          <w:p w14:paraId="503C7745">
            <w:pPr>
              <w:spacing w:line="520" w:lineRule="exact"/>
              <w:jc w:val="left"/>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序号</w:t>
            </w:r>
          </w:p>
        </w:tc>
        <w:tc>
          <w:tcPr>
            <w:tcW w:w="1175" w:type="dxa"/>
            <w:noWrap w:val="0"/>
            <w:vAlign w:val="top"/>
          </w:tcPr>
          <w:p w14:paraId="584A4C3F">
            <w:pPr>
              <w:spacing w:line="520" w:lineRule="exact"/>
              <w:jc w:val="left"/>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名称</w:t>
            </w:r>
          </w:p>
        </w:tc>
        <w:tc>
          <w:tcPr>
            <w:tcW w:w="2329" w:type="dxa"/>
            <w:noWrap w:val="0"/>
            <w:vAlign w:val="top"/>
          </w:tcPr>
          <w:p w14:paraId="3849812F">
            <w:pPr>
              <w:spacing w:line="520" w:lineRule="exact"/>
              <w:jc w:val="left"/>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规格</w:t>
            </w:r>
            <w:r>
              <w:rPr>
                <w:rFonts w:ascii="仿宋_GB2312" w:hAnsi="仿宋_GB2312" w:eastAsia="仿宋_GB2312"/>
                <w:color w:val="000000"/>
                <w:sz w:val="24"/>
                <w:highlight w:val="none"/>
              </w:rPr>
              <w:t>型号</w:t>
            </w:r>
          </w:p>
        </w:tc>
        <w:tc>
          <w:tcPr>
            <w:tcW w:w="980" w:type="dxa"/>
            <w:noWrap w:val="0"/>
            <w:vAlign w:val="top"/>
          </w:tcPr>
          <w:p w14:paraId="0CDEE85D">
            <w:pPr>
              <w:spacing w:line="520" w:lineRule="exact"/>
              <w:jc w:val="left"/>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单位</w:t>
            </w:r>
          </w:p>
        </w:tc>
        <w:tc>
          <w:tcPr>
            <w:tcW w:w="1429" w:type="dxa"/>
            <w:noWrap w:val="0"/>
            <w:vAlign w:val="top"/>
          </w:tcPr>
          <w:p w14:paraId="28D43232">
            <w:pPr>
              <w:spacing w:line="520" w:lineRule="exact"/>
              <w:jc w:val="left"/>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单价</w:t>
            </w:r>
            <w:r>
              <w:rPr>
                <w:rFonts w:ascii="仿宋_GB2312" w:hAnsi="仿宋_GB2312" w:eastAsia="仿宋_GB2312"/>
                <w:color w:val="000000"/>
                <w:sz w:val="24"/>
                <w:highlight w:val="none"/>
              </w:rPr>
              <w:t>（</w:t>
            </w:r>
            <w:r>
              <w:rPr>
                <w:rFonts w:hint="eastAsia" w:ascii="仿宋_GB2312" w:hAnsi="仿宋_GB2312" w:eastAsia="仿宋_GB2312"/>
                <w:color w:val="000000"/>
                <w:sz w:val="24"/>
                <w:highlight w:val="none"/>
              </w:rPr>
              <w:t>元</w:t>
            </w:r>
            <w:r>
              <w:rPr>
                <w:rFonts w:ascii="仿宋_GB2312" w:hAnsi="仿宋_GB2312" w:eastAsia="仿宋_GB2312"/>
                <w:color w:val="000000"/>
                <w:sz w:val="24"/>
                <w:highlight w:val="none"/>
              </w:rPr>
              <w:t>）</w:t>
            </w:r>
          </w:p>
        </w:tc>
        <w:tc>
          <w:tcPr>
            <w:tcW w:w="1570" w:type="dxa"/>
            <w:noWrap w:val="0"/>
            <w:vAlign w:val="top"/>
          </w:tcPr>
          <w:p w14:paraId="72773B8F">
            <w:pPr>
              <w:spacing w:line="520" w:lineRule="exact"/>
              <w:jc w:val="left"/>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总价</w:t>
            </w:r>
            <w:r>
              <w:rPr>
                <w:rFonts w:ascii="仿宋_GB2312" w:hAnsi="仿宋_GB2312" w:eastAsia="仿宋_GB2312"/>
                <w:color w:val="000000"/>
                <w:sz w:val="24"/>
                <w:highlight w:val="none"/>
              </w:rPr>
              <w:t>（</w:t>
            </w:r>
            <w:r>
              <w:rPr>
                <w:rFonts w:hint="eastAsia" w:ascii="仿宋_GB2312" w:hAnsi="仿宋_GB2312" w:eastAsia="仿宋_GB2312"/>
                <w:color w:val="000000"/>
                <w:sz w:val="24"/>
                <w:highlight w:val="none"/>
              </w:rPr>
              <w:t>元</w:t>
            </w:r>
            <w:r>
              <w:rPr>
                <w:rFonts w:ascii="仿宋_GB2312" w:hAnsi="仿宋_GB2312" w:eastAsia="仿宋_GB2312"/>
                <w:color w:val="000000"/>
                <w:sz w:val="24"/>
                <w:highlight w:val="none"/>
              </w:rPr>
              <w:t>）</w:t>
            </w:r>
          </w:p>
        </w:tc>
      </w:tr>
      <w:tr w14:paraId="6432D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647" w:type="dxa"/>
            <w:noWrap w:val="0"/>
            <w:vAlign w:val="top"/>
          </w:tcPr>
          <w:p w14:paraId="2921BDD5">
            <w:pPr>
              <w:spacing w:line="520" w:lineRule="exact"/>
              <w:jc w:val="left"/>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1</w:t>
            </w:r>
          </w:p>
        </w:tc>
        <w:tc>
          <w:tcPr>
            <w:tcW w:w="1175" w:type="dxa"/>
            <w:noWrap w:val="0"/>
            <w:vAlign w:val="top"/>
          </w:tcPr>
          <w:p w14:paraId="767A6259">
            <w:pPr>
              <w:spacing w:line="520" w:lineRule="exact"/>
              <w:jc w:val="left"/>
              <w:rPr>
                <w:rFonts w:hint="eastAsia" w:ascii="仿宋_GB2312" w:hAnsi="仿宋_GB2312" w:eastAsia="仿宋_GB2312"/>
                <w:color w:val="000000"/>
                <w:sz w:val="24"/>
                <w:highlight w:val="none"/>
              </w:rPr>
            </w:pPr>
          </w:p>
        </w:tc>
        <w:tc>
          <w:tcPr>
            <w:tcW w:w="2329" w:type="dxa"/>
            <w:noWrap w:val="0"/>
            <w:vAlign w:val="top"/>
          </w:tcPr>
          <w:p w14:paraId="53643160">
            <w:pPr>
              <w:spacing w:line="520" w:lineRule="exact"/>
              <w:jc w:val="left"/>
              <w:rPr>
                <w:rFonts w:hint="eastAsia" w:ascii="仿宋_GB2312" w:hAnsi="仿宋_GB2312" w:eastAsia="仿宋_GB2312"/>
                <w:color w:val="000000"/>
                <w:sz w:val="24"/>
                <w:highlight w:val="none"/>
              </w:rPr>
            </w:pPr>
          </w:p>
        </w:tc>
        <w:tc>
          <w:tcPr>
            <w:tcW w:w="980" w:type="dxa"/>
            <w:noWrap w:val="0"/>
            <w:vAlign w:val="top"/>
          </w:tcPr>
          <w:p w14:paraId="6ECC99C9">
            <w:pPr>
              <w:spacing w:line="520" w:lineRule="exact"/>
              <w:jc w:val="left"/>
              <w:rPr>
                <w:rFonts w:hint="eastAsia" w:ascii="仿宋_GB2312" w:hAnsi="仿宋_GB2312" w:eastAsia="仿宋_GB2312"/>
                <w:color w:val="000000"/>
                <w:sz w:val="24"/>
                <w:highlight w:val="none"/>
              </w:rPr>
            </w:pPr>
          </w:p>
        </w:tc>
        <w:tc>
          <w:tcPr>
            <w:tcW w:w="1429" w:type="dxa"/>
            <w:noWrap w:val="0"/>
            <w:vAlign w:val="top"/>
          </w:tcPr>
          <w:p w14:paraId="3027480D">
            <w:pPr>
              <w:spacing w:line="520" w:lineRule="exact"/>
              <w:jc w:val="left"/>
              <w:rPr>
                <w:rFonts w:hint="eastAsia" w:ascii="仿宋_GB2312" w:hAnsi="仿宋_GB2312" w:eastAsia="仿宋_GB2312"/>
                <w:color w:val="000000"/>
                <w:sz w:val="24"/>
                <w:highlight w:val="none"/>
              </w:rPr>
            </w:pPr>
          </w:p>
        </w:tc>
        <w:tc>
          <w:tcPr>
            <w:tcW w:w="1570" w:type="dxa"/>
            <w:noWrap w:val="0"/>
            <w:vAlign w:val="top"/>
          </w:tcPr>
          <w:p w14:paraId="394E94FD">
            <w:pPr>
              <w:spacing w:line="520" w:lineRule="exact"/>
              <w:jc w:val="left"/>
              <w:rPr>
                <w:rFonts w:hint="eastAsia" w:ascii="仿宋_GB2312" w:hAnsi="仿宋_GB2312" w:eastAsia="仿宋_GB2312"/>
                <w:color w:val="000000"/>
                <w:sz w:val="24"/>
                <w:highlight w:val="none"/>
              </w:rPr>
            </w:pPr>
          </w:p>
        </w:tc>
      </w:tr>
      <w:tr w14:paraId="1C0F9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4151" w:type="dxa"/>
            <w:gridSpan w:val="3"/>
            <w:noWrap w:val="0"/>
            <w:vAlign w:val="top"/>
          </w:tcPr>
          <w:p w14:paraId="4458D87C">
            <w:pPr>
              <w:spacing w:line="520" w:lineRule="exact"/>
              <w:jc w:val="left"/>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质保</w:t>
            </w:r>
            <w:r>
              <w:rPr>
                <w:rFonts w:ascii="仿宋_GB2312" w:hAnsi="仿宋_GB2312" w:eastAsia="仿宋_GB2312"/>
                <w:color w:val="000000"/>
                <w:sz w:val="24"/>
                <w:highlight w:val="none"/>
              </w:rPr>
              <w:t>年限</w:t>
            </w:r>
            <w:r>
              <w:rPr>
                <w:rFonts w:hint="eastAsia" w:ascii="仿宋_GB2312" w:hAnsi="仿宋_GB2312" w:eastAsia="仿宋_GB2312"/>
                <w:color w:val="000000"/>
                <w:sz w:val="24"/>
                <w:highlight w:val="none"/>
              </w:rPr>
              <w:t>:</w:t>
            </w:r>
          </w:p>
        </w:tc>
        <w:tc>
          <w:tcPr>
            <w:tcW w:w="3979" w:type="dxa"/>
            <w:gridSpan w:val="3"/>
            <w:noWrap w:val="0"/>
            <w:vAlign w:val="top"/>
          </w:tcPr>
          <w:p w14:paraId="7169D964">
            <w:pPr>
              <w:spacing w:line="520" w:lineRule="exact"/>
              <w:jc w:val="left"/>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备注</w:t>
            </w:r>
            <w:r>
              <w:rPr>
                <w:rFonts w:ascii="仿宋_GB2312" w:hAnsi="仿宋_GB2312" w:eastAsia="仿宋_GB2312"/>
                <w:color w:val="000000"/>
                <w:sz w:val="24"/>
                <w:highlight w:val="none"/>
              </w:rPr>
              <w:t>：</w:t>
            </w:r>
          </w:p>
        </w:tc>
      </w:tr>
    </w:tbl>
    <w:p w14:paraId="2EAB18E9">
      <w:pPr>
        <w:spacing w:line="500" w:lineRule="exact"/>
        <w:ind w:firstLine="360" w:firstLineChars="150"/>
        <w:jc w:val="left"/>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3、本合同为固定单价，合同总价为人民币大写：</w:t>
      </w:r>
      <w:r>
        <w:rPr>
          <w:rFonts w:hint="eastAsia" w:ascii="仿宋_GB2312" w:hAnsi="仿宋_GB2312" w:eastAsia="仿宋_GB2312"/>
          <w:color w:val="000000"/>
          <w:sz w:val="24"/>
          <w:highlight w:val="none"/>
          <w:u w:val="single"/>
        </w:rPr>
        <w:t xml:space="preserve"> </w:t>
      </w:r>
      <w:r>
        <w:rPr>
          <w:rFonts w:ascii="仿宋_GB2312" w:hAnsi="仿宋_GB2312" w:eastAsia="仿宋_GB2312"/>
          <w:color w:val="000000"/>
          <w:sz w:val="24"/>
          <w:highlight w:val="none"/>
          <w:u w:val="single"/>
        </w:rPr>
        <w:t xml:space="preserve">    </w:t>
      </w:r>
      <w:r>
        <w:rPr>
          <w:rFonts w:hint="eastAsia" w:ascii="仿宋_GB2312" w:hAnsi="仿宋_GB2312" w:eastAsia="仿宋_GB2312"/>
          <w:color w:val="000000"/>
          <w:sz w:val="24"/>
          <w:highlight w:val="none"/>
          <w:u w:val="single"/>
        </w:rPr>
        <w:t xml:space="preserve"> </w:t>
      </w:r>
      <w:r>
        <w:rPr>
          <w:rFonts w:hint="eastAsia" w:ascii="仿宋_GB2312" w:hAnsi="仿宋_GB2312" w:eastAsia="仿宋_GB2312"/>
          <w:color w:val="000000"/>
          <w:sz w:val="24"/>
          <w:highlight w:val="none"/>
        </w:rPr>
        <w:t>（小写：</w:t>
      </w:r>
      <w:r>
        <w:rPr>
          <w:rFonts w:ascii="Calibri" w:hAnsi="Calibri" w:eastAsia="仿宋_GB2312" w:cs="Calibri"/>
          <w:color w:val="000000"/>
          <w:sz w:val="24"/>
          <w:highlight w:val="none"/>
        </w:rPr>
        <w:t>¥</w:t>
      </w:r>
      <w:r>
        <w:rPr>
          <w:rFonts w:ascii="仿宋_GB2312" w:hAnsi="仿宋_GB2312" w:eastAsia="仿宋_GB2312"/>
          <w:color w:val="000000"/>
          <w:sz w:val="24"/>
          <w:highlight w:val="none"/>
          <w:u w:val="single"/>
        </w:rPr>
        <w:t xml:space="preserve">    </w:t>
      </w:r>
      <w:r>
        <w:rPr>
          <w:rFonts w:hint="eastAsia" w:ascii="仿宋_GB2312" w:hAnsi="仿宋_GB2312" w:eastAsia="仿宋_GB2312"/>
          <w:color w:val="000000"/>
          <w:sz w:val="24"/>
          <w:highlight w:val="none"/>
        </w:rPr>
        <w:t>元），包含增值税。合同价格已包括货物供给、货物包装、运输费、安装费、调试、装卸费和保险等的全部费用及相关税费。乙方应保证甲方除支付合同约定货款之外无需再行支付其他任何费用和款项。</w:t>
      </w:r>
    </w:p>
    <w:p w14:paraId="1A3EA317">
      <w:pPr>
        <w:spacing w:line="500" w:lineRule="exact"/>
        <w:ind w:firstLine="480" w:firstLineChars="200"/>
        <w:jc w:val="left"/>
        <w:rPr>
          <w:rFonts w:hint="eastAsia" w:ascii="仿宋_GB2312" w:hAnsi="仿宋_GB2312" w:eastAsia="仿宋_GB2312"/>
          <w:color w:val="000000"/>
          <w:sz w:val="24"/>
          <w:highlight w:val="none"/>
        </w:rPr>
      </w:pPr>
      <w:r>
        <w:rPr>
          <w:rFonts w:hint="eastAsia" w:ascii="仿宋_GB2312" w:hAnsi="仿宋_GB2312" w:eastAsia="仿宋_GB2312"/>
          <w:color w:val="000000"/>
          <w:sz w:val="24"/>
          <w:highlight w:val="none"/>
        </w:rPr>
        <w:t>4、价格清单表是基于乙方在完全理解本项目材料所需为前提，同时甲方对清单中的名称、规格、材质及数量等没有校对的义务，乙方在合同有效期内不得对清单内的费用提出任何的增加。实际供货数量以双方签字确认的数量为准。</w:t>
      </w:r>
    </w:p>
    <w:p w14:paraId="5991DAB8">
      <w:pPr>
        <w:spacing w:line="500" w:lineRule="exact"/>
        <w:ind w:firstLine="482" w:firstLineChars="200"/>
        <w:rPr>
          <w:rFonts w:hint="eastAsia" w:ascii="仿宋_GB2312" w:hAnsi="仿宋_GB2312" w:eastAsia="仿宋_GB2312"/>
          <w:b/>
          <w:color w:val="000000"/>
          <w:sz w:val="24"/>
          <w:highlight w:val="none"/>
        </w:rPr>
      </w:pPr>
      <w:r>
        <w:rPr>
          <w:rFonts w:hint="eastAsia" w:ascii="仿宋_GB2312" w:hAnsi="仿宋_GB2312" w:eastAsia="仿宋_GB2312"/>
          <w:b/>
          <w:color w:val="000000"/>
          <w:sz w:val="24"/>
          <w:highlight w:val="none"/>
        </w:rPr>
        <w:t>二、质量保证</w:t>
      </w:r>
    </w:p>
    <w:p w14:paraId="0226D809">
      <w:pPr>
        <w:spacing w:line="500" w:lineRule="exact"/>
        <w:ind w:firstLine="480" w:firstLineChars="200"/>
        <w:rPr>
          <w:rFonts w:ascii="仿宋_GB2312" w:hAnsi="仿宋_GB2312" w:eastAsia="仿宋_GB2312"/>
          <w:color w:val="000000"/>
          <w:sz w:val="24"/>
          <w:highlight w:val="none"/>
        </w:rPr>
      </w:pPr>
      <w:r>
        <w:rPr>
          <w:rFonts w:ascii="仿宋_GB2312" w:hAnsi="仿宋_GB2312" w:eastAsia="仿宋_GB2312"/>
          <w:color w:val="000000"/>
          <w:sz w:val="24"/>
          <w:highlight w:val="none"/>
        </w:rPr>
        <w:t>1</w:t>
      </w:r>
      <w:r>
        <w:rPr>
          <w:rFonts w:hint="eastAsia" w:ascii="仿宋_GB2312" w:hAnsi="仿宋_GB2312" w:eastAsia="仿宋_GB2312"/>
          <w:color w:val="000000"/>
          <w:sz w:val="24"/>
          <w:highlight w:val="none"/>
        </w:rPr>
        <w:t>、产品质量标准（含环保标准）：执行最新国家及行业标准、国家和地方行政主管部门的有关规定。没有国家和行业标准以及国家和地方行政主管部门的有关规定，按照甲方验收标准或者符合合同目的的特定标准履行；</w:t>
      </w:r>
    </w:p>
    <w:p w14:paraId="7CFC49BF">
      <w:pPr>
        <w:spacing w:line="500" w:lineRule="exact"/>
        <w:ind w:firstLine="480" w:firstLineChars="200"/>
        <w:rPr>
          <w:rFonts w:ascii="仿宋_GB2312" w:hAnsi="仿宋_GB2312" w:eastAsia="仿宋_GB2312"/>
          <w:color w:val="000000"/>
          <w:sz w:val="24"/>
          <w:highlight w:val="none"/>
        </w:rPr>
      </w:pPr>
      <w:r>
        <w:rPr>
          <w:rFonts w:ascii="仿宋_GB2312" w:hAnsi="仿宋_GB2312" w:eastAsia="仿宋_GB2312"/>
          <w:color w:val="000000"/>
          <w:sz w:val="24"/>
          <w:highlight w:val="none"/>
        </w:rPr>
        <w:t>2</w:t>
      </w:r>
      <w:r>
        <w:rPr>
          <w:rFonts w:hint="eastAsia" w:ascii="仿宋_GB2312" w:hAnsi="仿宋_GB2312" w:eastAsia="仿宋_GB2312"/>
          <w:color w:val="000000"/>
          <w:sz w:val="24"/>
          <w:highlight w:val="none"/>
        </w:rPr>
        <w:t>、乙方保证本协议货物是全新的、未使用过，是符合国家技术规格和国家质量标准的出厂原装合格产品，产品型号、数量、规格及技术、质量标准、售后服务、安装调试必须满足甲方和自治区政府采购协议要求；</w:t>
      </w:r>
    </w:p>
    <w:p w14:paraId="4BED85BC">
      <w:pPr>
        <w:spacing w:line="500" w:lineRule="exact"/>
        <w:ind w:firstLine="480" w:firstLineChars="200"/>
        <w:rPr>
          <w:rFonts w:ascii="仿宋_GB2312" w:hAnsi="仿宋_GB2312" w:eastAsia="仿宋_GB2312"/>
          <w:color w:val="000000"/>
          <w:sz w:val="24"/>
          <w:highlight w:val="none"/>
        </w:rPr>
      </w:pPr>
      <w:r>
        <w:rPr>
          <w:rFonts w:ascii="仿宋_GB2312" w:hAnsi="仿宋_GB2312" w:eastAsia="仿宋_GB2312"/>
          <w:color w:val="000000"/>
          <w:sz w:val="24"/>
          <w:highlight w:val="none"/>
        </w:rPr>
        <w:t>3</w:t>
      </w:r>
      <w:r>
        <w:rPr>
          <w:rFonts w:hint="eastAsia" w:ascii="仿宋_GB2312" w:hAnsi="仿宋_GB2312" w:eastAsia="仿宋_GB2312"/>
          <w:color w:val="000000"/>
          <w:sz w:val="24"/>
          <w:highlight w:val="none"/>
        </w:rPr>
        <w:t>、货物在交货过程中，发生意外事故和故障损失，如撞、刮、裂、损等均由乙方承担责任；</w:t>
      </w:r>
    </w:p>
    <w:p w14:paraId="32ABFA4B">
      <w:pPr>
        <w:spacing w:line="500" w:lineRule="exact"/>
        <w:ind w:firstLine="480" w:firstLineChars="200"/>
        <w:rPr>
          <w:rFonts w:ascii="仿宋_GB2312" w:hAnsi="仿宋_GB2312" w:eastAsia="仿宋_GB2312"/>
          <w:color w:val="000000"/>
          <w:sz w:val="24"/>
          <w:highlight w:val="none"/>
        </w:rPr>
      </w:pPr>
      <w:r>
        <w:rPr>
          <w:rFonts w:ascii="仿宋_GB2312" w:hAnsi="仿宋_GB2312" w:eastAsia="仿宋_GB2312"/>
          <w:color w:val="000000"/>
          <w:sz w:val="24"/>
          <w:highlight w:val="none"/>
        </w:rPr>
        <w:t>4</w:t>
      </w:r>
      <w:r>
        <w:rPr>
          <w:rFonts w:hint="eastAsia" w:ascii="仿宋_GB2312" w:hAnsi="仿宋_GB2312" w:eastAsia="仿宋_GB2312"/>
          <w:color w:val="000000"/>
          <w:sz w:val="24"/>
          <w:highlight w:val="none"/>
        </w:rPr>
        <w:t>、乙方须按合同要求提供质量合格的货物，如期交付到甲方指定的地点，并负责安装调试；</w:t>
      </w:r>
    </w:p>
    <w:p w14:paraId="04B8E7CB">
      <w:pPr>
        <w:spacing w:line="500" w:lineRule="exact"/>
        <w:ind w:firstLine="480" w:firstLineChars="200"/>
        <w:rPr>
          <w:rFonts w:ascii="仿宋_GB2312" w:hAnsi="仿宋_GB2312" w:eastAsia="仿宋_GB2312"/>
          <w:color w:val="000000"/>
          <w:sz w:val="24"/>
          <w:highlight w:val="none"/>
        </w:rPr>
      </w:pPr>
      <w:r>
        <w:rPr>
          <w:rFonts w:ascii="仿宋_GB2312" w:hAnsi="仿宋_GB2312" w:eastAsia="仿宋_GB2312"/>
          <w:color w:val="000000"/>
          <w:sz w:val="24"/>
          <w:highlight w:val="none"/>
        </w:rPr>
        <w:t>5</w:t>
      </w:r>
      <w:r>
        <w:rPr>
          <w:rFonts w:hint="eastAsia" w:ascii="仿宋_GB2312" w:hAnsi="仿宋_GB2312" w:eastAsia="仿宋_GB2312"/>
          <w:color w:val="000000"/>
          <w:sz w:val="24"/>
          <w:highlight w:val="none"/>
        </w:rPr>
        <w:t>、乙方的安装调试人员有义务对甲方的设备维修人员及使用人员进行免费培训或指导，操作人员</w:t>
      </w:r>
      <w:r>
        <w:rPr>
          <w:rFonts w:hint="eastAsia" w:ascii="仿宋_GB2312" w:hAnsi="仿宋_GB2312" w:eastAsia="仿宋_GB2312"/>
          <w:color w:val="000000"/>
          <w:sz w:val="24"/>
          <w:highlight w:val="none"/>
          <w:lang w:val="en-US" w:eastAsia="zh-CN"/>
        </w:rPr>
        <w:t>2-3</w:t>
      </w:r>
      <w:r>
        <w:rPr>
          <w:rFonts w:hint="eastAsia" w:ascii="仿宋_GB2312" w:hAnsi="仿宋_GB2312" w:eastAsia="仿宋_GB2312"/>
          <w:color w:val="000000"/>
          <w:sz w:val="24"/>
          <w:highlight w:val="none"/>
        </w:rPr>
        <w:t>名，维护人员</w:t>
      </w:r>
      <w:r>
        <w:rPr>
          <w:rFonts w:hint="eastAsia" w:ascii="仿宋_GB2312" w:hAnsi="仿宋_GB2312" w:eastAsia="仿宋_GB2312"/>
          <w:color w:val="000000"/>
          <w:sz w:val="24"/>
          <w:highlight w:val="none"/>
          <w:lang w:val="en-US" w:eastAsia="zh-CN"/>
        </w:rPr>
        <w:t>2-3</w:t>
      </w:r>
      <w:r>
        <w:rPr>
          <w:rFonts w:hint="eastAsia" w:ascii="仿宋_GB2312" w:hAnsi="仿宋_GB2312" w:eastAsia="仿宋_GB2312"/>
          <w:color w:val="000000"/>
          <w:sz w:val="24"/>
          <w:highlight w:val="none"/>
        </w:rPr>
        <w:t>名，培训地点新疆维吾尔自治区儿童医院。确保维修人员能对设备进行日常维护和一般性故障的查找及故障的排除，确保使用人员能够熟练掌握设备的各项功能和操作；</w:t>
      </w:r>
    </w:p>
    <w:p w14:paraId="6F50E1C9">
      <w:pPr>
        <w:spacing w:line="500" w:lineRule="exact"/>
        <w:ind w:firstLine="480" w:firstLineChars="200"/>
        <w:rPr>
          <w:rFonts w:hint="eastAsia" w:ascii="仿宋_GB2312" w:hAnsi="仿宋_GB2312" w:eastAsia="仿宋_GB2312"/>
          <w:color w:val="000000"/>
          <w:sz w:val="24"/>
          <w:highlight w:val="none"/>
        </w:rPr>
      </w:pPr>
      <w:r>
        <w:rPr>
          <w:rFonts w:hint="eastAsia" w:ascii="仿宋_GB2312" w:hAnsi="仿宋_GB2312" w:eastAsia="仿宋_GB2312"/>
          <w:color w:val="000000"/>
          <w:sz w:val="24"/>
          <w:highlight w:val="none"/>
        </w:rPr>
        <w:t>6、为保障甲方医疗信息系统能够正常实施、运行，如本合同设备涉及数字信息接口问题，乙方提供的设备应无条件免费开放设备数字信息系统接口，以便甲方信息系统采集数据，相关的费用由乙方承担。</w:t>
      </w:r>
    </w:p>
    <w:p w14:paraId="7FBB51FD">
      <w:pPr>
        <w:spacing w:line="500" w:lineRule="exact"/>
        <w:ind w:firstLine="482" w:firstLineChars="200"/>
        <w:rPr>
          <w:rFonts w:ascii="仿宋_GB2312" w:hAnsi="仿宋_GB2312" w:eastAsia="仿宋_GB2312"/>
          <w:color w:val="000000"/>
          <w:sz w:val="24"/>
          <w:highlight w:val="none"/>
        </w:rPr>
      </w:pPr>
      <w:r>
        <w:rPr>
          <w:rFonts w:hint="eastAsia" w:ascii="仿宋_GB2312" w:hAnsi="仿宋_GB2312" w:eastAsia="仿宋_GB2312"/>
          <w:b/>
          <w:color w:val="000000"/>
          <w:sz w:val="24"/>
          <w:highlight w:val="none"/>
        </w:rPr>
        <w:t>三、质量保证期</w:t>
      </w:r>
    </w:p>
    <w:p w14:paraId="45DB01F7">
      <w:pPr>
        <w:spacing w:line="500" w:lineRule="exact"/>
        <w:ind w:firstLine="480" w:firstLineChars="200"/>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1、本合同项下的货物质保期为</w:t>
      </w:r>
      <w:r>
        <w:rPr>
          <w:rFonts w:hint="eastAsia" w:ascii="仿宋_GB2312" w:hAnsi="仿宋_GB2312" w:eastAsia="仿宋_GB2312"/>
          <w:color w:val="000000"/>
          <w:sz w:val="24"/>
          <w:highlight w:val="none"/>
          <w:u w:val="single"/>
          <w:lang w:val="en-US" w:eastAsia="zh-CN"/>
        </w:rPr>
        <w:t>3</w:t>
      </w:r>
      <w:r>
        <w:rPr>
          <w:rFonts w:ascii="仿宋_GB2312" w:hAnsi="仿宋_GB2312" w:eastAsia="仿宋_GB2312"/>
          <w:color w:val="000000"/>
          <w:sz w:val="24"/>
          <w:highlight w:val="none"/>
          <w:u w:val="single"/>
        </w:rPr>
        <w:t xml:space="preserve"> </w:t>
      </w:r>
      <w:r>
        <w:rPr>
          <w:rFonts w:hint="eastAsia" w:ascii="仿宋_GB2312" w:hAnsi="仿宋_GB2312" w:eastAsia="仿宋_GB2312"/>
          <w:color w:val="000000"/>
          <w:sz w:val="24"/>
          <w:highlight w:val="none"/>
        </w:rPr>
        <w:t>年，质保期自甲方书面验收合格之日起计算。在质量保证期内，因产品质量出现问题，乙方负责免费维修或更换，并承担与维修和更换相关的运费、安装、调试、保险等一切费用。超过质保期后只收取更换部件成本费用，不收取服务费，质保期后的维修费用，先维修后付款，零配件的购买，先交货后付款；</w:t>
      </w:r>
    </w:p>
    <w:p w14:paraId="05C21351">
      <w:pPr>
        <w:spacing w:line="500" w:lineRule="exact"/>
        <w:ind w:firstLine="480" w:firstLineChars="200"/>
        <w:rPr>
          <w:rFonts w:hint="eastAsia" w:ascii="仿宋_GB2312" w:hAnsi="仿宋_GB2312" w:eastAsia="仿宋_GB2312"/>
          <w:color w:val="000000"/>
          <w:sz w:val="24"/>
          <w:highlight w:val="none"/>
        </w:rPr>
      </w:pPr>
      <w:r>
        <w:rPr>
          <w:rFonts w:hint="eastAsia" w:ascii="仿宋_GB2312" w:hAnsi="仿宋_GB2312" w:eastAsia="仿宋_GB2312"/>
          <w:color w:val="000000"/>
          <w:sz w:val="24"/>
          <w:highlight w:val="none"/>
        </w:rPr>
        <w:t>2、质保期内开机率不得低于96%（按工作日计算），累计故障不超过六天，每超过一天按该设备日均价款计算赔偿，保修时间按1:3顺延，提供正规的备品、备件价格表，配件到达日期国内不超过3天，国外不超过7天，每超过一天，按该设备日均价款计算赔偿；</w:t>
      </w:r>
    </w:p>
    <w:p w14:paraId="4EA75309">
      <w:pPr>
        <w:spacing w:line="500" w:lineRule="exact"/>
        <w:ind w:firstLine="480" w:firstLineChars="200"/>
        <w:rPr>
          <w:rFonts w:hint="eastAsia" w:ascii="仿宋_GB2312" w:hAnsi="仿宋_GB2312" w:eastAsia="仿宋_GB2312"/>
          <w:color w:val="000000"/>
          <w:sz w:val="24"/>
          <w:highlight w:val="none"/>
        </w:rPr>
      </w:pPr>
      <w:r>
        <w:rPr>
          <w:rFonts w:ascii="仿宋_GB2312" w:hAnsi="仿宋_GB2312" w:eastAsia="仿宋_GB2312"/>
          <w:color w:val="000000"/>
          <w:sz w:val="24"/>
          <w:highlight w:val="none"/>
        </w:rPr>
        <w:t>3</w:t>
      </w:r>
      <w:r>
        <w:rPr>
          <w:rFonts w:hint="eastAsia" w:ascii="仿宋_GB2312" w:hAnsi="仿宋_GB2312" w:eastAsia="仿宋_GB2312"/>
          <w:color w:val="000000"/>
          <w:sz w:val="24"/>
          <w:highlight w:val="none"/>
        </w:rPr>
        <w:t>、质保期内，如产品发生质量问题，乙方应及时内到场进行维修，并相应延长所更换或维修过的零配件质保期；乙方接到甲方通知后2小时内应予答复，如电话无法解决问题乙方应安排工程师12小时内到达现场解决问题，乙方未依照约定时间到场的，甲方有权另行聘请专业人员进行维修，产生的合理费用在质保金中予以扣除，不足部分，乙方应予以补足。</w:t>
      </w:r>
    </w:p>
    <w:p w14:paraId="4C32011E">
      <w:pPr>
        <w:spacing w:line="500" w:lineRule="exact"/>
        <w:ind w:firstLine="482" w:firstLineChars="200"/>
        <w:rPr>
          <w:rFonts w:hint="eastAsia" w:ascii="仿宋_GB2312" w:hAnsi="仿宋_GB2312" w:eastAsia="仿宋_GB2312"/>
          <w:b/>
          <w:color w:val="000000"/>
          <w:sz w:val="24"/>
          <w:highlight w:val="none"/>
        </w:rPr>
      </w:pPr>
      <w:r>
        <w:rPr>
          <w:rFonts w:hint="eastAsia" w:ascii="仿宋_GB2312" w:hAnsi="仿宋_GB2312" w:eastAsia="仿宋_GB2312"/>
          <w:b/>
          <w:color w:val="000000"/>
          <w:sz w:val="24"/>
          <w:highlight w:val="none"/>
        </w:rPr>
        <w:t>四、交货时间、地点</w:t>
      </w:r>
    </w:p>
    <w:p w14:paraId="5C6039A8">
      <w:pPr>
        <w:spacing w:line="500" w:lineRule="exact"/>
        <w:ind w:firstLine="480" w:firstLineChars="200"/>
        <w:rPr>
          <w:rFonts w:hint="eastAsia" w:ascii="仿宋_GB2312" w:hAnsi="仿宋_GB2312" w:eastAsia="仿宋_GB2312"/>
          <w:color w:val="000000"/>
          <w:sz w:val="24"/>
          <w:highlight w:val="none"/>
        </w:rPr>
      </w:pPr>
      <w:r>
        <w:rPr>
          <w:rFonts w:hint="eastAsia" w:ascii="仿宋_GB2312" w:hAnsi="仿宋_GB2312" w:eastAsia="仿宋_GB2312"/>
          <w:color w:val="000000"/>
          <w:sz w:val="24"/>
          <w:highlight w:val="none"/>
        </w:rPr>
        <w:t>1、</w:t>
      </w:r>
      <w:r>
        <w:rPr>
          <w:rFonts w:hint="eastAsia" w:ascii="仿宋_GB2312" w:hAnsi="仿宋_GB2312" w:eastAsia="仿宋_GB2312"/>
          <w:color w:val="000000"/>
          <w:sz w:val="24"/>
          <w:highlight w:val="none"/>
          <w:lang w:eastAsia="zh-CN"/>
        </w:rPr>
        <w:t>合同签订后</w:t>
      </w:r>
      <w:r>
        <w:rPr>
          <w:rFonts w:hint="eastAsia" w:ascii="仿宋_GB2312" w:hAnsi="仿宋_GB2312" w:eastAsia="仿宋_GB2312"/>
          <w:color w:val="000000"/>
          <w:sz w:val="24"/>
          <w:highlight w:val="none"/>
          <w:lang w:val="en-US" w:eastAsia="zh-CN"/>
        </w:rPr>
        <w:t>30日内</w:t>
      </w:r>
      <w:r>
        <w:rPr>
          <w:rFonts w:hint="eastAsia" w:ascii="仿宋_GB2312" w:hAnsi="仿宋_GB2312" w:eastAsia="仿宋_GB2312"/>
          <w:color w:val="000000"/>
          <w:sz w:val="24"/>
          <w:highlight w:val="none"/>
        </w:rPr>
        <w:t>将货物送达至以下指定地点：</w:t>
      </w:r>
      <w:r>
        <w:rPr>
          <w:rFonts w:hint="eastAsia" w:ascii="仿宋_GB2312" w:hAnsi="仿宋_GB2312" w:eastAsia="仿宋_GB2312"/>
          <w:color w:val="000000"/>
          <w:sz w:val="24"/>
          <w:highlight w:val="none"/>
          <w:u w:val="single"/>
        </w:rPr>
        <w:t>新疆维吾尔自治区儿童医院</w:t>
      </w:r>
      <w:r>
        <w:rPr>
          <w:rFonts w:hint="eastAsia" w:ascii="仿宋_GB2312" w:hAnsi="仿宋_GB2312" w:eastAsia="仿宋_GB2312"/>
          <w:color w:val="000000"/>
          <w:sz w:val="24"/>
          <w:highlight w:val="none"/>
        </w:rPr>
        <w:t>，并确保在</w:t>
      </w:r>
      <w:r>
        <w:rPr>
          <w:rFonts w:ascii="仿宋_GB2312" w:hAnsi="仿宋_GB2312" w:eastAsia="仿宋_GB2312"/>
          <w:color w:val="000000"/>
          <w:sz w:val="24"/>
          <w:highlight w:val="none"/>
          <w:u w:val="single"/>
        </w:rPr>
        <w:t xml:space="preserve"> </w:t>
      </w:r>
      <w:r>
        <w:rPr>
          <w:rFonts w:hint="eastAsia" w:ascii="仿宋_GB2312" w:hAnsi="仿宋_GB2312" w:eastAsia="仿宋_GB2312"/>
          <w:color w:val="000000"/>
          <w:sz w:val="24"/>
          <w:highlight w:val="none"/>
          <w:u w:val="single"/>
          <w:lang w:val="en-US" w:eastAsia="zh-CN"/>
        </w:rPr>
        <w:t xml:space="preserve">   </w:t>
      </w:r>
      <w:r>
        <w:rPr>
          <w:rFonts w:ascii="仿宋_GB2312" w:hAnsi="仿宋_GB2312" w:eastAsia="仿宋_GB2312"/>
          <w:color w:val="000000"/>
          <w:sz w:val="24"/>
          <w:highlight w:val="none"/>
          <w:u w:val="single"/>
        </w:rPr>
        <w:t xml:space="preserve"> </w:t>
      </w:r>
      <w:r>
        <w:rPr>
          <w:rFonts w:hint="eastAsia" w:ascii="仿宋_GB2312" w:hAnsi="仿宋_GB2312" w:eastAsia="仿宋_GB2312"/>
          <w:color w:val="000000"/>
          <w:sz w:val="24"/>
          <w:highlight w:val="none"/>
        </w:rPr>
        <w:t>天内完成安装和调试工作，配合甲方做好验收工作；</w:t>
      </w:r>
    </w:p>
    <w:p w14:paraId="75F4C463">
      <w:pPr>
        <w:spacing w:line="500" w:lineRule="exact"/>
        <w:ind w:firstLine="480" w:firstLineChars="200"/>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其它备注说明：如因甲方原因造成无法安装或延期安装，交货期限可顺延，乙方同意顺延交货日期。</w:t>
      </w:r>
    </w:p>
    <w:p w14:paraId="59EEDF68">
      <w:pPr>
        <w:spacing w:line="500" w:lineRule="exact"/>
        <w:ind w:firstLine="480" w:firstLineChars="200"/>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2、到货地点和接货单位：甲方指定的接货人姓名：</w:t>
      </w:r>
      <w:r>
        <w:rPr>
          <w:rFonts w:hint="eastAsia" w:ascii="仿宋_GB2312" w:hAnsi="仿宋_GB2312" w:eastAsia="仿宋_GB2312"/>
          <w:color w:val="000000"/>
          <w:sz w:val="24"/>
          <w:highlight w:val="none"/>
          <w:u w:val="single"/>
          <w:lang w:val="en-US" w:eastAsia="zh-CN"/>
        </w:rPr>
        <w:t xml:space="preserve">   </w:t>
      </w:r>
      <w:r>
        <w:rPr>
          <w:rFonts w:hint="eastAsia" w:ascii="仿宋_GB2312" w:hAnsi="仿宋_GB2312" w:eastAsia="仿宋_GB2312"/>
          <w:color w:val="000000"/>
          <w:sz w:val="24"/>
          <w:highlight w:val="none"/>
        </w:rPr>
        <w:t>，电话号码：</w:t>
      </w:r>
      <w:r>
        <w:rPr>
          <w:rFonts w:ascii="仿宋_GB2312" w:hAnsi="仿宋_GB2312" w:eastAsia="仿宋_GB2312"/>
          <w:color w:val="000000"/>
          <w:sz w:val="24"/>
          <w:highlight w:val="none"/>
          <w:u w:val="single"/>
        </w:rPr>
        <w:t xml:space="preserve">       </w:t>
      </w:r>
      <w:r>
        <w:rPr>
          <w:rFonts w:hint="eastAsia" w:ascii="仿宋_GB2312" w:hAnsi="仿宋_GB2312" w:eastAsia="仿宋_GB2312"/>
          <w:color w:val="000000"/>
          <w:sz w:val="24"/>
          <w:highlight w:val="none"/>
          <w:u w:val="single"/>
        </w:rPr>
        <w:t xml:space="preserve"> </w:t>
      </w:r>
      <w:r>
        <w:rPr>
          <w:rFonts w:hint="eastAsia" w:ascii="仿宋_GB2312" w:hAnsi="仿宋_GB2312" w:eastAsia="仿宋_GB2312"/>
          <w:color w:val="000000"/>
          <w:sz w:val="24"/>
          <w:highlight w:val="none"/>
        </w:rPr>
        <w:t>；双方明确，除该指定接货人外，其他任何人员（包括甲方的其他任何工作人员）签署的接货单，甲方均不予认可；</w:t>
      </w:r>
    </w:p>
    <w:p w14:paraId="18968FBA">
      <w:pPr>
        <w:spacing w:line="500" w:lineRule="exact"/>
        <w:ind w:firstLine="480" w:firstLineChars="200"/>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3、在交付时，乙方必须向甲方提供产品检验合格证书、装箱单、产品安装使用说明书、维修指南、服务手册等资料，进口设备须带海关报关单和商品检验单，保证是原产地的原装产品，甲乙双方对设备进行开箱清点、检查验收，如果发现数量不足或有质量、技术等问题，乙方应在7天内，按照甲方的要求，采取补足、更换或退货等处理措施，并承担由此产生的一切损失和费用，否则按退货处理；</w:t>
      </w:r>
    </w:p>
    <w:p w14:paraId="08285967">
      <w:pPr>
        <w:spacing w:line="500" w:lineRule="exact"/>
        <w:ind w:firstLine="480" w:firstLineChars="200"/>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4、交货完成前（即货物交付完成且经甲方验收完毕前），本合同项下商品的损毁灭失风险由乙方承担，交货完成后，商品的所有权及损毁灭失风险转移至甲方。在安装期间，因物件发生的事故及人身伤亡，由乙方承担责任。与甲方无关，甲方不承担任何责任。乙方向甲方承诺其具备履行本合同项下义务所需要的各类资质，如果因为应当具备资质而不具有资质，发生事故造成人身伤亡、财产毁损并牵连甲方承担连带责任的，乙方无条件地承诺甲方因上述连带责任支付的赔偿款项全部由乙方承担。</w:t>
      </w:r>
    </w:p>
    <w:p w14:paraId="01AA321A">
      <w:pPr>
        <w:spacing w:line="500" w:lineRule="exact"/>
        <w:ind w:firstLine="482" w:firstLineChars="200"/>
        <w:rPr>
          <w:rFonts w:ascii="仿宋_GB2312" w:hAnsi="仿宋_GB2312" w:eastAsia="仿宋_GB2312"/>
          <w:color w:val="000000"/>
          <w:sz w:val="24"/>
          <w:highlight w:val="none"/>
        </w:rPr>
      </w:pPr>
      <w:r>
        <w:rPr>
          <w:rFonts w:hint="eastAsia" w:ascii="仿宋_GB2312" w:hAnsi="仿宋_GB2312" w:eastAsia="仿宋_GB2312"/>
          <w:b/>
          <w:color w:val="000000"/>
          <w:sz w:val="24"/>
          <w:highlight w:val="none"/>
        </w:rPr>
        <w:t>五、产品包装及运输</w:t>
      </w:r>
    </w:p>
    <w:p w14:paraId="2F557BD6">
      <w:pPr>
        <w:spacing w:line="500" w:lineRule="exact"/>
        <w:ind w:firstLine="480" w:firstLineChars="200"/>
        <w:rPr>
          <w:rFonts w:ascii="仿宋_GB2312" w:hAnsi="仿宋_GB2312" w:eastAsia="仿宋_GB2312"/>
          <w:color w:val="000000"/>
          <w:sz w:val="24"/>
          <w:highlight w:val="none"/>
        </w:rPr>
      </w:pPr>
      <w:r>
        <w:rPr>
          <w:rFonts w:hint="eastAsia" w:ascii="仿宋_GB2312" w:hAnsi="仿宋_GB2312" w:eastAsia="仿宋_GB2312" w:cs="Bookman Old Style"/>
          <w:bCs/>
          <w:color w:val="000000"/>
          <w:sz w:val="24"/>
          <w:highlight w:val="none"/>
        </w:rPr>
        <w:t>１、包装必须与运输方式相适应，包装方式的确定和包装费用均由乙方负责</w:t>
      </w:r>
      <w:r>
        <w:rPr>
          <w:rFonts w:ascii="仿宋_GB2312" w:hAnsi="仿宋_GB2312" w:eastAsia="仿宋_GB2312" w:cs="Bookman Old Style"/>
          <w:bCs/>
          <w:color w:val="000000"/>
          <w:sz w:val="24"/>
          <w:highlight w:val="none"/>
        </w:rPr>
        <w:t>;</w:t>
      </w:r>
      <w:r>
        <w:rPr>
          <w:rFonts w:hint="eastAsia" w:ascii="仿宋_GB2312" w:hAnsi="仿宋_GB2312" w:eastAsia="仿宋_GB2312" w:cs="Bookman Old Style"/>
          <w:bCs/>
          <w:color w:val="000000"/>
          <w:sz w:val="24"/>
          <w:highlight w:val="none"/>
        </w:rPr>
        <w:t>由于不适当的包装而造成的货物有任何的损坏由乙方负责；</w:t>
      </w:r>
    </w:p>
    <w:p w14:paraId="69CA1B83">
      <w:pPr>
        <w:spacing w:line="500" w:lineRule="exact"/>
        <w:ind w:firstLine="480" w:firstLineChars="200"/>
        <w:rPr>
          <w:rFonts w:ascii="仿宋_GB2312" w:hAnsi="仿宋_GB2312" w:eastAsia="仿宋_GB2312"/>
          <w:color w:val="000000"/>
          <w:sz w:val="24"/>
          <w:highlight w:val="none"/>
        </w:rPr>
      </w:pPr>
      <w:r>
        <w:rPr>
          <w:rFonts w:hint="eastAsia" w:ascii="仿宋_GB2312" w:hAnsi="仿宋_GB2312" w:eastAsia="仿宋_GB2312" w:cs="Bookman Old Style"/>
          <w:bCs/>
          <w:color w:val="000000"/>
          <w:sz w:val="24"/>
          <w:highlight w:val="none"/>
        </w:rPr>
        <w:t>２、提供的全部货物必须采用相应的标准的保护措施进行包装。包装应适于远距离运输，并有良好的防潮、防震、防锈和防野蛮装卸等保护措施，以确保货物安全运抵现场。乙方应承担因其包装或防护措施不妥而引起货物锈蚀、损坏和丢失的任何损失的责任或费用；</w:t>
      </w:r>
    </w:p>
    <w:p w14:paraId="798A5CDA">
      <w:pPr>
        <w:spacing w:line="500" w:lineRule="exact"/>
        <w:ind w:firstLine="480" w:firstLineChars="200"/>
        <w:rPr>
          <w:rFonts w:ascii="仿宋_GB2312" w:hAnsi="仿宋_GB2312" w:eastAsia="仿宋_GB2312"/>
          <w:color w:val="000000"/>
          <w:sz w:val="24"/>
          <w:highlight w:val="none"/>
        </w:rPr>
      </w:pPr>
      <w:r>
        <w:rPr>
          <w:rFonts w:hint="eastAsia" w:ascii="仿宋_GB2312" w:hAnsi="仿宋_GB2312" w:eastAsia="仿宋_GB2312" w:cs="Bookman Old Style"/>
          <w:bCs/>
          <w:color w:val="000000"/>
          <w:sz w:val="24"/>
          <w:highlight w:val="none"/>
        </w:rPr>
        <w:t>3、包装费、运输费、装卸费和保险费均已包含在合同价款内；</w:t>
      </w:r>
    </w:p>
    <w:p w14:paraId="200508E1">
      <w:pPr>
        <w:spacing w:line="500" w:lineRule="exact"/>
        <w:ind w:firstLine="480" w:firstLineChars="200"/>
        <w:rPr>
          <w:rFonts w:ascii="仿宋_GB2312" w:hAnsi="仿宋_GB2312" w:eastAsia="仿宋_GB2312"/>
          <w:color w:val="000000"/>
          <w:sz w:val="24"/>
          <w:highlight w:val="none"/>
        </w:rPr>
      </w:pPr>
      <w:r>
        <w:rPr>
          <w:rFonts w:hint="eastAsia" w:ascii="仿宋_GB2312" w:hAnsi="仿宋_GB2312" w:eastAsia="仿宋_GB2312" w:cs="Bookman Old Style"/>
          <w:bCs/>
          <w:color w:val="000000"/>
          <w:sz w:val="24"/>
          <w:highlight w:val="none"/>
        </w:rPr>
        <w:t>4、运输途中的货物安全问题均由乙方负责。</w:t>
      </w:r>
    </w:p>
    <w:p w14:paraId="32D0C6ED">
      <w:pPr>
        <w:spacing w:line="500" w:lineRule="exact"/>
        <w:ind w:firstLine="482" w:firstLineChars="200"/>
        <w:rPr>
          <w:rFonts w:ascii="仿宋_GB2312" w:hAnsi="仿宋_GB2312" w:eastAsia="仿宋_GB2312"/>
          <w:color w:val="000000"/>
          <w:sz w:val="24"/>
          <w:highlight w:val="none"/>
        </w:rPr>
      </w:pPr>
      <w:r>
        <w:rPr>
          <w:rFonts w:hint="eastAsia" w:ascii="仿宋_GB2312" w:hAnsi="仿宋_GB2312" w:eastAsia="仿宋_GB2312"/>
          <w:b/>
          <w:color w:val="000000"/>
          <w:sz w:val="24"/>
          <w:highlight w:val="none"/>
        </w:rPr>
        <w:t>六、验收</w:t>
      </w:r>
    </w:p>
    <w:p w14:paraId="5D8BCFAB">
      <w:pPr>
        <w:spacing w:line="500" w:lineRule="exact"/>
        <w:ind w:firstLine="480" w:firstLineChars="200"/>
        <w:rPr>
          <w:rFonts w:ascii="仿宋_GB2312" w:hAnsi="仿宋_GB2312" w:eastAsia="仿宋_GB2312"/>
          <w:color w:val="000000"/>
          <w:sz w:val="24"/>
          <w:highlight w:val="none"/>
        </w:rPr>
      </w:pPr>
      <w:r>
        <w:rPr>
          <w:rFonts w:ascii="仿宋_GB2312" w:hAnsi="仿宋_GB2312" w:eastAsia="仿宋_GB2312"/>
          <w:color w:val="000000"/>
          <w:sz w:val="24"/>
          <w:highlight w:val="none"/>
        </w:rPr>
        <w:t>1</w:t>
      </w:r>
      <w:r>
        <w:rPr>
          <w:rFonts w:hint="eastAsia" w:ascii="仿宋_GB2312" w:hAnsi="仿宋_GB2312" w:eastAsia="仿宋_GB2312"/>
          <w:color w:val="000000"/>
          <w:sz w:val="24"/>
          <w:highlight w:val="none"/>
        </w:rPr>
        <w:t>、在交货前，乙方应确保制造商对货物的有关内在和外观质量、规格、性能、数量和重量进行准确的和全面的检验，并出具货物符合合同规定的证书。该证书将作为申请付款单据的必要条件。但不应视为是对质量、规格、性能、数量的最终定论。质量证书应附有写明制造商检验的细节和结果的说明；</w:t>
      </w:r>
    </w:p>
    <w:p w14:paraId="3AA4212A">
      <w:pPr>
        <w:spacing w:line="500" w:lineRule="exact"/>
        <w:ind w:firstLine="480" w:firstLineChars="200"/>
        <w:rPr>
          <w:rFonts w:ascii="仿宋_GB2312" w:hAnsi="仿宋_GB2312" w:eastAsia="仿宋_GB2312"/>
          <w:color w:val="000000"/>
          <w:sz w:val="24"/>
          <w:highlight w:val="none"/>
        </w:rPr>
      </w:pPr>
      <w:r>
        <w:rPr>
          <w:rFonts w:ascii="仿宋_GB2312" w:hAnsi="仿宋_GB2312" w:eastAsia="仿宋_GB2312"/>
          <w:color w:val="000000"/>
          <w:sz w:val="24"/>
          <w:highlight w:val="none"/>
        </w:rPr>
        <w:t>2</w:t>
      </w:r>
      <w:r>
        <w:rPr>
          <w:rFonts w:hint="eastAsia" w:ascii="仿宋_GB2312" w:hAnsi="仿宋_GB2312" w:eastAsia="仿宋_GB2312"/>
          <w:color w:val="000000"/>
          <w:sz w:val="24"/>
          <w:highlight w:val="none"/>
        </w:rPr>
        <w:t>、数量</w:t>
      </w:r>
      <w:r>
        <w:rPr>
          <w:rFonts w:ascii="仿宋_GB2312" w:hAnsi="仿宋_GB2312" w:eastAsia="仿宋_GB2312"/>
          <w:color w:val="000000"/>
          <w:sz w:val="24"/>
          <w:highlight w:val="none"/>
        </w:rPr>
        <w:t>:</w:t>
      </w:r>
      <w:r>
        <w:rPr>
          <w:rFonts w:hint="eastAsia" w:ascii="仿宋_GB2312" w:hAnsi="仿宋_GB2312" w:eastAsia="仿宋_GB2312"/>
          <w:color w:val="000000"/>
          <w:sz w:val="24"/>
          <w:highlight w:val="none"/>
        </w:rPr>
        <w:t>乙方交货时，甲乙双方应各指定一名工作人员对货物数量进行统计。交货完成后，就甲方验收合格的货物数量，由双方各自指定的工作人员在交货清单上签字确认（对数量的确认不代表甲方对设备质量或内在性能等的最终确认），交货清单一式两份，作为今后双方结算的依据；</w:t>
      </w:r>
    </w:p>
    <w:p w14:paraId="41A421E2">
      <w:pPr>
        <w:spacing w:line="500" w:lineRule="exact"/>
        <w:ind w:firstLine="480" w:firstLineChars="200"/>
        <w:rPr>
          <w:rFonts w:ascii="仿宋_GB2312" w:hAnsi="仿宋_GB2312" w:eastAsia="仿宋_GB2312"/>
          <w:color w:val="000000"/>
          <w:sz w:val="24"/>
          <w:highlight w:val="none"/>
        </w:rPr>
      </w:pPr>
      <w:r>
        <w:rPr>
          <w:rFonts w:ascii="仿宋_GB2312" w:hAnsi="仿宋_GB2312" w:eastAsia="仿宋_GB2312"/>
          <w:color w:val="000000"/>
          <w:sz w:val="24"/>
          <w:highlight w:val="none"/>
        </w:rPr>
        <w:t>3、</w:t>
      </w:r>
      <w:r>
        <w:rPr>
          <w:rFonts w:hint="eastAsia" w:ascii="仿宋_GB2312" w:hAnsi="仿宋_GB2312" w:eastAsia="仿宋_GB2312"/>
          <w:color w:val="000000"/>
          <w:sz w:val="24"/>
          <w:highlight w:val="none"/>
        </w:rPr>
        <w:t>如果在合同规定的质量保证期内，发现货物的质量或规格与合同规定不符，或货物有缺陷，包括内在隐蔽瑕疵或使用不合适的原材料或不科学的设计等，甲方有权根据质量保证条款向乙方主张质保责任，并在乙方构成违约或侵权时主张索赔；</w:t>
      </w:r>
    </w:p>
    <w:p w14:paraId="29534AB3">
      <w:pPr>
        <w:spacing w:line="500" w:lineRule="exact"/>
        <w:ind w:firstLine="480" w:firstLineChars="200"/>
        <w:rPr>
          <w:rFonts w:ascii="仿宋_GB2312" w:hAnsi="仿宋_GB2312" w:eastAsia="仿宋_GB2312"/>
          <w:color w:val="000000"/>
          <w:sz w:val="24"/>
          <w:highlight w:val="none"/>
        </w:rPr>
      </w:pPr>
      <w:r>
        <w:rPr>
          <w:rFonts w:ascii="仿宋_GB2312" w:hAnsi="仿宋_GB2312" w:eastAsia="仿宋_GB2312"/>
          <w:color w:val="000000"/>
          <w:sz w:val="24"/>
          <w:highlight w:val="none"/>
        </w:rPr>
        <w:t>4、</w:t>
      </w:r>
      <w:r>
        <w:rPr>
          <w:rFonts w:hint="eastAsia" w:ascii="仿宋_GB2312" w:hAnsi="仿宋_GB2312" w:eastAsia="仿宋_GB2312"/>
          <w:color w:val="000000"/>
          <w:sz w:val="24"/>
          <w:highlight w:val="none"/>
        </w:rPr>
        <w:t>产品交货后，乙方必须提前一天通知甲方具体的安装时间，乙方免费负责设备的安装和调试。设备安装调试结束、交使用科室正常使用十五天后，甲、乙双方应依照本合同中约定的质量要求和技术标准，对产品的质量进行验收，同时乙方必须提供自治区计量研究院、特种设备研究院或卫生监督部门等相关检测单位出具的检测合格证，检测费用由乙方承担。如设备为检验设备应提供设备性能验证报告（所需耗材及检验试剂均由乙方承担）。验收合格的，进入保修期或质保期，乙方向甲方提供完整的中文维修保养资料。若为进口产品，提供设备的英文原版的设备技术指标参数文件及中文翻译文件，提供设备安装、维修保养所需的专业工具。验收不合格的，甲方有权向乙方提出书面异议，乙方应在接到异议及检测报告后及时进行更换，直至验收合格，如果因乙方供货质量原因造成的甲方受到的损失，乙方还应承担相应违约责任并承担相应赔偿。</w:t>
      </w:r>
    </w:p>
    <w:p w14:paraId="5A007D7C">
      <w:pPr>
        <w:spacing w:line="500" w:lineRule="exact"/>
        <w:ind w:firstLine="482" w:firstLineChars="200"/>
        <w:rPr>
          <w:rFonts w:ascii="仿宋_GB2312" w:hAnsi="仿宋_GB2312" w:eastAsia="仿宋_GB2312"/>
          <w:color w:val="000000"/>
          <w:sz w:val="24"/>
          <w:highlight w:val="none"/>
        </w:rPr>
      </w:pPr>
      <w:r>
        <w:rPr>
          <w:rFonts w:hint="eastAsia" w:ascii="仿宋_GB2312" w:hAnsi="仿宋_GB2312" w:eastAsia="仿宋_GB2312"/>
          <w:b/>
          <w:color w:val="000000"/>
          <w:sz w:val="24"/>
          <w:highlight w:val="none"/>
        </w:rPr>
        <w:t>七、售后服务</w:t>
      </w:r>
    </w:p>
    <w:p w14:paraId="487EDC39">
      <w:pPr>
        <w:spacing w:line="500" w:lineRule="exact"/>
        <w:ind w:firstLine="480" w:firstLineChars="200"/>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1、上述产品的免费保修期为交货并验收合格后</w:t>
      </w:r>
      <w:r>
        <w:rPr>
          <w:rFonts w:hint="eastAsia" w:ascii="仿宋_GB2312" w:hAnsi="仿宋_GB2312" w:eastAsia="仿宋_GB2312"/>
          <w:color w:val="000000"/>
          <w:sz w:val="24"/>
          <w:highlight w:val="none"/>
          <w:u w:val="single"/>
          <w:lang w:val="en-US" w:eastAsia="zh-CN"/>
        </w:rPr>
        <w:t xml:space="preserve"> 3 </w:t>
      </w:r>
      <w:r>
        <w:rPr>
          <w:rFonts w:hint="eastAsia" w:ascii="仿宋_GB2312" w:hAnsi="仿宋_GB2312" w:eastAsia="仿宋_GB2312"/>
          <w:color w:val="000000"/>
          <w:sz w:val="24"/>
          <w:highlight w:val="none"/>
        </w:rPr>
        <w:t>年；免费更换时间为交货并验收合格后</w:t>
      </w:r>
      <w:r>
        <w:rPr>
          <w:rFonts w:ascii="仿宋_GB2312" w:hAnsi="仿宋_GB2312" w:eastAsia="仿宋_GB2312"/>
          <w:color w:val="000000"/>
          <w:sz w:val="24"/>
          <w:highlight w:val="none"/>
          <w:u w:val="single"/>
        </w:rPr>
        <w:t xml:space="preserve">   </w:t>
      </w:r>
      <w:r>
        <w:rPr>
          <w:rFonts w:hint="eastAsia" w:ascii="仿宋_GB2312" w:hAnsi="仿宋_GB2312" w:eastAsia="仿宋_GB2312"/>
          <w:color w:val="000000"/>
          <w:sz w:val="24"/>
          <w:highlight w:val="none"/>
        </w:rPr>
        <w:t>年；</w:t>
      </w:r>
    </w:p>
    <w:p w14:paraId="5867302A">
      <w:pPr>
        <w:spacing w:line="500" w:lineRule="exact"/>
        <w:ind w:firstLine="480" w:firstLineChars="200"/>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2、乙方应提供国内（包括新疆地区）维修站（地址）：</w:t>
      </w:r>
      <w:r>
        <w:rPr>
          <w:rFonts w:hint="eastAsia" w:ascii="仿宋_GB2312" w:hAnsi="仿宋_GB2312" w:eastAsia="仿宋_GB2312"/>
          <w:color w:val="000000"/>
          <w:sz w:val="24"/>
          <w:highlight w:val="none"/>
          <w:u w:val="single"/>
        </w:rPr>
        <w:t xml:space="preserve"> </w:t>
      </w:r>
      <w:r>
        <w:rPr>
          <w:rFonts w:ascii="仿宋_GB2312" w:hAnsi="仿宋_GB2312" w:eastAsia="仿宋_GB2312"/>
          <w:color w:val="000000"/>
          <w:sz w:val="24"/>
          <w:highlight w:val="none"/>
          <w:u w:val="single"/>
        </w:rPr>
        <w:t xml:space="preserve">    </w:t>
      </w:r>
      <w:r>
        <w:rPr>
          <w:rFonts w:hint="eastAsia" w:ascii="仿宋_GB2312" w:hAnsi="仿宋_GB2312" w:eastAsia="仿宋_GB2312"/>
          <w:color w:val="000000"/>
          <w:sz w:val="24"/>
          <w:highlight w:val="none"/>
        </w:rPr>
        <w:t>，售后服务联系人：</w:t>
      </w:r>
      <w:r>
        <w:rPr>
          <w:rFonts w:hint="eastAsia" w:ascii="仿宋_GB2312" w:hAnsi="仿宋_GB2312" w:eastAsia="仿宋_GB2312"/>
          <w:color w:val="000000"/>
          <w:sz w:val="24"/>
          <w:highlight w:val="none"/>
          <w:u w:val="single"/>
        </w:rPr>
        <w:t xml:space="preserve">  </w:t>
      </w:r>
      <w:r>
        <w:rPr>
          <w:rFonts w:ascii="仿宋_GB2312" w:hAnsi="仿宋_GB2312" w:eastAsia="仿宋_GB2312"/>
          <w:color w:val="000000"/>
          <w:sz w:val="24"/>
          <w:highlight w:val="none"/>
          <w:u w:val="single"/>
        </w:rPr>
        <w:t xml:space="preserve">     </w:t>
      </w:r>
      <w:r>
        <w:rPr>
          <w:rFonts w:hint="eastAsia" w:ascii="仿宋_GB2312" w:hAnsi="仿宋_GB2312" w:eastAsia="仿宋_GB2312"/>
          <w:color w:val="000000"/>
          <w:sz w:val="24"/>
          <w:highlight w:val="none"/>
        </w:rPr>
        <w:t>，联系电话：</w:t>
      </w:r>
      <w:r>
        <w:rPr>
          <w:rFonts w:ascii="仿宋_GB2312" w:hAnsi="仿宋_GB2312" w:eastAsia="仿宋_GB2312"/>
          <w:color w:val="000000"/>
          <w:sz w:val="24"/>
          <w:highlight w:val="none"/>
          <w:u w:val="single"/>
        </w:rPr>
        <w:t xml:space="preserve">         </w:t>
      </w:r>
      <w:r>
        <w:rPr>
          <w:rFonts w:hint="eastAsia" w:ascii="仿宋_GB2312" w:hAnsi="仿宋_GB2312" w:eastAsia="仿宋_GB2312"/>
          <w:color w:val="000000"/>
          <w:sz w:val="24"/>
          <w:highlight w:val="none"/>
          <w:u w:val="single"/>
        </w:rPr>
        <w:t xml:space="preserve"> </w:t>
      </w:r>
      <w:r>
        <w:rPr>
          <w:rFonts w:hint="eastAsia" w:ascii="仿宋_GB2312" w:hAnsi="仿宋_GB2312" w:eastAsia="仿宋_GB2312"/>
          <w:color w:val="000000"/>
          <w:sz w:val="24"/>
          <w:highlight w:val="none"/>
        </w:rPr>
        <w:t>。提供正规的备品备件价格表。保修期后的维修费用，先维修后付款；零备件的购买，先交货后付款；提供保修期后无偿技术支持；</w:t>
      </w:r>
    </w:p>
    <w:p w14:paraId="0A584BB3">
      <w:pPr>
        <w:spacing w:line="500" w:lineRule="exact"/>
        <w:ind w:firstLine="480" w:firstLineChars="200"/>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3、质保期内发生一切故障,乙方售后服务人员应于接到甲方电话通知后</w:t>
      </w:r>
      <w:r>
        <w:rPr>
          <w:rFonts w:ascii="仿宋_GB2312" w:hAnsi="仿宋_GB2312" w:eastAsia="仿宋_GB2312"/>
          <w:color w:val="000000"/>
          <w:sz w:val="24"/>
          <w:highlight w:val="none"/>
        </w:rPr>
        <w:t>2</w:t>
      </w:r>
      <w:r>
        <w:rPr>
          <w:rFonts w:hint="eastAsia" w:ascii="仿宋_GB2312" w:hAnsi="仿宋_GB2312" w:eastAsia="仿宋_GB2312"/>
          <w:color w:val="000000"/>
          <w:sz w:val="24"/>
          <w:highlight w:val="none"/>
        </w:rPr>
        <w:t>小时内免费进行维修处理；质保期外如设备发生故障,乙方售后服务人员应于8小时内进行维修,经检修需要进行备件更换的,提供优惠的配件供应。提供保修期后无偿技术支持。</w:t>
      </w:r>
    </w:p>
    <w:p w14:paraId="16E1D08E">
      <w:pPr>
        <w:spacing w:line="500" w:lineRule="exact"/>
        <w:ind w:firstLine="482" w:firstLineChars="200"/>
        <w:rPr>
          <w:rFonts w:ascii="仿宋_GB2312" w:hAnsi="仿宋_GB2312" w:eastAsia="仿宋_GB2312"/>
          <w:color w:val="000000"/>
          <w:sz w:val="24"/>
          <w:highlight w:val="none"/>
        </w:rPr>
      </w:pPr>
      <w:r>
        <w:rPr>
          <w:rFonts w:hint="eastAsia" w:ascii="仿宋_GB2312" w:hAnsi="仿宋_GB2312" w:eastAsia="仿宋_GB2312"/>
          <w:b/>
          <w:color w:val="000000"/>
          <w:sz w:val="24"/>
          <w:highlight w:val="none"/>
        </w:rPr>
        <w:t>八、货款的支付</w:t>
      </w:r>
    </w:p>
    <w:p w14:paraId="5AF6DD60">
      <w:pPr>
        <w:spacing w:line="500" w:lineRule="exact"/>
        <w:ind w:firstLine="480" w:firstLineChars="200"/>
        <w:rPr>
          <w:rFonts w:hint="eastAsia" w:ascii="仿宋_GB2312" w:hAnsi="仿宋_GB2312" w:eastAsia="仿宋_GB2312"/>
          <w:color w:val="FF0000"/>
          <w:sz w:val="24"/>
          <w:highlight w:val="none"/>
        </w:rPr>
      </w:pPr>
      <w:r>
        <w:rPr>
          <w:rFonts w:hint="eastAsia" w:ascii="仿宋_GB2312" w:hAnsi="仿宋_GB2312" w:eastAsia="仿宋_GB2312"/>
          <w:color w:val="FF0000"/>
          <w:sz w:val="24"/>
          <w:highlight w:val="none"/>
          <w:lang w:val="en-US" w:eastAsia="zh-CN"/>
        </w:rPr>
        <w:t>1、</w:t>
      </w:r>
      <w:r>
        <w:rPr>
          <w:rFonts w:hint="eastAsia" w:ascii="仿宋_GB2312" w:hAnsi="仿宋_GB2312" w:eastAsia="仿宋_GB2312"/>
          <w:color w:val="FF0000"/>
          <w:sz w:val="24"/>
          <w:highlight w:val="none"/>
        </w:rPr>
        <w:t>合同签订后乙方将人民币大写:合同总金额的10%的履约保证金(以银行</w:t>
      </w:r>
    </w:p>
    <w:p w14:paraId="77630B40">
      <w:pPr>
        <w:spacing w:line="500" w:lineRule="exact"/>
        <w:rPr>
          <w:rFonts w:hint="eastAsia" w:ascii="仿宋_GB2312" w:hAnsi="仿宋_GB2312" w:eastAsia="仿宋_GB2312"/>
          <w:color w:val="FF0000"/>
          <w:sz w:val="24"/>
          <w:highlight w:val="none"/>
        </w:rPr>
      </w:pPr>
      <w:r>
        <w:rPr>
          <w:rFonts w:hint="eastAsia" w:ascii="仿宋_GB2312" w:hAnsi="仿宋_GB2312" w:eastAsia="仿宋_GB2312"/>
          <w:color w:val="FF0000"/>
          <w:sz w:val="24"/>
          <w:highlight w:val="none"/>
        </w:rPr>
        <w:t>保函形式)交给甲方。货物验收合格后甲方向乙方支付合同全部货款。</w:t>
      </w:r>
    </w:p>
    <w:p w14:paraId="01785C49">
      <w:pPr>
        <w:spacing w:line="500" w:lineRule="exact"/>
        <w:ind w:firstLine="480" w:firstLineChars="200"/>
        <w:rPr>
          <w:rFonts w:hint="eastAsia" w:ascii="仿宋_GB2312" w:hAnsi="仿宋_GB2312" w:eastAsia="仿宋_GB2312"/>
          <w:color w:val="FF0000"/>
          <w:sz w:val="24"/>
          <w:highlight w:val="none"/>
        </w:rPr>
      </w:pPr>
      <w:r>
        <w:rPr>
          <w:rFonts w:hint="eastAsia" w:ascii="仿宋_GB2312" w:hAnsi="仿宋_GB2312" w:eastAsia="仿宋_GB2312"/>
          <w:color w:val="FF0000"/>
          <w:sz w:val="24"/>
          <w:highlight w:val="none"/>
        </w:rPr>
        <w:t>2.履约保证金有效期至质保期满后经甲方再次书面验收合格之日起，无任何</w:t>
      </w:r>
    </w:p>
    <w:p w14:paraId="6FE507A5">
      <w:pPr>
        <w:spacing w:line="500" w:lineRule="exact"/>
        <w:rPr>
          <w:rFonts w:ascii="仿宋_GB2312" w:hAnsi="仿宋_GB2312" w:eastAsia="仿宋_GB2312"/>
          <w:color w:val="FF0000"/>
          <w:sz w:val="24"/>
          <w:highlight w:val="none"/>
        </w:rPr>
      </w:pPr>
      <w:r>
        <w:rPr>
          <w:rFonts w:hint="eastAsia" w:ascii="仿宋_GB2312" w:hAnsi="仿宋_GB2312" w:eastAsia="仿宋_GB2312"/>
          <w:color w:val="FF0000"/>
          <w:sz w:val="24"/>
          <w:highlight w:val="none"/>
        </w:rPr>
        <w:t>质量问题，甲方向乙方无息支付。</w:t>
      </w:r>
    </w:p>
    <w:p w14:paraId="2A3D6627">
      <w:pPr>
        <w:spacing w:line="500" w:lineRule="exact"/>
        <w:ind w:firstLine="480" w:firstLineChars="200"/>
        <w:rPr>
          <w:rFonts w:hint="eastAsia" w:ascii="仿宋_GB2312" w:hAnsi="仿宋_GB2312" w:eastAsia="仿宋_GB2312"/>
          <w:color w:val="000000"/>
          <w:sz w:val="24"/>
          <w:highlight w:val="none"/>
        </w:rPr>
      </w:pPr>
      <w:r>
        <w:rPr>
          <w:rFonts w:hint="eastAsia" w:ascii="仿宋_GB2312" w:hAnsi="仿宋_GB2312" w:eastAsia="仿宋_GB2312"/>
          <w:color w:val="000000"/>
          <w:sz w:val="24"/>
          <w:highlight w:val="none"/>
          <w:lang w:val="en-US" w:eastAsia="zh-CN"/>
        </w:rPr>
        <w:t>3</w:t>
      </w:r>
      <w:r>
        <w:rPr>
          <w:rFonts w:hint="eastAsia" w:ascii="仿宋_GB2312" w:hAnsi="仿宋_GB2312" w:eastAsia="仿宋_GB2312"/>
          <w:color w:val="000000"/>
          <w:sz w:val="24"/>
          <w:highlight w:val="none"/>
        </w:rPr>
        <w:t>、甲方支付上述任何一笔款项前，乙方应提供符合甲方财务做账要求的正规增值税（普通）发票，否则，甲方有权拒付款项且不承担违约责任。</w:t>
      </w:r>
    </w:p>
    <w:p w14:paraId="553C8F48">
      <w:pPr>
        <w:spacing w:line="500" w:lineRule="exact"/>
        <w:ind w:firstLine="480" w:firstLineChars="200"/>
        <w:rPr>
          <w:rFonts w:ascii="仿宋_GB2312" w:hAnsi="仿宋_GB2312" w:eastAsia="仿宋_GB2312"/>
          <w:color w:val="000000"/>
          <w:sz w:val="24"/>
          <w:highlight w:val="none"/>
        </w:rPr>
      </w:pPr>
      <w:r>
        <w:rPr>
          <w:rFonts w:hint="eastAsia" w:ascii="仿宋_GB2312" w:hAnsi="仿宋_GB2312" w:eastAsia="仿宋_GB2312"/>
          <w:color w:val="000000"/>
          <w:sz w:val="24"/>
          <w:highlight w:val="none"/>
          <w:lang w:val="en-US" w:eastAsia="zh-CN"/>
        </w:rPr>
        <w:t>4</w:t>
      </w:r>
      <w:r>
        <w:rPr>
          <w:rFonts w:hint="eastAsia" w:ascii="仿宋_GB2312" w:hAnsi="仿宋_GB2312" w:eastAsia="仿宋_GB2312"/>
          <w:color w:val="000000"/>
          <w:sz w:val="24"/>
          <w:highlight w:val="none"/>
        </w:rPr>
        <w:t>、乙方银行账户信息：</w:t>
      </w:r>
    </w:p>
    <w:p w14:paraId="04E1032C">
      <w:pPr>
        <w:spacing w:line="500" w:lineRule="exact"/>
        <w:ind w:firstLine="480" w:firstLineChars="200"/>
        <w:rPr>
          <w:rFonts w:ascii="仿宋_GB2312" w:hAnsi="仿宋_GB2312" w:eastAsia="仿宋_GB2312"/>
          <w:color w:val="000000"/>
          <w:sz w:val="24"/>
          <w:highlight w:val="none"/>
          <w:u w:val="single"/>
        </w:rPr>
      </w:pPr>
      <w:r>
        <w:rPr>
          <w:rFonts w:hint="eastAsia" w:ascii="仿宋_GB2312" w:hAnsi="仿宋_GB2312" w:eastAsia="仿宋_GB2312"/>
          <w:color w:val="000000"/>
          <w:sz w:val="24"/>
          <w:highlight w:val="none"/>
        </w:rPr>
        <w:t>开户行：</w:t>
      </w:r>
      <w:r>
        <w:rPr>
          <w:rFonts w:hint="eastAsia" w:ascii="仿宋_GB2312" w:hAnsi="仿宋_GB2312" w:eastAsia="仿宋_GB2312"/>
          <w:color w:val="000000"/>
          <w:sz w:val="24"/>
          <w:highlight w:val="none"/>
          <w:u w:val="single"/>
        </w:rPr>
        <w:t xml:space="preserve"> </w:t>
      </w:r>
      <w:r>
        <w:rPr>
          <w:rFonts w:ascii="仿宋_GB2312" w:hAnsi="仿宋_GB2312" w:eastAsia="仿宋_GB2312"/>
          <w:color w:val="000000"/>
          <w:sz w:val="24"/>
          <w:highlight w:val="none"/>
          <w:u w:val="single"/>
        </w:rPr>
        <w:t xml:space="preserve">                 </w:t>
      </w:r>
      <w:r>
        <w:rPr>
          <w:rFonts w:hint="eastAsia" w:ascii="仿宋_GB2312" w:hAnsi="仿宋_GB2312" w:eastAsia="仿宋_GB2312"/>
          <w:color w:val="000000"/>
          <w:sz w:val="24"/>
          <w:highlight w:val="none"/>
          <w:u w:val="single"/>
        </w:rPr>
        <w:t xml:space="preserve">       </w:t>
      </w:r>
    </w:p>
    <w:p w14:paraId="089E8801">
      <w:pPr>
        <w:spacing w:line="500" w:lineRule="exact"/>
        <w:ind w:firstLine="480" w:firstLineChars="200"/>
        <w:rPr>
          <w:rFonts w:ascii="仿宋_GB2312" w:hAnsi="仿宋_GB2312" w:eastAsia="仿宋_GB2312"/>
          <w:color w:val="000000"/>
          <w:sz w:val="24"/>
          <w:highlight w:val="none"/>
          <w:u w:val="single"/>
        </w:rPr>
      </w:pPr>
      <w:r>
        <w:rPr>
          <w:rFonts w:hint="eastAsia" w:ascii="仿宋_GB2312" w:hAnsi="仿宋_GB2312" w:eastAsia="仿宋_GB2312"/>
          <w:color w:val="000000"/>
          <w:sz w:val="24"/>
          <w:highlight w:val="none"/>
        </w:rPr>
        <w:t>账户名称：</w:t>
      </w:r>
      <w:r>
        <w:rPr>
          <w:rFonts w:hint="eastAsia" w:ascii="仿宋_GB2312" w:hAnsi="仿宋_GB2312" w:eastAsia="仿宋_GB2312"/>
          <w:color w:val="000000"/>
          <w:sz w:val="24"/>
          <w:highlight w:val="none"/>
          <w:u w:val="single"/>
        </w:rPr>
        <w:t xml:space="preserve"> </w:t>
      </w:r>
      <w:r>
        <w:rPr>
          <w:rFonts w:ascii="仿宋_GB2312" w:hAnsi="仿宋_GB2312" w:eastAsia="仿宋_GB2312"/>
          <w:color w:val="000000"/>
          <w:sz w:val="24"/>
          <w:highlight w:val="none"/>
          <w:u w:val="single"/>
        </w:rPr>
        <w:t xml:space="preserve">     </w:t>
      </w:r>
      <w:r>
        <w:rPr>
          <w:rFonts w:hint="eastAsia" w:ascii="仿宋_GB2312" w:hAnsi="仿宋_GB2312" w:eastAsia="仿宋_GB2312"/>
          <w:color w:val="000000"/>
          <w:sz w:val="24"/>
          <w:highlight w:val="none"/>
          <w:u w:val="single"/>
        </w:rPr>
        <w:t xml:space="preserve">    </w:t>
      </w:r>
      <w:r>
        <w:rPr>
          <w:rFonts w:ascii="仿宋_GB2312" w:hAnsi="仿宋_GB2312" w:eastAsia="仿宋_GB2312"/>
          <w:color w:val="000000"/>
          <w:sz w:val="24"/>
          <w:highlight w:val="none"/>
          <w:u w:val="single"/>
        </w:rPr>
        <w:t xml:space="preserve">  </w:t>
      </w:r>
      <w:r>
        <w:rPr>
          <w:rFonts w:hint="eastAsia" w:ascii="仿宋_GB2312" w:hAnsi="仿宋_GB2312" w:eastAsia="仿宋_GB2312"/>
          <w:color w:val="000000"/>
          <w:sz w:val="24"/>
          <w:highlight w:val="none"/>
          <w:u w:val="single"/>
        </w:rPr>
        <w:t xml:space="preserve">           </w:t>
      </w:r>
    </w:p>
    <w:p w14:paraId="441EE794">
      <w:pPr>
        <w:spacing w:line="500" w:lineRule="exact"/>
        <w:ind w:firstLine="480" w:firstLineChars="200"/>
        <w:rPr>
          <w:rFonts w:ascii="仿宋_GB2312" w:hAnsi="仿宋_GB2312" w:eastAsia="仿宋_GB2312"/>
          <w:color w:val="000000"/>
          <w:sz w:val="24"/>
          <w:highlight w:val="none"/>
          <w:u w:val="single"/>
        </w:rPr>
      </w:pPr>
      <w:r>
        <w:rPr>
          <w:rFonts w:hint="eastAsia" w:ascii="仿宋_GB2312" w:hAnsi="仿宋_GB2312" w:eastAsia="仿宋_GB2312"/>
          <w:color w:val="000000"/>
          <w:sz w:val="24"/>
          <w:highlight w:val="none"/>
        </w:rPr>
        <w:t>银行账号：</w:t>
      </w:r>
      <w:r>
        <w:rPr>
          <w:rFonts w:hint="eastAsia" w:ascii="仿宋_GB2312" w:hAnsi="仿宋_GB2312" w:eastAsia="仿宋_GB2312"/>
          <w:color w:val="000000"/>
          <w:sz w:val="24"/>
          <w:highlight w:val="none"/>
          <w:u w:val="single"/>
        </w:rPr>
        <w:t xml:space="preserve">                       </w:t>
      </w:r>
    </w:p>
    <w:p w14:paraId="45700DEC">
      <w:pPr>
        <w:spacing w:line="500" w:lineRule="exact"/>
        <w:ind w:firstLine="480" w:firstLineChars="200"/>
        <w:jc w:val="left"/>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甲方向以上账户付款，即为完成本合同项下对乙方相应的付款义务。乙方对上述账户信息的准确性和可用性承担全部责任。若上述账户状态或信息发生任何变更，乙方应提前7个工作日使甲方获悉，否则甲方不对乙方迟延收到或未能收到任何款项承担责任。</w:t>
      </w:r>
    </w:p>
    <w:p w14:paraId="665823AD">
      <w:pPr>
        <w:spacing w:line="500" w:lineRule="exact"/>
        <w:ind w:firstLine="482" w:firstLineChars="200"/>
        <w:jc w:val="left"/>
        <w:rPr>
          <w:rFonts w:ascii="仿宋_GB2312" w:hAnsi="仿宋_GB2312" w:eastAsia="仿宋_GB2312"/>
          <w:color w:val="000000"/>
          <w:sz w:val="24"/>
          <w:highlight w:val="none"/>
        </w:rPr>
      </w:pPr>
      <w:r>
        <w:rPr>
          <w:rFonts w:hint="eastAsia" w:ascii="仿宋_GB2312" w:hAnsi="仿宋_GB2312" w:eastAsia="仿宋_GB2312"/>
          <w:b/>
          <w:color w:val="000000"/>
          <w:sz w:val="24"/>
          <w:highlight w:val="none"/>
        </w:rPr>
        <w:t>九、违约责任</w:t>
      </w:r>
    </w:p>
    <w:p w14:paraId="6D81CB76">
      <w:pPr>
        <w:pStyle w:val="26"/>
        <w:spacing w:line="500" w:lineRule="exact"/>
        <w:ind w:left="-61" w:leftChars="-29" w:firstLine="480" w:firstLineChars="200"/>
        <w:rPr>
          <w:rFonts w:ascii="仿宋_GB2312" w:hAnsi="仿宋_GB2312" w:eastAsia="仿宋_GB2312"/>
          <w:sz w:val="24"/>
          <w:szCs w:val="24"/>
          <w:highlight w:val="none"/>
        </w:rPr>
      </w:pPr>
      <w:r>
        <w:rPr>
          <w:rFonts w:ascii="仿宋_GB2312" w:hAnsi="仿宋_GB2312" w:eastAsia="仿宋_GB2312"/>
          <w:sz w:val="24"/>
          <w:szCs w:val="24"/>
          <w:highlight w:val="none"/>
        </w:rPr>
        <w:t>1</w:t>
      </w:r>
      <w:r>
        <w:rPr>
          <w:rFonts w:hint="eastAsia" w:ascii="仿宋_GB2312" w:hAnsi="仿宋_GB2312" w:eastAsia="仿宋_GB2312"/>
          <w:sz w:val="24"/>
          <w:szCs w:val="24"/>
          <w:highlight w:val="none"/>
        </w:rPr>
        <w:t>、乙方应严格按照合同约定的时间交货，如乙方延迟交货，甲方有权追究延迟交货的违约责任。乙方供货每逾期一天，按合同总额的</w:t>
      </w:r>
      <w:r>
        <w:rPr>
          <w:rFonts w:hint="eastAsia" w:ascii="仿宋_GB2312" w:hAnsi="仿宋_GB2312" w:eastAsia="仿宋_GB2312"/>
          <w:sz w:val="24"/>
          <w:szCs w:val="24"/>
          <w:highlight w:val="none"/>
          <w:u w:val="single"/>
        </w:rPr>
        <w:t xml:space="preserve"> 百分之一 </w:t>
      </w:r>
      <w:r>
        <w:rPr>
          <w:rFonts w:hint="eastAsia" w:ascii="仿宋_GB2312" w:hAnsi="仿宋_GB2312" w:eastAsia="仿宋_GB2312"/>
          <w:sz w:val="24"/>
          <w:szCs w:val="24"/>
          <w:highlight w:val="none"/>
        </w:rPr>
        <w:t>向甲方承担违约金；乙方逾期供货超出交付期十天(含十天)以上的，甲方有权解除合同并追究乙方的违约责任，甲方解除合同的，乙方应支付合同总价款2</w:t>
      </w:r>
      <w:r>
        <w:rPr>
          <w:rFonts w:ascii="仿宋_GB2312" w:hAnsi="仿宋_GB2312" w:eastAsia="仿宋_GB2312"/>
          <w:sz w:val="24"/>
          <w:szCs w:val="24"/>
          <w:highlight w:val="none"/>
        </w:rPr>
        <w:t>0%</w:t>
      </w:r>
      <w:r>
        <w:rPr>
          <w:rFonts w:hint="eastAsia" w:ascii="仿宋_GB2312" w:hAnsi="仿宋_GB2312" w:eastAsia="仿宋_GB2312"/>
          <w:sz w:val="24"/>
          <w:szCs w:val="24"/>
          <w:highlight w:val="none"/>
        </w:rPr>
        <w:t>的违约金；</w:t>
      </w:r>
    </w:p>
    <w:p w14:paraId="597E9FF1">
      <w:pPr>
        <w:pStyle w:val="26"/>
        <w:spacing w:line="500" w:lineRule="exact"/>
        <w:ind w:left="-61" w:leftChars="-29" w:firstLine="480" w:firstLineChars="200"/>
        <w:rPr>
          <w:rFonts w:ascii="仿宋_GB2312" w:hAnsi="仿宋_GB2312" w:eastAsia="仿宋_GB2312"/>
          <w:sz w:val="24"/>
          <w:szCs w:val="24"/>
          <w:highlight w:val="none"/>
        </w:rPr>
      </w:pPr>
      <w:r>
        <w:rPr>
          <w:rFonts w:ascii="仿宋_GB2312" w:hAnsi="仿宋_GB2312" w:eastAsia="仿宋_GB2312"/>
          <w:sz w:val="24"/>
          <w:szCs w:val="24"/>
          <w:highlight w:val="none"/>
        </w:rPr>
        <w:t>2</w:t>
      </w:r>
      <w:r>
        <w:rPr>
          <w:rFonts w:hint="eastAsia" w:ascii="仿宋_GB2312" w:hAnsi="仿宋_GB2312" w:eastAsia="仿宋_GB2312"/>
          <w:sz w:val="24"/>
          <w:szCs w:val="24"/>
          <w:highlight w:val="none"/>
        </w:rPr>
        <w:t>、在履行合同过程中，如果乙方遇到妨碍按时交货和提供服务的情况，应及时以书面形式将拖延的事实，可能拖延的时间和原因通知甲方。甲方在收到乙方通知后对情况进行评价，并于7日内确定是否同意延长交货时间以及是否收取逾期违约金。乙方延期交货应通过签订补充协议的方式经甲方盖章确认；</w:t>
      </w:r>
    </w:p>
    <w:p w14:paraId="41B0C312">
      <w:pPr>
        <w:pStyle w:val="26"/>
        <w:spacing w:line="500" w:lineRule="exact"/>
        <w:ind w:left="-61" w:leftChars="-29" w:firstLine="480" w:firstLineChars="200"/>
        <w:rPr>
          <w:rFonts w:ascii="仿宋_GB2312" w:hAnsi="仿宋_GB2312" w:eastAsia="仿宋_GB2312"/>
          <w:sz w:val="24"/>
          <w:szCs w:val="24"/>
          <w:highlight w:val="none"/>
        </w:rPr>
      </w:pPr>
      <w:r>
        <w:rPr>
          <w:rFonts w:ascii="仿宋_GB2312" w:hAnsi="仿宋_GB2312" w:eastAsia="仿宋_GB2312"/>
          <w:sz w:val="24"/>
          <w:szCs w:val="24"/>
          <w:highlight w:val="none"/>
        </w:rPr>
        <w:t>3</w:t>
      </w:r>
      <w:r>
        <w:rPr>
          <w:rFonts w:hint="eastAsia" w:ascii="仿宋_GB2312" w:hAnsi="仿宋_GB2312" w:eastAsia="仿宋_GB2312"/>
          <w:sz w:val="24"/>
          <w:szCs w:val="24"/>
          <w:highlight w:val="none"/>
        </w:rPr>
        <w:t>、乙方所交产品品种、型号、规格、质量、安装等不符合合同规定的，由乙方负责包换或包修及重新安装，并承担修理、调换或退货、安装而支付的实际费用。乙方不能修理或者不能调换、安装的，按合同总额的2</w:t>
      </w:r>
      <w:r>
        <w:rPr>
          <w:rFonts w:ascii="仿宋_GB2312" w:hAnsi="仿宋_GB2312" w:eastAsia="仿宋_GB2312"/>
          <w:sz w:val="24"/>
          <w:szCs w:val="24"/>
          <w:highlight w:val="none"/>
        </w:rPr>
        <w:t>0%</w:t>
      </w:r>
      <w:r>
        <w:rPr>
          <w:rFonts w:hint="eastAsia" w:ascii="仿宋_GB2312" w:hAnsi="仿宋_GB2312" w:eastAsia="仿宋_GB2312"/>
          <w:sz w:val="24"/>
          <w:szCs w:val="24"/>
          <w:highlight w:val="none"/>
        </w:rPr>
        <w:t>承担违约金；</w:t>
      </w:r>
    </w:p>
    <w:p w14:paraId="39501459">
      <w:pPr>
        <w:pStyle w:val="26"/>
        <w:spacing w:line="500" w:lineRule="exact"/>
        <w:ind w:left="-61" w:leftChars="-29" w:firstLine="480" w:firstLineChars="200"/>
        <w:rPr>
          <w:rFonts w:ascii="仿宋_GB2312" w:hAnsi="仿宋_GB2312" w:eastAsia="仿宋_GB2312"/>
          <w:sz w:val="24"/>
          <w:szCs w:val="24"/>
          <w:highlight w:val="none"/>
        </w:rPr>
      </w:pPr>
      <w:r>
        <w:rPr>
          <w:rFonts w:ascii="仿宋_GB2312" w:hAnsi="仿宋_GB2312" w:eastAsia="仿宋_GB2312"/>
          <w:sz w:val="24"/>
          <w:szCs w:val="24"/>
          <w:highlight w:val="none"/>
        </w:rPr>
        <w:t>4</w:t>
      </w:r>
      <w:r>
        <w:rPr>
          <w:rFonts w:hint="eastAsia" w:ascii="仿宋_GB2312" w:hAnsi="仿宋_GB2312" w:eastAsia="仿宋_GB2312"/>
          <w:sz w:val="24"/>
          <w:szCs w:val="24"/>
          <w:highlight w:val="none"/>
        </w:rPr>
        <w:t>、乙方在协议供货有效期内违反本有关质量保证及售后服务的，甲方有权要求乙方支付合同总价款的2</w:t>
      </w:r>
      <w:r>
        <w:rPr>
          <w:rFonts w:ascii="仿宋_GB2312" w:hAnsi="仿宋_GB2312" w:eastAsia="仿宋_GB2312"/>
          <w:sz w:val="24"/>
          <w:szCs w:val="24"/>
          <w:highlight w:val="none"/>
        </w:rPr>
        <w:t>0%</w:t>
      </w:r>
      <w:r>
        <w:rPr>
          <w:rFonts w:hint="eastAsia" w:ascii="仿宋_GB2312" w:hAnsi="仿宋_GB2312" w:eastAsia="仿宋_GB2312"/>
          <w:sz w:val="24"/>
          <w:szCs w:val="24"/>
          <w:highlight w:val="none"/>
        </w:rPr>
        <w:t>违约金；</w:t>
      </w:r>
    </w:p>
    <w:p w14:paraId="59C31A24">
      <w:pPr>
        <w:pStyle w:val="26"/>
        <w:spacing w:line="500" w:lineRule="exact"/>
        <w:ind w:left="-61" w:leftChars="-29" w:firstLine="480" w:firstLineChars="200"/>
        <w:rPr>
          <w:rFonts w:hint="eastAsia" w:ascii="仿宋_GB2312" w:hAnsi="仿宋_GB2312" w:eastAsia="仿宋_GB2312"/>
          <w:sz w:val="24"/>
          <w:szCs w:val="24"/>
          <w:highlight w:val="none"/>
        </w:rPr>
      </w:pPr>
      <w:r>
        <w:rPr>
          <w:rFonts w:ascii="仿宋_GB2312" w:hAnsi="仿宋_GB2312" w:eastAsia="仿宋_GB2312"/>
          <w:sz w:val="24"/>
          <w:szCs w:val="24"/>
          <w:highlight w:val="none"/>
        </w:rPr>
        <w:t>5</w:t>
      </w:r>
      <w:r>
        <w:rPr>
          <w:rFonts w:hint="eastAsia" w:ascii="仿宋_GB2312" w:hAnsi="仿宋_GB2312" w:eastAsia="仿宋_GB2312"/>
          <w:sz w:val="24"/>
          <w:szCs w:val="24"/>
          <w:highlight w:val="none"/>
        </w:rPr>
        <w:t>、</w:t>
      </w:r>
      <w:r>
        <w:rPr>
          <w:rFonts w:hint="eastAsia" w:ascii="仿宋_GB2312" w:hAnsi="仿宋_GB2312" w:eastAsia="仿宋_GB2312" w:cs="Bookman Old Style"/>
          <w:sz w:val="24"/>
          <w:szCs w:val="24"/>
          <w:highlight w:val="none"/>
        </w:rPr>
        <w:t>乙方向甲方承诺，如发生乙方向甲方指定人员或与该业务有关的任何工作人员行贿、送礼等行为，或与甲方相关工作人员串通，做出损害甲方利益的任何行为，每次按合同总金额的</w:t>
      </w:r>
      <w:r>
        <w:rPr>
          <w:rFonts w:ascii="仿宋_GB2312" w:hAnsi="仿宋_GB2312" w:eastAsia="仿宋_GB2312" w:cs="Bookman Old Style"/>
          <w:sz w:val="24"/>
          <w:szCs w:val="24"/>
          <w:highlight w:val="none"/>
        </w:rPr>
        <w:t>2</w:t>
      </w:r>
      <w:r>
        <w:rPr>
          <w:rFonts w:hint="eastAsia" w:ascii="仿宋_GB2312" w:hAnsi="仿宋_GB2312" w:eastAsia="仿宋_GB2312" w:cs="Bookman Old Style"/>
          <w:sz w:val="24"/>
          <w:szCs w:val="24"/>
          <w:highlight w:val="none"/>
        </w:rPr>
        <w:t>0%向甲方承担违约金；</w:t>
      </w:r>
    </w:p>
    <w:p w14:paraId="0922402A">
      <w:pPr>
        <w:pStyle w:val="26"/>
        <w:spacing w:line="500" w:lineRule="exact"/>
        <w:ind w:left="-61" w:leftChars="-29" w:firstLine="480" w:firstLineChars="200"/>
        <w:rPr>
          <w:rFonts w:ascii="仿宋_GB2312" w:hAnsi="仿宋_GB2312" w:eastAsia="仿宋_GB2312"/>
          <w:sz w:val="24"/>
          <w:szCs w:val="24"/>
          <w:highlight w:val="none"/>
        </w:rPr>
      </w:pPr>
      <w:r>
        <w:rPr>
          <w:rFonts w:ascii="仿宋_GB2312" w:hAnsi="仿宋_GB2312" w:eastAsia="仿宋_GB2312"/>
          <w:sz w:val="24"/>
          <w:szCs w:val="24"/>
          <w:highlight w:val="none"/>
        </w:rPr>
        <w:t>6</w:t>
      </w:r>
      <w:r>
        <w:rPr>
          <w:rFonts w:hint="eastAsia" w:ascii="仿宋_GB2312" w:hAnsi="仿宋_GB2312" w:eastAsia="仿宋_GB2312"/>
          <w:sz w:val="24"/>
          <w:szCs w:val="24"/>
          <w:highlight w:val="none"/>
        </w:rPr>
        <w:t>、乙方支付上述违约金不足以赔偿甲方损失的，甲方有权另行向乙方索赔，包括但不限于第三方索赔、律师费、诉讼费、鉴定费、公证费、保全费、保全担保费、差旅费等甲方采取诉讼途径发生的一切费用。</w:t>
      </w:r>
    </w:p>
    <w:p w14:paraId="46DFAD91">
      <w:pPr>
        <w:pStyle w:val="26"/>
        <w:spacing w:line="500" w:lineRule="exact"/>
        <w:ind w:left="-61" w:leftChars="-29" w:firstLine="482" w:firstLineChars="200"/>
        <w:rPr>
          <w:rFonts w:ascii="仿宋_GB2312" w:hAnsi="仿宋_GB2312" w:eastAsia="仿宋_GB2312" w:cs="Bookman Old Style"/>
          <w:b/>
          <w:sz w:val="24"/>
          <w:szCs w:val="24"/>
          <w:highlight w:val="none"/>
        </w:rPr>
      </w:pPr>
      <w:r>
        <w:rPr>
          <w:rFonts w:hint="eastAsia" w:ascii="仿宋_GB2312" w:hAnsi="仿宋_GB2312" w:eastAsia="仿宋_GB2312" w:cs="Bookman Old Style"/>
          <w:b/>
          <w:sz w:val="24"/>
          <w:szCs w:val="24"/>
          <w:highlight w:val="none"/>
        </w:rPr>
        <w:t>十、不可抗力</w:t>
      </w:r>
    </w:p>
    <w:p w14:paraId="36AC15AD">
      <w:pPr>
        <w:pStyle w:val="26"/>
        <w:spacing w:line="500" w:lineRule="exact"/>
        <w:ind w:left="-61" w:leftChars="-29" w:firstLine="480" w:firstLineChars="200"/>
        <w:rPr>
          <w:rFonts w:ascii="仿宋_GB2312" w:hAnsi="仿宋_GB2312" w:eastAsia="仿宋_GB2312" w:cs="Bookman Old Style"/>
          <w:bCs/>
          <w:sz w:val="24"/>
          <w:szCs w:val="24"/>
          <w:highlight w:val="none"/>
        </w:rPr>
      </w:pPr>
      <w:r>
        <w:rPr>
          <w:rFonts w:hint="eastAsia" w:ascii="仿宋_GB2312" w:hAnsi="仿宋_GB2312" w:eastAsia="仿宋_GB2312" w:cs="Bookman Old Style"/>
          <w:bCs/>
          <w:sz w:val="24"/>
          <w:szCs w:val="24"/>
          <w:highlight w:val="none"/>
        </w:rPr>
        <w:t>1、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14:paraId="00E23BB6">
      <w:pPr>
        <w:pStyle w:val="26"/>
        <w:spacing w:line="500" w:lineRule="exact"/>
        <w:ind w:left="-61" w:leftChars="-29" w:firstLine="480" w:firstLineChars="200"/>
        <w:rPr>
          <w:rFonts w:ascii="仿宋_GB2312" w:hAnsi="仿宋_GB2312" w:eastAsia="仿宋_GB2312"/>
          <w:sz w:val="24"/>
          <w:szCs w:val="24"/>
          <w:highlight w:val="none"/>
        </w:rPr>
      </w:pPr>
      <w:r>
        <w:rPr>
          <w:rFonts w:ascii="仿宋_GB2312" w:hAnsi="仿宋_GB2312" w:eastAsia="仿宋_GB2312" w:cs="Bookman Old Style"/>
          <w:bCs/>
          <w:sz w:val="24"/>
          <w:szCs w:val="24"/>
          <w:highlight w:val="none"/>
        </w:rPr>
        <w:t>2</w:t>
      </w:r>
      <w:r>
        <w:rPr>
          <w:rFonts w:hint="eastAsia" w:ascii="仿宋_GB2312" w:hAnsi="仿宋_GB2312" w:eastAsia="仿宋_GB2312" w:cs="Bookman Old Style"/>
          <w:bCs/>
          <w:sz w:val="24"/>
          <w:szCs w:val="24"/>
          <w:highlight w:val="none"/>
        </w:rPr>
        <w:t>、“不可抗力”是指甲乙双方不能合理控制、不可预见或即使预见亦无法避免的事件，该事件妨碍、影响或延误任何一方根据合同履行其全部或部分义务。该事件包括但不限于政府行为、电信行业行为、自然灾害、战争或任何其它类似事件。</w:t>
      </w:r>
    </w:p>
    <w:p w14:paraId="29516D37">
      <w:pPr>
        <w:spacing w:line="500" w:lineRule="exact"/>
        <w:ind w:firstLine="482" w:firstLineChars="200"/>
        <w:rPr>
          <w:rFonts w:ascii="仿宋_GB2312" w:hAnsi="仿宋_GB2312" w:eastAsia="仿宋_GB2312" w:cs="Bookman Old Style"/>
          <w:b/>
          <w:color w:val="000000"/>
          <w:sz w:val="24"/>
          <w:highlight w:val="none"/>
        </w:rPr>
      </w:pPr>
      <w:r>
        <w:rPr>
          <w:rFonts w:hint="eastAsia" w:ascii="仿宋_GB2312" w:hAnsi="仿宋_GB2312" w:eastAsia="仿宋_GB2312" w:cs="Bookman Old Style"/>
          <w:b/>
          <w:color w:val="000000"/>
          <w:sz w:val="24"/>
          <w:highlight w:val="none"/>
        </w:rPr>
        <w:t>十一、争议解决</w:t>
      </w:r>
    </w:p>
    <w:p w14:paraId="1FF97F54">
      <w:pPr>
        <w:spacing w:line="500" w:lineRule="exact"/>
        <w:ind w:firstLine="480" w:firstLineChars="200"/>
        <w:rPr>
          <w:rFonts w:ascii="仿宋_GB2312" w:hAnsi="仿宋_GB2312" w:eastAsia="仿宋_GB2312" w:cs="Bookman Old Style"/>
          <w:color w:val="000000"/>
          <w:sz w:val="24"/>
          <w:highlight w:val="none"/>
        </w:rPr>
      </w:pPr>
      <w:r>
        <w:rPr>
          <w:rFonts w:hint="eastAsia" w:ascii="仿宋_GB2312" w:hAnsi="仿宋_GB2312" w:eastAsia="仿宋_GB2312" w:cs="Bookman Old Style"/>
          <w:color w:val="000000"/>
          <w:sz w:val="24"/>
          <w:highlight w:val="none"/>
        </w:rPr>
        <w:t>本合同如发生纠纷，当事人双方应当及时协商解决，协商不成时，可向甲方所在地人民法院起诉。</w:t>
      </w:r>
    </w:p>
    <w:p w14:paraId="6E777100">
      <w:pPr>
        <w:spacing w:line="500" w:lineRule="exact"/>
        <w:ind w:firstLine="482" w:firstLineChars="200"/>
        <w:rPr>
          <w:rFonts w:hint="eastAsia" w:ascii="仿宋_GB2312" w:hAnsi="仿宋_GB2312" w:eastAsia="仿宋_GB2312" w:cs="Bookman Old Style"/>
          <w:b/>
          <w:bCs/>
          <w:color w:val="000000"/>
          <w:sz w:val="24"/>
          <w:highlight w:val="none"/>
        </w:rPr>
      </w:pPr>
      <w:r>
        <w:rPr>
          <w:rFonts w:hint="eastAsia" w:ascii="仿宋_GB2312" w:hAnsi="仿宋_GB2312" w:eastAsia="仿宋_GB2312" w:cs="Bookman Old Style"/>
          <w:b/>
          <w:bCs/>
          <w:color w:val="000000"/>
          <w:sz w:val="24"/>
          <w:highlight w:val="none"/>
        </w:rPr>
        <w:t>十二、合同的文本及生效</w:t>
      </w:r>
    </w:p>
    <w:p w14:paraId="5BE7E40E">
      <w:pPr>
        <w:spacing w:line="500" w:lineRule="exact"/>
        <w:ind w:firstLine="480" w:firstLineChars="200"/>
        <w:rPr>
          <w:rFonts w:ascii="仿宋_GB2312" w:hAnsi="仿宋_GB2312" w:eastAsia="仿宋_GB2312" w:cs="Bookman Old Style"/>
          <w:bCs/>
          <w:color w:val="000000"/>
          <w:sz w:val="24"/>
          <w:highlight w:val="none"/>
        </w:rPr>
      </w:pPr>
      <w:r>
        <w:rPr>
          <w:rFonts w:ascii="仿宋_GB2312" w:hAnsi="仿宋_GB2312" w:eastAsia="仿宋_GB2312" w:cs="Bookman Old Style"/>
          <w:bCs/>
          <w:color w:val="000000"/>
          <w:sz w:val="24"/>
          <w:highlight w:val="none"/>
        </w:rPr>
        <w:t>1</w:t>
      </w:r>
      <w:r>
        <w:rPr>
          <w:rFonts w:hint="eastAsia" w:ascii="仿宋_GB2312" w:hAnsi="仿宋_GB2312" w:eastAsia="仿宋_GB2312" w:cs="Bookman Old Style"/>
          <w:bCs/>
          <w:color w:val="000000"/>
          <w:sz w:val="24"/>
          <w:highlight w:val="none"/>
        </w:rPr>
        <w:t>、本合同一式七份，甲方执五份，乙方执贰份，具有同等法律效力；</w:t>
      </w:r>
    </w:p>
    <w:p w14:paraId="1EB992F0">
      <w:pPr>
        <w:spacing w:line="500" w:lineRule="exact"/>
        <w:ind w:firstLine="480" w:firstLineChars="200"/>
        <w:rPr>
          <w:rFonts w:ascii="仿宋_GB2312" w:hAnsi="仿宋_GB2312" w:eastAsia="仿宋_GB2312" w:cs="Bookman Old Style"/>
          <w:bCs/>
          <w:color w:val="000000"/>
          <w:sz w:val="24"/>
          <w:highlight w:val="none"/>
        </w:rPr>
      </w:pPr>
      <w:r>
        <w:rPr>
          <w:rFonts w:ascii="仿宋_GB2312" w:hAnsi="仿宋_GB2312" w:eastAsia="仿宋_GB2312" w:cs="Bookman Old Style"/>
          <w:bCs/>
          <w:color w:val="000000"/>
          <w:sz w:val="24"/>
          <w:highlight w:val="none"/>
        </w:rPr>
        <w:t>2</w:t>
      </w:r>
      <w:r>
        <w:rPr>
          <w:rFonts w:hint="eastAsia" w:ascii="仿宋_GB2312" w:hAnsi="仿宋_GB2312" w:eastAsia="仿宋_GB2312" w:cs="Bookman Old Style"/>
          <w:bCs/>
          <w:color w:val="000000"/>
          <w:sz w:val="24"/>
          <w:highlight w:val="none"/>
        </w:rPr>
        <w:t>、本合同经双方法定代表人或授权代表签字并加盖单位公章之日起生效。乙方为个体工商户或自然人的，由经营者或自然人签名捺印；</w:t>
      </w:r>
    </w:p>
    <w:p w14:paraId="11F19F08">
      <w:pPr>
        <w:spacing w:line="500" w:lineRule="exact"/>
        <w:ind w:firstLine="480" w:firstLineChars="200"/>
        <w:rPr>
          <w:rFonts w:ascii="仿宋_GB2312" w:hAnsi="仿宋_GB2312" w:eastAsia="仿宋_GB2312" w:cs="Bookman Old Style"/>
          <w:bCs/>
          <w:color w:val="000000"/>
          <w:sz w:val="24"/>
          <w:highlight w:val="none"/>
        </w:rPr>
      </w:pPr>
      <w:r>
        <w:rPr>
          <w:rFonts w:hint="eastAsia" w:ascii="仿宋_GB2312" w:hAnsi="仿宋_GB2312" w:eastAsia="仿宋_GB2312" w:cs="Bookman Old Style"/>
          <w:bCs/>
          <w:color w:val="000000"/>
          <w:sz w:val="24"/>
          <w:highlight w:val="none"/>
        </w:rPr>
        <w:t>3、合同内容如遇国家法律、法规及政策另有规定的，从其规定。</w:t>
      </w:r>
    </w:p>
    <w:p w14:paraId="698CBC1F">
      <w:pPr>
        <w:spacing w:line="500" w:lineRule="exact"/>
        <w:ind w:firstLine="482" w:firstLineChars="200"/>
        <w:rPr>
          <w:rFonts w:ascii="仿宋_GB2312" w:hAnsi="仿宋_GB2312" w:eastAsia="仿宋_GB2312" w:cs="Bookman Old Style"/>
          <w:bCs/>
          <w:color w:val="000000"/>
          <w:sz w:val="24"/>
          <w:highlight w:val="none"/>
        </w:rPr>
      </w:pPr>
      <w:r>
        <w:rPr>
          <w:rFonts w:hint="eastAsia" w:ascii="仿宋_GB2312" w:hAnsi="仿宋_GB2312" w:eastAsia="仿宋_GB2312"/>
          <w:b/>
          <w:color w:val="000000"/>
          <w:sz w:val="24"/>
          <w:highlight w:val="none"/>
        </w:rPr>
        <w:t>十三、其他约定事项</w:t>
      </w:r>
    </w:p>
    <w:p w14:paraId="76B5DA2F">
      <w:pPr>
        <w:spacing w:line="500" w:lineRule="exact"/>
        <w:ind w:firstLine="480" w:firstLineChars="200"/>
        <w:rPr>
          <w:rFonts w:ascii="仿宋_GB2312" w:hAnsi="仿宋_GB2312" w:eastAsia="仿宋_GB2312" w:cs="Bookman Old Style"/>
          <w:bCs/>
          <w:color w:val="000000"/>
          <w:sz w:val="24"/>
          <w:highlight w:val="none"/>
        </w:rPr>
      </w:pPr>
      <w:r>
        <w:rPr>
          <w:rFonts w:hint="eastAsia" w:ascii="仿宋_GB2312" w:hAnsi="仿宋_GB2312" w:eastAsia="仿宋_GB2312" w:cs="Bookman Old Style"/>
          <w:color w:val="000000"/>
          <w:sz w:val="24"/>
          <w:highlight w:val="none"/>
        </w:rPr>
        <w:t>1、和本合同相关的双方往来函件(包括传真件、电子邮件)与原件具有同等的法律效力，修改无效；</w:t>
      </w:r>
    </w:p>
    <w:p w14:paraId="628FF9A9">
      <w:pPr>
        <w:spacing w:line="500" w:lineRule="exact"/>
        <w:ind w:firstLine="480" w:firstLineChars="200"/>
        <w:rPr>
          <w:rFonts w:ascii="仿宋_GB2312" w:hAnsi="仿宋_GB2312" w:eastAsia="仿宋_GB2312" w:cs="Bookman Old Style"/>
          <w:bCs/>
          <w:color w:val="000000"/>
          <w:sz w:val="24"/>
          <w:highlight w:val="none"/>
        </w:rPr>
      </w:pPr>
      <w:r>
        <w:rPr>
          <w:rFonts w:ascii="仿宋_GB2312" w:hAnsi="仿宋_GB2312" w:eastAsia="仿宋_GB2312" w:cs="Bookman Old Style"/>
          <w:color w:val="000000"/>
          <w:sz w:val="24"/>
          <w:highlight w:val="none"/>
        </w:rPr>
        <w:t>2</w:t>
      </w:r>
      <w:r>
        <w:rPr>
          <w:rFonts w:hint="eastAsia" w:ascii="仿宋_GB2312" w:hAnsi="仿宋_GB2312" w:eastAsia="仿宋_GB2312" w:cs="Bookman Old Style"/>
          <w:color w:val="000000"/>
          <w:sz w:val="24"/>
          <w:highlight w:val="none"/>
        </w:rPr>
        <w:t>、乙方签定的供货补充合同和供货承诺书以及与本合同有关的招投标文件、答疑附件、合同附件均是本合同不可分割的组成部分，与本合同具有同等法律效力，其他未尽事宜从其规定或由双方协商解决；</w:t>
      </w:r>
    </w:p>
    <w:p w14:paraId="302139DC">
      <w:pPr>
        <w:spacing w:line="500" w:lineRule="exact"/>
        <w:ind w:firstLine="480" w:firstLineChars="200"/>
        <w:rPr>
          <w:rFonts w:ascii="仿宋_GB2312" w:hAnsi="仿宋_GB2312" w:eastAsia="仿宋_GB2312" w:cs="Bookman Old Style"/>
          <w:color w:val="000000"/>
          <w:sz w:val="24"/>
          <w:highlight w:val="none"/>
        </w:rPr>
      </w:pPr>
      <w:r>
        <w:rPr>
          <w:rFonts w:ascii="仿宋_GB2312" w:hAnsi="仿宋_GB2312" w:eastAsia="仿宋_GB2312" w:cs="Bookman Old Style"/>
          <w:color w:val="000000"/>
          <w:sz w:val="24"/>
          <w:highlight w:val="none"/>
        </w:rPr>
        <w:t>3</w:t>
      </w:r>
      <w:r>
        <w:rPr>
          <w:rFonts w:hint="eastAsia" w:ascii="仿宋_GB2312" w:hAnsi="仿宋_GB2312" w:eastAsia="仿宋_GB2312" w:cs="Bookman Old Style"/>
          <w:color w:val="000000"/>
          <w:sz w:val="24"/>
          <w:highlight w:val="none"/>
        </w:rPr>
        <w:t>、本合同中所载的书面通知方式仅指当事人亲自送达、挂号信、EMS方式。一方采取当事人亲自送达方式的，另一方有积极配合签收的义务。如一方拒绝签收而使另一方变更送达方式的，由此所生的费用应当由违约方承担；如以EMS或快递方式寄送的，如无相反证据证明，自寄送之日起的第三日为送达之日；</w:t>
      </w:r>
    </w:p>
    <w:p w14:paraId="222DC84B">
      <w:pPr>
        <w:spacing w:line="500" w:lineRule="exact"/>
        <w:ind w:firstLine="480" w:firstLineChars="200"/>
        <w:rPr>
          <w:rFonts w:ascii="仿宋_GB2312" w:hAnsi="仿宋_GB2312" w:eastAsia="仿宋_GB2312" w:cs="Bookman Old Style"/>
          <w:color w:val="000000"/>
          <w:sz w:val="24"/>
          <w:highlight w:val="none"/>
        </w:rPr>
      </w:pPr>
      <w:r>
        <w:rPr>
          <w:rFonts w:ascii="仿宋_GB2312" w:hAnsi="仿宋_GB2312" w:eastAsia="仿宋_GB2312" w:cs="Bookman Old Style"/>
          <w:color w:val="000000"/>
          <w:sz w:val="24"/>
          <w:highlight w:val="none"/>
        </w:rPr>
        <w:t>4</w:t>
      </w:r>
      <w:r>
        <w:rPr>
          <w:rFonts w:hint="eastAsia" w:ascii="仿宋_GB2312" w:hAnsi="仿宋_GB2312" w:eastAsia="仿宋_GB2312" w:cs="Bookman Old Style"/>
          <w:color w:val="000000"/>
          <w:sz w:val="24"/>
          <w:highlight w:val="none"/>
        </w:rPr>
        <w:t>、本合同尾部的双方联系方式及地址为双方有效的送达地址，如有一方地址发生变更，应在变更后当日向对方书面通知，如因变更方未及时通知，相对方按合同尾部地址送达的，视为送达成功；</w:t>
      </w:r>
    </w:p>
    <w:p w14:paraId="5D7C932E">
      <w:pPr>
        <w:spacing w:line="500" w:lineRule="exact"/>
        <w:ind w:firstLine="480" w:firstLineChars="200"/>
        <w:rPr>
          <w:rFonts w:ascii="仿宋_GB2312" w:hAnsi="仿宋_GB2312" w:eastAsia="仿宋_GB2312" w:cs="Bookman Old Style"/>
          <w:color w:val="000000"/>
          <w:sz w:val="24"/>
          <w:highlight w:val="none"/>
        </w:rPr>
      </w:pPr>
      <w:r>
        <w:rPr>
          <w:rFonts w:hint="eastAsia" w:ascii="仿宋_GB2312" w:hAnsi="仿宋_GB2312" w:eastAsia="仿宋_GB2312" w:cs="Bookman Old Style"/>
          <w:color w:val="000000"/>
          <w:sz w:val="24"/>
          <w:highlight w:val="none"/>
        </w:rPr>
        <w:t>5、本合同共</w:t>
      </w:r>
      <w:r>
        <w:rPr>
          <w:rFonts w:hint="eastAsia" w:ascii="仿宋_GB2312" w:hAnsi="仿宋_GB2312" w:eastAsia="仿宋_GB2312" w:cs="Bookman Old Style"/>
          <w:color w:val="000000"/>
          <w:sz w:val="24"/>
          <w:highlight w:val="none"/>
          <w:u w:val="single"/>
        </w:rPr>
        <w:t xml:space="preserve"> </w:t>
      </w:r>
      <w:r>
        <w:rPr>
          <w:rFonts w:ascii="仿宋_GB2312" w:hAnsi="仿宋_GB2312" w:eastAsia="仿宋_GB2312" w:cs="Bookman Old Style"/>
          <w:color w:val="000000"/>
          <w:sz w:val="24"/>
          <w:highlight w:val="none"/>
          <w:u w:val="single"/>
        </w:rPr>
        <w:t xml:space="preserve">   </w:t>
      </w:r>
      <w:r>
        <w:rPr>
          <w:rFonts w:hint="eastAsia" w:ascii="仿宋_GB2312" w:hAnsi="仿宋_GB2312" w:eastAsia="仿宋_GB2312" w:cs="Bookman Old Style"/>
          <w:color w:val="000000"/>
          <w:sz w:val="24"/>
          <w:highlight w:val="none"/>
        </w:rPr>
        <w:t>页，含封面。</w:t>
      </w:r>
    </w:p>
    <w:p w14:paraId="5C9552F4">
      <w:pPr>
        <w:spacing w:line="500" w:lineRule="exact"/>
        <w:ind w:firstLine="480" w:firstLineChars="200"/>
        <w:rPr>
          <w:rFonts w:hint="eastAsia" w:ascii="仿宋_GB2312" w:hAnsi="仿宋_GB2312" w:eastAsia="仿宋_GB2312" w:cs="Bookman Old Style"/>
          <w:bCs/>
          <w:color w:val="000000"/>
          <w:sz w:val="24"/>
          <w:highlight w:val="none"/>
        </w:rPr>
      </w:pPr>
    </w:p>
    <w:p w14:paraId="78C2F20E">
      <w:pPr>
        <w:spacing w:line="500" w:lineRule="exact"/>
        <w:rPr>
          <w:rFonts w:hint="eastAsia" w:ascii="仿宋_GB2312" w:hAnsi="仿宋_GB2312" w:eastAsia="仿宋_GB2312" w:cs="Bookman Old Style"/>
          <w:color w:val="000000"/>
          <w:sz w:val="24"/>
          <w:highlight w:val="none"/>
        </w:rPr>
      </w:pPr>
      <w:r>
        <w:rPr>
          <w:rFonts w:hint="eastAsia" w:ascii="仿宋_GB2312" w:hAnsi="仿宋_GB2312" w:eastAsia="仿宋_GB2312"/>
          <w:color w:val="000000"/>
          <w:sz w:val="24"/>
          <w:highlight w:val="none"/>
        </w:rPr>
        <w:t>（以下无正文，为本合同签署页）</w:t>
      </w:r>
    </w:p>
    <w:p w14:paraId="5F8243F2">
      <w:pPr>
        <w:spacing w:line="500" w:lineRule="exact"/>
        <w:rPr>
          <w:rFonts w:hint="eastAsia" w:ascii="仿宋_GB2312" w:hAnsi="仿宋_GB2312" w:eastAsia="仿宋_GB2312"/>
          <w:color w:val="000000"/>
          <w:sz w:val="24"/>
          <w:highlight w:val="none"/>
        </w:rPr>
      </w:pPr>
    </w:p>
    <w:p w14:paraId="6866FFC2">
      <w:pPr>
        <w:spacing w:line="500" w:lineRule="exact"/>
        <w:rPr>
          <w:rFonts w:hint="eastAsia" w:ascii="仿宋_GB2312" w:hAnsi="仿宋_GB2312" w:eastAsia="仿宋_GB2312"/>
          <w:color w:val="000000"/>
          <w:sz w:val="24"/>
          <w:highlight w:val="none"/>
        </w:rPr>
      </w:pPr>
      <w:r>
        <w:rPr>
          <w:rFonts w:hint="eastAsia" w:ascii="仿宋_GB2312" w:hAnsi="仿宋_GB2312" w:eastAsia="仿宋_GB2312"/>
          <w:color w:val="000000"/>
          <w:sz w:val="24"/>
          <w:highlight w:val="none"/>
        </w:rPr>
        <w:t>甲方（公章）：</w:t>
      </w:r>
      <w:r>
        <w:rPr>
          <w:rFonts w:ascii="仿宋_GB2312" w:hAnsi="仿宋_GB2312" w:eastAsia="仿宋_GB2312"/>
          <w:color w:val="000000"/>
          <w:sz w:val="24"/>
          <w:highlight w:val="none"/>
        </w:rPr>
        <w:t xml:space="preserve">         </w:t>
      </w:r>
      <w:r>
        <w:rPr>
          <w:rFonts w:hint="eastAsia" w:ascii="仿宋_GB2312" w:hAnsi="仿宋_GB2312" w:eastAsia="仿宋_GB2312"/>
          <w:color w:val="000000"/>
          <w:sz w:val="24"/>
          <w:highlight w:val="none"/>
        </w:rPr>
        <w:t xml:space="preserve">               乙</w:t>
      </w:r>
      <w:r>
        <w:rPr>
          <w:rFonts w:ascii="仿宋_GB2312" w:hAnsi="仿宋_GB2312" w:eastAsia="仿宋_GB2312"/>
          <w:color w:val="000000"/>
          <w:sz w:val="24"/>
          <w:highlight w:val="none"/>
        </w:rPr>
        <w:t>方（</w:t>
      </w:r>
      <w:r>
        <w:rPr>
          <w:rFonts w:hint="eastAsia" w:ascii="仿宋_GB2312" w:hAnsi="仿宋_GB2312" w:eastAsia="仿宋_GB2312"/>
          <w:color w:val="000000"/>
          <w:sz w:val="24"/>
          <w:highlight w:val="none"/>
        </w:rPr>
        <w:t>公章</w:t>
      </w:r>
      <w:r>
        <w:rPr>
          <w:rFonts w:ascii="仿宋_GB2312" w:hAnsi="仿宋_GB2312" w:eastAsia="仿宋_GB2312"/>
          <w:color w:val="000000"/>
          <w:sz w:val="24"/>
          <w:highlight w:val="none"/>
        </w:rPr>
        <w:t>）：</w:t>
      </w:r>
    </w:p>
    <w:p w14:paraId="3B166E6F">
      <w:pPr>
        <w:spacing w:line="500" w:lineRule="exact"/>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法定代表人或授权代表（签字）：        法定代表人或授权代表（签字）：</w:t>
      </w:r>
    </w:p>
    <w:p w14:paraId="3D395638">
      <w:pPr>
        <w:spacing w:line="500" w:lineRule="exact"/>
        <w:rPr>
          <w:rFonts w:ascii="仿宋_GB2312" w:hAnsi="仿宋_GB2312" w:eastAsia="仿宋_GB2312"/>
          <w:color w:val="000000"/>
          <w:sz w:val="24"/>
          <w:highlight w:val="none"/>
          <w:u w:val="single"/>
        </w:rPr>
      </w:pPr>
      <w:r>
        <w:rPr>
          <w:rFonts w:hint="eastAsia" w:ascii="仿宋_GB2312" w:hAnsi="仿宋_GB2312" w:eastAsia="仿宋_GB2312"/>
          <w:color w:val="000000"/>
          <w:sz w:val="24"/>
          <w:highlight w:val="none"/>
          <w:u w:val="single"/>
        </w:rPr>
        <w:t xml:space="preserve"> </w:t>
      </w:r>
      <w:r>
        <w:rPr>
          <w:rFonts w:ascii="仿宋_GB2312" w:hAnsi="仿宋_GB2312" w:eastAsia="仿宋_GB2312"/>
          <w:color w:val="000000"/>
          <w:sz w:val="24"/>
          <w:highlight w:val="none"/>
          <w:u w:val="single"/>
        </w:rPr>
        <w:t xml:space="preserve">                   </w:t>
      </w:r>
      <w:r>
        <w:rPr>
          <w:rFonts w:ascii="仿宋_GB2312" w:hAnsi="仿宋_GB2312" w:eastAsia="仿宋_GB2312"/>
          <w:color w:val="000000"/>
          <w:sz w:val="24"/>
          <w:highlight w:val="none"/>
        </w:rPr>
        <w:t xml:space="preserve">                 </w:t>
      </w:r>
      <w:r>
        <w:rPr>
          <w:rFonts w:ascii="仿宋_GB2312" w:hAnsi="仿宋_GB2312" w:eastAsia="仿宋_GB2312"/>
          <w:color w:val="000000"/>
          <w:sz w:val="24"/>
          <w:highlight w:val="none"/>
          <w:u w:val="single"/>
        </w:rPr>
        <w:t xml:space="preserve">                    </w:t>
      </w:r>
    </w:p>
    <w:p w14:paraId="482A89E0">
      <w:pP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olor w:val="000000"/>
          <w:sz w:val="24"/>
          <w:highlight w:val="none"/>
        </w:rPr>
        <w:t>日期：</w:t>
      </w:r>
      <w:r>
        <w:rPr>
          <w:rFonts w:ascii="仿宋_GB2312" w:hAnsi="仿宋_GB2312" w:eastAsia="仿宋_GB2312"/>
          <w:color w:val="000000"/>
          <w:sz w:val="24"/>
          <w:highlight w:val="none"/>
        </w:rPr>
        <w:t xml:space="preserve"> </w:t>
      </w:r>
      <w:r>
        <w:rPr>
          <w:rFonts w:hint="eastAsia" w:ascii="仿宋_GB2312" w:hAnsi="仿宋_GB2312" w:eastAsia="仿宋_GB2312"/>
          <w:color w:val="000000"/>
          <w:sz w:val="24"/>
          <w:highlight w:val="none"/>
        </w:rPr>
        <w:t xml:space="preserve">  </w:t>
      </w:r>
      <w:r>
        <w:rPr>
          <w:rFonts w:ascii="仿宋_GB2312" w:hAnsi="仿宋_GB2312" w:eastAsia="仿宋_GB2312"/>
          <w:color w:val="000000"/>
          <w:sz w:val="24"/>
          <w:highlight w:val="none"/>
        </w:rPr>
        <w:t xml:space="preserve"> 年</w:t>
      </w:r>
      <w:r>
        <w:rPr>
          <w:rFonts w:hint="eastAsia" w:ascii="仿宋_GB2312" w:hAnsi="仿宋_GB2312" w:eastAsia="仿宋_GB2312"/>
          <w:color w:val="000000"/>
          <w:sz w:val="24"/>
          <w:highlight w:val="none"/>
        </w:rPr>
        <w:t xml:space="preserve"> </w:t>
      </w:r>
      <w:r>
        <w:rPr>
          <w:rFonts w:ascii="仿宋_GB2312" w:hAnsi="仿宋_GB2312" w:eastAsia="仿宋_GB2312"/>
          <w:color w:val="000000"/>
          <w:sz w:val="24"/>
          <w:highlight w:val="none"/>
        </w:rPr>
        <w:t xml:space="preserve"> 月</w:t>
      </w:r>
      <w:r>
        <w:rPr>
          <w:rFonts w:hint="eastAsia" w:ascii="仿宋_GB2312" w:hAnsi="仿宋_GB2312" w:eastAsia="仿宋_GB2312"/>
          <w:color w:val="000000"/>
          <w:sz w:val="24"/>
          <w:highlight w:val="none"/>
        </w:rPr>
        <w:t xml:space="preserve">  </w:t>
      </w:r>
      <w:r>
        <w:rPr>
          <w:rFonts w:ascii="仿宋_GB2312" w:hAnsi="仿宋_GB2312" w:eastAsia="仿宋_GB2312"/>
          <w:color w:val="000000"/>
          <w:sz w:val="24"/>
          <w:highlight w:val="none"/>
        </w:rPr>
        <w:t xml:space="preserve">日   </w:t>
      </w:r>
      <w:r>
        <w:rPr>
          <w:rFonts w:hint="eastAsia" w:ascii="仿宋_GB2312" w:hAnsi="仿宋_GB2312" w:eastAsia="仿宋_GB2312"/>
          <w:color w:val="000000"/>
          <w:sz w:val="24"/>
          <w:highlight w:val="none"/>
        </w:rPr>
        <w:t xml:space="preserve">  </w:t>
      </w:r>
      <w:r>
        <w:rPr>
          <w:rFonts w:ascii="仿宋_GB2312" w:hAnsi="仿宋_GB2312" w:eastAsia="仿宋_GB2312"/>
          <w:color w:val="000000"/>
          <w:sz w:val="24"/>
          <w:highlight w:val="none"/>
        </w:rPr>
        <w:t xml:space="preserve">            </w:t>
      </w:r>
      <w:r>
        <w:rPr>
          <w:rFonts w:hint="eastAsia" w:ascii="仿宋_GB2312" w:hAnsi="仿宋_GB2312" w:eastAsia="仿宋_GB2312"/>
          <w:color w:val="000000"/>
          <w:sz w:val="24"/>
          <w:highlight w:val="none"/>
        </w:rPr>
        <w:t>日期：</w:t>
      </w:r>
      <w:r>
        <w:rPr>
          <w:rFonts w:ascii="仿宋_GB2312" w:hAnsi="仿宋_GB2312" w:eastAsia="仿宋_GB2312"/>
          <w:color w:val="000000"/>
          <w:sz w:val="24"/>
          <w:highlight w:val="none"/>
        </w:rPr>
        <w:t xml:space="preserve"> </w:t>
      </w:r>
      <w:r>
        <w:rPr>
          <w:rFonts w:hint="eastAsia" w:ascii="仿宋_GB2312" w:hAnsi="仿宋_GB2312" w:eastAsia="仿宋_GB2312"/>
          <w:color w:val="000000"/>
          <w:sz w:val="24"/>
          <w:highlight w:val="none"/>
        </w:rPr>
        <w:t xml:space="preserve">  </w:t>
      </w:r>
      <w:r>
        <w:rPr>
          <w:rFonts w:ascii="仿宋_GB2312" w:hAnsi="仿宋_GB2312" w:eastAsia="仿宋_GB2312"/>
          <w:color w:val="000000"/>
          <w:sz w:val="24"/>
          <w:highlight w:val="none"/>
        </w:rPr>
        <w:t xml:space="preserve"> 年</w:t>
      </w:r>
      <w:r>
        <w:rPr>
          <w:rFonts w:hint="eastAsia" w:ascii="仿宋_GB2312" w:hAnsi="仿宋_GB2312" w:eastAsia="仿宋_GB2312"/>
          <w:color w:val="000000"/>
          <w:sz w:val="24"/>
          <w:highlight w:val="none"/>
        </w:rPr>
        <w:t xml:space="preserve"> </w:t>
      </w:r>
      <w:r>
        <w:rPr>
          <w:rFonts w:ascii="仿宋_GB2312" w:hAnsi="仿宋_GB2312" w:eastAsia="仿宋_GB2312"/>
          <w:color w:val="000000"/>
          <w:sz w:val="24"/>
          <w:highlight w:val="none"/>
        </w:rPr>
        <w:t xml:space="preserve"> 月</w:t>
      </w:r>
      <w:r>
        <w:rPr>
          <w:rFonts w:hint="eastAsia" w:ascii="仿宋_GB2312" w:hAnsi="仿宋_GB2312" w:eastAsia="仿宋_GB2312"/>
          <w:color w:val="000000"/>
          <w:sz w:val="24"/>
          <w:highlight w:val="none"/>
        </w:rPr>
        <w:t xml:space="preserve">  </w:t>
      </w:r>
      <w:r>
        <w:rPr>
          <w:rFonts w:ascii="仿宋_GB2312" w:hAnsi="仿宋_GB2312" w:eastAsia="仿宋_GB2312"/>
          <w:color w:val="000000"/>
          <w:sz w:val="24"/>
          <w:highlight w:val="none"/>
        </w:rPr>
        <w:t>日</w:t>
      </w:r>
      <w:r>
        <w:rPr>
          <w:rFonts w:hint="eastAsia" w:ascii="仿宋_GB2312" w:hAnsi="仿宋_GB2312" w:eastAsia="仿宋_GB2312" w:cs="仿宋_GB2312"/>
          <w:b w:val="0"/>
          <w:bCs w:val="0"/>
          <w:sz w:val="24"/>
          <w:szCs w:val="24"/>
          <w:lang w:val="en-US" w:eastAsia="zh-CN"/>
        </w:rPr>
        <w:br w:type="page"/>
      </w:r>
    </w:p>
    <w:p w14:paraId="57446D9D">
      <w:pPr>
        <w:pStyle w:val="2"/>
        <w:numPr>
          <w:ilvl w:val="0"/>
          <w:numId w:val="1"/>
        </w:numPr>
        <w:bidi w:val="0"/>
        <w:jc w:val="center"/>
        <w:rPr>
          <w:rFonts w:hint="eastAsia" w:ascii="仿宋_GB2312" w:hAnsi="仿宋_GB2312" w:eastAsia="仿宋_GB2312" w:cs="仿宋_GB2312"/>
          <w:sz w:val="32"/>
          <w:szCs w:val="32"/>
          <w:lang w:val="en-US" w:eastAsia="zh-CN"/>
        </w:rPr>
      </w:pPr>
      <w:bookmarkStart w:id="17" w:name="_Toc20159"/>
      <w:r>
        <w:rPr>
          <w:rFonts w:hint="eastAsia" w:ascii="仿宋_GB2312" w:hAnsi="仿宋_GB2312" w:eastAsia="仿宋_GB2312" w:cs="仿宋_GB2312"/>
          <w:sz w:val="32"/>
          <w:szCs w:val="32"/>
          <w:lang w:val="en-US" w:eastAsia="zh-CN"/>
        </w:rPr>
        <w:t>采购需求</w:t>
      </w:r>
      <w:bookmarkEnd w:id="17"/>
    </w:p>
    <w:p w14:paraId="3A3785B4">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说明：</w:t>
      </w:r>
    </w:p>
    <w:p w14:paraId="7913462F">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1.以下技术指标及要求中如出现设备或产品品牌或指向某个品牌，仅作为参考该</w:t>
      </w:r>
    </w:p>
    <w:p w14:paraId="7554054F">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设备或产品所需达到的具体技术性能要求，不作为该设备或产品的品牌要求。</w:t>
      </w:r>
    </w:p>
    <w:p w14:paraId="41871482">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2.下列标有“※”的条款均为实质性响应条款，投标人若有一项带“※”的条款</w:t>
      </w:r>
    </w:p>
    <w:p w14:paraId="5BCCCABA">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未响应或不满足，将按无效投标处理。“▲”条款为重要条款，非“※、▲”条</w:t>
      </w:r>
    </w:p>
    <w:p w14:paraId="4CB353D1">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款为一般条款，未响应或不满足，将按评审标准中规定进行扣分。</w:t>
      </w:r>
    </w:p>
    <w:p w14:paraId="5F4483D3">
      <w:pPr>
        <w:pStyle w:val="16"/>
        <w:rPr>
          <w:rFonts w:hint="eastAsia"/>
          <w:highlight w:val="none"/>
          <w:lang w:val="en-US" w:eastAsia="zh-CN"/>
        </w:rPr>
      </w:pPr>
    </w:p>
    <w:p w14:paraId="3ED5A616">
      <w:pPr>
        <w:keepNext w:val="0"/>
        <w:keepLines w:val="0"/>
        <w:pageBreakBefore w:val="0"/>
        <w:widowControl w:val="0"/>
        <w:numPr>
          <w:ilvl w:val="0"/>
          <w:numId w:val="10"/>
        </w:numPr>
        <w:kinsoku/>
        <w:wordWrap/>
        <w:overflowPunct/>
        <w:topLinePunct w:val="0"/>
        <w:autoSpaceDE/>
        <w:autoSpaceDN/>
        <w:bidi w:val="0"/>
        <w:adjustRightInd/>
        <w:snapToGrid/>
        <w:spacing w:line="500" w:lineRule="exac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采购标的</w:t>
      </w:r>
    </w:p>
    <w:p w14:paraId="22BD4158">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kern w:val="2"/>
          <w:sz w:val="24"/>
          <w:szCs w:val="24"/>
          <w:highlight w:val="none"/>
          <w:lang w:val="en-US" w:eastAsia="zh-CN" w:bidi="ar-SA"/>
        </w:rPr>
        <w:t>1.</w:t>
      </w:r>
      <w:r>
        <w:rPr>
          <w:rFonts w:hint="eastAsia" w:ascii="仿宋" w:hAnsi="仿宋" w:eastAsia="仿宋" w:cs="仿宋"/>
          <w:b w:val="0"/>
          <w:bCs w:val="0"/>
          <w:sz w:val="24"/>
          <w:szCs w:val="24"/>
          <w:highlight w:val="none"/>
          <w:lang w:val="en-US" w:eastAsia="zh-CN"/>
        </w:rPr>
        <w:t>需求一览表</w:t>
      </w:r>
    </w:p>
    <w:tbl>
      <w:tblPr>
        <w:tblStyle w:val="17"/>
        <w:tblW w:w="48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2130"/>
        <w:gridCol w:w="1344"/>
        <w:gridCol w:w="1713"/>
        <w:gridCol w:w="1569"/>
        <w:gridCol w:w="843"/>
      </w:tblGrid>
      <w:tr w14:paraId="05C2B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444" w:type="pct"/>
            <w:noWrap w:val="0"/>
            <w:vAlign w:val="center"/>
          </w:tcPr>
          <w:p w14:paraId="2B8A8A1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品目号</w:t>
            </w:r>
          </w:p>
        </w:tc>
        <w:tc>
          <w:tcPr>
            <w:tcW w:w="1276" w:type="pct"/>
            <w:noWrap w:val="0"/>
            <w:vAlign w:val="center"/>
          </w:tcPr>
          <w:p w14:paraId="7B83A4D5">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品目</w:t>
            </w:r>
            <w:r>
              <w:rPr>
                <w:rFonts w:hint="eastAsia" w:ascii="仿宋" w:hAnsi="仿宋" w:eastAsia="仿宋" w:cs="仿宋"/>
                <w:b/>
                <w:bCs/>
                <w:color w:val="auto"/>
                <w:sz w:val="24"/>
                <w:szCs w:val="24"/>
                <w:highlight w:val="none"/>
              </w:rPr>
              <w:t>名称</w:t>
            </w:r>
          </w:p>
        </w:tc>
        <w:tc>
          <w:tcPr>
            <w:tcW w:w="805" w:type="pct"/>
            <w:noWrap w:val="0"/>
            <w:vAlign w:val="center"/>
          </w:tcPr>
          <w:p w14:paraId="445968B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数量</w:t>
            </w:r>
            <w:r>
              <w:rPr>
                <w:rFonts w:hint="eastAsia" w:ascii="仿宋" w:hAnsi="仿宋" w:eastAsia="仿宋" w:cs="仿宋"/>
                <w:b/>
                <w:bCs/>
                <w:color w:val="auto"/>
                <w:sz w:val="24"/>
                <w:szCs w:val="24"/>
                <w:highlight w:val="none"/>
                <w:lang w:val="en-US" w:eastAsia="zh-CN"/>
              </w:rPr>
              <w:t>/单位</w:t>
            </w:r>
          </w:p>
        </w:tc>
        <w:tc>
          <w:tcPr>
            <w:tcW w:w="1026" w:type="pct"/>
            <w:noWrap w:val="0"/>
            <w:vAlign w:val="center"/>
          </w:tcPr>
          <w:p w14:paraId="3BDDE86B">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最高限制单价</w:t>
            </w:r>
          </w:p>
        </w:tc>
        <w:tc>
          <w:tcPr>
            <w:tcW w:w="940" w:type="pct"/>
            <w:noWrap w:val="0"/>
            <w:vAlign w:val="center"/>
          </w:tcPr>
          <w:p w14:paraId="6C1FC05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中小企业划分标准所属行业</w:t>
            </w:r>
          </w:p>
        </w:tc>
        <w:tc>
          <w:tcPr>
            <w:tcW w:w="505" w:type="pct"/>
            <w:noWrap w:val="0"/>
            <w:vAlign w:val="center"/>
          </w:tcPr>
          <w:p w14:paraId="3924F90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备注</w:t>
            </w:r>
          </w:p>
        </w:tc>
      </w:tr>
      <w:tr w14:paraId="01A7B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444" w:type="pct"/>
            <w:noWrap w:val="0"/>
            <w:vAlign w:val="center"/>
          </w:tcPr>
          <w:p w14:paraId="4A5A6C6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276" w:type="pct"/>
            <w:noWrap w:val="0"/>
            <w:vAlign w:val="center"/>
          </w:tcPr>
          <w:p w14:paraId="2C6E598C">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母乳分析仪</w:t>
            </w:r>
          </w:p>
        </w:tc>
        <w:tc>
          <w:tcPr>
            <w:tcW w:w="805" w:type="pct"/>
            <w:noWrap w:val="0"/>
            <w:vAlign w:val="center"/>
          </w:tcPr>
          <w:p w14:paraId="411BCBC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1台</w:t>
            </w:r>
          </w:p>
        </w:tc>
        <w:tc>
          <w:tcPr>
            <w:tcW w:w="1026" w:type="pct"/>
            <w:noWrap w:val="0"/>
            <w:vAlign w:val="center"/>
          </w:tcPr>
          <w:p w14:paraId="25CC0661">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200000元</w:t>
            </w:r>
          </w:p>
        </w:tc>
        <w:tc>
          <w:tcPr>
            <w:tcW w:w="940" w:type="pct"/>
            <w:noWrap w:val="0"/>
            <w:vAlign w:val="center"/>
          </w:tcPr>
          <w:p w14:paraId="1846CA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工业</w:t>
            </w:r>
          </w:p>
        </w:tc>
        <w:tc>
          <w:tcPr>
            <w:tcW w:w="505" w:type="pct"/>
            <w:noWrap w:val="0"/>
            <w:vAlign w:val="center"/>
          </w:tcPr>
          <w:p w14:paraId="212EF23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lang w:val="en-US" w:eastAsia="zh-CN"/>
              </w:rPr>
            </w:pPr>
          </w:p>
        </w:tc>
      </w:tr>
      <w:tr w14:paraId="19055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444" w:type="pct"/>
            <w:noWrap w:val="0"/>
            <w:vAlign w:val="center"/>
          </w:tcPr>
          <w:p w14:paraId="50940D79">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276" w:type="pct"/>
            <w:noWrap w:val="0"/>
            <w:vAlign w:val="center"/>
          </w:tcPr>
          <w:p w14:paraId="60DB089A">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经皮黄疸仪</w:t>
            </w:r>
          </w:p>
        </w:tc>
        <w:tc>
          <w:tcPr>
            <w:tcW w:w="805" w:type="pct"/>
            <w:noWrap w:val="0"/>
            <w:vAlign w:val="center"/>
          </w:tcPr>
          <w:p w14:paraId="5B220DD9">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1台</w:t>
            </w:r>
          </w:p>
        </w:tc>
        <w:tc>
          <w:tcPr>
            <w:tcW w:w="1026" w:type="pct"/>
            <w:noWrap w:val="0"/>
            <w:vAlign w:val="center"/>
          </w:tcPr>
          <w:p w14:paraId="6329187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13000元</w:t>
            </w:r>
          </w:p>
        </w:tc>
        <w:tc>
          <w:tcPr>
            <w:tcW w:w="940" w:type="pct"/>
            <w:noWrap w:val="0"/>
            <w:vAlign w:val="center"/>
          </w:tcPr>
          <w:p w14:paraId="300DF2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工业</w:t>
            </w:r>
          </w:p>
        </w:tc>
        <w:tc>
          <w:tcPr>
            <w:tcW w:w="505" w:type="pct"/>
            <w:noWrap w:val="0"/>
            <w:vAlign w:val="center"/>
          </w:tcPr>
          <w:p w14:paraId="524A87FB">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lang w:val="en-US" w:eastAsia="zh-CN"/>
              </w:rPr>
            </w:pPr>
          </w:p>
        </w:tc>
      </w:tr>
      <w:tr w14:paraId="3E285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444" w:type="pct"/>
            <w:noWrap w:val="0"/>
            <w:vAlign w:val="center"/>
          </w:tcPr>
          <w:p w14:paraId="3207689F">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276" w:type="pct"/>
            <w:noWrap w:val="0"/>
            <w:vAlign w:val="center"/>
          </w:tcPr>
          <w:p w14:paraId="644000B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暖箱</w:t>
            </w:r>
          </w:p>
        </w:tc>
        <w:tc>
          <w:tcPr>
            <w:tcW w:w="805" w:type="pct"/>
            <w:noWrap w:val="0"/>
            <w:vAlign w:val="center"/>
          </w:tcPr>
          <w:p w14:paraId="48A3135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6台</w:t>
            </w:r>
          </w:p>
        </w:tc>
        <w:tc>
          <w:tcPr>
            <w:tcW w:w="1026" w:type="pct"/>
            <w:noWrap w:val="0"/>
            <w:vAlign w:val="center"/>
          </w:tcPr>
          <w:p w14:paraId="1A709E51">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120000元</w:t>
            </w:r>
          </w:p>
        </w:tc>
        <w:tc>
          <w:tcPr>
            <w:tcW w:w="940" w:type="pct"/>
            <w:noWrap w:val="0"/>
            <w:vAlign w:val="center"/>
          </w:tcPr>
          <w:p w14:paraId="648A42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工业</w:t>
            </w:r>
          </w:p>
        </w:tc>
        <w:tc>
          <w:tcPr>
            <w:tcW w:w="505" w:type="pct"/>
            <w:noWrap w:val="0"/>
            <w:vAlign w:val="center"/>
          </w:tcPr>
          <w:p w14:paraId="45A6A370">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lang w:val="en-US" w:eastAsia="zh-CN"/>
              </w:rPr>
            </w:pPr>
          </w:p>
        </w:tc>
      </w:tr>
      <w:tr w14:paraId="2AEBF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444" w:type="pct"/>
            <w:noWrap w:val="0"/>
            <w:vAlign w:val="center"/>
          </w:tcPr>
          <w:p w14:paraId="16EEB90B">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276" w:type="pct"/>
            <w:noWrap w:val="0"/>
            <w:vAlign w:val="center"/>
          </w:tcPr>
          <w:p w14:paraId="68F43DA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输液泵</w:t>
            </w:r>
          </w:p>
        </w:tc>
        <w:tc>
          <w:tcPr>
            <w:tcW w:w="805" w:type="pct"/>
            <w:noWrap w:val="0"/>
            <w:vAlign w:val="center"/>
          </w:tcPr>
          <w:p w14:paraId="63D6111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10台</w:t>
            </w:r>
          </w:p>
        </w:tc>
        <w:tc>
          <w:tcPr>
            <w:tcW w:w="1026" w:type="pct"/>
            <w:noWrap w:val="0"/>
            <w:vAlign w:val="center"/>
          </w:tcPr>
          <w:p w14:paraId="6ACB3C49">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16500元</w:t>
            </w:r>
          </w:p>
        </w:tc>
        <w:tc>
          <w:tcPr>
            <w:tcW w:w="940" w:type="pct"/>
            <w:noWrap w:val="0"/>
            <w:vAlign w:val="center"/>
          </w:tcPr>
          <w:p w14:paraId="78DD7C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工业</w:t>
            </w:r>
          </w:p>
        </w:tc>
        <w:tc>
          <w:tcPr>
            <w:tcW w:w="505" w:type="pct"/>
            <w:noWrap w:val="0"/>
            <w:vAlign w:val="center"/>
          </w:tcPr>
          <w:p w14:paraId="4F7D302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lang w:val="en-US" w:eastAsia="zh-CN"/>
              </w:rPr>
            </w:pPr>
          </w:p>
        </w:tc>
      </w:tr>
      <w:tr w14:paraId="17FFC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444" w:type="pct"/>
            <w:noWrap w:val="0"/>
            <w:vAlign w:val="center"/>
          </w:tcPr>
          <w:p w14:paraId="1A801614">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276" w:type="pct"/>
            <w:noWrap w:val="0"/>
            <w:vAlign w:val="center"/>
          </w:tcPr>
          <w:p w14:paraId="00946DF4">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婴儿辐射保暖台</w:t>
            </w:r>
          </w:p>
        </w:tc>
        <w:tc>
          <w:tcPr>
            <w:tcW w:w="805" w:type="pct"/>
            <w:noWrap w:val="0"/>
            <w:vAlign w:val="center"/>
          </w:tcPr>
          <w:p w14:paraId="059E0D5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3台</w:t>
            </w:r>
          </w:p>
        </w:tc>
        <w:tc>
          <w:tcPr>
            <w:tcW w:w="1026" w:type="pct"/>
            <w:noWrap w:val="0"/>
            <w:vAlign w:val="center"/>
          </w:tcPr>
          <w:p w14:paraId="5F114260">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45000元</w:t>
            </w:r>
          </w:p>
        </w:tc>
        <w:tc>
          <w:tcPr>
            <w:tcW w:w="940" w:type="pct"/>
            <w:noWrap w:val="0"/>
            <w:vAlign w:val="center"/>
          </w:tcPr>
          <w:p w14:paraId="18A358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工业</w:t>
            </w:r>
          </w:p>
        </w:tc>
        <w:tc>
          <w:tcPr>
            <w:tcW w:w="505" w:type="pct"/>
            <w:noWrap w:val="0"/>
            <w:vAlign w:val="center"/>
          </w:tcPr>
          <w:p w14:paraId="4D199C09">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lang w:val="en-US" w:eastAsia="zh-CN"/>
              </w:rPr>
            </w:pPr>
          </w:p>
        </w:tc>
      </w:tr>
      <w:tr w14:paraId="54BCA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444" w:type="pct"/>
            <w:noWrap w:val="0"/>
            <w:vAlign w:val="center"/>
          </w:tcPr>
          <w:p w14:paraId="0A31B21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276" w:type="pct"/>
            <w:noWrap w:val="0"/>
            <w:vAlign w:val="center"/>
          </w:tcPr>
          <w:p w14:paraId="708FBAB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心电监护仪</w:t>
            </w:r>
          </w:p>
        </w:tc>
        <w:tc>
          <w:tcPr>
            <w:tcW w:w="805" w:type="pct"/>
            <w:noWrap w:val="0"/>
            <w:vAlign w:val="center"/>
          </w:tcPr>
          <w:p w14:paraId="306E577F">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4台</w:t>
            </w:r>
          </w:p>
        </w:tc>
        <w:tc>
          <w:tcPr>
            <w:tcW w:w="1026" w:type="pct"/>
            <w:noWrap w:val="0"/>
            <w:vAlign w:val="center"/>
          </w:tcPr>
          <w:p w14:paraId="04758C0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70000元</w:t>
            </w:r>
          </w:p>
        </w:tc>
        <w:tc>
          <w:tcPr>
            <w:tcW w:w="940" w:type="pct"/>
            <w:noWrap w:val="0"/>
            <w:vAlign w:val="center"/>
          </w:tcPr>
          <w:p w14:paraId="5D4767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工业</w:t>
            </w:r>
          </w:p>
        </w:tc>
        <w:tc>
          <w:tcPr>
            <w:tcW w:w="505" w:type="pct"/>
            <w:noWrap w:val="0"/>
            <w:vAlign w:val="center"/>
          </w:tcPr>
          <w:p w14:paraId="149647D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lang w:val="en-US" w:eastAsia="zh-CN"/>
              </w:rPr>
            </w:pPr>
          </w:p>
        </w:tc>
      </w:tr>
    </w:tbl>
    <w:p w14:paraId="4A391F97">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注：任意品目投标单价超过最高限制单价的将按无效投标处理。</w:t>
      </w:r>
    </w:p>
    <w:p w14:paraId="58620F0D">
      <w:pPr>
        <w:pStyle w:val="16"/>
        <w:ind w:left="0" w:leftChars="0" w:firstLine="0" w:firstLineChars="0"/>
        <w:rPr>
          <w:rFonts w:hint="default"/>
          <w:highlight w:val="none"/>
          <w:lang w:val="en-US" w:eastAsia="zh-CN"/>
        </w:rPr>
      </w:pPr>
    </w:p>
    <w:p w14:paraId="3F003471">
      <w:pPr>
        <w:keepNext w:val="0"/>
        <w:keepLines w:val="0"/>
        <w:pageBreakBefore w:val="0"/>
        <w:widowControl w:val="0"/>
        <w:numPr>
          <w:ilvl w:val="0"/>
          <w:numId w:val="10"/>
        </w:numPr>
        <w:kinsoku/>
        <w:wordWrap/>
        <w:overflowPunct/>
        <w:topLinePunct w:val="0"/>
        <w:autoSpaceDE/>
        <w:autoSpaceDN/>
        <w:bidi w:val="0"/>
        <w:adjustRightInd/>
        <w:snapToGrid/>
        <w:spacing w:line="500" w:lineRule="exac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商务要求</w:t>
      </w:r>
    </w:p>
    <w:p w14:paraId="4251C8A7">
      <w:pPr>
        <w:keepNext w:val="0"/>
        <w:keepLines w:val="0"/>
        <w:pageBreakBefore w:val="0"/>
        <w:widowControl w:val="0"/>
        <w:numPr>
          <w:ilvl w:val="0"/>
          <w:numId w:val="11"/>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bCs/>
          <w:sz w:val="24"/>
          <w:szCs w:val="24"/>
          <w:highlight w:val="none"/>
          <w:lang w:val="en-US" w:eastAsia="zh-CN"/>
        </w:rPr>
        <w:t>※采购项目（标的）交付的时间：</w:t>
      </w:r>
      <w:r>
        <w:rPr>
          <w:rFonts w:hint="eastAsia" w:ascii="仿宋" w:hAnsi="仿宋" w:eastAsia="仿宋" w:cs="仿宋"/>
          <w:b w:val="0"/>
          <w:bCs w:val="0"/>
          <w:sz w:val="24"/>
          <w:szCs w:val="24"/>
          <w:highlight w:val="none"/>
          <w:lang w:val="en-US" w:eastAsia="zh-CN"/>
        </w:rPr>
        <w:t>合同签订后 30 日内将货物送达指定地点</w:t>
      </w:r>
    </w:p>
    <w:p w14:paraId="2E1119F9">
      <w:pPr>
        <w:keepNext w:val="0"/>
        <w:keepLines w:val="0"/>
        <w:pageBreakBefore w:val="0"/>
        <w:widowControl w:val="0"/>
        <w:numPr>
          <w:ilvl w:val="0"/>
          <w:numId w:val="11"/>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bCs/>
          <w:sz w:val="24"/>
          <w:szCs w:val="24"/>
          <w:highlight w:val="none"/>
          <w:lang w:val="en-US" w:eastAsia="zh-CN"/>
        </w:rPr>
        <w:t>※采购项目（标的）交付的地点：</w:t>
      </w:r>
      <w:r>
        <w:rPr>
          <w:rFonts w:hint="eastAsia" w:ascii="仿宋" w:hAnsi="仿宋" w:eastAsia="仿宋" w:cs="仿宋"/>
          <w:b w:val="0"/>
          <w:bCs w:val="0"/>
          <w:sz w:val="24"/>
          <w:szCs w:val="24"/>
          <w:highlight w:val="none"/>
          <w:lang w:val="en-US" w:eastAsia="zh-CN"/>
        </w:rPr>
        <w:t>新疆维吾尔自治区儿童医院</w:t>
      </w:r>
    </w:p>
    <w:p w14:paraId="7E7302A9">
      <w:pPr>
        <w:keepNext w:val="0"/>
        <w:keepLines w:val="0"/>
        <w:pageBreakBefore w:val="0"/>
        <w:widowControl w:val="0"/>
        <w:numPr>
          <w:ilvl w:val="0"/>
          <w:numId w:val="11"/>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bCs/>
          <w:sz w:val="24"/>
          <w:szCs w:val="24"/>
          <w:highlight w:val="none"/>
          <w:lang w:val="en-US" w:eastAsia="zh-CN"/>
        </w:rPr>
        <w:t>※质保期（保修期）：</w:t>
      </w:r>
      <w:r>
        <w:rPr>
          <w:rFonts w:hint="eastAsia" w:ascii="仿宋" w:hAnsi="仿宋" w:eastAsia="仿宋" w:cs="仿宋"/>
          <w:b w:val="0"/>
          <w:bCs w:val="0"/>
          <w:sz w:val="24"/>
          <w:szCs w:val="24"/>
          <w:highlight w:val="none"/>
          <w:lang w:val="en-US" w:eastAsia="zh-CN"/>
        </w:rPr>
        <w:t>为交货并验收合格后 3 年</w:t>
      </w:r>
    </w:p>
    <w:p w14:paraId="26016EDB">
      <w:pPr>
        <w:keepNext w:val="0"/>
        <w:keepLines w:val="0"/>
        <w:pageBreakBefore w:val="0"/>
        <w:widowControl w:val="0"/>
        <w:numPr>
          <w:ilvl w:val="0"/>
          <w:numId w:val="11"/>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bCs/>
          <w:sz w:val="24"/>
          <w:szCs w:val="24"/>
          <w:highlight w:val="none"/>
          <w:lang w:val="en-US" w:eastAsia="zh-CN"/>
        </w:rPr>
        <w:t>※报价要求：</w:t>
      </w:r>
      <w:r>
        <w:rPr>
          <w:rFonts w:hint="eastAsia" w:ascii="仿宋" w:hAnsi="仿宋" w:eastAsia="仿宋" w:cs="仿宋"/>
          <w:b w:val="0"/>
          <w:bCs w:val="0"/>
          <w:sz w:val="24"/>
          <w:szCs w:val="24"/>
          <w:highlight w:val="none"/>
          <w:lang w:val="en-US" w:eastAsia="zh-CN"/>
        </w:rPr>
        <w:t>包括货物供给、货物包装、运输费、安装费、调试、装卸费和保险等的全部费用及相关税费。乙方应保证甲方除支付合同约定货款之外无需再行支付其他任何费用和款项。</w:t>
      </w:r>
    </w:p>
    <w:p w14:paraId="77FEC24D">
      <w:pPr>
        <w:keepNext w:val="0"/>
        <w:keepLines w:val="0"/>
        <w:pageBreakBefore w:val="0"/>
        <w:widowControl w:val="0"/>
        <w:numPr>
          <w:ilvl w:val="0"/>
          <w:numId w:val="11"/>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bCs/>
          <w:sz w:val="24"/>
          <w:szCs w:val="24"/>
          <w:highlight w:val="none"/>
          <w:lang w:val="en-US" w:eastAsia="zh-CN"/>
        </w:rPr>
        <w:t>※付款方式：</w:t>
      </w:r>
      <w:r>
        <w:rPr>
          <w:rFonts w:hint="eastAsia" w:ascii="仿宋" w:hAnsi="仿宋" w:eastAsia="仿宋" w:cs="仿宋"/>
          <w:b w:val="0"/>
          <w:bCs w:val="0"/>
          <w:sz w:val="24"/>
          <w:szCs w:val="24"/>
          <w:highlight w:val="none"/>
          <w:lang w:val="en-US" w:eastAsia="zh-CN"/>
        </w:rPr>
        <w:t>合同签订后乙方将人民币大写:合同总金额的10%的履约保证金(以银行保函形式)交给甲方。货物验收合格后甲方向乙方支付合同全部货款。履约保证金有效期至质保期满后经甲方再次书面验收合格之日起，无任何质量问题，甲方向乙方无息支付。</w:t>
      </w:r>
    </w:p>
    <w:p w14:paraId="45427295">
      <w:pPr>
        <w:pStyle w:val="16"/>
        <w:ind w:left="0" w:leftChars="0" w:firstLine="0" w:firstLineChars="0"/>
        <w:rPr>
          <w:rFonts w:hint="eastAsia"/>
          <w:lang w:val="en-US" w:eastAsia="zh-CN"/>
        </w:rPr>
      </w:pPr>
    </w:p>
    <w:p w14:paraId="4723EBE3">
      <w:pPr>
        <w:keepNext w:val="0"/>
        <w:keepLines w:val="0"/>
        <w:pageBreakBefore w:val="0"/>
        <w:widowControl w:val="0"/>
        <w:numPr>
          <w:ilvl w:val="0"/>
          <w:numId w:val="10"/>
        </w:numPr>
        <w:kinsoku/>
        <w:wordWrap/>
        <w:overflowPunct/>
        <w:topLinePunct w:val="0"/>
        <w:autoSpaceDE/>
        <w:autoSpaceDN/>
        <w:bidi w:val="0"/>
        <w:adjustRightInd/>
        <w:snapToGrid/>
        <w:spacing w:line="500" w:lineRule="exac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技术要求</w:t>
      </w:r>
    </w:p>
    <w:p w14:paraId="7396486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品目1 母乳分析仪</w:t>
      </w:r>
    </w:p>
    <w:p w14:paraId="50CA67A6">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（一）数量：1 台</w:t>
      </w:r>
    </w:p>
    <w:p w14:paraId="1B0861FD">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（二）技术参数</w:t>
      </w:r>
    </w:p>
    <w:p w14:paraId="56AC70D2">
      <w:pPr>
        <w:keepNext w:val="0"/>
        <w:keepLines w:val="0"/>
        <w:pageBreakBefore w:val="0"/>
        <w:widowControl/>
        <w:numPr>
          <w:ilvl w:val="0"/>
          <w:numId w:val="12"/>
        </w:numPr>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检测项目：脂肪、蛋白质、乳糖、密度、水分、矿物质、能量、冰点、灰分。</w:t>
      </w:r>
    </w:p>
    <w:p w14:paraId="6A135D26">
      <w:pPr>
        <w:keepNext w:val="0"/>
        <w:keepLines w:val="0"/>
        <w:pageBreakBefore w:val="0"/>
        <w:widowControl/>
        <w:numPr>
          <w:ilvl w:val="0"/>
          <w:numId w:val="12"/>
        </w:numPr>
        <w:kinsoku/>
        <w:wordWrap/>
        <w:overflowPunct/>
        <w:topLinePunct w:val="0"/>
        <w:autoSpaceDE/>
        <w:autoSpaceDN/>
        <w:bidi w:val="0"/>
        <w:adjustRightInd/>
        <w:snapToGrid/>
        <w:spacing w:line="480" w:lineRule="exact"/>
        <w:ind w:left="0" w:leftChars="0" w:firstLine="0" w:firstLine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样品量：＜4ML</w:t>
      </w:r>
    </w:p>
    <w:p w14:paraId="5E450F6B">
      <w:pPr>
        <w:keepNext w:val="0"/>
        <w:keepLines w:val="0"/>
        <w:pageBreakBefore w:val="0"/>
        <w:widowControl/>
        <w:numPr>
          <w:ilvl w:val="0"/>
          <w:numId w:val="12"/>
        </w:numPr>
        <w:kinsoku/>
        <w:wordWrap/>
        <w:overflowPunct/>
        <w:topLinePunct w:val="0"/>
        <w:autoSpaceDE/>
        <w:autoSpaceDN/>
        <w:bidi w:val="0"/>
        <w:adjustRightInd/>
        <w:snapToGrid/>
        <w:spacing w:line="480" w:lineRule="exact"/>
        <w:ind w:left="0" w:leftChars="0" w:firstLine="0" w:firstLine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检测时间：≤60秒</w:t>
      </w:r>
    </w:p>
    <w:p w14:paraId="474BECBD">
      <w:pPr>
        <w:keepNext w:val="0"/>
        <w:keepLines w:val="0"/>
        <w:pageBreakBefore w:val="0"/>
        <w:widowControl/>
        <w:numPr>
          <w:ilvl w:val="0"/>
          <w:numId w:val="12"/>
        </w:numPr>
        <w:kinsoku/>
        <w:wordWrap/>
        <w:overflowPunct/>
        <w:topLinePunct w:val="0"/>
        <w:autoSpaceDE/>
        <w:autoSpaceDN/>
        <w:bidi w:val="0"/>
        <w:adjustRightInd/>
        <w:snapToGrid/>
        <w:spacing w:line="480" w:lineRule="exact"/>
        <w:ind w:left="0" w:leftChars="0" w:firstLine="0" w:firstLine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自动检测、自动校准、自动清洗，一键式操作。</w:t>
      </w:r>
    </w:p>
    <w:p w14:paraId="1EA92E5A">
      <w:pPr>
        <w:keepNext w:val="0"/>
        <w:keepLines w:val="0"/>
        <w:pageBreakBefore w:val="0"/>
        <w:widowControl/>
        <w:numPr>
          <w:ilvl w:val="0"/>
          <w:numId w:val="12"/>
        </w:numPr>
        <w:kinsoku/>
        <w:wordWrap/>
        <w:overflowPunct/>
        <w:topLinePunct w:val="0"/>
        <w:autoSpaceDE/>
        <w:autoSpaceDN/>
        <w:bidi w:val="0"/>
        <w:adjustRightInd/>
        <w:snapToGrid/>
        <w:spacing w:line="480" w:lineRule="exact"/>
        <w:ind w:left="0" w:leftChars="0" w:firstLine="0" w:firstLine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支持实验室LIS系统，支持通用键盘、鼠标操作，可连接激光打印机和喷墨打印机。</w:t>
      </w:r>
    </w:p>
    <w:p w14:paraId="0DDA191B">
      <w:pPr>
        <w:keepNext w:val="0"/>
        <w:keepLines w:val="0"/>
        <w:pageBreakBefore w:val="0"/>
        <w:widowControl/>
        <w:numPr>
          <w:ilvl w:val="0"/>
          <w:numId w:val="12"/>
        </w:numPr>
        <w:kinsoku/>
        <w:wordWrap/>
        <w:overflowPunct/>
        <w:topLinePunct w:val="0"/>
        <w:autoSpaceDE/>
        <w:autoSpaceDN/>
        <w:bidi w:val="0"/>
        <w:adjustRightInd/>
        <w:snapToGrid/>
        <w:spacing w:line="480" w:lineRule="exact"/>
        <w:ind w:left="0" w:leftChars="0" w:firstLine="0" w:firstLine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可实时动态显示测量结果的变化曲线。</w:t>
      </w:r>
    </w:p>
    <w:p w14:paraId="03587A7F">
      <w:pPr>
        <w:keepNext w:val="0"/>
        <w:keepLines w:val="0"/>
        <w:pageBreakBefore w:val="0"/>
        <w:widowControl/>
        <w:numPr>
          <w:ilvl w:val="0"/>
          <w:numId w:val="12"/>
        </w:numPr>
        <w:kinsoku/>
        <w:wordWrap/>
        <w:overflowPunct/>
        <w:topLinePunct w:val="0"/>
        <w:autoSpaceDE/>
        <w:autoSpaceDN/>
        <w:bidi w:val="0"/>
        <w:adjustRightInd/>
        <w:snapToGrid/>
        <w:spacing w:line="480" w:lineRule="exact"/>
        <w:ind w:left="0" w:leftChars="0" w:firstLine="0" w:firstLine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多信号扩增高速芯片分析系统，准确可靠</w:t>
      </w:r>
    </w:p>
    <w:p w14:paraId="4A8B9886">
      <w:pPr>
        <w:keepNext w:val="0"/>
        <w:keepLines w:val="0"/>
        <w:pageBreakBefore w:val="0"/>
        <w:widowControl/>
        <w:numPr>
          <w:ilvl w:val="0"/>
          <w:numId w:val="12"/>
        </w:numPr>
        <w:kinsoku/>
        <w:wordWrap/>
        <w:overflowPunct/>
        <w:topLinePunct w:val="0"/>
        <w:autoSpaceDE/>
        <w:autoSpaceDN/>
        <w:bidi w:val="0"/>
        <w:adjustRightInd/>
        <w:snapToGrid/>
        <w:spacing w:line="480" w:lineRule="exact"/>
        <w:ind w:left="0" w:leftChars="0" w:firstLine="0" w:firstLine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具有背景自动扣除功能，有效降低检测限10倍以上，重现性好。</w:t>
      </w:r>
    </w:p>
    <w:p w14:paraId="4E3CF644">
      <w:pPr>
        <w:keepNext w:val="0"/>
        <w:keepLines w:val="0"/>
        <w:pageBreakBefore w:val="0"/>
        <w:widowControl/>
        <w:numPr>
          <w:ilvl w:val="0"/>
          <w:numId w:val="12"/>
        </w:numPr>
        <w:kinsoku/>
        <w:wordWrap/>
        <w:overflowPunct/>
        <w:topLinePunct w:val="0"/>
        <w:autoSpaceDE/>
        <w:autoSpaceDN/>
        <w:bidi w:val="0"/>
        <w:adjustRightInd/>
        <w:snapToGrid/>
        <w:spacing w:line="480" w:lineRule="exact"/>
        <w:ind w:left="0" w:leftChars="0" w:firstLine="0" w:firstLine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须配备高、低两个浓度标准品。</w:t>
      </w:r>
    </w:p>
    <w:p w14:paraId="130CFC56">
      <w:pPr>
        <w:keepNext w:val="0"/>
        <w:keepLines w:val="0"/>
        <w:pageBreakBefore w:val="0"/>
        <w:widowControl/>
        <w:numPr>
          <w:ilvl w:val="0"/>
          <w:numId w:val="12"/>
        </w:numPr>
        <w:kinsoku/>
        <w:wordWrap/>
        <w:overflowPunct/>
        <w:topLinePunct w:val="0"/>
        <w:autoSpaceDE/>
        <w:autoSpaceDN/>
        <w:bidi w:val="0"/>
        <w:adjustRightInd/>
        <w:snapToGrid/>
        <w:spacing w:line="480" w:lineRule="exact"/>
        <w:ind w:left="0" w:leftChars="0" w:firstLine="0" w:firstLine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有专用释放剂，确保测量母乳成份全部释放，使测量结果更准确，要求提供相关证明。</w:t>
      </w:r>
    </w:p>
    <w:p w14:paraId="4258560D">
      <w:pPr>
        <w:keepNext w:val="0"/>
        <w:keepLines w:val="0"/>
        <w:pageBreakBefore w:val="0"/>
        <w:widowControl/>
        <w:numPr>
          <w:ilvl w:val="0"/>
          <w:numId w:val="12"/>
        </w:numPr>
        <w:kinsoku/>
        <w:wordWrap/>
        <w:overflowPunct/>
        <w:topLinePunct w:val="0"/>
        <w:autoSpaceDE/>
        <w:autoSpaceDN/>
        <w:bidi w:val="0"/>
        <w:adjustRightInd/>
        <w:snapToGrid/>
        <w:spacing w:line="480" w:lineRule="exact"/>
        <w:ind w:left="0" w:leftChars="0" w:firstLine="0" w:firstLine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测量快速，一次可完成多达9个指标。</w:t>
      </w:r>
    </w:p>
    <w:p w14:paraId="33F31412">
      <w:pPr>
        <w:keepNext w:val="0"/>
        <w:keepLines w:val="0"/>
        <w:pageBreakBefore w:val="0"/>
        <w:widowControl/>
        <w:numPr>
          <w:ilvl w:val="0"/>
          <w:numId w:val="12"/>
        </w:numPr>
        <w:kinsoku/>
        <w:wordWrap/>
        <w:overflowPunct/>
        <w:topLinePunct w:val="0"/>
        <w:autoSpaceDE/>
        <w:autoSpaceDN/>
        <w:bidi w:val="0"/>
        <w:adjustRightInd/>
        <w:snapToGrid/>
        <w:spacing w:line="480" w:lineRule="exact"/>
        <w:ind w:left="0" w:leftChars="0" w:firstLine="0" w:firstLine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具有自主知识产权的检测系统，终身免费升级，提供相关证明。</w:t>
      </w:r>
    </w:p>
    <w:p w14:paraId="67360371">
      <w:pPr>
        <w:keepNext w:val="0"/>
        <w:keepLines w:val="0"/>
        <w:pageBreakBefore w:val="0"/>
        <w:widowControl/>
        <w:numPr>
          <w:ilvl w:val="0"/>
          <w:numId w:val="12"/>
        </w:numPr>
        <w:kinsoku/>
        <w:wordWrap/>
        <w:overflowPunct/>
        <w:topLinePunct w:val="0"/>
        <w:autoSpaceDE/>
        <w:autoSpaceDN/>
        <w:bidi w:val="0"/>
        <w:adjustRightInd/>
        <w:snapToGrid/>
        <w:spacing w:line="480" w:lineRule="exact"/>
        <w:ind w:left="0" w:leftChars="0" w:firstLine="0" w:firstLineChars="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功率：＜60VA,电源：AC:220V;环境温度：10-40℃，相对湿度：（30-80）%；</w:t>
      </w:r>
    </w:p>
    <w:p w14:paraId="28C1C538">
      <w:pPr>
        <w:keepNext w:val="0"/>
        <w:keepLines w:val="0"/>
        <w:pageBreakBefore w:val="0"/>
        <w:widowControl/>
        <w:numPr>
          <w:ilvl w:val="0"/>
          <w:numId w:val="12"/>
        </w:numPr>
        <w:kinsoku/>
        <w:wordWrap/>
        <w:overflowPunct/>
        <w:topLinePunct w:val="0"/>
        <w:autoSpaceDE/>
        <w:autoSpaceDN/>
        <w:bidi w:val="0"/>
        <w:adjustRightInd/>
        <w:snapToGrid/>
        <w:spacing w:line="480" w:lineRule="exact"/>
        <w:ind w:left="0" w:leftChars="0" w:firstLine="0" w:firstLine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显示方式:大于15寸高清触摸液晶屏，要求高清中文液晶显示。</w:t>
      </w:r>
    </w:p>
    <w:p w14:paraId="5004572C">
      <w:pPr>
        <w:keepNext w:val="0"/>
        <w:keepLines w:val="0"/>
        <w:pageBreakBefore w:val="0"/>
        <w:widowControl/>
        <w:numPr>
          <w:ilvl w:val="0"/>
          <w:numId w:val="12"/>
        </w:numPr>
        <w:kinsoku/>
        <w:wordWrap/>
        <w:overflowPunct/>
        <w:topLinePunct w:val="0"/>
        <w:autoSpaceDE/>
        <w:autoSpaceDN/>
        <w:bidi w:val="0"/>
        <w:adjustRightInd/>
        <w:snapToGrid/>
        <w:spacing w:line="480" w:lineRule="exact"/>
        <w:ind w:left="0" w:leftChars="0" w:firstLine="0" w:firstLine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可对数据进行自动储存，实时自动查询，数据储存数量不限并可把数据导出保存。</w:t>
      </w:r>
    </w:p>
    <w:p w14:paraId="37655EFC">
      <w:pPr>
        <w:keepNext w:val="0"/>
        <w:keepLines w:val="0"/>
        <w:pageBreakBefore w:val="0"/>
        <w:widowControl/>
        <w:numPr>
          <w:ilvl w:val="0"/>
          <w:numId w:val="12"/>
        </w:numPr>
        <w:kinsoku/>
        <w:wordWrap/>
        <w:overflowPunct/>
        <w:topLinePunct w:val="0"/>
        <w:autoSpaceDE/>
        <w:autoSpaceDN/>
        <w:bidi w:val="0"/>
        <w:adjustRightInd/>
        <w:snapToGrid/>
        <w:spacing w:line="480" w:lineRule="exact"/>
        <w:ind w:left="0" w:leftChars="0" w:firstLine="0" w:firstLine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专用取样试剂盒，方便哺乳期母亲选择不同地点取样，利于样品携带和保存，解决了母乳取样不便难题。</w:t>
      </w:r>
    </w:p>
    <w:p w14:paraId="36F71328">
      <w:pPr>
        <w:keepNext w:val="0"/>
        <w:keepLines w:val="0"/>
        <w:pageBreakBefore w:val="0"/>
        <w:widowControl/>
        <w:numPr>
          <w:ilvl w:val="0"/>
          <w:numId w:val="12"/>
        </w:numPr>
        <w:kinsoku/>
        <w:wordWrap/>
        <w:overflowPunct/>
        <w:topLinePunct w:val="0"/>
        <w:autoSpaceDE/>
        <w:autoSpaceDN/>
        <w:bidi w:val="0"/>
        <w:adjustRightInd/>
        <w:snapToGrid/>
        <w:spacing w:line="480" w:lineRule="exact"/>
        <w:ind w:left="0" w:leftChars="0" w:firstLine="0" w:firstLine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采用进出样双通道技术，一个通道进样，一个通道出样，互不干扰，有效解决了进出样同一通道导致的交叉污染问题；同时测量后样品无需单一处理，可集中回收。</w:t>
      </w:r>
    </w:p>
    <w:p w14:paraId="2EF66314">
      <w:pPr>
        <w:keepNext w:val="0"/>
        <w:keepLines w:val="0"/>
        <w:pageBreakBefore w:val="0"/>
        <w:widowControl/>
        <w:numPr>
          <w:ilvl w:val="0"/>
          <w:numId w:val="12"/>
        </w:numPr>
        <w:kinsoku/>
        <w:wordWrap/>
        <w:overflowPunct/>
        <w:topLinePunct w:val="0"/>
        <w:autoSpaceDE/>
        <w:autoSpaceDN/>
        <w:bidi w:val="0"/>
        <w:adjustRightInd/>
        <w:snapToGrid/>
        <w:spacing w:line="480" w:lineRule="exact"/>
        <w:ind w:left="0" w:leftChars="0" w:firstLine="0" w:firstLine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采用双路闭合控温技术，高低温分别控制，确保温度均匀稳定，同时测量不受外界干扰。</w:t>
      </w:r>
    </w:p>
    <w:p w14:paraId="775DCBC6">
      <w:pPr>
        <w:rPr>
          <w:rFonts w:hint="eastAsia"/>
          <w:sz w:val="24"/>
          <w:szCs w:val="24"/>
          <w:lang w:val="en-US" w:eastAsia="zh-CN"/>
        </w:rPr>
      </w:pPr>
    </w:p>
    <w:p w14:paraId="6876CCC6">
      <w:pPr>
        <w:rPr>
          <w:rFonts w:hint="eastAsia"/>
          <w:sz w:val="24"/>
          <w:szCs w:val="24"/>
          <w:lang w:val="en-US" w:eastAsia="zh-CN"/>
        </w:rPr>
      </w:pPr>
    </w:p>
    <w:p w14:paraId="333A2371">
      <w:pPr>
        <w:rPr>
          <w:rFonts w:hint="eastAsia"/>
          <w:sz w:val="24"/>
          <w:szCs w:val="24"/>
          <w:lang w:val="en-US" w:eastAsia="zh-CN"/>
        </w:rPr>
      </w:pPr>
    </w:p>
    <w:p w14:paraId="6F3035DA">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品目2 经皮黄疸仪</w:t>
      </w:r>
    </w:p>
    <w:p w14:paraId="60F27226">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（一）数量：1 台</w:t>
      </w:r>
    </w:p>
    <w:p w14:paraId="783CFE00">
      <w:pPr>
        <w:pStyle w:val="16"/>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（二）技术参数</w:t>
      </w:r>
    </w:p>
    <w:p w14:paraId="37E2726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、光源: 氙闪光灯；</w:t>
      </w:r>
    </w:p>
    <w:p w14:paraId="5CD8A70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、光源寿命：</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150000次；</w:t>
      </w:r>
    </w:p>
    <w:p w14:paraId="24E0E0D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、其他:底座内置检查屏;</w:t>
      </w:r>
    </w:p>
    <w:p w14:paraId="6913EC8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最大显示值：≥25.0 mg/dL (425μmol/L)；</w:t>
      </w:r>
    </w:p>
    <w:p w14:paraId="3DF1013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、准确度：± 1.5 mg/dL （±25.5μmol/L）；</w:t>
      </w:r>
    </w:p>
    <w:p w14:paraId="48A0AC6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、重复性：≤3%；</w:t>
      </w:r>
    </w:p>
    <w:p w14:paraId="21086E3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、信息提示：低电压提示</w:t>
      </w:r>
      <w:r>
        <w:rPr>
          <w:rFonts w:hint="eastAsia" w:ascii="仿宋_GB2312" w:hAnsi="仿宋_GB2312" w:eastAsia="仿宋_GB2312" w:cs="仿宋_GB2312"/>
          <w:sz w:val="24"/>
          <w:szCs w:val="24"/>
          <w:lang w:val="en-US" w:eastAsia="zh-CN"/>
        </w:rPr>
        <w:t>等</w:t>
      </w:r>
      <w:r>
        <w:rPr>
          <w:rFonts w:hint="eastAsia" w:ascii="仿宋_GB2312" w:hAnsi="仿宋_GB2312" w:eastAsia="仿宋_GB2312" w:cs="仿宋_GB2312"/>
          <w:sz w:val="24"/>
          <w:szCs w:val="24"/>
        </w:rPr>
        <w:t>；</w:t>
      </w:r>
    </w:p>
    <w:p w14:paraId="2E10BB2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、检查屏(波长为550nm和461nm光谱的透过率之比为)：预定值为“0”的检查屏为1±0.1，预定值为“20”的检查屏为5±0.5；</w:t>
      </w:r>
    </w:p>
    <w:p w14:paraId="727F757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、平均测量功能：可设置1～5次平均测量方式；</w:t>
      </w:r>
    </w:p>
    <w:p w14:paraId="313D92D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、时间设置：可实现时间日期的修改；</w:t>
      </w:r>
    </w:p>
    <w:p w14:paraId="7C0D985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、声音设置：触摸屏按键音可设置为开/关；</w:t>
      </w:r>
    </w:p>
    <w:p w14:paraId="5E422EC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、亮度调节：屏幕亮度</w:t>
      </w:r>
      <w:r>
        <w:rPr>
          <w:rFonts w:hint="eastAsia" w:ascii="仿宋_GB2312" w:hAnsi="仿宋_GB2312" w:eastAsia="仿宋_GB2312" w:cs="仿宋_GB2312"/>
          <w:sz w:val="24"/>
          <w:szCs w:val="24"/>
          <w:lang w:val="en-US" w:eastAsia="zh-CN"/>
        </w:rPr>
        <w:t>多</w:t>
      </w:r>
      <w:r>
        <w:rPr>
          <w:rFonts w:hint="eastAsia" w:ascii="仿宋_GB2312" w:hAnsi="仿宋_GB2312" w:eastAsia="仿宋_GB2312" w:cs="仿宋_GB2312"/>
          <w:sz w:val="24"/>
          <w:szCs w:val="24"/>
        </w:rPr>
        <w:t>级调节；</w:t>
      </w:r>
    </w:p>
    <w:p w14:paraId="1D14AFE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、测量单位：测量单位可在mg/dL和μmol/L间切换；</w:t>
      </w:r>
    </w:p>
    <w:p w14:paraId="302AF35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、屏幕保护：屏幕保护时间可设置；</w:t>
      </w:r>
    </w:p>
    <w:p w14:paraId="5C424212">
      <w:pPr>
        <w:pStyle w:val="15"/>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b/>
          <w:bCs/>
          <w:sz w:val="24"/>
          <w:szCs w:val="24"/>
          <w:highlight w:val="none"/>
          <w:lang w:val="en-US" w:eastAsia="zh-CN"/>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、历史数据保存：可保存护士ID号、婴儿ID号、测量结果、测量时间、测量是进行优先权，蓝光完成标志的标记。</w:t>
      </w:r>
    </w:p>
    <w:p w14:paraId="7B400FEE">
      <w:pPr>
        <w:pStyle w:val="13"/>
        <w:rPr>
          <w:rFonts w:hint="eastAsia" w:ascii="仿宋" w:hAnsi="仿宋" w:eastAsia="仿宋" w:cs="仿宋"/>
          <w:b/>
          <w:bCs/>
          <w:sz w:val="24"/>
          <w:szCs w:val="24"/>
          <w:highlight w:val="none"/>
          <w:lang w:val="en-US" w:eastAsia="zh-CN"/>
        </w:rPr>
      </w:pPr>
    </w:p>
    <w:p w14:paraId="7F9187A2">
      <w:pPr>
        <w:rPr>
          <w:rFonts w:hint="eastAsia" w:ascii="仿宋" w:hAnsi="仿宋" w:eastAsia="仿宋" w:cs="仿宋"/>
          <w:b/>
          <w:bCs/>
          <w:sz w:val="24"/>
          <w:szCs w:val="24"/>
          <w:highlight w:val="none"/>
          <w:lang w:val="en-US" w:eastAsia="zh-CN"/>
        </w:rPr>
      </w:pPr>
    </w:p>
    <w:p w14:paraId="6F522CA2">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品目3 暖箱</w:t>
      </w:r>
    </w:p>
    <w:p w14:paraId="73E05508">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（一）数量：6 台</w:t>
      </w:r>
    </w:p>
    <w:p w14:paraId="1850F07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（二）技术参数</w:t>
      </w:r>
    </w:p>
    <w:p w14:paraId="0B771F1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lang w:val="en-US" w:eastAsia="zh-CN"/>
        </w:rPr>
        <w:t>1、</w:t>
      </w:r>
      <w:r>
        <w:rPr>
          <w:rFonts w:hint="eastAsia" w:ascii="方正仿宋_GB2312" w:hAnsi="方正仿宋_GB2312" w:eastAsia="方正仿宋_GB2312" w:cs="方正仿宋_GB2312"/>
          <w:b/>
          <w:sz w:val="24"/>
          <w:szCs w:val="24"/>
        </w:rPr>
        <w:t>基本配置：</w:t>
      </w:r>
    </w:p>
    <w:p w14:paraId="27C9F84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主机（含婴儿舱、机箱、控制仪、输液架及托盘），传感器盒，皮肤温度传感器，升降式机柜。</w:t>
      </w:r>
    </w:p>
    <w:p w14:paraId="626EBC0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sz w:val="24"/>
          <w:szCs w:val="24"/>
          <w:lang w:val="en-US" w:eastAsia="zh-CN"/>
        </w:rPr>
        <w:t>2、</w:t>
      </w:r>
      <w:r>
        <w:rPr>
          <w:rFonts w:hint="eastAsia" w:ascii="方正仿宋_GB2312" w:hAnsi="方正仿宋_GB2312" w:eastAsia="方正仿宋_GB2312" w:cs="方正仿宋_GB2312"/>
          <w:b/>
          <w:sz w:val="24"/>
          <w:szCs w:val="24"/>
        </w:rPr>
        <w:t>产品主要功能、技术参数及要求：</w:t>
      </w:r>
    </w:p>
    <w:p w14:paraId="59998FD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（1）控温方式：箱温和肤温两种温度控制；</w:t>
      </w:r>
    </w:p>
    <w:p w14:paraId="0CB8606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（2）箱温控制范围：25℃～37℃（跨越模式37～39℃）；</w:t>
      </w:r>
    </w:p>
    <w:p w14:paraId="2BC772C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420" w:firstLine="0" w:firstLine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皮肤温度控制范围：34℃～37℃（跨越模式37～38℃）；</w:t>
      </w:r>
    </w:p>
    <w:p w14:paraId="7810388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（3）箱温和肤温显示温度范围：5～65℃；</w:t>
      </w:r>
    </w:p>
    <w:p w14:paraId="47B3454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（4）具有箱温和肤温两种温度控制模式；</w:t>
      </w:r>
    </w:p>
    <w:p w14:paraId="4AF3184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（5）▲LCD液晶显示，并提供信息查阅功能；</w:t>
      </w:r>
    </w:p>
    <w:p w14:paraId="39C8FD8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（6）▲具有数据储存曲线显示功能；</w:t>
      </w:r>
    </w:p>
    <w:p w14:paraId="38B484F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（7）具有湿度控制功能和氧浓度控制功能；</w:t>
      </w:r>
    </w:p>
    <w:p w14:paraId="35C875E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（8）独立的超温保护系统；</w:t>
      </w:r>
    </w:p>
    <w:p w14:paraId="7D3993B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（9）&gt;37℃温度跨越模式设置功能；</w:t>
      </w:r>
    </w:p>
    <w:p w14:paraId="0A9C99E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（10）婴儿床倾斜角度无级可调功能；</w:t>
      </w:r>
    </w:p>
    <w:p w14:paraId="030D63D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（11）嵌入式集成传感器盒、抽屉式水箱；</w:t>
      </w:r>
    </w:p>
    <w:p w14:paraId="7FB2974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（12）双层恒温罩，前、后方向均有操作门；</w:t>
      </w:r>
    </w:p>
    <w:p w14:paraId="1670246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（13）床下可放置X光射线拍片盒；</w:t>
      </w:r>
    </w:p>
    <w:p w14:paraId="4E0F517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（14）水箱采用PES塑料制作，整体水箱可以直接采用“高温高压”法消毒；</w:t>
      </w:r>
    </w:p>
    <w:p w14:paraId="00AD2B6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（15）蜗壳风道及直流离心式风机产生气压差，确保新鲜空气始终保持吸入；</w:t>
      </w:r>
    </w:p>
    <w:p w14:paraId="6A8300A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（16）具有肤温传感器脱落报警提示功能；</w:t>
      </w:r>
    </w:p>
    <w:p w14:paraId="61FE16C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（17）具有数据储存功能；</w:t>
      </w:r>
    </w:p>
    <w:p w14:paraId="15ABDB4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（18）具有整机高度调节功能；</w:t>
      </w:r>
    </w:p>
    <w:p w14:paraId="0FCEA05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（19）具有正门独立锁定装置；</w:t>
      </w:r>
    </w:p>
    <w:p w14:paraId="25F0F2B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（20）具有2个皮肤温度检测；</w:t>
      </w:r>
    </w:p>
    <w:p w14:paraId="47701AB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（21）具有多个储物抽屉；</w:t>
      </w:r>
    </w:p>
    <w:p w14:paraId="4BC8768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（22）具有RS-232接口；</w:t>
      </w:r>
    </w:p>
    <w:p w14:paraId="481D659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（23）▲采用低噪音的无刷直流电机，婴儿舱内噪声：≤45dB（A）（稳定温度状态下）；</w:t>
      </w:r>
    </w:p>
    <w:p w14:paraId="0EEAB81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（24）升温时间：≤40min；</w:t>
      </w:r>
    </w:p>
    <w:p w14:paraId="27A43BE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（25）培养箱温度与平均培养箱温度之差：≤0.5℃；</w:t>
      </w:r>
    </w:p>
    <w:p w14:paraId="2814572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（26）平均培养箱温度与控制温度之差：≤±1.0℃；</w:t>
      </w:r>
    </w:p>
    <w:p w14:paraId="30A6377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（27）温度均匀性（床垫处于水平位置）：≤0.8℃；</w:t>
      </w:r>
    </w:p>
    <w:p w14:paraId="6F8D162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（28）温度均匀性（床垫处于倾斜位置）：≤1.0℃；</w:t>
      </w:r>
    </w:p>
    <w:p w14:paraId="1DE0534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（29）▲皮肤温度传感器精度：±0.2℃内；</w:t>
      </w:r>
    </w:p>
    <w:p w14:paraId="4F602D4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（30）湿度显示范围：0%RH～99%RH；</w:t>
      </w:r>
    </w:p>
    <w:p w14:paraId="3D4A500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（31）湿度控制范围：0%RH～90%RH；</w:t>
      </w:r>
    </w:p>
    <w:p w14:paraId="52A0041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（32）湿度控制精度：±5%RH内；</w:t>
      </w:r>
    </w:p>
    <w:p w14:paraId="4F79A23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（33）湿度显示精度：±5%RH内；</w:t>
      </w:r>
    </w:p>
    <w:p w14:paraId="1256D0A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（34）氧浓度显示范围：0%～99%；</w:t>
      </w:r>
    </w:p>
    <w:p w14:paraId="0A86EC0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（35）氧浓度设定范围：20%～60%；</w:t>
      </w:r>
    </w:p>
    <w:p w14:paraId="0A91C80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（36）氧浓度显示精度: ±2%O2（设置值为25%及以下）,±3%O2（设置值为25%以上）；</w:t>
      </w:r>
    </w:p>
    <w:p w14:paraId="66CBB9D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（37）氧浓度控制精度: ±4%O2 体积浓度内；</w:t>
      </w:r>
    </w:p>
    <w:p w14:paraId="55D9D5DD">
      <w:pPr>
        <w:pStyle w:val="15"/>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_GB2312" w:hAnsi="仿宋_GB2312" w:eastAsia="仿宋_GB2312" w:cs="仿宋_GB2312"/>
          <w:sz w:val="24"/>
          <w:szCs w:val="24"/>
          <w:lang w:val="en-US" w:eastAsia="zh-CN"/>
        </w:rPr>
      </w:pPr>
    </w:p>
    <w:p w14:paraId="273E2C1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highlight w:val="none"/>
          <w:lang w:val="en-US" w:eastAsia="zh-CN"/>
        </w:rPr>
      </w:pPr>
    </w:p>
    <w:p w14:paraId="377FA577">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品目4 输液泵</w:t>
      </w:r>
    </w:p>
    <w:p w14:paraId="4F9DD98E">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（一）数量：10 台</w:t>
      </w:r>
    </w:p>
    <w:p w14:paraId="5DB1A076">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（二）技术参数</w:t>
      </w:r>
    </w:p>
    <w:p w14:paraId="07C24240">
      <w:pPr>
        <w:rPr>
          <w:rFonts w:hint="eastAsia" w:ascii="仿宋" w:hAnsi="仿宋" w:eastAsia="仿宋" w:cs="仿宋"/>
          <w:b/>
          <w:bCs/>
          <w:sz w:val="24"/>
          <w:szCs w:val="24"/>
          <w:highlight w:val="none"/>
          <w:lang w:val="en-US" w:eastAsia="zh-CN"/>
        </w:rPr>
      </w:pPr>
    </w:p>
    <w:p w14:paraId="7A91E80B">
      <w:pPr>
        <w:pStyle w:val="27"/>
        <w:keepNext w:val="0"/>
        <w:keepLines w:val="0"/>
        <w:pageBreakBefore w:val="0"/>
        <w:widowControl w:val="0"/>
        <w:numPr>
          <w:ilvl w:val="0"/>
          <w:numId w:val="13"/>
        </w:numPr>
        <w:kinsoku/>
        <w:wordWrap/>
        <w:overflowPunct/>
        <w:topLinePunct w:val="0"/>
        <w:autoSpaceDE/>
        <w:autoSpaceDN/>
        <w:bidi w:val="0"/>
        <w:adjustRightInd/>
        <w:snapToGrid/>
        <w:spacing w:line="480" w:lineRule="exact"/>
        <w:ind w:left="420" w:hanging="420" w:firstLineChars="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使用年限≥10年</w:t>
      </w:r>
    </w:p>
    <w:p w14:paraId="274ECD2C">
      <w:pPr>
        <w:pStyle w:val="27"/>
        <w:keepNext w:val="0"/>
        <w:keepLines w:val="0"/>
        <w:pageBreakBefore w:val="0"/>
        <w:widowControl w:val="0"/>
        <w:numPr>
          <w:ilvl w:val="0"/>
          <w:numId w:val="13"/>
        </w:numPr>
        <w:kinsoku/>
        <w:wordWrap/>
        <w:overflowPunct/>
        <w:topLinePunct w:val="0"/>
        <w:autoSpaceDE/>
        <w:autoSpaceDN/>
        <w:bidi w:val="0"/>
        <w:adjustRightInd/>
        <w:snapToGrid/>
        <w:spacing w:line="480" w:lineRule="exact"/>
        <w:ind w:left="420" w:hanging="420" w:firstLineChars="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支持输血功能，并提供证明文件</w:t>
      </w:r>
    </w:p>
    <w:p w14:paraId="7ED5475F">
      <w:pPr>
        <w:pStyle w:val="27"/>
        <w:keepNext w:val="0"/>
        <w:keepLines w:val="0"/>
        <w:pageBreakBefore w:val="0"/>
        <w:widowControl w:val="0"/>
        <w:numPr>
          <w:ilvl w:val="0"/>
          <w:numId w:val="13"/>
        </w:numPr>
        <w:kinsoku/>
        <w:wordWrap/>
        <w:overflowPunct/>
        <w:topLinePunct w:val="0"/>
        <w:autoSpaceDE/>
        <w:autoSpaceDN/>
        <w:bidi w:val="0"/>
        <w:adjustRightInd/>
        <w:snapToGrid/>
        <w:spacing w:line="480" w:lineRule="exact"/>
        <w:ind w:left="420" w:hanging="420" w:firstLineChars="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支持临床常用输血管路，无需专用输血管路</w:t>
      </w:r>
    </w:p>
    <w:p w14:paraId="41D315D9">
      <w:pPr>
        <w:pStyle w:val="27"/>
        <w:keepNext w:val="0"/>
        <w:keepLines w:val="0"/>
        <w:pageBreakBefore w:val="0"/>
        <w:widowControl w:val="0"/>
        <w:numPr>
          <w:ilvl w:val="0"/>
          <w:numId w:val="13"/>
        </w:numPr>
        <w:kinsoku/>
        <w:wordWrap/>
        <w:overflowPunct/>
        <w:topLinePunct w:val="0"/>
        <w:autoSpaceDE/>
        <w:autoSpaceDN/>
        <w:bidi w:val="0"/>
        <w:adjustRightInd/>
        <w:snapToGrid/>
        <w:spacing w:line="480" w:lineRule="exact"/>
        <w:ind w:left="420" w:hanging="420" w:firstLineChars="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支持肠内营养液输液功能，并提供证明文件</w:t>
      </w:r>
    </w:p>
    <w:p w14:paraId="08DCEE88">
      <w:pPr>
        <w:pStyle w:val="27"/>
        <w:keepNext w:val="0"/>
        <w:keepLines w:val="0"/>
        <w:pageBreakBefore w:val="0"/>
        <w:widowControl w:val="0"/>
        <w:numPr>
          <w:ilvl w:val="0"/>
          <w:numId w:val="13"/>
        </w:numPr>
        <w:kinsoku/>
        <w:wordWrap/>
        <w:overflowPunct/>
        <w:topLinePunct w:val="0"/>
        <w:autoSpaceDE/>
        <w:autoSpaceDN/>
        <w:bidi w:val="0"/>
        <w:adjustRightInd/>
        <w:snapToGrid/>
        <w:spacing w:line="480" w:lineRule="exact"/>
        <w:ind w:left="420" w:hanging="420" w:firstLineChars="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输液精度≤±5%</w:t>
      </w:r>
    </w:p>
    <w:p w14:paraId="5727C81B">
      <w:pPr>
        <w:pStyle w:val="27"/>
        <w:keepNext w:val="0"/>
        <w:keepLines w:val="0"/>
        <w:pageBreakBefore w:val="0"/>
        <w:widowControl w:val="0"/>
        <w:numPr>
          <w:ilvl w:val="0"/>
          <w:numId w:val="13"/>
        </w:numPr>
        <w:kinsoku/>
        <w:wordWrap/>
        <w:overflowPunct/>
        <w:topLinePunct w:val="0"/>
        <w:autoSpaceDE/>
        <w:autoSpaceDN/>
        <w:bidi w:val="0"/>
        <w:adjustRightInd/>
        <w:snapToGrid/>
        <w:spacing w:line="480" w:lineRule="exact"/>
        <w:ind w:left="420" w:hanging="420" w:firstLineChars="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速率范围：0.1-2000ml/h, 最小步进0.01ml/h</w:t>
      </w:r>
    </w:p>
    <w:p w14:paraId="10A2359A">
      <w:pPr>
        <w:pStyle w:val="27"/>
        <w:keepNext w:val="0"/>
        <w:keepLines w:val="0"/>
        <w:pageBreakBefore w:val="0"/>
        <w:widowControl w:val="0"/>
        <w:numPr>
          <w:ilvl w:val="0"/>
          <w:numId w:val="13"/>
        </w:numPr>
        <w:kinsoku/>
        <w:wordWrap/>
        <w:overflowPunct/>
        <w:topLinePunct w:val="0"/>
        <w:autoSpaceDE/>
        <w:autoSpaceDN/>
        <w:bidi w:val="0"/>
        <w:adjustRightInd/>
        <w:snapToGrid/>
        <w:spacing w:line="480" w:lineRule="exact"/>
        <w:ind w:left="420" w:hanging="420" w:firstLineChars="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预置输液总量范围：0.1-9999.99ml</w:t>
      </w:r>
    </w:p>
    <w:p w14:paraId="3EBAF903">
      <w:pPr>
        <w:pStyle w:val="27"/>
        <w:keepNext w:val="0"/>
        <w:keepLines w:val="0"/>
        <w:pageBreakBefore w:val="0"/>
        <w:widowControl w:val="0"/>
        <w:numPr>
          <w:ilvl w:val="0"/>
          <w:numId w:val="13"/>
        </w:numPr>
        <w:kinsoku/>
        <w:wordWrap/>
        <w:overflowPunct/>
        <w:topLinePunct w:val="0"/>
        <w:autoSpaceDE/>
        <w:autoSpaceDN/>
        <w:bidi w:val="0"/>
        <w:adjustRightInd/>
        <w:snapToGrid/>
        <w:spacing w:line="480" w:lineRule="exact"/>
        <w:ind w:left="420" w:hanging="420" w:firstLineChars="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快进流速范围：0.1-2000ml/h，具有自动和手动快进可选；</w:t>
      </w:r>
    </w:p>
    <w:p w14:paraId="333DFD23">
      <w:pPr>
        <w:pStyle w:val="27"/>
        <w:keepNext w:val="0"/>
        <w:keepLines w:val="0"/>
        <w:pageBreakBefore w:val="0"/>
        <w:widowControl w:val="0"/>
        <w:numPr>
          <w:ilvl w:val="0"/>
          <w:numId w:val="13"/>
        </w:numPr>
        <w:kinsoku/>
        <w:wordWrap/>
        <w:overflowPunct/>
        <w:topLinePunct w:val="0"/>
        <w:autoSpaceDE/>
        <w:autoSpaceDN/>
        <w:bidi w:val="0"/>
        <w:adjustRightInd/>
        <w:snapToGrid/>
        <w:spacing w:line="480" w:lineRule="exact"/>
        <w:ind w:left="420" w:hanging="420" w:firstLineChars="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可自动统计累计量：包括24h累计量、最近累计量、自定义时间段累计量、定时间隔累计量等</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14:paraId="4A6CD2A9">
      <w:pPr>
        <w:pStyle w:val="27"/>
        <w:keepNext w:val="0"/>
        <w:keepLines w:val="0"/>
        <w:pageBreakBefore w:val="0"/>
        <w:widowControl w:val="0"/>
        <w:numPr>
          <w:ilvl w:val="0"/>
          <w:numId w:val="13"/>
        </w:numPr>
        <w:kinsoku/>
        <w:wordWrap/>
        <w:overflowPunct/>
        <w:topLinePunct w:val="0"/>
        <w:autoSpaceDE/>
        <w:autoSpaceDN/>
        <w:bidi w:val="0"/>
        <w:adjustRightInd/>
        <w:snapToGrid/>
        <w:spacing w:line="480" w:lineRule="exact"/>
        <w:ind w:left="420" w:hanging="420" w:firstLineChars="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无需额外工具或设备，可直接在输液泵添加输液器品牌名称</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14:paraId="3E8B75B3">
      <w:pPr>
        <w:pStyle w:val="27"/>
        <w:keepNext w:val="0"/>
        <w:keepLines w:val="0"/>
        <w:pageBreakBefore w:val="0"/>
        <w:widowControl w:val="0"/>
        <w:numPr>
          <w:ilvl w:val="0"/>
          <w:numId w:val="13"/>
        </w:numPr>
        <w:kinsoku/>
        <w:wordWrap/>
        <w:overflowPunct/>
        <w:topLinePunct w:val="0"/>
        <w:autoSpaceDE/>
        <w:autoSpaceDN/>
        <w:bidi w:val="0"/>
        <w:adjustRightInd/>
        <w:snapToGrid/>
        <w:spacing w:line="480" w:lineRule="exact"/>
        <w:ind w:left="420" w:hanging="420" w:firstLineChars="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输液模式：</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包含但不限于</w:t>
      </w:r>
      <w:r>
        <w:rPr>
          <w:rFonts w:hint="eastAsia" w:ascii="仿宋_GB2312" w:hAnsi="仿宋_GB2312" w:eastAsia="仿宋_GB2312" w:cs="仿宋_GB2312"/>
          <w:color w:val="000000" w:themeColor="text1"/>
          <w:sz w:val="24"/>
          <w:szCs w:val="24"/>
          <w14:textFill>
            <w14:solidFill>
              <w14:schemeClr w14:val="tx1"/>
            </w14:solidFill>
          </w14:textFill>
        </w:rPr>
        <w:t>速度模式、时间模式、体重模式、梯度模式、序列模式、剂量时间模式、点滴模式、和间断给药等模式</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14:paraId="66497CE1">
      <w:pPr>
        <w:pStyle w:val="27"/>
        <w:keepNext w:val="0"/>
        <w:keepLines w:val="0"/>
        <w:pageBreakBefore w:val="0"/>
        <w:widowControl w:val="0"/>
        <w:numPr>
          <w:ilvl w:val="0"/>
          <w:numId w:val="13"/>
        </w:numPr>
        <w:kinsoku/>
        <w:wordWrap/>
        <w:overflowPunct/>
        <w:topLinePunct w:val="0"/>
        <w:autoSpaceDE/>
        <w:autoSpaceDN/>
        <w:bidi w:val="0"/>
        <w:adjustRightInd/>
        <w:snapToGrid/>
        <w:spacing w:line="480" w:lineRule="exact"/>
        <w:ind w:left="420" w:hanging="420" w:firstLineChars="0"/>
        <w:textAlignment w:val="auto"/>
        <w:rPr>
          <w:rFonts w:hint="eastAsia" w:ascii="仿宋_GB2312" w:hAnsi="仿宋_GB2312" w:eastAsia="仿宋_GB2312" w:cs="仿宋_GB2312"/>
          <w:color w:val="000000" w:themeColor="text1"/>
          <w:sz w:val="24"/>
          <w:szCs w:val="24"/>
          <w14:textFill>
            <w14:solidFill>
              <w14:schemeClr w14:val="tx1"/>
            </w14:solidFill>
          </w14:textFill>
        </w:rPr>
      </w:pPr>
      <w:bookmarkStart w:id="18" w:name="OLE_LINK1"/>
      <w:r>
        <w:rPr>
          <w:rFonts w:hint="eastAsia" w:ascii="仿宋_GB2312" w:hAnsi="仿宋_GB2312" w:eastAsia="仿宋_GB2312" w:cs="仿宋_GB2312"/>
          <w:color w:val="000000" w:themeColor="text1"/>
          <w:sz w:val="24"/>
          <w:szCs w:val="24"/>
          <w14:textFill>
            <w14:solidFill>
              <w14:schemeClr w14:val="tx1"/>
            </w14:solidFill>
          </w14:textFill>
        </w:rPr>
        <w:t>≥</w:t>
      </w:r>
      <w:bookmarkEnd w:id="18"/>
      <w:r>
        <w:rPr>
          <w:rFonts w:hint="eastAsia" w:ascii="仿宋_GB2312" w:hAnsi="仿宋_GB2312" w:eastAsia="仿宋_GB2312" w:cs="仿宋_GB2312"/>
          <w:color w:val="000000" w:themeColor="text1"/>
          <w:sz w:val="24"/>
          <w:szCs w:val="24"/>
          <w14:textFill>
            <w14:solidFill>
              <w14:schemeClr w14:val="tx1"/>
            </w14:solidFill>
          </w14:textFill>
        </w:rPr>
        <w:t>3.5英寸彩色显示屏，电容触摸屏</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14:paraId="2675FDBF">
      <w:pPr>
        <w:pStyle w:val="27"/>
        <w:keepNext w:val="0"/>
        <w:keepLines w:val="0"/>
        <w:pageBreakBefore w:val="0"/>
        <w:widowControl w:val="0"/>
        <w:numPr>
          <w:ilvl w:val="0"/>
          <w:numId w:val="13"/>
        </w:numPr>
        <w:kinsoku/>
        <w:wordWrap/>
        <w:overflowPunct/>
        <w:topLinePunct w:val="0"/>
        <w:autoSpaceDE/>
        <w:autoSpaceDN/>
        <w:bidi w:val="0"/>
        <w:adjustRightInd/>
        <w:snapToGrid/>
        <w:spacing w:line="480" w:lineRule="exact"/>
        <w:ind w:left="420" w:hanging="420" w:firstLineChars="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全中文软件操作界面</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14:paraId="05B35F2C">
      <w:pPr>
        <w:pStyle w:val="27"/>
        <w:keepNext w:val="0"/>
        <w:keepLines w:val="0"/>
        <w:pageBreakBefore w:val="0"/>
        <w:widowControl w:val="0"/>
        <w:numPr>
          <w:ilvl w:val="0"/>
          <w:numId w:val="13"/>
        </w:numPr>
        <w:kinsoku/>
        <w:wordWrap/>
        <w:overflowPunct/>
        <w:topLinePunct w:val="0"/>
        <w:autoSpaceDE/>
        <w:autoSpaceDN/>
        <w:bidi w:val="0"/>
        <w:adjustRightInd/>
        <w:snapToGrid/>
        <w:spacing w:line="480" w:lineRule="exact"/>
        <w:ind w:left="420" w:hanging="420" w:firstLineChars="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锁屏功能：支持自动锁屏，自动锁屏时间可调</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14:paraId="0AC042EC">
      <w:pPr>
        <w:pStyle w:val="27"/>
        <w:keepNext w:val="0"/>
        <w:keepLines w:val="0"/>
        <w:pageBreakBefore w:val="0"/>
        <w:widowControl w:val="0"/>
        <w:numPr>
          <w:ilvl w:val="0"/>
          <w:numId w:val="13"/>
        </w:numPr>
        <w:kinsoku/>
        <w:wordWrap/>
        <w:overflowPunct/>
        <w:topLinePunct w:val="0"/>
        <w:autoSpaceDE/>
        <w:autoSpaceDN/>
        <w:bidi w:val="0"/>
        <w:adjustRightInd/>
        <w:snapToGrid/>
        <w:spacing w:line="480" w:lineRule="exact"/>
        <w:ind w:left="420" w:hanging="420" w:firstLineChars="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支持药物库，可储存≥5000种药物信息。</w:t>
      </w:r>
    </w:p>
    <w:p w14:paraId="2B57B15C">
      <w:pPr>
        <w:pStyle w:val="27"/>
        <w:keepNext w:val="0"/>
        <w:keepLines w:val="0"/>
        <w:pageBreakBefore w:val="0"/>
        <w:widowControl w:val="0"/>
        <w:numPr>
          <w:ilvl w:val="0"/>
          <w:numId w:val="13"/>
        </w:numPr>
        <w:kinsoku/>
        <w:wordWrap/>
        <w:overflowPunct/>
        <w:topLinePunct w:val="0"/>
        <w:autoSpaceDE/>
        <w:autoSpaceDN/>
        <w:bidi w:val="0"/>
        <w:adjustRightInd/>
        <w:snapToGrid/>
        <w:spacing w:line="480" w:lineRule="exact"/>
        <w:ind w:left="420" w:hanging="420" w:firstLineChars="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支持药物色彩标识，选择不同类型药物时对应的药物色彩标识自动显示在屏幕上，支持≥4种颜色</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14:paraId="7C1B3F42">
      <w:pPr>
        <w:pStyle w:val="27"/>
        <w:keepNext w:val="0"/>
        <w:keepLines w:val="0"/>
        <w:pageBreakBefore w:val="0"/>
        <w:widowControl w:val="0"/>
        <w:numPr>
          <w:ilvl w:val="0"/>
          <w:numId w:val="13"/>
        </w:numPr>
        <w:kinsoku/>
        <w:wordWrap/>
        <w:overflowPunct/>
        <w:topLinePunct w:val="0"/>
        <w:autoSpaceDE/>
        <w:autoSpaceDN/>
        <w:bidi w:val="0"/>
        <w:adjustRightInd/>
        <w:snapToGrid/>
        <w:spacing w:line="480" w:lineRule="exact"/>
        <w:ind w:left="420" w:hanging="420" w:firstLineChars="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报警时可通过示意图片直观提示报警信息</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14:paraId="03DD074F">
      <w:pPr>
        <w:pStyle w:val="27"/>
        <w:keepNext w:val="0"/>
        <w:keepLines w:val="0"/>
        <w:pageBreakBefore w:val="0"/>
        <w:widowControl w:val="0"/>
        <w:numPr>
          <w:ilvl w:val="0"/>
          <w:numId w:val="13"/>
        </w:numPr>
        <w:kinsoku/>
        <w:wordWrap/>
        <w:overflowPunct/>
        <w:topLinePunct w:val="0"/>
        <w:autoSpaceDE/>
        <w:autoSpaceDN/>
        <w:bidi w:val="0"/>
        <w:adjustRightInd/>
        <w:snapToGrid/>
        <w:spacing w:line="480" w:lineRule="exact"/>
        <w:ind w:left="420" w:hanging="420" w:firstLineChars="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具备</w:t>
      </w:r>
      <w:r>
        <w:rPr>
          <w:rFonts w:hint="eastAsia" w:ascii="仿宋_GB2312" w:hAnsi="仿宋_GB2312" w:eastAsia="仿宋_GB2312" w:cs="仿宋_GB2312"/>
          <w:color w:val="000000" w:themeColor="text1"/>
          <w:sz w:val="24"/>
          <w:szCs w:val="24"/>
          <w14:textFill>
            <w14:solidFill>
              <w14:schemeClr w14:val="tx1"/>
            </w14:solidFill>
          </w14:textFill>
        </w:rPr>
        <w:t>在线动态压力监测，可实时显示当前压力数值；</w:t>
      </w:r>
    </w:p>
    <w:p w14:paraId="6D3A2EBB">
      <w:pPr>
        <w:pStyle w:val="27"/>
        <w:keepNext w:val="0"/>
        <w:keepLines w:val="0"/>
        <w:pageBreakBefore w:val="0"/>
        <w:widowControl w:val="0"/>
        <w:numPr>
          <w:ilvl w:val="0"/>
          <w:numId w:val="13"/>
        </w:numPr>
        <w:kinsoku/>
        <w:wordWrap/>
        <w:overflowPunct/>
        <w:topLinePunct w:val="0"/>
        <w:autoSpaceDE/>
        <w:autoSpaceDN/>
        <w:bidi w:val="0"/>
        <w:adjustRightInd/>
        <w:snapToGrid/>
        <w:spacing w:line="480" w:lineRule="exact"/>
        <w:ind w:left="420" w:hanging="420" w:firstLineChars="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压力报警阈值可设置</w:t>
      </w:r>
      <w:bookmarkStart w:id="19" w:name="OLE_LINK2"/>
      <w:bookmarkStart w:id="20" w:name="OLE_LINK3"/>
      <w:r>
        <w:rPr>
          <w:rFonts w:hint="eastAsia" w:ascii="仿宋_GB2312" w:hAnsi="仿宋_GB2312" w:eastAsia="仿宋_GB2312" w:cs="仿宋_GB2312"/>
          <w:color w:val="000000" w:themeColor="text1"/>
          <w:sz w:val="24"/>
          <w:szCs w:val="24"/>
          <w14:textFill>
            <w14:solidFill>
              <w14:schemeClr w14:val="tx1"/>
            </w14:solidFill>
          </w14:textFill>
        </w:rPr>
        <w:t>≤</w:t>
      </w:r>
      <w:bookmarkEnd w:id="19"/>
      <w:bookmarkEnd w:id="20"/>
      <w:r>
        <w:rPr>
          <w:rFonts w:hint="eastAsia" w:ascii="仿宋_GB2312" w:hAnsi="仿宋_GB2312" w:eastAsia="仿宋_GB2312" w:cs="仿宋_GB2312"/>
          <w:color w:val="000000" w:themeColor="text1"/>
          <w:sz w:val="24"/>
          <w:szCs w:val="24"/>
          <w14:textFill>
            <w14:solidFill>
              <w14:schemeClr w14:val="tx1"/>
            </w14:solidFill>
          </w14:textFill>
        </w:rPr>
        <w:t>50mmHg</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14:paraId="11FCBB74">
      <w:pPr>
        <w:pStyle w:val="27"/>
        <w:keepNext w:val="0"/>
        <w:keepLines w:val="0"/>
        <w:pageBreakBefore w:val="0"/>
        <w:widowControl w:val="0"/>
        <w:numPr>
          <w:ilvl w:val="0"/>
          <w:numId w:val="13"/>
        </w:numPr>
        <w:kinsoku/>
        <w:wordWrap/>
        <w:overflowPunct/>
        <w:topLinePunct w:val="0"/>
        <w:autoSpaceDE/>
        <w:autoSpaceDN/>
        <w:bidi w:val="0"/>
        <w:adjustRightInd/>
        <w:snapToGrid/>
        <w:spacing w:line="480" w:lineRule="exact"/>
        <w:ind w:left="420" w:hanging="420" w:firstLineChars="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具备阻塞前预警提示功能</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14:paraId="6504B3D4">
      <w:pPr>
        <w:pStyle w:val="27"/>
        <w:keepNext w:val="0"/>
        <w:keepLines w:val="0"/>
        <w:pageBreakBefore w:val="0"/>
        <w:widowControl w:val="0"/>
        <w:numPr>
          <w:ilvl w:val="0"/>
          <w:numId w:val="13"/>
        </w:numPr>
        <w:kinsoku/>
        <w:wordWrap/>
        <w:overflowPunct/>
        <w:topLinePunct w:val="0"/>
        <w:autoSpaceDE/>
        <w:autoSpaceDN/>
        <w:bidi w:val="0"/>
        <w:adjustRightInd/>
        <w:snapToGrid/>
        <w:spacing w:line="480" w:lineRule="exact"/>
        <w:ind w:left="420" w:hanging="420" w:firstLineChars="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具备阻塞后自动重启输液功能</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14:paraId="09F89876">
      <w:pPr>
        <w:pStyle w:val="27"/>
        <w:keepNext w:val="0"/>
        <w:keepLines w:val="0"/>
        <w:pageBreakBefore w:val="0"/>
        <w:widowControl w:val="0"/>
        <w:numPr>
          <w:ilvl w:val="0"/>
          <w:numId w:val="13"/>
        </w:numPr>
        <w:kinsoku/>
        <w:wordWrap/>
        <w:overflowPunct/>
        <w:topLinePunct w:val="0"/>
        <w:autoSpaceDE/>
        <w:autoSpaceDN/>
        <w:bidi w:val="0"/>
        <w:adjustRightInd/>
        <w:snapToGrid/>
        <w:spacing w:line="480" w:lineRule="exact"/>
        <w:ind w:left="420" w:hanging="420" w:firstLineChars="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具备单个气泡和累积气泡报警功能，支持≤15μL的单个气泡报警</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14:paraId="3ACEA4A1">
      <w:pPr>
        <w:pStyle w:val="27"/>
        <w:keepNext w:val="0"/>
        <w:keepLines w:val="0"/>
        <w:pageBreakBefore w:val="0"/>
        <w:widowControl w:val="0"/>
        <w:numPr>
          <w:ilvl w:val="0"/>
          <w:numId w:val="13"/>
        </w:numPr>
        <w:kinsoku/>
        <w:wordWrap/>
        <w:overflowPunct/>
        <w:topLinePunct w:val="0"/>
        <w:autoSpaceDE/>
        <w:autoSpaceDN/>
        <w:bidi w:val="0"/>
        <w:adjustRightInd/>
        <w:snapToGrid/>
        <w:spacing w:line="480" w:lineRule="exact"/>
        <w:ind w:left="420" w:hanging="420" w:firstLineChars="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信息储存：可存储≥5000条的历史记录</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14:paraId="602C993C">
      <w:pPr>
        <w:pStyle w:val="27"/>
        <w:keepNext w:val="0"/>
        <w:keepLines w:val="0"/>
        <w:pageBreakBefore w:val="0"/>
        <w:widowControl w:val="0"/>
        <w:numPr>
          <w:ilvl w:val="0"/>
          <w:numId w:val="13"/>
        </w:numPr>
        <w:kinsoku/>
        <w:wordWrap/>
        <w:overflowPunct/>
        <w:topLinePunct w:val="0"/>
        <w:autoSpaceDE/>
        <w:autoSpaceDN/>
        <w:bidi w:val="0"/>
        <w:adjustRightInd/>
        <w:snapToGrid/>
        <w:spacing w:line="480" w:lineRule="exact"/>
        <w:ind w:left="420" w:hanging="420" w:firstLineChars="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电池工作时间≥5小时@25ml/h</w:t>
      </w:r>
    </w:p>
    <w:p w14:paraId="443F0B19">
      <w:pPr>
        <w:pStyle w:val="27"/>
        <w:keepNext w:val="0"/>
        <w:keepLines w:val="0"/>
        <w:pageBreakBefore w:val="0"/>
        <w:widowControl w:val="0"/>
        <w:numPr>
          <w:ilvl w:val="0"/>
          <w:numId w:val="13"/>
        </w:numPr>
        <w:kinsoku/>
        <w:wordWrap/>
        <w:overflowPunct/>
        <w:topLinePunct w:val="0"/>
        <w:autoSpaceDE/>
        <w:autoSpaceDN/>
        <w:bidi w:val="0"/>
        <w:adjustRightInd/>
        <w:snapToGrid/>
        <w:spacing w:line="480" w:lineRule="exact"/>
        <w:ind w:left="420" w:hanging="420" w:firstLineChars="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防异物及进液等级IP44</w:t>
      </w:r>
    </w:p>
    <w:p w14:paraId="4692E03F">
      <w:pPr>
        <w:pStyle w:val="27"/>
        <w:keepNext w:val="0"/>
        <w:keepLines w:val="0"/>
        <w:pageBreakBefore w:val="0"/>
        <w:widowControl w:val="0"/>
        <w:numPr>
          <w:ilvl w:val="0"/>
          <w:numId w:val="13"/>
        </w:numPr>
        <w:kinsoku/>
        <w:wordWrap/>
        <w:overflowPunct/>
        <w:topLinePunct w:val="0"/>
        <w:autoSpaceDE/>
        <w:autoSpaceDN/>
        <w:bidi w:val="0"/>
        <w:adjustRightInd/>
        <w:snapToGrid/>
        <w:spacing w:line="480" w:lineRule="exact"/>
        <w:ind w:left="420" w:hanging="420" w:firstLineChars="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满足EN1789标准，适合在救护车使用，需提供证明。</w:t>
      </w:r>
    </w:p>
    <w:p w14:paraId="66AE583D">
      <w:pPr>
        <w:pStyle w:val="27"/>
        <w:keepNext w:val="0"/>
        <w:keepLines w:val="0"/>
        <w:pageBreakBefore w:val="0"/>
        <w:widowControl w:val="0"/>
        <w:numPr>
          <w:ilvl w:val="0"/>
          <w:numId w:val="13"/>
        </w:numPr>
        <w:kinsoku/>
        <w:wordWrap/>
        <w:overflowPunct/>
        <w:topLinePunct w:val="0"/>
        <w:autoSpaceDE/>
        <w:autoSpaceDN/>
        <w:bidi w:val="0"/>
        <w:adjustRightInd/>
        <w:snapToGrid/>
        <w:spacing w:line="480" w:lineRule="exact"/>
        <w:ind w:left="420" w:hanging="420" w:firstLineChars="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可与中央输液管理系统连接实现药物输注实时查看及记录回顾</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14:paraId="70892683">
      <w:pPr>
        <w:rPr>
          <w:rFonts w:hint="eastAsia" w:ascii="仿宋" w:hAnsi="仿宋" w:eastAsia="仿宋" w:cs="仿宋"/>
          <w:b/>
          <w:bCs/>
          <w:sz w:val="24"/>
          <w:szCs w:val="24"/>
          <w:highlight w:val="none"/>
          <w:lang w:val="en-US" w:eastAsia="zh-CN"/>
        </w:rPr>
      </w:pPr>
    </w:p>
    <w:p w14:paraId="2196281A">
      <w:pPr>
        <w:rPr>
          <w:rFonts w:hint="eastAsia" w:ascii="仿宋" w:hAnsi="仿宋" w:eastAsia="仿宋" w:cs="仿宋"/>
          <w:b/>
          <w:bCs/>
          <w:sz w:val="24"/>
          <w:szCs w:val="24"/>
          <w:highlight w:val="none"/>
          <w:lang w:val="en-US" w:eastAsia="zh-CN"/>
        </w:rPr>
      </w:pPr>
    </w:p>
    <w:p w14:paraId="794D1405">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品目5 婴儿辐射保暖台</w:t>
      </w:r>
    </w:p>
    <w:p w14:paraId="0F1875C0">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（一）数量：3 台</w:t>
      </w:r>
    </w:p>
    <w:p w14:paraId="2040608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（二）技术参数</w:t>
      </w:r>
    </w:p>
    <w:p w14:paraId="303B933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1、具有预热、手控、肤温三种温度控制模式；</w:t>
      </w:r>
    </w:p>
    <w:p w14:paraId="7EC7CC3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2、设置温度与皮肤温度分屏显示；</w:t>
      </w:r>
    </w:p>
    <w:p w14:paraId="7B3ADE6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3、独立的超温保护系统；</w:t>
      </w:r>
    </w:p>
    <w:p w14:paraId="475D597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4、婴儿床四周的有机玻璃档板可向下翻转或拆卸；</w:t>
      </w:r>
    </w:p>
    <w:p w14:paraId="52C55086">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5、产品具有自检功能，多种故障报警提示，故障报警：断电、传感器、偏差、超温、设置、检查和系统等；</w:t>
      </w:r>
    </w:p>
    <w:p w14:paraId="1F191ED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6、前面板具有温度校正功能；</w:t>
      </w:r>
    </w:p>
    <w:p w14:paraId="7B34A1E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7、具有肤温传感器脱落报警提示功能；</w:t>
      </w:r>
    </w:p>
    <w:p w14:paraId="05F39DB6">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8、婴儿床下可放置X光射线拍片盒；</w:t>
      </w:r>
    </w:p>
    <w:p w14:paraId="022D086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▲9、具有数据储存功能；</w:t>
      </w:r>
    </w:p>
    <w:p w14:paraId="62B87B4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10、具有APGAR评分计时功能；</w:t>
      </w:r>
    </w:p>
    <w:p w14:paraId="103EFBB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11、具有RS-232接口；</w:t>
      </w:r>
    </w:p>
    <w:p w14:paraId="46753316">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12、具有黄疸治疗装置；</w:t>
      </w:r>
    </w:p>
    <w:p w14:paraId="19887CA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、肤温显示范围：5℃～65℃；</w:t>
      </w:r>
    </w:p>
    <w:p w14:paraId="1CA676F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、肤温控温范围：32℃～37.5℃；</w:t>
      </w:r>
    </w:p>
    <w:p w14:paraId="5662C0A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、控温精度：≤0.5℃；</w:t>
      </w:r>
    </w:p>
    <w:p w14:paraId="2008035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、皮肤温度传感器精度：±0.2℃内；</w:t>
      </w:r>
    </w:p>
    <w:p w14:paraId="3AFF826A">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17、床面温度均匀性：≤2℃；</w:t>
      </w:r>
    </w:p>
    <w:p w14:paraId="0CDF38BF">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18、婴儿床倾斜角度：无级可调；</w:t>
      </w:r>
    </w:p>
    <w:p w14:paraId="6612B01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19</w:t>
      </w:r>
      <w:r>
        <w:rPr>
          <w:rFonts w:hint="eastAsia" w:ascii="仿宋_GB2312" w:hAnsi="仿宋_GB2312" w:eastAsia="仿宋_GB2312" w:cs="仿宋_GB2312"/>
          <w:sz w:val="24"/>
          <w:szCs w:val="24"/>
        </w:rPr>
        <w:t>、APGAR评分计时：运行至50″～1′、4′50″～5′、9′50″～10′时发出声光提示；</w:t>
      </w:r>
    </w:p>
    <w:p w14:paraId="2FC5790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 xml:space="preserve">、床面上有效表面内的总辐照度：≥0.66mW/cm²； </w:t>
      </w:r>
    </w:p>
    <w:p w14:paraId="250E6A4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 xml:space="preserve">、床面上有效表面内的胆红素总辐照度平均值：≥0.58mW/cm²； </w:t>
      </w:r>
    </w:p>
    <w:p w14:paraId="61FDB7C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、床面上有效表面内的胆红素总辐照度均匀性：＞0.4。</w:t>
      </w:r>
    </w:p>
    <w:p w14:paraId="583FE80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highlight w:val="none"/>
          <w:lang w:val="en-US" w:eastAsia="zh-CN"/>
        </w:rPr>
      </w:pPr>
    </w:p>
    <w:p w14:paraId="453C3D1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品目6 心电监护仪</w:t>
      </w:r>
    </w:p>
    <w:p w14:paraId="3510B199">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（一）数量：4 台</w:t>
      </w:r>
    </w:p>
    <w:p w14:paraId="631C6D7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（二）技术参数</w:t>
      </w:r>
    </w:p>
    <w:p w14:paraId="200766F4">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硬件结构</w:t>
      </w:r>
    </w:p>
    <w:p w14:paraId="338AF920">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1.2</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主机显示器一体化设计</w:t>
      </w:r>
    </w:p>
    <w:p w14:paraId="46D5F6D4">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1.3</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低功耗设计，无风扇等散热装置</w:t>
      </w:r>
    </w:p>
    <w:p w14:paraId="25EA217A">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1.4</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医用专业显示器：</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12</w:t>
      </w:r>
      <w:r>
        <w:rPr>
          <w:rFonts w:hint="eastAsia" w:ascii="仿宋_GB2312" w:hAnsi="仿宋_GB2312" w:eastAsia="仿宋_GB2312" w:cs="仿宋_GB2312"/>
          <w:kern w:val="0"/>
          <w:sz w:val="24"/>
          <w:szCs w:val="24"/>
          <w:lang w:eastAsia="zh-CN"/>
        </w:rPr>
        <w:t>英寸</w:t>
      </w:r>
      <w:r>
        <w:rPr>
          <w:rFonts w:hint="eastAsia" w:ascii="仿宋_GB2312" w:hAnsi="仿宋_GB2312" w:eastAsia="仿宋_GB2312" w:cs="仿宋_GB2312"/>
          <w:kern w:val="0"/>
          <w:sz w:val="24"/>
          <w:szCs w:val="24"/>
        </w:rPr>
        <w:t>彩色触摸屏, 分辨率</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1280*800</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val="en-US" w:eastAsia="zh-CN"/>
        </w:rPr>
        <w:t>提供证明材料）</w:t>
      </w:r>
    </w:p>
    <w:p w14:paraId="76ACCEA2">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1.5</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电阻屏，可用棉签操作屏幕，有效减少交叉感染</w:t>
      </w:r>
    </w:p>
    <w:p w14:paraId="69266346">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1.6</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6通道波形显示</w:t>
      </w:r>
    </w:p>
    <w:p w14:paraId="4477E1E6">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1.7</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整合式电源，无需电源适配器</w:t>
      </w:r>
    </w:p>
    <w:p w14:paraId="48C26F4F">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1.8</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三色报警显示灯独立于显示屏幕之外</w:t>
      </w:r>
    </w:p>
    <w:p w14:paraId="2A04E539">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1.9</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具有智能屏幕光控技术，可根据环境光线情况自动调节屏幕显示亮度</w:t>
      </w:r>
    </w:p>
    <w:p w14:paraId="2FFB7679">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1.10</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配备RJ45网络接口</w:t>
      </w:r>
    </w:p>
    <w:p w14:paraId="45158C75">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1.11</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配备USB 2.0 接口，可连接鼠标/键盘等输入设备</w:t>
      </w:r>
      <w:r>
        <w:rPr>
          <w:rFonts w:hint="eastAsia" w:ascii="仿宋_GB2312" w:hAnsi="仿宋_GB2312" w:eastAsia="仿宋_GB2312" w:cs="仿宋_GB2312"/>
          <w:kern w:val="0"/>
          <w:sz w:val="24"/>
          <w:szCs w:val="24"/>
        </w:rPr>
        <w:tab/>
      </w:r>
    </w:p>
    <w:p w14:paraId="10E83486">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模块化设计</w:t>
      </w:r>
    </w:p>
    <w:p w14:paraId="20D2E62F">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2.1</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主机多参数插件模块，最多可支持</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10种功能同时监测</w:t>
      </w:r>
      <w:r>
        <w:rPr>
          <w:rFonts w:hint="eastAsia" w:ascii="仿宋_GB2312" w:hAnsi="仿宋_GB2312" w:eastAsia="仿宋_GB2312" w:cs="仿宋_GB2312"/>
          <w:kern w:val="0"/>
          <w:sz w:val="24"/>
          <w:szCs w:val="24"/>
        </w:rPr>
        <w:tab/>
      </w:r>
    </w:p>
    <w:p w14:paraId="60D31117">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用户界面</w:t>
      </w:r>
    </w:p>
    <w:p w14:paraId="3B272B95">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3.1</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内置专科显示界面</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 xml:space="preserve"> 8种</w:t>
      </w:r>
    </w:p>
    <w:p w14:paraId="5AD8239A">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3.2</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自定</w:t>
      </w:r>
      <w:r>
        <w:rPr>
          <w:rFonts w:hint="eastAsia" w:ascii="仿宋_GB2312" w:hAnsi="仿宋_GB2312" w:eastAsia="仿宋_GB2312" w:cs="仿宋_GB2312"/>
          <w:kern w:val="0"/>
          <w:sz w:val="24"/>
          <w:szCs w:val="24"/>
          <w:lang w:eastAsia="zh-CN"/>
        </w:rPr>
        <w:t>义</w:t>
      </w:r>
      <w:r>
        <w:rPr>
          <w:rFonts w:hint="eastAsia" w:ascii="仿宋_GB2312" w:hAnsi="仿宋_GB2312" w:eastAsia="仿宋_GB2312" w:cs="仿宋_GB2312"/>
          <w:kern w:val="0"/>
          <w:sz w:val="24"/>
          <w:szCs w:val="24"/>
        </w:rPr>
        <w:t>显示界面</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10种</w:t>
      </w:r>
    </w:p>
    <w:p w14:paraId="2BDC1189">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3.3</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动态波形大小调整。屏幕包含“动态波形”区域，可根据实际监测参数波形的数量，自动平均分配显示空间</w:t>
      </w:r>
    </w:p>
    <w:p w14:paraId="6C2F4569">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3.4</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屏幕上可设置“重叠波形显示区域”，在此区域内，可选择不同波形进行重叠显示。</w:t>
      </w:r>
    </w:p>
    <w:p w14:paraId="3C3BAB64">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3.5</w:t>
      </w:r>
      <w:r>
        <w:rPr>
          <w:rFonts w:hint="eastAsia" w:ascii="仿宋_GB2312" w:hAnsi="仿宋_GB2312" w:eastAsia="仿宋_GB2312" w:cs="仿宋_GB2312"/>
          <w:kern w:val="0"/>
          <w:sz w:val="24"/>
          <w:szCs w:val="24"/>
          <w:lang w:eastAsia="zh-CN"/>
        </w:rPr>
        <w:t>、具备</w:t>
      </w:r>
      <w:r>
        <w:rPr>
          <w:rFonts w:hint="eastAsia" w:ascii="仿宋_GB2312" w:hAnsi="仿宋_GB2312" w:eastAsia="仿宋_GB2312" w:cs="仿宋_GB2312"/>
          <w:kern w:val="0"/>
          <w:sz w:val="24"/>
          <w:szCs w:val="24"/>
        </w:rPr>
        <w:t>波形冻结功能，可分别冻结单个波形，不影响其他实时波形的显示和全部参数的报警（提供相关证明文件</w:t>
      </w:r>
      <w:r>
        <w:rPr>
          <w:rFonts w:hint="eastAsia" w:ascii="仿宋_GB2312" w:hAnsi="仿宋_GB2312" w:eastAsia="仿宋_GB2312" w:cs="仿宋_GB2312"/>
          <w:kern w:val="0"/>
          <w:sz w:val="24"/>
          <w:szCs w:val="24"/>
          <w:lang w:eastAsia="zh-CN"/>
        </w:rPr>
        <w:t>）</w:t>
      </w:r>
    </w:p>
    <w:p w14:paraId="544005A7">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测量性能及软件</w:t>
      </w:r>
    </w:p>
    <w:p w14:paraId="28808F84">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4.1</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心电</w:t>
      </w:r>
    </w:p>
    <w:p w14:paraId="2B10F262">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4.1.1</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标配12导联心电监护</w:t>
      </w:r>
    </w:p>
    <w:p w14:paraId="0B36CE4F">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4.1.2</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心电监测可用≤6个电极获得实时的同屏12导联心电。</w:t>
      </w:r>
    </w:p>
    <w:p w14:paraId="37149789">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4.1.3</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诊断级心电监护带宽 0.05-150Hz</w:t>
      </w:r>
    </w:p>
    <w:p w14:paraId="76F7BBCE">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4.1.4</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具备</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 xml:space="preserve">23种心律失常分析，其中非致命性心律失常可根据临床需求单独开启或关闭 </w:t>
      </w:r>
    </w:p>
    <w:p w14:paraId="39043EBC">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4.1.5</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12导联实时ECG和12导联ST值同屏显示，实时更新</w:t>
      </w:r>
    </w:p>
    <w:p w14:paraId="0ABFE23B">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4.1.6</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12导联ST 数值可以图形形式标记，实时更新，并可显示趋势</w:t>
      </w:r>
    </w:p>
    <w:p w14:paraId="649F3C5A">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4.1.7</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实时自动进行QT及QTc分析，并可显示ΔQT和ΔQTc数值</w:t>
      </w:r>
    </w:p>
    <w:p w14:paraId="5E6DD7E3">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4.1.8</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提供ST 指数值 （基于V2、V5 和 aVF 导联ST数值 绝对值的总和），</w:t>
      </w:r>
      <w:r>
        <w:rPr>
          <w:rFonts w:hint="eastAsia" w:ascii="仿宋_GB2312" w:hAnsi="仿宋_GB2312" w:eastAsia="仿宋_GB2312" w:cs="仿宋_GB2312"/>
          <w:kern w:val="0"/>
          <w:sz w:val="24"/>
          <w:szCs w:val="24"/>
          <w:lang w:val="en-US" w:eastAsia="zh-CN"/>
        </w:rPr>
        <w:t>可</w:t>
      </w:r>
      <w:r>
        <w:rPr>
          <w:rFonts w:hint="eastAsia" w:ascii="仿宋_GB2312" w:hAnsi="仿宋_GB2312" w:eastAsia="仿宋_GB2312" w:cs="仿宋_GB2312"/>
          <w:kern w:val="0"/>
          <w:sz w:val="24"/>
          <w:szCs w:val="24"/>
        </w:rPr>
        <w:t>提早预见心脏侧壁ST段变化情况</w:t>
      </w:r>
    </w:p>
    <w:p w14:paraId="75DB173D">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4.2</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呼吸：阻抗法</w:t>
      </w:r>
    </w:p>
    <w:p w14:paraId="402F4AB1">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4.3</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无创血压</w:t>
      </w:r>
    </w:p>
    <w:p w14:paraId="7F88BBC0">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4.3.1</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双参考点校正：血管内测量法和水银柱测量法</w:t>
      </w:r>
    </w:p>
    <w:p w14:paraId="7CDA33C1">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4.3.2</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具备</w:t>
      </w:r>
      <w:r>
        <w:rPr>
          <w:rFonts w:hint="eastAsia" w:ascii="仿宋_GB2312" w:hAnsi="仿宋_GB2312" w:eastAsia="仿宋_GB2312" w:cs="仿宋_GB2312"/>
          <w:kern w:val="0"/>
          <w:sz w:val="24"/>
          <w:szCs w:val="24"/>
        </w:rPr>
        <w:t>自动/手动/序列/STAT</w:t>
      </w:r>
      <w:r>
        <w:rPr>
          <w:rFonts w:hint="eastAsia" w:ascii="仿宋_GB2312" w:hAnsi="仿宋_GB2312" w:eastAsia="仿宋_GB2312" w:cs="仿宋_GB2312"/>
          <w:kern w:val="0"/>
          <w:sz w:val="24"/>
          <w:szCs w:val="24"/>
          <w:lang w:eastAsia="zh-CN"/>
        </w:rPr>
        <w:t>等≥</w:t>
      </w:r>
      <w:r>
        <w:rPr>
          <w:rFonts w:hint="eastAsia" w:ascii="仿宋_GB2312" w:hAnsi="仿宋_GB2312" w:eastAsia="仿宋_GB2312" w:cs="仿宋_GB2312"/>
          <w:kern w:val="0"/>
          <w:sz w:val="24"/>
          <w:szCs w:val="24"/>
          <w:lang w:val="en-US" w:eastAsia="zh-CN"/>
        </w:rPr>
        <w:t>4</w:t>
      </w:r>
      <w:r>
        <w:rPr>
          <w:rFonts w:hint="eastAsia" w:ascii="仿宋_GB2312" w:hAnsi="仿宋_GB2312" w:eastAsia="仿宋_GB2312" w:cs="仿宋_GB2312"/>
          <w:kern w:val="0"/>
          <w:sz w:val="24"/>
          <w:szCs w:val="24"/>
        </w:rPr>
        <w:t>种模式测量</w:t>
      </w:r>
    </w:p>
    <w:p w14:paraId="38A3D9CE">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4.3.3</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序列测量模式可根据患者的病情设定测量次数与间隔时间的组合</w:t>
      </w:r>
    </w:p>
    <w:p w14:paraId="487B8E5A">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4.4</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脉搏血氧饱和度</w:t>
      </w:r>
    </w:p>
    <w:p w14:paraId="73A976DE">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4.4.1</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原装进口血氧传感器</w:t>
      </w:r>
    </w:p>
    <w:p w14:paraId="63AF0394">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4.4.2</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指套式传感器</w:t>
      </w:r>
    </w:p>
    <w:p w14:paraId="5CB73F38">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4.4.3</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灌注指数显示，指示外周小动脉充盈状态</w:t>
      </w:r>
    </w:p>
    <w:p w14:paraId="47F8AD4D">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4.4.4</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具备智能延迟报警技术，可有效过滤无意义报警</w:t>
      </w:r>
    </w:p>
    <w:p w14:paraId="0DFD7931">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r>
        <w:rPr>
          <w:rFonts w:hint="eastAsia" w:ascii="仿宋_GB2312" w:hAnsi="仿宋_GB2312" w:eastAsia="仿宋_GB2312" w:cs="仿宋_GB2312"/>
          <w:kern w:val="0"/>
          <w:sz w:val="24"/>
          <w:szCs w:val="24"/>
          <w:lang w:val="en-US" w:eastAsia="zh-CN"/>
        </w:rPr>
        <w:t>5、</w:t>
      </w:r>
      <w:r>
        <w:rPr>
          <w:rFonts w:hint="eastAsia" w:ascii="仿宋_GB2312" w:hAnsi="仿宋_GB2312" w:eastAsia="仿宋_GB2312" w:cs="仿宋_GB2312"/>
          <w:kern w:val="0"/>
          <w:sz w:val="24"/>
          <w:szCs w:val="24"/>
        </w:rPr>
        <w:t>监护仪可储存48小时趋势，并可以表格和图形形式进行回顾</w:t>
      </w:r>
      <w:r>
        <w:rPr>
          <w:rFonts w:hint="eastAsia" w:ascii="仿宋_GB2312" w:hAnsi="仿宋_GB2312" w:eastAsia="仿宋_GB2312" w:cs="仿宋_GB2312"/>
          <w:kern w:val="0"/>
          <w:sz w:val="24"/>
          <w:szCs w:val="24"/>
        </w:rPr>
        <w:tab/>
      </w:r>
    </w:p>
    <w:p w14:paraId="60FC1FFF">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r>
        <w:rPr>
          <w:rFonts w:hint="eastAsia" w:ascii="仿宋_GB2312" w:hAnsi="仿宋_GB2312" w:eastAsia="仿宋_GB2312" w:cs="仿宋_GB2312"/>
          <w:kern w:val="0"/>
          <w:sz w:val="24"/>
          <w:szCs w:val="24"/>
          <w:lang w:val="en-US" w:eastAsia="zh-CN"/>
        </w:rPr>
        <w:t>6、</w:t>
      </w:r>
      <w:r>
        <w:rPr>
          <w:rFonts w:hint="eastAsia" w:ascii="仿宋_GB2312" w:hAnsi="仿宋_GB2312" w:eastAsia="仿宋_GB2312" w:cs="仿宋_GB2312"/>
          <w:kern w:val="0"/>
          <w:sz w:val="24"/>
          <w:szCs w:val="24"/>
        </w:rPr>
        <w:t>具备演示功能,方便培训及学习</w:t>
      </w:r>
    </w:p>
    <w:p w14:paraId="547BB815">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5、</w:t>
      </w:r>
      <w:r>
        <w:rPr>
          <w:rFonts w:hint="eastAsia" w:ascii="仿宋_GB2312" w:hAnsi="仿宋_GB2312" w:eastAsia="仿宋_GB2312" w:cs="仿宋_GB2312"/>
          <w:kern w:val="0"/>
          <w:sz w:val="24"/>
          <w:szCs w:val="24"/>
        </w:rPr>
        <w:t>临床决策支持</w:t>
      </w:r>
    </w:p>
    <w:p w14:paraId="7FB829CC">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5.1</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支持</w:t>
      </w:r>
      <w:r>
        <w:rPr>
          <w:rFonts w:hint="eastAsia" w:ascii="仿宋_GB2312" w:hAnsi="仿宋_GB2312" w:eastAsia="仿宋_GB2312" w:cs="仿宋_GB2312"/>
          <w:kern w:val="0"/>
          <w:sz w:val="24"/>
          <w:szCs w:val="24"/>
        </w:rPr>
        <w:t>目标导向性治疗决策</w:t>
      </w:r>
    </w:p>
    <w:p w14:paraId="791301E4">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5.1.1</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可设置各个参数的治疗目标值</w:t>
      </w:r>
    </w:p>
    <w:p w14:paraId="0E91A9DE">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5.1.2</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可用</w:t>
      </w:r>
      <w:r>
        <w:rPr>
          <w:rFonts w:hint="eastAsia" w:ascii="仿宋_GB2312" w:hAnsi="仿宋_GB2312" w:eastAsia="仿宋_GB2312" w:cs="仿宋_GB2312"/>
          <w:kern w:val="0"/>
          <w:sz w:val="24"/>
          <w:szCs w:val="24"/>
          <w:lang w:eastAsia="zh-CN"/>
        </w:rPr>
        <w:t>图形</w:t>
      </w:r>
      <w:r>
        <w:rPr>
          <w:rFonts w:hint="eastAsia" w:ascii="仿宋_GB2312" w:hAnsi="仿宋_GB2312" w:eastAsia="仿宋_GB2312" w:cs="仿宋_GB2312"/>
          <w:kern w:val="0"/>
          <w:sz w:val="24"/>
          <w:szCs w:val="24"/>
        </w:rPr>
        <w:t>显示当前值与目标值的偏移程度</w:t>
      </w:r>
    </w:p>
    <w:p w14:paraId="1BEEBB01">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5.1.3</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可显示监测参数变化趋势</w:t>
      </w:r>
    </w:p>
    <w:p w14:paraId="32A16D3B">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5.2</w:t>
      </w:r>
      <w:r>
        <w:rPr>
          <w:rFonts w:hint="eastAsia" w:ascii="仿宋_GB2312" w:hAnsi="仿宋_GB2312" w:eastAsia="仿宋_GB2312" w:cs="仿宋_GB2312"/>
          <w:kern w:val="0"/>
          <w:sz w:val="24"/>
          <w:szCs w:val="24"/>
          <w:lang w:eastAsia="zh-CN"/>
        </w:rPr>
        <w:t>、可用图形显示S</w:t>
      </w:r>
      <w:r>
        <w:rPr>
          <w:rFonts w:hint="eastAsia" w:ascii="仿宋_GB2312" w:hAnsi="仿宋_GB2312" w:eastAsia="仿宋_GB2312" w:cs="仿宋_GB2312"/>
          <w:kern w:val="0"/>
          <w:sz w:val="24"/>
          <w:szCs w:val="24"/>
        </w:rPr>
        <w:t>T段抬高和压低趋势，以图形的方式帮助临床工作人员更加容易识别ST段改变</w:t>
      </w:r>
    </w:p>
    <w:p w14:paraId="16477CC8">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5.2.1</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可创建并使用参照基线</w:t>
      </w:r>
    </w:p>
    <w:p w14:paraId="1DA63973">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5.2.2</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可提供趋势视图，根据同时显示的不同颜色的环形图，动态观察ST段的变化</w:t>
      </w:r>
    </w:p>
    <w:p w14:paraId="76CF8492">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5.2.3</w:t>
      </w:r>
      <w:r>
        <w:rPr>
          <w:rFonts w:hint="eastAsia" w:ascii="仿宋_GB2312" w:hAnsi="仿宋_GB2312" w:eastAsia="仿宋_GB2312" w:cs="仿宋_GB2312"/>
          <w:kern w:val="0"/>
          <w:sz w:val="24"/>
          <w:szCs w:val="24"/>
          <w:lang w:eastAsia="zh-CN"/>
        </w:rPr>
        <w:t>、可设置</w:t>
      </w:r>
      <w:r>
        <w:rPr>
          <w:rFonts w:hint="eastAsia" w:ascii="仿宋_GB2312" w:hAnsi="仿宋_GB2312" w:eastAsia="仿宋_GB2312" w:cs="仿宋_GB2312"/>
          <w:kern w:val="0"/>
          <w:sz w:val="24"/>
          <w:szCs w:val="24"/>
        </w:rPr>
        <w:t>区分性别的 STE 限值，超过</w:t>
      </w:r>
      <w:r>
        <w:rPr>
          <w:rFonts w:hint="eastAsia" w:ascii="仿宋_GB2312" w:hAnsi="仿宋_GB2312" w:eastAsia="仿宋_GB2312" w:cs="仿宋_GB2312"/>
          <w:kern w:val="0"/>
          <w:sz w:val="24"/>
          <w:szCs w:val="24"/>
          <w:lang w:eastAsia="zh-CN"/>
        </w:rPr>
        <w:t>设置</w:t>
      </w:r>
      <w:r>
        <w:rPr>
          <w:rFonts w:hint="eastAsia" w:ascii="仿宋_GB2312" w:hAnsi="仿宋_GB2312" w:eastAsia="仿宋_GB2312" w:cs="仿宋_GB2312"/>
          <w:kern w:val="0"/>
          <w:sz w:val="24"/>
          <w:szCs w:val="24"/>
        </w:rPr>
        <w:t>限值的 ST 值</w:t>
      </w:r>
      <w:r>
        <w:rPr>
          <w:rFonts w:hint="eastAsia" w:ascii="仿宋_GB2312" w:hAnsi="仿宋_GB2312" w:eastAsia="仿宋_GB2312" w:cs="仿宋_GB2312"/>
          <w:kern w:val="0"/>
          <w:sz w:val="24"/>
          <w:szCs w:val="24"/>
          <w:lang w:eastAsia="zh-CN"/>
        </w:rPr>
        <w:t>自动</w:t>
      </w:r>
      <w:r>
        <w:rPr>
          <w:rFonts w:hint="eastAsia" w:ascii="仿宋_GB2312" w:hAnsi="仿宋_GB2312" w:eastAsia="仿宋_GB2312" w:cs="仿宋_GB2312"/>
          <w:kern w:val="0"/>
          <w:sz w:val="24"/>
          <w:szCs w:val="24"/>
        </w:rPr>
        <w:t>标为红色</w:t>
      </w:r>
    </w:p>
    <w:p w14:paraId="33649623">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5.3</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可用</w:t>
      </w:r>
      <w:r>
        <w:rPr>
          <w:rFonts w:hint="eastAsia" w:ascii="仿宋_GB2312" w:hAnsi="仿宋_GB2312" w:eastAsia="仿宋_GB2312" w:cs="仿宋_GB2312"/>
          <w:kern w:val="0"/>
          <w:sz w:val="24"/>
          <w:szCs w:val="24"/>
          <w:lang w:eastAsia="zh-CN"/>
        </w:rPr>
        <w:t>图形</w:t>
      </w:r>
      <w:r>
        <w:rPr>
          <w:rFonts w:hint="eastAsia" w:ascii="仿宋_GB2312" w:hAnsi="仿宋_GB2312" w:eastAsia="仿宋_GB2312" w:cs="仿宋_GB2312"/>
          <w:kern w:val="0"/>
          <w:sz w:val="24"/>
          <w:szCs w:val="24"/>
        </w:rPr>
        <w:t>查看监护参数按时间分布情况</w:t>
      </w:r>
    </w:p>
    <w:p w14:paraId="391DD424">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5.4</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具备脓毒血症辅助筛查功能</w:t>
      </w:r>
    </w:p>
    <w:p w14:paraId="66F97079">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5.5</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具备药物计算功能</w:t>
      </w:r>
    </w:p>
    <w:p w14:paraId="2DFC8CC5">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5.6</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具备EWS早期预警评分系统</w:t>
      </w:r>
    </w:p>
    <w:p w14:paraId="52058621">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5.7</w:t>
      </w:r>
      <w:r>
        <w:rPr>
          <w:rFonts w:hint="eastAsia" w:ascii="仿宋_GB2312" w:hAnsi="仿宋_GB2312" w:eastAsia="仿宋_GB2312" w:cs="仿宋_GB2312"/>
          <w:kern w:val="0"/>
          <w:sz w:val="24"/>
          <w:szCs w:val="24"/>
          <w:lang w:eastAsia="zh-CN"/>
        </w:rPr>
        <w:t>、具备呼吸氧合图</w:t>
      </w:r>
      <w:r>
        <w:rPr>
          <w:rFonts w:hint="eastAsia" w:ascii="仿宋_GB2312" w:hAnsi="仿宋_GB2312" w:eastAsia="仿宋_GB2312" w:cs="仿宋_GB2312"/>
          <w:kern w:val="0"/>
          <w:sz w:val="24"/>
          <w:szCs w:val="24"/>
        </w:rPr>
        <w:t>，每秒</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4次采样 ，实现对患儿心搏至心搏的心率监测</w:t>
      </w:r>
    </w:p>
    <w:p w14:paraId="3BA544E3">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5.8</w:t>
      </w:r>
      <w:r>
        <w:rPr>
          <w:rFonts w:hint="eastAsia" w:ascii="仿宋_GB2312" w:hAnsi="仿宋_GB2312" w:eastAsia="仿宋_GB2312" w:cs="仿宋_GB2312"/>
          <w:kern w:val="0"/>
          <w:sz w:val="24"/>
          <w:szCs w:val="24"/>
          <w:lang w:eastAsia="zh-CN"/>
        </w:rPr>
        <w:t>、具备</w:t>
      </w:r>
      <w:r>
        <w:rPr>
          <w:rFonts w:hint="eastAsia" w:ascii="仿宋_GB2312" w:hAnsi="仿宋_GB2312" w:eastAsia="仿宋_GB2312" w:cs="仿宋_GB2312"/>
          <w:kern w:val="0"/>
          <w:sz w:val="24"/>
          <w:szCs w:val="24"/>
        </w:rPr>
        <w:t>新生儿事件回顾</w:t>
      </w:r>
    </w:p>
    <w:p w14:paraId="1685397C">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5.9</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可升级高级事件监测功能：可以自由创建多达6个不同的事件触发组，这些组可以采用正在监控的至少1个，或2、3个，甚至全部4个参数组合生成一项事件。每个事件触发信号的限值由用户来定义。（需提供相关证明文件）</w:t>
      </w:r>
    </w:p>
    <w:p w14:paraId="58E7D7B1">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5.9.1</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每个事件可存储</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15S实时波形</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4min高精度趋势图</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20min平均趋势</w:t>
      </w:r>
    </w:p>
    <w:p w14:paraId="07D79BB0">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5.9.2</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每个事件可存储所监护的全部测量项目的生命体征数字</w:t>
      </w:r>
    </w:p>
    <w:p w14:paraId="75DF0A8B">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5.9.3</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每个事件可添加与该事件相关联的任何注释</w:t>
      </w:r>
    </w:p>
    <w:p w14:paraId="63076180">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6、备用电池1块</w:t>
      </w:r>
    </w:p>
    <w:p w14:paraId="1FB1C03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highlight w:val="none"/>
          <w:lang w:val="en-US" w:eastAsia="zh-CN"/>
        </w:rPr>
      </w:pPr>
    </w:p>
    <w:p w14:paraId="74FB5D1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highlight w:val="none"/>
          <w:lang w:val="en-US" w:eastAsia="zh-CN"/>
        </w:rPr>
      </w:pPr>
    </w:p>
    <w:p w14:paraId="3C912645">
      <w:pPr>
        <w:keepNext w:val="0"/>
        <w:keepLines w:val="0"/>
        <w:pageBreakBefore w:val="0"/>
        <w:widowControl w:val="0"/>
        <w:numPr>
          <w:ilvl w:val="0"/>
          <w:numId w:val="10"/>
        </w:numPr>
        <w:kinsoku/>
        <w:wordWrap/>
        <w:overflowPunct/>
        <w:topLinePunct w:val="0"/>
        <w:autoSpaceDE/>
        <w:autoSpaceDN/>
        <w:bidi w:val="0"/>
        <w:adjustRightInd/>
        <w:snapToGrid/>
        <w:spacing w:line="50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其他相关要求</w:t>
      </w:r>
    </w:p>
    <w:p w14:paraId="33B2C3A2">
      <w:pPr>
        <w:keepNext w:val="0"/>
        <w:keepLines w:val="0"/>
        <w:pageBreakBefore w:val="0"/>
        <w:widowControl/>
        <w:kinsoku/>
        <w:wordWrap/>
        <w:overflowPunct/>
        <w:topLinePunct w:val="0"/>
        <w:autoSpaceDE/>
        <w:autoSpaceDN/>
        <w:bidi w:val="0"/>
        <w:adjustRightInd/>
        <w:snapToGrid/>
        <w:spacing w:after="0" w:line="48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 xml:space="preserve">1、投标人需要提供所投产品的技术支持资料（或证明材料），并需要同时加盖 </w:t>
      </w:r>
    </w:p>
    <w:p w14:paraId="54880BF1">
      <w:pPr>
        <w:keepNext w:val="0"/>
        <w:keepLines w:val="0"/>
        <w:pageBreakBefore w:val="0"/>
        <w:widowControl/>
        <w:kinsoku/>
        <w:wordWrap/>
        <w:overflowPunct/>
        <w:topLinePunct w:val="0"/>
        <w:autoSpaceDE/>
        <w:autoSpaceDN/>
        <w:bidi w:val="0"/>
        <w:adjustRightInd/>
        <w:snapToGrid/>
        <w:spacing w:after="0" w:line="480" w:lineRule="exact"/>
        <w:jc w:val="left"/>
        <w:textAlignment w:val="auto"/>
        <w:rPr>
          <w:rFonts w:hint="eastAsia" w:ascii="仿宋_GB2312" w:hAnsi="仿宋_GB2312" w:eastAsia="仿宋_GB2312" w:cs="仿宋_GB2312"/>
          <w:kern w:val="0"/>
          <w:sz w:val="24"/>
          <w:szCs w:val="24"/>
        </w:rPr>
      </w:pPr>
      <w:r>
        <w:rPr>
          <w:rFonts w:hint="default" w:ascii="仿宋_GB2312" w:hAnsi="仿宋_GB2312" w:eastAsia="仿宋_GB2312" w:cs="仿宋_GB2312"/>
          <w:kern w:val="0"/>
          <w:sz w:val="24"/>
          <w:szCs w:val="24"/>
          <w:lang w:val="en-US" w:eastAsia="zh-CN"/>
        </w:rPr>
        <w:t xml:space="preserve">投标人公章。其中技术支持资料指生产厂家公开发布的印刷资料或检测机构出具 </w:t>
      </w:r>
    </w:p>
    <w:p w14:paraId="468B0A27">
      <w:pPr>
        <w:keepNext w:val="0"/>
        <w:keepLines w:val="0"/>
        <w:pageBreakBefore w:val="0"/>
        <w:widowControl/>
        <w:kinsoku/>
        <w:wordWrap/>
        <w:overflowPunct/>
        <w:topLinePunct w:val="0"/>
        <w:autoSpaceDE/>
        <w:autoSpaceDN/>
        <w:bidi w:val="0"/>
        <w:adjustRightInd/>
        <w:snapToGrid/>
        <w:spacing w:after="0" w:line="480" w:lineRule="exact"/>
        <w:jc w:val="left"/>
        <w:textAlignment w:val="auto"/>
        <w:rPr>
          <w:rFonts w:hint="eastAsia" w:ascii="仿宋_GB2312" w:hAnsi="仿宋_GB2312" w:eastAsia="仿宋_GB2312" w:cs="仿宋_GB2312"/>
          <w:kern w:val="0"/>
          <w:sz w:val="24"/>
          <w:szCs w:val="24"/>
        </w:rPr>
      </w:pPr>
      <w:r>
        <w:rPr>
          <w:rFonts w:hint="default" w:ascii="仿宋_GB2312" w:hAnsi="仿宋_GB2312" w:eastAsia="仿宋_GB2312" w:cs="仿宋_GB2312"/>
          <w:kern w:val="0"/>
          <w:sz w:val="24"/>
          <w:szCs w:val="24"/>
          <w:lang w:val="en-US" w:eastAsia="zh-CN"/>
        </w:rPr>
        <w:t xml:space="preserve">的检验报告，若生产厂家公开发布的印刷资料或检测机构出具的检验报告不一致， </w:t>
      </w:r>
    </w:p>
    <w:p w14:paraId="181DC9C4">
      <w:pPr>
        <w:keepNext w:val="0"/>
        <w:keepLines w:val="0"/>
        <w:pageBreakBefore w:val="0"/>
        <w:widowControl/>
        <w:kinsoku/>
        <w:wordWrap/>
        <w:overflowPunct/>
        <w:topLinePunct w:val="0"/>
        <w:autoSpaceDE/>
        <w:autoSpaceDN/>
        <w:bidi w:val="0"/>
        <w:adjustRightInd/>
        <w:snapToGrid/>
        <w:spacing w:after="0" w:line="480" w:lineRule="exact"/>
        <w:jc w:val="left"/>
        <w:textAlignment w:val="auto"/>
        <w:rPr>
          <w:rFonts w:hint="eastAsia" w:ascii="仿宋_GB2312" w:hAnsi="仿宋_GB2312" w:eastAsia="仿宋_GB2312" w:cs="仿宋_GB2312"/>
          <w:kern w:val="0"/>
          <w:sz w:val="24"/>
          <w:szCs w:val="24"/>
          <w:lang w:val="en-US" w:eastAsia="zh-CN"/>
        </w:rPr>
      </w:pPr>
      <w:r>
        <w:rPr>
          <w:rFonts w:hint="default" w:ascii="仿宋_GB2312" w:hAnsi="仿宋_GB2312" w:eastAsia="仿宋_GB2312" w:cs="仿宋_GB2312"/>
          <w:kern w:val="0"/>
          <w:sz w:val="24"/>
          <w:szCs w:val="24"/>
          <w:lang w:val="en-US" w:eastAsia="zh-CN"/>
        </w:rPr>
        <w:t xml:space="preserve">以检测机构出具的检验报告为准。如投标人技术响应与技术支持资料（或证明材 </w:t>
      </w:r>
    </w:p>
    <w:p w14:paraId="71B8873B">
      <w:pPr>
        <w:keepNext w:val="0"/>
        <w:keepLines w:val="0"/>
        <w:pageBreakBefore w:val="0"/>
        <w:widowControl/>
        <w:kinsoku/>
        <w:wordWrap/>
        <w:overflowPunct/>
        <w:topLinePunct w:val="0"/>
        <w:autoSpaceDE/>
        <w:autoSpaceDN/>
        <w:bidi w:val="0"/>
        <w:adjustRightInd/>
        <w:snapToGrid/>
        <w:spacing w:after="0" w:line="480" w:lineRule="exact"/>
        <w:jc w:val="left"/>
        <w:textAlignment w:val="auto"/>
        <w:rPr>
          <w:rFonts w:hint="eastAsia" w:ascii="仿宋_GB2312" w:hAnsi="仿宋_GB2312" w:eastAsia="仿宋_GB2312" w:cs="仿宋_GB2312"/>
          <w:kern w:val="0"/>
          <w:sz w:val="24"/>
          <w:szCs w:val="24"/>
          <w:lang w:val="en-US" w:eastAsia="zh-CN"/>
        </w:rPr>
      </w:pPr>
      <w:r>
        <w:rPr>
          <w:rFonts w:hint="default" w:ascii="仿宋_GB2312" w:hAnsi="仿宋_GB2312" w:eastAsia="仿宋_GB2312" w:cs="仿宋_GB2312"/>
          <w:kern w:val="0"/>
          <w:sz w:val="24"/>
          <w:szCs w:val="24"/>
          <w:lang w:val="en-US" w:eastAsia="zh-CN"/>
        </w:rPr>
        <w:t xml:space="preserve">料）不一致，将以技术支持资料（或证明材料）为准。对于技术规格及参数中有 </w:t>
      </w:r>
    </w:p>
    <w:p w14:paraId="43989909">
      <w:pPr>
        <w:keepNext w:val="0"/>
        <w:keepLines w:val="0"/>
        <w:pageBreakBefore w:val="0"/>
        <w:widowControl/>
        <w:kinsoku/>
        <w:wordWrap/>
        <w:overflowPunct/>
        <w:topLinePunct w:val="0"/>
        <w:autoSpaceDE/>
        <w:autoSpaceDN/>
        <w:bidi w:val="0"/>
        <w:adjustRightInd/>
        <w:snapToGrid/>
        <w:spacing w:after="0" w:line="480" w:lineRule="exact"/>
        <w:jc w:val="left"/>
        <w:textAlignment w:val="auto"/>
        <w:rPr>
          <w:rFonts w:hint="eastAsia" w:ascii="仿宋_GB2312" w:hAnsi="仿宋_GB2312" w:eastAsia="仿宋_GB2312" w:cs="仿宋_GB2312"/>
          <w:kern w:val="0"/>
          <w:sz w:val="24"/>
          <w:szCs w:val="24"/>
          <w:lang w:val="en-US" w:eastAsia="zh-CN"/>
        </w:rPr>
      </w:pPr>
      <w:r>
        <w:rPr>
          <w:rFonts w:hint="default" w:ascii="仿宋_GB2312" w:hAnsi="仿宋_GB2312" w:eastAsia="仿宋_GB2312" w:cs="仿宋_GB2312"/>
          <w:kern w:val="0"/>
          <w:sz w:val="24"/>
          <w:szCs w:val="24"/>
          <w:lang w:val="en-US" w:eastAsia="zh-CN"/>
        </w:rPr>
        <w:t xml:space="preserve">特殊要求的技术参数，投标人须在投标文件中按照招标文件技术规格及参数的要 </w:t>
      </w:r>
    </w:p>
    <w:p w14:paraId="246D0BFA">
      <w:pPr>
        <w:keepNext w:val="0"/>
        <w:keepLines w:val="0"/>
        <w:pageBreakBefore w:val="0"/>
        <w:widowControl/>
        <w:kinsoku/>
        <w:wordWrap/>
        <w:overflowPunct/>
        <w:topLinePunct w:val="0"/>
        <w:autoSpaceDE/>
        <w:autoSpaceDN/>
        <w:bidi w:val="0"/>
        <w:adjustRightInd/>
        <w:snapToGrid/>
        <w:spacing w:after="0" w:line="480" w:lineRule="exact"/>
        <w:jc w:val="left"/>
        <w:textAlignment w:val="auto"/>
        <w:rPr>
          <w:rFonts w:hint="eastAsia" w:ascii="仿宋_GB2312" w:hAnsi="仿宋_GB2312" w:eastAsia="仿宋_GB2312" w:cs="仿宋_GB2312"/>
          <w:kern w:val="0"/>
          <w:sz w:val="24"/>
          <w:szCs w:val="24"/>
          <w:lang w:val="en-US" w:eastAsia="zh-CN"/>
        </w:rPr>
      </w:pPr>
      <w:r>
        <w:rPr>
          <w:rFonts w:hint="default" w:ascii="仿宋_GB2312" w:hAnsi="仿宋_GB2312" w:eastAsia="仿宋_GB2312" w:cs="仿宋_GB2312"/>
          <w:kern w:val="0"/>
          <w:sz w:val="24"/>
          <w:szCs w:val="24"/>
          <w:lang w:val="en-US" w:eastAsia="zh-CN"/>
        </w:rPr>
        <w:t>求提供技术应答的证明材料，如技术规格及参数中无特殊要求则应提交本条款规</w:t>
      </w:r>
      <w:r>
        <w:rPr>
          <w:rFonts w:hint="eastAsia" w:ascii="仿宋_GB2312" w:hAnsi="仿宋_GB2312" w:eastAsia="仿宋_GB2312" w:cs="仿宋_GB2312"/>
          <w:kern w:val="0"/>
          <w:sz w:val="24"/>
          <w:szCs w:val="24"/>
          <w:lang w:val="en-US" w:eastAsia="zh-CN"/>
        </w:rPr>
        <w:t xml:space="preserve">定的技术支持资料。对于投标人提供的投标文件技术应答未按本条款要求提供投 </w:t>
      </w:r>
    </w:p>
    <w:p w14:paraId="3DF6545A">
      <w:pPr>
        <w:keepNext w:val="0"/>
        <w:keepLines w:val="0"/>
        <w:pageBreakBefore w:val="0"/>
        <w:widowControl/>
        <w:kinsoku/>
        <w:wordWrap/>
        <w:overflowPunct/>
        <w:topLinePunct w:val="0"/>
        <w:autoSpaceDE/>
        <w:autoSpaceDN/>
        <w:bidi w:val="0"/>
        <w:adjustRightInd/>
        <w:snapToGrid/>
        <w:spacing w:after="0" w:line="480" w:lineRule="exact"/>
        <w:jc w:val="left"/>
        <w:textAlignment w:val="auto"/>
        <w:rPr>
          <w:rFonts w:hint="eastAsia" w:ascii="仿宋_GB2312" w:hAnsi="仿宋_GB2312" w:eastAsia="仿宋_GB2312" w:cs="仿宋_GB2312"/>
          <w:kern w:val="0"/>
          <w:sz w:val="24"/>
          <w:szCs w:val="24"/>
          <w:lang w:val="en-US" w:eastAsia="zh-CN"/>
        </w:rPr>
      </w:pPr>
      <w:r>
        <w:rPr>
          <w:rFonts w:hint="default" w:ascii="仿宋_GB2312" w:hAnsi="仿宋_GB2312" w:eastAsia="仿宋_GB2312" w:cs="仿宋_GB2312"/>
          <w:kern w:val="0"/>
          <w:sz w:val="24"/>
          <w:szCs w:val="24"/>
          <w:lang w:val="en-US" w:eastAsia="zh-CN"/>
        </w:rPr>
        <w:t xml:space="preserve">标产品技术支持资料 （或证明材料）的，或提供的投标产品技术支持资料（或 </w:t>
      </w:r>
    </w:p>
    <w:p w14:paraId="2E5ED105">
      <w:pPr>
        <w:keepNext w:val="0"/>
        <w:keepLines w:val="0"/>
        <w:pageBreakBefore w:val="0"/>
        <w:widowControl/>
        <w:kinsoku/>
        <w:wordWrap/>
        <w:overflowPunct/>
        <w:topLinePunct w:val="0"/>
        <w:autoSpaceDE/>
        <w:autoSpaceDN/>
        <w:bidi w:val="0"/>
        <w:adjustRightInd/>
        <w:snapToGrid/>
        <w:spacing w:after="0" w:line="480" w:lineRule="exact"/>
        <w:jc w:val="left"/>
        <w:textAlignment w:val="auto"/>
        <w:rPr>
          <w:rFonts w:hint="eastAsia" w:ascii="仿宋_GB2312" w:hAnsi="仿宋_GB2312" w:eastAsia="仿宋_GB2312" w:cs="仿宋_GB2312"/>
          <w:kern w:val="0"/>
          <w:sz w:val="24"/>
          <w:szCs w:val="24"/>
          <w:lang w:val="en-US" w:eastAsia="zh-CN"/>
        </w:rPr>
      </w:pPr>
      <w:r>
        <w:rPr>
          <w:rFonts w:hint="default" w:ascii="仿宋_GB2312" w:hAnsi="仿宋_GB2312" w:eastAsia="仿宋_GB2312" w:cs="仿宋_GB2312"/>
          <w:kern w:val="0"/>
          <w:sz w:val="24"/>
          <w:szCs w:val="24"/>
          <w:lang w:val="en-US" w:eastAsia="zh-CN"/>
        </w:rPr>
        <w:t xml:space="preserve">证明材料）未按本条款要求同时加盖投标人公章的，评标委员会可不予承认，并 </w:t>
      </w:r>
    </w:p>
    <w:p w14:paraId="4EFC4E40">
      <w:pPr>
        <w:keepNext w:val="0"/>
        <w:keepLines w:val="0"/>
        <w:pageBreakBefore w:val="0"/>
        <w:widowControl/>
        <w:kinsoku/>
        <w:wordWrap/>
        <w:overflowPunct/>
        <w:topLinePunct w:val="0"/>
        <w:autoSpaceDE/>
        <w:autoSpaceDN/>
        <w:bidi w:val="0"/>
        <w:adjustRightInd/>
        <w:snapToGrid/>
        <w:spacing w:after="0" w:line="480" w:lineRule="exact"/>
        <w:jc w:val="left"/>
        <w:textAlignment w:val="auto"/>
        <w:rPr>
          <w:rFonts w:hint="eastAsia" w:ascii="仿宋_GB2312" w:hAnsi="仿宋_GB2312" w:eastAsia="仿宋_GB2312" w:cs="仿宋_GB2312"/>
          <w:kern w:val="0"/>
          <w:sz w:val="24"/>
          <w:szCs w:val="24"/>
          <w:lang w:val="en-US" w:eastAsia="zh-CN"/>
        </w:rPr>
      </w:pPr>
      <w:r>
        <w:rPr>
          <w:rFonts w:hint="default" w:ascii="仿宋_GB2312" w:hAnsi="仿宋_GB2312" w:eastAsia="仿宋_GB2312" w:cs="仿宋_GB2312"/>
          <w:kern w:val="0"/>
          <w:sz w:val="24"/>
          <w:szCs w:val="24"/>
          <w:lang w:val="en-US" w:eastAsia="zh-CN"/>
        </w:rPr>
        <w:t xml:space="preserve">可认为该技术应答不符合招标文件要求。由此产生的评标风险，由投标人承担。 </w:t>
      </w:r>
    </w:p>
    <w:p w14:paraId="0F1B0A62">
      <w:pPr>
        <w:keepNext w:val="0"/>
        <w:keepLines w:val="0"/>
        <w:pageBreakBefore w:val="0"/>
        <w:widowControl/>
        <w:kinsoku/>
        <w:wordWrap/>
        <w:overflowPunct/>
        <w:topLinePunct w:val="0"/>
        <w:autoSpaceDE/>
        <w:autoSpaceDN/>
        <w:bidi w:val="0"/>
        <w:adjustRightInd/>
        <w:snapToGrid/>
        <w:spacing w:after="0" w:line="480" w:lineRule="exact"/>
        <w:jc w:val="left"/>
        <w:textAlignment w:val="auto"/>
        <w:rPr>
          <w:rFonts w:hint="eastAsia" w:ascii="仿宋_GB2312" w:hAnsi="仿宋_GB2312" w:eastAsia="仿宋_GB2312" w:cs="仿宋_GB2312"/>
          <w:kern w:val="0"/>
          <w:sz w:val="24"/>
          <w:szCs w:val="24"/>
          <w:lang w:val="en-US" w:eastAsia="zh-CN"/>
        </w:rPr>
      </w:pPr>
      <w:r>
        <w:rPr>
          <w:rFonts w:hint="default" w:ascii="仿宋_GB2312" w:hAnsi="仿宋_GB2312" w:eastAsia="仿宋_GB2312" w:cs="仿宋_GB2312"/>
          <w:kern w:val="0"/>
          <w:sz w:val="24"/>
          <w:szCs w:val="24"/>
          <w:lang w:val="en-US" w:eastAsia="zh-CN"/>
        </w:rPr>
        <w:t xml:space="preserve">2、投标人所提供的所投产品技术规格应符合招标文件的要求。如所供产品存在 </w:t>
      </w:r>
    </w:p>
    <w:p w14:paraId="67E1E12F">
      <w:pPr>
        <w:keepNext w:val="0"/>
        <w:keepLines w:val="0"/>
        <w:pageBreakBefore w:val="0"/>
        <w:widowControl/>
        <w:kinsoku/>
        <w:wordWrap/>
        <w:overflowPunct/>
        <w:topLinePunct w:val="0"/>
        <w:autoSpaceDE/>
        <w:autoSpaceDN/>
        <w:bidi w:val="0"/>
        <w:adjustRightInd/>
        <w:snapToGrid/>
        <w:spacing w:after="0" w:line="480" w:lineRule="exact"/>
        <w:jc w:val="left"/>
        <w:textAlignment w:val="auto"/>
        <w:rPr>
          <w:rFonts w:hint="eastAsia" w:ascii="仿宋_GB2312" w:hAnsi="仿宋_GB2312" w:eastAsia="仿宋_GB2312" w:cs="仿宋_GB2312"/>
          <w:kern w:val="0"/>
          <w:sz w:val="24"/>
          <w:szCs w:val="24"/>
          <w:lang w:val="en-US" w:eastAsia="zh-CN"/>
        </w:rPr>
      </w:pPr>
      <w:r>
        <w:rPr>
          <w:rFonts w:hint="default" w:ascii="仿宋_GB2312" w:hAnsi="仿宋_GB2312" w:eastAsia="仿宋_GB2312" w:cs="仿宋_GB2312"/>
          <w:kern w:val="0"/>
          <w:sz w:val="24"/>
          <w:szCs w:val="24"/>
          <w:lang w:val="en-US" w:eastAsia="zh-CN"/>
        </w:rPr>
        <w:t xml:space="preserve">技术偏离，投标人应如实填写技术要求偏离表。若采购人掌握了确切事实说明某 </w:t>
      </w:r>
    </w:p>
    <w:p w14:paraId="1DD1F049">
      <w:pPr>
        <w:keepNext w:val="0"/>
        <w:keepLines w:val="0"/>
        <w:pageBreakBefore w:val="0"/>
        <w:widowControl/>
        <w:kinsoku/>
        <w:wordWrap/>
        <w:overflowPunct/>
        <w:topLinePunct w:val="0"/>
        <w:autoSpaceDE/>
        <w:autoSpaceDN/>
        <w:bidi w:val="0"/>
        <w:adjustRightInd/>
        <w:snapToGrid/>
        <w:spacing w:after="0" w:line="480" w:lineRule="exact"/>
        <w:jc w:val="left"/>
        <w:textAlignment w:val="auto"/>
        <w:rPr>
          <w:rFonts w:hint="eastAsia" w:ascii="仿宋_GB2312" w:hAnsi="仿宋_GB2312" w:eastAsia="仿宋_GB2312" w:cs="仿宋_GB2312"/>
          <w:kern w:val="0"/>
          <w:sz w:val="24"/>
          <w:szCs w:val="24"/>
          <w:lang w:val="en-US" w:eastAsia="zh-CN"/>
        </w:rPr>
      </w:pPr>
      <w:r>
        <w:rPr>
          <w:rFonts w:hint="default" w:ascii="仿宋_GB2312" w:hAnsi="仿宋_GB2312" w:eastAsia="仿宋_GB2312" w:cs="仿宋_GB2312"/>
          <w:kern w:val="0"/>
          <w:sz w:val="24"/>
          <w:szCs w:val="24"/>
          <w:lang w:val="en-US" w:eastAsia="zh-CN"/>
        </w:rPr>
        <w:t xml:space="preserve">投标人没有如实填写技术规格偏离表或有欺诈行为，该投标文件将按无效投标处 </w:t>
      </w:r>
    </w:p>
    <w:p w14:paraId="08703B50">
      <w:pPr>
        <w:keepNext w:val="0"/>
        <w:keepLines w:val="0"/>
        <w:pageBreakBefore w:val="0"/>
        <w:widowControl/>
        <w:kinsoku/>
        <w:wordWrap/>
        <w:overflowPunct/>
        <w:topLinePunct w:val="0"/>
        <w:autoSpaceDE/>
        <w:autoSpaceDN/>
        <w:bidi w:val="0"/>
        <w:adjustRightInd/>
        <w:snapToGrid/>
        <w:spacing w:after="0" w:line="480" w:lineRule="exact"/>
        <w:jc w:val="left"/>
        <w:textAlignment w:val="auto"/>
        <w:rPr>
          <w:rFonts w:hint="eastAsia" w:ascii="仿宋_GB2312" w:hAnsi="仿宋_GB2312" w:eastAsia="仿宋_GB2312" w:cs="仿宋_GB2312"/>
          <w:kern w:val="0"/>
          <w:sz w:val="24"/>
          <w:szCs w:val="24"/>
          <w:lang w:val="en-US" w:eastAsia="zh-CN"/>
        </w:rPr>
      </w:pPr>
      <w:r>
        <w:rPr>
          <w:rFonts w:hint="default" w:ascii="仿宋_GB2312" w:hAnsi="仿宋_GB2312" w:eastAsia="仿宋_GB2312" w:cs="仿宋_GB2312"/>
          <w:kern w:val="0"/>
          <w:sz w:val="24"/>
          <w:szCs w:val="24"/>
          <w:lang w:val="en-US" w:eastAsia="zh-CN"/>
        </w:rPr>
        <w:t xml:space="preserve">理。 </w:t>
      </w:r>
    </w:p>
    <w:p w14:paraId="54943D36">
      <w:pPr>
        <w:keepNext w:val="0"/>
        <w:keepLines w:val="0"/>
        <w:pageBreakBefore w:val="0"/>
        <w:widowControl/>
        <w:kinsoku/>
        <w:wordWrap/>
        <w:overflowPunct/>
        <w:topLinePunct w:val="0"/>
        <w:autoSpaceDE/>
        <w:autoSpaceDN/>
        <w:bidi w:val="0"/>
        <w:adjustRightInd/>
        <w:snapToGrid/>
        <w:spacing w:after="0" w:line="480" w:lineRule="exact"/>
        <w:jc w:val="left"/>
        <w:textAlignment w:val="auto"/>
        <w:rPr>
          <w:rFonts w:hint="eastAsia" w:ascii="仿宋_GB2312" w:hAnsi="仿宋_GB2312" w:eastAsia="仿宋_GB2312" w:cs="仿宋_GB2312"/>
          <w:kern w:val="0"/>
          <w:sz w:val="24"/>
          <w:szCs w:val="24"/>
          <w:lang w:val="en-US" w:eastAsia="zh-CN"/>
        </w:rPr>
      </w:pPr>
      <w:r>
        <w:rPr>
          <w:rFonts w:hint="default" w:ascii="仿宋_GB2312" w:hAnsi="仿宋_GB2312" w:eastAsia="仿宋_GB2312" w:cs="仿宋_GB2312"/>
          <w:kern w:val="0"/>
          <w:sz w:val="24"/>
          <w:szCs w:val="24"/>
          <w:lang w:val="en-US" w:eastAsia="zh-CN"/>
        </w:rPr>
        <w:t xml:space="preserve">3、编制响应文件时，投标人应详细列出所投产品的品牌、型号、配置参数及所 </w:t>
      </w:r>
    </w:p>
    <w:p w14:paraId="31D85882">
      <w:pPr>
        <w:keepNext w:val="0"/>
        <w:keepLines w:val="0"/>
        <w:pageBreakBefore w:val="0"/>
        <w:widowControl/>
        <w:kinsoku/>
        <w:wordWrap/>
        <w:overflowPunct/>
        <w:topLinePunct w:val="0"/>
        <w:autoSpaceDE/>
        <w:autoSpaceDN/>
        <w:bidi w:val="0"/>
        <w:adjustRightInd/>
        <w:snapToGrid/>
        <w:spacing w:after="0" w:line="480" w:lineRule="exact"/>
        <w:jc w:val="left"/>
        <w:textAlignment w:val="auto"/>
        <w:rPr>
          <w:rFonts w:hint="eastAsia" w:ascii="仿宋_GB2312" w:hAnsi="仿宋_GB2312" w:eastAsia="仿宋_GB2312" w:cs="仿宋_GB2312"/>
          <w:kern w:val="0"/>
          <w:sz w:val="24"/>
          <w:szCs w:val="24"/>
          <w:lang w:val="en-US" w:eastAsia="zh-CN"/>
        </w:rPr>
      </w:pPr>
      <w:r>
        <w:rPr>
          <w:rFonts w:hint="default" w:ascii="仿宋_GB2312" w:hAnsi="仿宋_GB2312" w:eastAsia="仿宋_GB2312" w:cs="仿宋_GB2312"/>
          <w:kern w:val="0"/>
          <w:sz w:val="24"/>
          <w:szCs w:val="24"/>
          <w:lang w:val="en-US" w:eastAsia="zh-CN"/>
        </w:rPr>
        <w:t xml:space="preserve">投产品的技术支持资料，不得复制招标文件中的技术参数，否自视为无效投标。 </w:t>
      </w:r>
    </w:p>
    <w:p w14:paraId="4DDFC4D8">
      <w:pPr>
        <w:keepNext w:val="0"/>
        <w:keepLines w:val="0"/>
        <w:pageBreakBefore w:val="0"/>
        <w:widowControl/>
        <w:kinsoku/>
        <w:wordWrap/>
        <w:overflowPunct/>
        <w:topLinePunct w:val="0"/>
        <w:autoSpaceDE/>
        <w:autoSpaceDN/>
        <w:bidi w:val="0"/>
        <w:adjustRightInd/>
        <w:snapToGrid/>
        <w:spacing w:after="0" w:line="480" w:lineRule="exact"/>
        <w:jc w:val="left"/>
        <w:textAlignment w:val="auto"/>
        <w:rPr>
          <w:rFonts w:hint="eastAsia" w:ascii="仿宋_GB2312" w:hAnsi="仿宋_GB2312" w:eastAsia="仿宋_GB2312" w:cs="仿宋_GB2312"/>
          <w:b/>
          <w:bCs/>
          <w:kern w:val="0"/>
          <w:sz w:val="24"/>
          <w:szCs w:val="24"/>
          <w:lang w:val="en-US" w:eastAsia="zh-CN"/>
        </w:rPr>
      </w:pPr>
      <w:r>
        <w:rPr>
          <w:rFonts w:hint="default" w:ascii="仿宋_GB2312" w:hAnsi="仿宋_GB2312" w:eastAsia="仿宋_GB2312" w:cs="仿宋_GB2312"/>
          <w:b/>
          <w:bCs/>
          <w:kern w:val="0"/>
          <w:sz w:val="24"/>
          <w:szCs w:val="24"/>
          <w:lang w:val="en-US" w:eastAsia="zh-CN"/>
        </w:rPr>
        <w:t>4、※投标产品属于医疗器械的，应按国家市场监督管理总局颁发的 《医疗器械注册与备案管理办法》，办理医疗器械注册证或者办理备案，</w:t>
      </w:r>
      <w:r>
        <w:rPr>
          <w:rFonts w:hint="eastAsia" w:ascii="仿宋_GB2312" w:hAnsi="仿宋_GB2312" w:eastAsia="仿宋_GB2312" w:cs="仿宋_GB2312"/>
          <w:b/>
          <w:bCs/>
          <w:kern w:val="0"/>
          <w:sz w:val="24"/>
          <w:szCs w:val="24"/>
          <w:lang w:val="en-US" w:eastAsia="zh-CN"/>
        </w:rPr>
        <w:t>提供注册或备案证书。</w:t>
      </w:r>
      <w:r>
        <w:rPr>
          <w:rFonts w:hint="default" w:ascii="仿宋_GB2312" w:hAnsi="仿宋_GB2312" w:eastAsia="仿宋_GB2312" w:cs="仿宋_GB2312"/>
          <w:b/>
          <w:bCs/>
          <w:kern w:val="0"/>
          <w:sz w:val="24"/>
          <w:szCs w:val="24"/>
          <w:lang w:val="en-US" w:eastAsia="zh-CN"/>
        </w:rPr>
        <w:t>开标后采购人或采购代理机构将通过国家药品监督管理局（https://www.nmpa.gov.cn/）进行查询，未查询到的相关产品注册信息的或网站信息与投标人所提供信息不一致的，将按无效投标处理。</w:t>
      </w:r>
    </w:p>
    <w:p w14:paraId="30436322">
      <w:pPr>
        <w:keepNext w:val="0"/>
        <w:keepLines w:val="0"/>
        <w:pageBreakBefore w:val="0"/>
        <w:widowControl/>
        <w:kinsoku/>
        <w:wordWrap/>
        <w:overflowPunct/>
        <w:topLinePunct w:val="0"/>
        <w:autoSpaceDE/>
        <w:autoSpaceDN/>
        <w:bidi w:val="0"/>
        <w:adjustRightInd/>
        <w:snapToGrid/>
        <w:spacing w:after="0" w:line="480" w:lineRule="exact"/>
        <w:jc w:val="left"/>
        <w:textAlignment w:val="auto"/>
        <w:rPr>
          <w:rFonts w:hint="eastAsia" w:ascii="仿宋_GB2312" w:hAnsi="仿宋_GB2312" w:eastAsia="仿宋_GB2312" w:cs="仿宋_GB2312"/>
          <w:kern w:val="0"/>
          <w:sz w:val="24"/>
          <w:szCs w:val="24"/>
        </w:rPr>
      </w:pPr>
    </w:p>
    <w:p w14:paraId="6EBD8531">
      <w:pPr>
        <w:rPr>
          <w:rFonts w:hint="eastAsia"/>
          <w:lang w:val="en-US" w:eastAsia="zh-CN"/>
        </w:rPr>
      </w:pPr>
      <w:r>
        <w:rPr>
          <w:rFonts w:hint="eastAsia"/>
          <w:lang w:val="en-US" w:eastAsia="zh-CN"/>
        </w:rPr>
        <w:br w:type="page"/>
      </w:r>
    </w:p>
    <w:p w14:paraId="0381B698">
      <w:pPr>
        <w:pStyle w:val="13"/>
        <w:rPr>
          <w:rFonts w:hint="eastAsia"/>
          <w:lang w:val="en-US" w:eastAsia="zh-CN"/>
        </w:rPr>
      </w:pPr>
    </w:p>
    <w:p w14:paraId="2E9583C0">
      <w:pPr>
        <w:pStyle w:val="2"/>
        <w:numPr>
          <w:ilvl w:val="0"/>
          <w:numId w:val="1"/>
        </w:numPr>
        <w:bidi w:val="0"/>
        <w:jc w:val="center"/>
        <w:rPr>
          <w:rFonts w:hint="eastAsia" w:ascii="仿宋_GB2312" w:hAnsi="仿宋_GB2312" w:eastAsia="仿宋_GB2312" w:cs="仿宋_GB2312"/>
          <w:sz w:val="32"/>
          <w:szCs w:val="32"/>
          <w:lang w:val="en-US" w:eastAsia="zh-CN"/>
        </w:rPr>
      </w:pPr>
      <w:bookmarkStart w:id="21" w:name="_Toc21893"/>
      <w:r>
        <w:rPr>
          <w:rFonts w:hint="eastAsia" w:ascii="仿宋_GB2312" w:hAnsi="仿宋_GB2312" w:eastAsia="仿宋_GB2312" w:cs="仿宋_GB2312"/>
          <w:sz w:val="32"/>
          <w:szCs w:val="32"/>
          <w:lang w:val="en-US" w:eastAsia="zh-CN"/>
        </w:rPr>
        <w:t>评标程序、评标方法和评标标准</w:t>
      </w:r>
      <w:bookmarkEnd w:id="21"/>
    </w:p>
    <w:p w14:paraId="5461BD1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p>
    <w:p w14:paraId="047B6ABF">
      <w:pPr>
        <w:keepNext w:val="0"/>
        <w:keepLines w:val="0"/>
        <w:pageBreakBefore w:val="0"/>
        <w:widowControl w:val="0"/>
        <w:numPr>
          <w:ilvl w:val="0"/>
          <w:numId w:val="14"/>
        </w:numPr>
        <w:kinsoku/>
        <w:wordWrap/>
        <w:overflowPunct/>
        <w:topLinePunct w:val="0"/>
        <w:autoSpaceDE/>
        <w:autoSpaceDN/>
        <w:bidi w:val="0"/>
        <w:adjustRightInd/>
        <w:snapToGrid/>
        <w:spacing w:line="500" w:lineRule="exact"/>
        <w:jc w:val="both"/>
        <w:textAlignment w:val="auto"/>
        <w:outlineLvl w:val="1"/>
        <w:rPr>
          <w:rFonts w:hint="eastAsia" w:ascii="仿宋_GB2312" w:hAnsi="仿宋_GB2312" w:eastAsia="仿宋_GB2312" w:cs="仿宋_GB2312"/>
          <w:b/>
          <w:bCs/>
          <w:sz w:val="24"/>
          <w:szCs w:val="24"/>
          <w:lang w:val="en-US" w:eastAsia="zh-CN"/>
        </w:rPr>
      </w:pPr>
      <w:bookmarkStart w:id="22" w:name="_Toc27440"/>
      <w:r>
        <w:rPr>
          <w:rFonts w:hint="eastAsia" w:ascii="仿宋_GB2312" w:hAnsi="仿宋_GB2312" w:eastAsia="仿宋_GB2312" w:cs="仿宋_GB2312"/>
          <w:b/>
          <w:bCs/>
          <w:sz w:val="24"/>
          <w:szCs w:val="24"/>
          <w:lang w:val="en-US" w:eastAsia="zh-CN"/>
        </w:rPr>
        <w:t>评标方法</w:t>
      </w:r>
      <w:bookmarkEnd w:id="22"/>
      <w:r>
        <w:rPr>
          <w:rFonts w:hint="eastAsia" w:ascii="仿宋_GB2312" w:hAnsi="仿宋_GB2312" w:eastAsia="仿宋_GB2312" w:cs="仿宋_GB2312"/>
          <w:b/>
          <w:bCs/>
          <w:sz w:val="24"/>
          <w:szCs w:val="24"/>
          <w:lang w:val="en-US" w:eastAsia="zh-CN"/>
        </w:rPr>
        <w:t xml:space="preserve"> </w:t>
      </w:r>
    </w:p>
    <w:p w14:paraId="51E432F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本项目采用综合评分法，是指投标文件满足招标文件全部实质性要求，且按照评审因素的量化指标评审得分最高的投标人为中标候选人的评标方法。</w:t>
      </w:r>
    </w:p>
    <w:p w14:paraId="1393023D">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_GB2312" w:hAnsi="仿宋_GB2312" w:eastAsia="仿宋_GB2312" w:cs="仿宋_GB2312"/>
          <w:b/>
          <w:bCs/>
          <w:sz w:val="24"/>
          <w:szCs w:val="24"/>
          <w:lang w:val="en-US" w:eastAsia="zh-CN"/>
        </w:rPr>
      </w:pPr>
      <w:bookmarkStart w:id="23" w:name="_Toc12617"/>
      <w:r>
        <w:rPr>
          <w:rFonts w:hint="eastAsia" w:ascii="仿宋_GB2312" w:hAnsi="仿宋_GB2312" w:eastAsia="仿宋_GB2312" w:cs="仿宋_GB2312"/>
          <w:b/>
          <w:bCs/>
          <w:sz w:val="24"/>
          <w:szCs w:val="24"/>
          <w:lang w:val="en-US" w:eastAsia="zh-CN"/>
        </w:rPr>
        <w:t>评标原则</w:t>
      </w:r>
      <w:bookmarkEnd w:id="23"/>
    </w:p>
    <w:p w14:paraId="13FA93AF">
      <w:pPr>
        <w:keepNext w:val="0"/>
        <w:keepLines w:val="0"/>
        <w:pageBreakBefore w:val="0"/>
        <w:widowControl w:val="0"/>
        <w:numPr>
          <w:ilvl w:val="1"/>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val="0"/>
          <w:bCs w:val="0"/>
          <w:sz w:val="24"/>
          <w:szCs w:val="24"/>
          <w:lang w:val="en-US" w:eastAsia="zh-CN"/>
        </w:rPr>
        <w:t>评标活动遵循公平、公正、科学和择优的原则，以招标文件和投标文件为评标的基本依据，并按照招标文件规定的评标方法和评标标准进行评标。</w:t>
      </w:r>
    </w:p>
    <w:p w14:paraId="56EB0837">
      <w:pPr>
        <w:keepNext w:val="0"/>
        <w:keepLines w:val="0"/>
        <w:pageBreakBefore w:val="0"/>
        <w:widowControl w:val="0"/>
        <w:numPr>
          <w:ilvl w:val="1"/>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具体评审事项由评标委员会负责，并按招标文件的规定办法进行评审。对招标文件中描述有歧义或前后不一致的地方，评标委员会有权按法律法规的规定进行评判，但对同一条款的评判应适用于每个投标人。</w:t>
      </w:r>
    </w:p>
    <w:p w14:paraId="1F9A0ABB">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_GB2312" w:hAnsi="仿宋_GB2312" w:eastAsia="仿宋_GB2312" w:cs="仿宋_GB2312"/>
          <w:b/>
          <w:bCs/>
          <w:sz w:val="24"/>
          <w:szCs w:val="24"/>
          <w:lang w:val="en-US" w:eastAsia="zh-CN"/>
        </w:rPr>
      </w:pPr>
      <w:bookmarkStart w:id="24" w:name="_Toc6046"/>
      <w:r>
        <w:rPr>
          <w:rFonts w:hint="eastAsia" w:ascii="仿宋_GB2312" w:hAnsi="仿宋_GB2312" w:eastAsia="仿宋_GB2312" w:cs="仿宋_GB2312"/>
          <w:b/>
          <w:bCs/>
          <w:sz w:val="24"/>
          <w:szCs w:val="24"/>
          <w:lang w:val="en-US" w:eastAsia="zh-CN"/>
        </w:rPr>
        <w:t>资格审查</w:t>
      </w:r>
      <w:bookmarkEnd w:id="24"/>
    </w:p>
    <w:p w14:paraId="3FC4CCC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开标结束后，采购人或采购代理机构将根据《资格审查要求》中的规定，对投标人进行资格审查，以确定投标人是否具备投标资格，并形成资格审查结果。资格性审查中凡有其中任意一项未通过的，评审结果为未通过，未通过资格性审查的投标人按</w:t>
      </w:r>
      <w:r>
        <w:rPr>
          <w:rFonts w:hint="eastAsia" w:ascii="仿宋_GB2312" w:hAnsi="仿宋_GB2312" w:eastAsia="仿宋_GB2312" w:cs="仿宋_GB2312"/>
          <w:b/>
          <w:bCs/>
          <w:sz w:val="24"/>
          <w:szCs w:val="24"/>
          <w:lang w:val="en-US" w:eastAsia="zh-CN"/>
        </w:rPr>
        <w:t>无效投标</w:t>
      </w:r>
      <w:r>
        <w:rPr>
          <w:rFonts w:hint="eastAsia" w:ascii="仿宋_GB2312" w:hAnsi="仿宋_GB2312" w:eastAsia="仿宋_GB2312" w:cs="仿宋_GB2312"/>
          <w:b w:val="0"/>
          <w:bCs w:val="0"/>
          <w:sz w:val="24"/>
          <w:szCs w:val="24"/>
          <w:lang w:val="en-US" w:eastAsia="zh-CN"/>
        </w:rPr>
        <w:t>处理，不进入符合性审查。资格审查要求如下：</w:t>
      </w:r>
    </w:p>
    <w:p w14:paraId="7DDF873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资格审查要求</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2536"/>
        <w:gridCol w:w="5228"/>
      </w:tblGrid>
      <w:tr w14:paraId="2CF20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32C5A10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序号</w:t>
            </w:r>
          </w:p>
        </w:tc>
        <w:tc>
          <w:tcPr>
            <w:tcW w:w="2536" w:type="dxa"/>
            <w:vAlign w:val="center"/>
          </w:tcPr>
          <w:p w14:paraId="52D512C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审查因素</w:t>
            </w:r>
          </w:p>
        </w:tc>
        <w:tc>
          <w:tcPr>
            <w:tcW w:w="5228" w:type="dxa"/>
            <w:vAlign w:val="center"/>
          </w:tcPr>
          <w:p w14:paraId="47532CB6">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审查内容</w:t>
            </w:r>
          </w:p>
        </w:tc>
      </w:tr>
      <w:tr w14:paraId="7BB61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0BC775C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w:t>
            </w:r>
          </w:p>
        </w:tc>
        <w:tc>
          <w:tcPr>
            <w:tcW w:w="2536" w:type="dxa"/>
            <w:vAlign w:val="center"/>
          </w:tcPr>
          <w:p w14:paraId="54E58E9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具有独立承担民事责任的能力</w:t>
            </w:r>
          </w:p>
        </w:tc>
        <w:tc>
          <w:tcPr>
            <w:tcW w:w="5228" w:type="dxa"/>
            <w:vAlign w:val="center"/>
          </w:tcPr>
          <w:p w14:paraId="0F6AD34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投标人为企业（包括合伙企业）的，应提供有效的“营业执照”；投标人为事业单位的，应提供有效的“事业单位法人证书”；投标人是非企业机构的，应提供有效的“执业许可证”、“登记证书”等证明文件;投标人是个体工商户的，应提供有效的“个体工商户营业执照”；投标人是自然人的，应提供有效的自然人身份证明。”（上述资料须复印件加盖公章）</w:t>
            </w:r>
          </w:p>
          <w:p w14:paraId="1E5EF2C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lang w:val="en-US" w:eastAsia="zh-CN"/>
              </w:rPr>
            </w:pPr>
            <w:r>
              <w:rPr>
                <w:rFonts w:hint="eastAsia" w:ascii="仿宋_GB2312" w:hAnsi="仿宋_GB2312" w:eastAsia="仿宋_GB2312" w:cs="仿宋_GB2312"/>
                <w:b w:val="0"/>
                <w:bCs w:val="0"/>
                <w:sz w:val="21"/>
                <w:szCs w:val="21"/>
                <w:vertAlign w:val="baseline"/>
                <w:lang w:val="en-US" w:eastAsia="zh-CN"/>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703C4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14D5BE5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2</w:t>
            </w:r>
          </w:p>
        </w:tc>
        <w:tc>
          <w:tcPr>
            <w:tcW w:w="2536" w:type="dxa"/>
            <w:vAlign w:val="center"/>
          </w:tcPr>
          <w:p w14:paraId="4DC43E1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具有良好的商业信誉和健全的财务会计制度</w:t>
            </w:r>
          </w:p>
        </w:tc>
        <w:tc>
          <w:tcPr>
            <w:tcW w:w="5228" w:type="dxa"/>
            <w:vAlign w:val="center"/>
          </w:tcPr>
          <w:p w14:paraId="4BAD0C0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须提供本单位上一年度由会计师事务所出具的财务审计报告（当上一年度审计报告未出来时（每年6月前（含）），可提供前一年度审计报告），审计报告须包括资产负债表、利润表、现金流量表、所有者权益变动（如有）及其附注（复印件并加盖本单位公章）。如投标人无法提供上年度审计报告，则需提供开标日前三个月内银行出具的资信证明原件或复印件加盖公章。如投标人注册成立不足三个月的则提供承诺书（自拟）原件。</w:t>
            </w:r>
          </w:p>
        </w:tc>
      </w:tr>
      <w:tr w14:paraId="33AB3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40F6D5D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3</w:t>
            </w:r>
          </w:p>
        </w:tc>
        <w:tc>
          <w:tcPr>
            <w:tcW w:w="2536" w:type="dxa"/>
            <w:vAlign w:val="center"/>
          </w:tcPr>
          <w:p w14:paraId="773996D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具有履行合同所必需的设备和专业技术能力</w:t>
            </w:r>
          </w:p>
        </w:tc>
        <w:tc>
          <w:tcPr>
            <w:tcW w:w="5228" w:type="dxa"/>
            <w:vAlign w:val="center"/>
          </w:tcPr>
          <w:p w14:paraId="2AB4C27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须提供具备履行合同所必需的设备和专业技术能力的书面声明原件</w:t>
            </w:r>
          </w:p>
        </w:tc>
      </w:tr>
      <w:tr w14:paraId="09DDD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003CBA6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4</w:t>
            </w:r>
          </w:p>
        </w:tc>
        <w:tc>
          <w:tcPr>
            <w:tcW w:w="2536" w:type="dxa"/>
            <w:vAlign w:val="center"/>
          </w:tcPr>
          <w:p w14:paraId="7815A1F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有依法缴纳税收和依法缴纳社会保障资金的记录</w:t>
            </w:r>
          </w:p>
        </w:tc>
        <w:tc>
          <w:tcPr>
            <w:tcW w:w="5228" w:type="dxa"/>
            <w:vAlign w:val="center"/>
          </w:tcPr>
          <w:p w14:paraId="0DF14CF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须提供投标文件递交截止日期之前六个月内任何一期的纳税记录（如投标人缴纳的增值税、所得税、印花税等我国现行税种中任意一项即可）或证明文件原件或复印件加盖公章（依法免税的和新成立不足一个月（成立时间至投标截止时间）的应提供相应文件说明）</w:t>
            </w:r>
          </w:p>
          <w:p w14:paraId="70491D6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2.须提供投标文件递交截止日期之前六个月内为员工缴纳社会保障资金的证明材料原件或复印件加盖公章（任意一个月即可），证明材料是缴纳社会保险的凭据（专用收据或社会保险缴纳清单或银行回单等）（依法不需要缴纳社会保障资金的和新成立不足一个月（成立时间至投标截止时间）的应提供相应文件说明）</w:t>
            </w:r>
          </w:p>
        </w:tc>
      </w:tr>
      <w:tr w14:paraId="75505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6595C92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5</w:t>
            </w:r>
          </w:p>
        </w:tc>
        <w:tc>
          <w:tcPr>
            <w:tcW w:w="2536" w:type="dxa"/>
            <w:vAlign w:val="center"/>
          </w:tcPr>
          <w:p w14:paraId="1C3F6F3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参加政府采购活动前三年内，在经营活动中没有重大违法记录</w:t>
            </w:r>
          </w:p>
        </w:tc>
        <w:tc>
          <w:tcPr>
            <w:tcW w:w="5228" w:type="dxa"/>
            <w:vAlign w:val="center"/>
          </w:tcPr>
          <w:p w14:paraId="2EC71AA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须提供声明函原件</w:t>
            </w:r>
          </w:p>
        </w:tc>
      </w:tr>
      <w:tr w14:paraId="4ADAB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11AE0D56">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6</w:t>
            </w:r>
          </w:p>
        </w:tc>
        <w:tc>
          <w:tcPr>
            <w:tcW w:w="2536" w:type="dxa"/>
            <w:vAlign w:val="center"/>
          </w:tcPr>
          <w:p w14:paraId="0010BAA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投标人信用记录</w:t>
            </w:r>
          </w:p>
        </w:tc>
        <w:tc>
          <w:tcPr>
            <w:tcW w:w="5228" w:type="dxa"/>
            <w:vAlign w:val="center"/>
          </w:tcPr>
          <w:p w14:paraId="2A28A56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查询渠道：信用中国网站和中国政府采购网</w:t>
            </w:r>
          </w:p>
          <w:p w14:paraId="1950377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查询时间：投标截止时间后至资格审查阶段完成；</w:t>
            </w:r>
          </w:p>
          <w:p w14:paraId="40142BE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信用信息查询记录和证据留存具体方式：查询结果网页打印页作为查询记录和证据，与其他采购文件一并保存；信用信息的使用原则：经认定的被列入失信被执行人、重大税收违法案件当事人名单、政府采购严重违法失信行为记录名单、《中华人民共和国政府采购法实施条例》第十九条规定的行政处罚记录及其他不符合《中华人民共和国政府采购法》第二十二条规定条件的供应商，其投标无效。联合体形式投标的，联合体成员存在不良信用记录，视同联合体存在不良信用记录。</w:t>
            </w:r>
          </w:p>
          <w:p w14:paraId="14567CA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无须投标人提供，由采购人或采购代理机构查询结果为准。</w:t>
            </w:r>
          </w:p>
        </w:tc>
      </w:tr>
      <w:tr w14:paraId="1AB4E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58" w:type="dxa"/>
            <w:vAlign w:val="center"/>
          </w:tcPr>
          <w:p w14:paraId="24216DE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7</w:t>
            </w:r>
          </w:p>
        </w:tc>
        <w:tc>
          <w:tcPr>
            <w:tcW w:w="2536" w:type="dxa"/>
            <w:vAlign w:val="center"/>
          </w:tcPr>
          <w:p w14:paraId="1DC930F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投标保证金</w:t>
            </w:r>
          </w:p>
        </w:tc>
        <w:tc>
          <w:tcPr>
            <w:tcW w:w="5228" w:type="dxa"/>
            <w:vAlign w:val="center"/>
          </w:tcPr>
          <w:p w14:paraId="7322D6C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按照招标文件的规定提交投标保证金</w:t>
            </w:r>
          </w:p>
        </w:tc>
      </w:tr>
      <w:tr w14:paraId="0C563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4BE2CEB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8</w:t>
            </w:r>
          </w:p>
        </w:tc>
        <w:tc>
          <w:tcPr>
            <w:tcW w:w="2536" w:type="dxa"/>
            <w:vAlign w:val="center"/>
          </w:tcPr>
          <w:p w14:paraId="797D4EC6">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落实政府采购政策</w:t>
            </w:r>
          </w:p>
          <w:p w14:paraId="700F02F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的资格要求</w:t>
            </w:r>
          </w:p>
        </w:tc>
        <w:tc>
          <w:tcPr>
            <w:tcW w:w="5228" w:type="dxa"/>
            <w:vAlign w:val="center"/>
          </w:tcPr>
          <w:p w14:paraId="434F32B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本项目专门面向中小企业，货物的制造商应符合《政府</w:t>
            </w:r>
          </w:p>
          <w:p w14:paraId="2033915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 xml:space="preserve">采购促进中小企业发展管理办法》(财库〔2020〕46 号) </w:t>
            </w:r>
          </w:p>
          <w:p w14:paraId="68086E4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第四条规定的情形，投标人提供《政府采购促进中小企</w:t>
            </w:r>
          </w:p>
          <w:p w14:paraId="3D62F04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业发展管理办法》(财库〔2020〕46 号)规定的《中小企业声明函》加盖电子签章电子件（或原件扫描件）</w:t>
            </w:r>
          </w:p>
        </w:tc>
      </w:tr>
      <w:tr w14:paraId="7EECB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58" w:type="dxa"/>
            <w:vAlign w:val="center"/>
          </w:tcPr>
          <w:p w14:paraId="64C488D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9</w:t>
            </w:r>
          </w:p>
        </w:tc>
        <w:tc>
          <w:tcPr>
            <w:tcW w:w="2536" w:type="dxa"/>
            <w:vAlign w:val="center"/>
          </w:tcPr>
          <w:p w14:paraId="6A41ACA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法律、行政法规规定的其</w:t>
            </w:r>
          </w:p>
          <w:p w14:paraId="2E3B537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他条件</w:t>
            </w:r>
          </w:p>
        </w:tc>
        <w:tc>
          <w:tcPr>
            <w:tcW w:w="5228" w:type="dxa"/>
            <w:vAlign w:val="center"/>
          </w:tcPr>
          <w:p w14:paraId="1DB5AB4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1.单位负责人为同一人或者存在直接控股、管理关系的</w:t>
            </w:r>
          </w:p>
          <w:p w14:paraId="7E5F58C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 xml:space="preserve">不同投标人，其投标将被认定为投标无效。 </w:t>
            </w:r>
          </w:p>
          <w:p w14:paraId="17E0DB8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2.为本项目提供整体设计、规范编制或者项目管理、监</w:t>
            </w:r>
          </w:p>
          <w:p w14:paraId="37B57AC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理、检测等服务的投标人，其投标将被认定为投标无效。</w:t>
            </w:r>
          </w:p>
          <w:p w14:paraId="1250098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3.法律法规和招标文件中规定的其他无效投标的情形</w:t>
            </w:r>
          </w:p>
        </w:tc>
      </w:tr>
      <w:tr w14:paraId="714EA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58" w:type="dxa"/>
            <w:vAlign w:val="center"/>
          </w:tcPr>
          <w:p w14:paraId="193A89C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10</w:t>
            </w:r>
          </w:p>
        </w:tc>
        <w:tc>
          <w:tcPr>
            <w:tcW w:w="2536" w:type="dxa"/>
            <w:vAlign w:val="center"/>
          </w:tcPr>
          <w:p w14:paraId="45D1766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本项目的特定资格要求</w:t>
            </w:r>
          </w:p>
        </w:tc>
        <w:tc>
          <w:tcPr>
            <w:tcW w:w="5228" w:type="dxa"/>
            <w:vAlign w:val="center"/>
          </w:tcPr>
          <w:p w14:paraId="463EE93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所投货物若属于医疗器械管理范畴，按照国家医疗器械监督管理条例，投标人须具有医疗器械的生产或经营资格。投标人如为代理商，所投产品属第二类医疗器械的应具有医疗器械经营备案凭证，属第三类医疗器械的应具有医疗器械经营许可证；投标人如为制造商，使用自身生产的产品投标时，所投产品属第一类医疗器械的应具有医疗器械生产备案凭证，属第二类、第三类医疗器械的应具有医疗器械生产许可证。</w:t>
            </w:r>
          </w:p>
          <w:p w14:paraId="135E463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上述证件必须为国家行政主管部门颁发的并且在有效期内的证件,提供证明文件的电子件（扫描件）或电子证照。</w:t>
            </w:r>
          </w:p>
        </w:tc>
      </w:tr>
    </w:tbl>
    <w:p w14:paraId="1BC0EB4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bCs/>
          <w:sz w:val="24"/>
          <w:szCs w:val="24"/>
          <w:lang w:val="en-US" w:eastAsia="zh-CN"/>
        </w:rPr>
      </w:pPr>
    </w:p>
    <w:p w14:paraId="07BFD200">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_GB2312" w:hAnsi="仿宋_GB2312" w:eastAsia="仿宋_GB2312" w:cs="仿宋_GB2312"/>
          <w:b/>
          <w:bCs/>
          <w:sz w:val="24"/>
          <w:szCs w:val="24"/>
          <w:lang w:val="en-US" w:eastAsia="zh-CN"/>
        </w:rPr>
      </w:pPr>
      <w:bookmarkStart w:id="25" w:name="_Toc4337"/>
      <w:r>
        <w:rPr>
          <w:rFonts w:hint="eastAsia" w:ascii="仿宋_GB2312" w:hAnsi="仿宋_GB2312" w:eastAsia="仿宋_GB2312" w:cs="仿宋_GB2312"/>
          <w:b/>
          <w:bCs/>
          <w:sz w:val="24"/>
          <w:szCs w:val="24"/>
          <w:lang w:val="en-US" w:eastAsia="zh-CN"/>
        </w:rPr>
        <w:t>符合性审查</w:t>
      </w:r>
      <w:bookmarkEnd w:id="25"/>
    </w:p>
    <w:p w14:paraId="48B3A56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评标委员会对通过资格审查的合格投标人的投标文件进行符合性审查。评标委员会根据《符合性审查要求》中规定的审查因素和审查内容，对投标人的投标文件是否实质上响应招标文件进行符合性审查，并形成符合性审查评审结果。符合性审查中凡有其中任意一项未通过的，评审结果为未通过，未通过符合性审查的投标人按无效投标处理，不进入详细评审。符合性审查要求如下：</w:t>
      </w:r>
    </w:p>
    <w:p w14:paraId="5ECFE60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符合性审查要求</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132"/>
        <w:gridCol w:w="5573"/>
      </w:tblGrid>
      <w:tr w14:paraId="0BC70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177C3A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序号</w:t>
            </w:r>
          </w:p>
        </w:tc>
        <w:tc>
          <w:tcPr>
            <w:tcW w:w="2132" w:type="dxa"/>
            <w:vAlign w:val="center"/>
          </w:tcPr>
          <w:p w14:paraId="47E0300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审查因素</w:t>
            </w:r>
          </w:p>
        </w:tc>
        <w:tc>
          <w:tcPr>
            <w:tcW w:w="5573" w:type="dxa"/>
            <w:vAlign w:val="center"/>
          </w:tcPr>
          <w:p w14:paraId="156910A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审查内容</w:t>
            </w:r>
          </w:p>
        </w:tc>
      </w:tr>
      <w:tr w14:paraId="09AF6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520941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w:t>
            </w:r>
          </w:p>
        </w:tc>
        <w:tc>
          <w:tcPr>
            <w:tcW w:w="2132" w:type="dxa"/>
            <w:vAlign w:val="center"/>
          </w:tcPr>
          <w:p w14:paraId="254F38B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授权委托书</w:t>
            </w:r>
          </w:p>
        </w:tc>
        <w:tc>
          <w:tcPr>
            <w:tcW w:w="5573" w:type="dxa"/>
            <w:vAlign w:val="center"/>
          </w:tcPr>
          <w:p w14:paraId="3BBDF14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投标文件中由法定代表人签字或盖签名章的，须提供法定代表人身份证明书；投标文件中由授权委托人签字的，须提供法定代表人授权委托书及法定代表人身份证明书。</w:t>
            </w:r>
          </w:p>
        </w:tc>
      </w:tr>
      <w:tr w14:paraId="245B0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C871486">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2</w:t>
            </w:r>
          </w:p>
        </w:tc>
        <w:tc>
          <w:tcPr>
            <w:tcW w:w="2132" w:type="dxa"/>
            <w:vAlign w:val="center"/>
          </w:tcPr>
          <w:p w14:paraId="08A4E9D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投标完整性</w:t>
            </w:r>
          </w:p>
        </w:tc>
        <w:tc>
          <w:tcPr>
            <w:tcW w:w="5573" w:type="dxa"/>
            <w:vAlign w:val="center"/>
          </w:tcPr>
          <w:p w14:paraId="674A7E86">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未将一个采购包/标项中的内容拆开投标</w:t>
            </w:r>
          </w:p>
        </w:tc>
      </w:tr>
      <w:tr w14:paraId="4FC81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204F88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3</w:t>
            </w:r>
          </w:p>
        </w:tc>
        <w:tc>
          <w:tcPr>
            <w:tcW w:w="2132" w:type="dxa"/>
            <w:vAlign w:val="center"/>
          </w:tcPr>
          <w:p w14:paraId="0CB37C4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投标报价</w:t>
            </w:r>
          </w:p>
        </w:tc>
        <w:tc>
          <w:tcPr>
            <w:tcW w:w="5573" w:type="dxa"/>
            <w:vAlign w:val="center"/>
          </w:tcPr>
          <w:p w14:paraId="375FC0C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投标报价未超过招标文件中规定的采购品目单价预算金额/单价最高限价或项目/采购包预算金额或者项目/采购包最高限价；</w:t>
            </w:r>
          </w:p>
        </w:tc>
      </w:tr>
      <w:tr w14:paraId="4B449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DD4045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4</w:t>
            </w:r>
          </w:p>
        </w:tc>
        <w:tc>
          <w:tcPr>
            <w:tcW w:w="2132" w:type="dxa"/>
            <w:vAlign w:val="center"/>
          </w:tcPr>
          <w:p w14:paraId="630B34D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报价唯一性</w:t>
            </w:r>
          </w:p>
        </w:tc>
        <w:tc>
          <w:tcPr>
            <w:tcW w:w="5573" w:type="dxa"/>
            <w:vAlign w:val="center"/>
          </w:tcPr>
          <w:p w14:paraId="142FCF7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投标文件未出现可选择性或可调整的报价（招标文件另有规定的除外）</w:t>
            </w:r>
          </w:p>
        </w:tc>
      </w:tr>
      <w:tr w14:paraId="6AB87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958D6C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5</w:t>
            </w:r>
          </w:p>
        </w:tc>
        <w:tc>
          <w:tcPr>
            <w:tcW w:w="2132" w:type="dxa"/>
            <w:vAlign w:val="center"/>
          </w:tcPr>
          <w:p w14:paraId="11682AA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投标有效期</w:t>
            </w:r>
          </w:p>
        </w:tc>
        <w:tc>
          <w:tcPr>
            <w:tcW w:w="5573" w:type="dxa"/>
            <w:vAlign w:val="center"/>
          </w:tcPr>
          <w:p w14:paraId="2CE578D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投标文件中承诺的投标有效期满足招标文件中载明的投标有效期的</w:t>
            </w:r>
          </w:p>
        </w:tc>
      </w:tr>
      <w:tr w14:paraId="0E849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E4C0A8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6</w:t>
            </w:r>
          </w:p>
        </w:tc>
        <w:tc>
          <w:tcPr>
            <w:tcW w:w="2132" w:type="dxa"/>
            <w:vAlign w:val="center"/>
          </w:tcPr>
          <w:p w14:paraId="6A78609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签署、盖章</w:t>
            </w:r>
          </w:p>
        </w:tc>
        <w:tc>
          <w:tcPr>
            <w:tcW w:w="5573" w:type="dxa"/>
            <w:vAlign w:val="center"/>
          </w:tcPr>
          <w:p w14:paraId="732CB49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按照招标文件要求签署、盖章的</w:t>
            </w:r>
          </w:p>
        </w:tc>
      </w:tr>
      <w:tr w14:paraId="25409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A96252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7</w:t>
            </w:r>
          </w:p>
        </w:tc>
        <w:tc>
          <w:tcPr>
            <w:tcW w:w="2132" w:type="dxa"/>
            <w:vAlign w:val="center"/>
          </w:tcPr>
          <w:p w14:paraId="4FD1681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采购需求的响应</w:t>
            </w:r>
          </w:p>
        </w:tc>
        <w:tc>
          <w:tcPr>
            <w:tcW w:w="5573" w:type="dxa"/>
            <w:vAlign w:val="center"/>
          </w:tcPr>
          <w:p w14:paraId="5AAC2386">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投标文件满足招标文件中※号条款要求的</w:t>
            </w:r>
          </w:p>
        </w:tc>
      </w:tr>
      <w:tr w14:paraId="377E8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39A993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8</w:t>
            </w:r>
          </w:p>
        </w:tc>
        <w:tc>
          <w:tcPr>
            <w:tcW w:w="2132" w:type="dxa"/>
            <w:vAlign w:val="center"/>
          </w:tcPr>
          <w:p w14:paraId="6D674AE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报价合理性</w:t>
            </w:r>
          </w:p>
        </w:tc>
        <w:tc>
          <w:tcPr>
            <w:tcW w:w="5573" w:type="dxa"/>
            <w:vAlign w:val="center"/>
          </w:tcPr>
          <w:p w14:paraId="05FF653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报价合理，或投标人的报价明显低于其他通过符合性审查投标人的报价，有可能影响产品质量或者不能诚信履约的，能够应评标委员会要求在规定时间内证明其报价合理性的</w:t>
            </w:r>
          </w:p>
        </w:tc>
      </w:tr>
      <w:tr w14:paraId="52F2B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7A9071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9</w:t>
            </w:r>
          </w:p>
        </w:tc>
        <w:tc>
          <w:tcPr>
            <w:tcW w:w="2132" w:type="dxa"/>
            <w:vAlign w:val="center"/>
          </w:tcPr>
          <w:p w14:paraId="28A8C3D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附加条件</w:t>
            </w:r>
          </w:p>
        </w:tc>
        <w:tc>
          <w:tcPr>
            <w:tcW w:w="5573" w:type="dxa"/>
            <w:vAlign w:val="center"/>
          </w:tcPr>
          <w:p w14:paraId="7960C64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投标文件未含有采购人不能接受的附加条件的</w:t>
            </w:r>
          </w:p>
        </w:tc>
      </w:tr>
      <w:tr w14:paraId="09F35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DACAA5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10</w:t>
            </w:r>
          </w:p>
        </w:tc>
        <w:tc>
          <w:tcPr>
            <w:tcW w:w="2132" w:type="dxa"/>
            <w:vAlign w:val="center"/>
          </w:tcPr>
          <w:p w14:paraId="6D10885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其他</w:t>
            </w:r>
          </w:p>
        </w:tc>
        <w:tc>
          <w:tcPr>
            <w:tcW w:w="5573" w:type="dxa"/>
            <w:vAlign w:val="center"/>
          </w:tcPr>
          <w:p w14:paraId="13F5FD7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投标文件中不存在违反国家法律、法规和招标文件规定的其他无效情形</w:t>
            </w:r>
          </w:p>
        </w:tc>
      </w:tr>
    </w:tbl>
    <w:p w14:paraId="5CA2148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p>
    <w:p w14:paraId="296CAACD">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_GB2312" w:hAnsi="仿宋_GB2312" w:eastAsia="仿宋_GB2312" w:cs="仿宋_GB2312"/>
          <w:b/>
          <w:bCs/>
          <w:sz w:val="24"/>
          <w:szCs w:val="24"/>
          <w:lang w:val="en-US" w:eastAsia="zh-CN"/>
        </w:rPr>
      </w:pPr>
      <w:bookmarkStart w:id="26" w:name="_Toc23924"/>
      <w:r>
        <w:rPr>
          <w:rFonts w:hint="eastAsia" w:ascii="仿宋_GB2312" w:hAnsi="仿宋_GB2312" w:eastAsia="仿宋_GB2312" w:cs="仿宋_GB2312"/>
          <w:b/>
          <w:bCs/>
          <w:sz w:val="24"/>
          <w:szCs w:val="24"/>
          <w:lang w:val="en-US" w:eastAsia="zh-CN"/>
        </w:rPr>
        <w:t>投标文件有关事项的澄清或者说明</w:t>
      </w:r>
      <w:bookmarkEnd w:id="26"/>
    </w:p>
    <w:p w14:paraId="2C61505F">
      <w:pPr>
        <w:keepNext w:val="0"/>
        <w:keepLines w:val="0"/>
        <w:pageBreakBefore w:val="0"/>
        <w:widowControl w:val="0"/>
        <w:numPr>
          <w:ilvl w:val="1"/>
          <w:numId w:val="14"/>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评标过程中，评标委员会将以书面形式要求投标人对其投标文件中含义不明确、同类问题表述不一致或者有明显文字和计算错误的内容，作出必要的澄清、说明或者补正。代理机构可根据开标环节记录的授权代表人联系方式电话告知投标人，投标人需登录电子招投标系统，在规定时间内完成澄清（响应），并加盖电子印章。若因投标人联系方式错误未接收短信、未接听电话或超时未进行澄清（响应）造成的不利后果由供应商自行承担。投标人的澄清、说明或者补正不得超出投标文件的范围或者改变投标文件的实质性内容。澄清文件将作为投标文件内容的一部分。</w:t>
      </w:r>
    </w:p>
    <w:p w14:paraId="019E4A5C">
      <w:pPr>
        <w:keepNext w:val="0"/>
        <w:keepLines w:val="0"/>
        <w:pageBreakBefore w:val="0"/>
        <w:widowControl w:val="0"/>
        <w:numPr>
          <w:ilvl w:val="1"/>
          <w:numId w:val="14"/>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仿宋_GB2312" w:hAnsi="仿宋_GB2312" w:eastAsia="仿宋_GB2312" w:cs="仿宋_GB2312"/>
          <w:b/>
          <w:bCs/>
          <w:sz w:val="24"/>
          <w:szCs w:val="24"/>
          <w:lang w:val="en-US" w:eastAsia="zh-CN"/>
        </w:rPr>
        <w:t>无效投标</w:t>
      </w:r>
      <w:r>
        <w:rPr>
          <w:rFonts w:hint="eastAsia" w:ascii="仿宋_GB2312" w:hAnsi="仿宋_GB2312" w:eastAsia="仿宋_GB2312" w:cs="仿宋_GB2312"/>
          <w:b w:val="0"/>
          <w:bCs w:val="0"/>
          <w:sz w:val="24"/>
          <w:szCs w:val="24"/>
          <w:lang w:val="en-US" w:eastAsia="zh-CN"/>
        </w:rPr>
        <w:t>处理。</w:t>
      </w:r>
    </w:p>
    <w:p w14:paraId="363E5BA0">
      <w:pPr>
        <w:keepNext w:val="0"/>
        <w:keepLines w:val="0"/>
        <w:pageBreakBefore w:val="0"/>
        <w:widowControl w:val="0"/>
        <w:numPr>
          <w:ilvl w:val="1"/>
          <w:numId w:val="14"/>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hint="eastAsia" w:ascii="仿宋_GB2312" w:hAnsi="仿宋_GB2312" w:eastAsia="仿宋_GB2312" w:cs="仿宋_GB2312"/>
          <w:b/>
          <w:bCs/>
          <w:sz w:val="24"/>
          <w:szCs w:val="24"/>
          <w:lang w:val="en-US" w:eastAsia="zh-CN"/>
        </w:rPr>
        <w:t>投标无效</w:t>
      </w:r>
      <w:r>
        <w:rPr>
          <w:rFonts w:hint="eastAsia" w:ascii="仿宋_GB2312" w:hAnsi="仿宋_GB2312" w:eastAsia="仿宋_GB2312" w:cs="仿宋_GB2312"/>
          <w:b w:val="0"/>
          <w:bCs w:val="0"/>
          <w:sz w:val="24"/>
          <w:szCs w:val="24"/>
          <w:lang w:val="en-US" w:eastAsia="zh-CN"/>
        </w:rPr>
        <w:t>。</w:t>
      </w:r>
    </w:p>
    <w:p w14:paraId="5BCD98DA">
      <w:pPr>
        <w:keepNext w:val="0"/>
        <w:keepLines w:val="0"/>
        <w:pageBreakBefore w:val="0"/>
        <w:widowControl w:val="0"/>
        <w:numPr>
          <w:ilvl w:val="1"/>
          <w:numId w:val="14"/>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评标委员会不接受投标人主动提出的澄清、说明或补正。</w:t>
      </w:r>
    </w:p>
    <w:p w14:paraId="13931DCC">
      <w:pPr>
        <w:keepNext w:val="0"/>
        <w:keepLines w:val="0"/>
        <w:pageBreakBefore w:val="0"/>
        <w:widowControl w:val="0"/>
        <w:numPr>
          <w:ilvl w:val="1"/>
          <w:numId w:val="14"/>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评标委员会对投标人提交的澄清、说明或补正有疑问的，可以要求投标人进一步澄清、说明或补正。</w:t>
      </w:r>
    </w:p>
    <w:p w14:paraId="44F8A987">
      <w:pPr>
        <w:keepNext w:val="0"/>
        <w:keepLines w:val="0"/>
        <w:pageBreakBefore w:val="0"/>
        <w:widowControl w:val="0"/>
        <w:numPr>
          <w:ilvl w:val="1"/>
          <w:numId w:val="14"/>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对报价的计算错误按以下原则修正：</w:t>
      </w:r>
    </w:p>
    <w:p w14:paraId="6BA9F2A8">
      <w:pPr>
        <w:keepNext w:val="0"/>
        <w:keepLines w:val="0"/>
        <w:pageBreakBefore w:val="0"/>
        <w:widowControl w:val="0"/>
        <w:numPr>
          <w:ilvl w:val="2"/>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文件中开标一览表内容与投标文件中相应内容不一致的，以开标一览表为准；（电子开评标系统中开标记录（开标一览表）与投标文件中开标一览表（报价表）内容不一致的，以电子开评标系统中开标记录内容为准）</w:t>
      </w:r>
    </w:p>
    <w:p w14:paraId="309BF24D">
      <w:pPr>
        <w:keepNext w:val="0"/>
        <w:keepLines w:val="0"/>
        <w:pageBreakBefore w:val="0"/>
        <w:widowControl w:val="0"/>
        <w:numPr>
          <w:ilvl w:val="2"/>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大写金额和小写金额不一致的，以大写金额为准；</w:t>
      </w:r>
    </w:p>
    <w:p w14:paraId="100B9D68">
      <w:pPr>
        <w:keepNext w:val="0"/>
        <w:keepLines w:val="0"/>
        <w:pageBreakBefore w:val="0"/>
        <w:widowControl w:val="0"/>
        <w:numPr>
          <w:ilvl w:val="2"/>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单价金额小数点或者百分比有明显错位的，以开标一览表的总价为准，并修改单价。</w:t>
      </w:r>
    </w:p>
    <w:p w14:paraId="7D27110A">
      <w:pPr>
        <w:keepNext w:val="0"/>
        <w:keepLines w:val="0"/>
        <w:pageBreakBefore w:val="0"/>
        <w:widowControl w:val="0"/>
        <w:numPr>
          <w:ilvl w:val="2"/>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总价金额与按单价汇总金额不一致的，以单价金额计算结果为准。但是单价金额计算结果超过预算金额/最高限价的，对其按</w:t>
      </w:r>
      <w:r>
        <w:rPr>
          <w:rFonts w:hint="eastAsia" w:ascii="仿宋_GB2312" w:hAnsi="仿宋_GB2312" w:eastAsia="仿宋_GB2312" w:cs="仿宋_GB2312"/>
          <w:b/>
          <w:bCs/>
          <w:sz w:val="24"/>
          <w:szCs w:val="24"/>
          <w:lang w:val="en-US" w:eastAsia="zh-CN"/>
        </w:rPr>
        <w:t>无效投标</w:t>
      </w:r>
      <w:r>
        <w:rPr>
          <w:rFonts w:hint="eastAsia" w:ascii="仿宋_GB2312" w:hAnsi="仿宋_GB2312" w:eastAsia="仿宋_GB2312" w:cs="仿宋_GB2312"/>
          <w:b w:val="0"/>
          <w:bCs w:val="0"/>
          <w:sz w:val="24"/>
          <w:szCs w:val="24"/>
          <w:lang w:val="en-US" w:eastAsia="zh-CN"/>
        </w:rPr>
        <w:t>处理。</w:t>
      </w:r>
    </w:p>
    <w:p w14:paraId="716C239D">
      <w:pPr>
        <w:keepNext w:val="0"/>
        <w:keepLines w:val="0"/>
        <w:pageBreakBefore w:val="0"/>
        <w:widowControl w:val="0"/>
        <w:numPr>
          <w:ilvl w:val="2"/>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若投标客户端上传的电子报价数据（开标一览表中的公布唱标价）与电子投标文件价格不一致的，以电子报价数据（开标一览表中的公布唱标价）为准。 </w:t>
      </w:r>
    </w:p>
    <w:p w14:paraId="2E82B2C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注：同时出现两种以上不一致的，按照前款规定的顺序在系统上进行价格澄清。澄清后的价格加盖电子印章确认后产生约束力，但不得超出投标文件的范围或者改变投标文件的实质性内容，投标人不确认的，其</w:t>
      </w:r>
      <w:r>
        <w:rPr>
          <w:rFonts w:hint="eastAsia" w:ascii="仿宋_GB2312" w:hAnsi="仿宋_GB2312" w:eastAsia="仿宋_GB2312" w:cs="仿宋_GB2312"/>
          <w:b/>
          <w:bCs/>
          <w:sz w:val="24"/>
          <w:szCs w:val="24"/>
          <w:lang w:val="en-US" w:eastAsia="zh-CN"/>
        </w:rPr>
        <w:t>投标无效</w:t>
      </w:r>
      <w:r>
        <w:rPr>
          <w:rFonts w:hint="eastAsia" w:ascii="仿宋_GB2312" w:hAnsi="仿宋_GB2312" w:eastAsia="仿宋_GB2312" w:cs="仿宋_GB2312"/>
          <w:b w:val="0"/>
          <w:bCs w:val="0"/>
          <w:sz w:val="24"/>
          <w:szCs w:val="24"/>
          <w:lang w:val="en-US" w:eastAsia="zh-CN"/>
        </w:rPr>
        <w:t>。</w:t>
      </w:r>
    </w:p>
    <w:p w14:paraId="565C9E84">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_GB2312" w:hAnsi="仿宋_GB2312" w:eastAsia="仿宋_GB2312" w:cs="仿宋_GB2312"/>
          <w:b/>
          <w:bCs/>
          <w:sz w:val="24"/>
          <w:szCs w:val="24"/>
          <w:lang w:val="en-US" w:eastAsia="zh-CN"/>
        </w:rPr>
      </w:pPr>
      <w:bookmarkStart w:id="27" w:name="_Toc22049"/>
      <w:r>
        <w:rPr>
          <w:rFonts w:hint="eastAsia" w:ascii="仿宋_GB2312" w:hAnsi="仿宋_GB2312" w:eastAsia="仿宋_GB2312" w:cs="仿宋_GB2312"/>
          <w:b/>
          <w:bCs/>
          <w:sz w:val="24"/>
          <w:szCs w:val="24"/>
          <w:lang w:val="en-US" w:eastAsia="zh-CN"/>
        </w:rPr>
        <w:t>详细评审</w:t>
      </w:r>
      <w:bookmarkEnd w:id="27"/>
    </w:p>
    <w:p w14:paraId="65F94E2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经资格审查和符合性审查合格的投标文件，评标委员会将根据《详细评审标准》，对其技术部分、商务部分及报价部分作进一步的综合比较和评价。详细评审标准如下：</w:t>
      </w:r>
    </w:p>
    <w:p w14:paraId="6736F05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详细评审标准</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994"/>
        <w:gridCol w:w="843"/>
        <w:gridCol w:w="5611"/>
      </w:tblGrid>
      <w:tr w14:paraId="16399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068" w:type="dxa"/>
            <w:gridSpan w:val="2"/>
            <w:vAlign w:val="center"/>
          </w:tcPr>
          <w:p w14:paraId="60A2DE93">
            <w:pPr>
              <w:spacing w:line="240" w:lineRule="auto"/>
              <w:ind w:left="0" w:leftChars="0" w:right="638" w:rightChars="304"/>
              <w:jc w:val="center"/>
              <w:rPr>
                <w:rFonts w:hint="eastAsia" w:ascii="仿宋" w:hAnsi="仿宋" w:eastAsia="仿宋" w:cs="仿宋"/>
                <w:b/>
                <w:bCs w:val="0"/>
                <w:color w:val="auto"/>
                <w:sz w:val="22"/>
                <w:szCs w:val="22"/>
                <w:vertAlign w:val="baseline"/>
              </w:rPr>
            </w:pPr>
            <w:r>
              <w:rPr>
                <w:rFonts w:hint="eastAsia" w:ascii="仿宋" w:hAnsi="仿宋" w:eastAsia="仿宋" w:cs="仿宋"/>
                <w:b/>
                <w:bCs w:val="0"/>
                <w:color w:val="auto"/>
                <w:kern w:val="0"/>
                <w:sz w:val="22"/>
                <w:szCs w:val="22"/>
              </w:rPr>
              <w:t>评分因素</w:t>
            </w:r>
          </w:p>
        </w:tc>
        <w:tc>
          <w:tcPr>
            <w:tcW w:w="843" w:type="dxa"/>
            <w:vAlign w:val="center"/>
          </w:tcPr>
          <w:p w14:paraId="522FEFE3">
            <w:pPr>
              <w:spacing w:line="240" w:lineRule="auto"/>
              <w:ind w:left="0" w:leftChars="0" w:right="0" w:rightChars="0"/>
              <w:jc w:val="center"/>
              <w:rPr>
                <w:rFonts w:hint="eastAsia" w:ascii="仿宋" w:hAnsi="仿宋" w:eastAsia="仿宋" w:cs="仿宋"/>
                <w:b/>
                <w:bCs w:val="0"/>
                <w:color w:val="auto"/>
                <w:sz w:val="22"/>
                <w:szCs w:val="22"/>
                <w:vertAlign w:val="baseline"/>
              </w:rPr>
            </w:pPr>
            <w:r>
              <w:rPr>
                <w:rFonts w:hint="eastAsia" w:ascii="仿宋" w:hAnsi="仿宋" w:eastAsia="仿宋" w:cs="仿宋"/>
                <w:b/>
                <w:bCs w:val="0"/>
                <w:color w:val="auto"/>
                <w:kern w:val="0"/>
                <w:sz w:val="22"/>
                <w:szCs w:val="22"/>
              </w:rPr>
              <w:t>分值</w:t>
            </w:r>
          </w:p>
        </w:tc>
        <w:tc>
          <w:tcPr>
            <w:tcW w:w="5611" w:type="dxa"/>
            <w:vAlign w:val="center"/>
          </w:tcPr>
          <w:p w14:paraId="60E38500">
            <w:pPr>
              <w:spacing w:line="240" w:lineRule="auto"/>
              <w:ind w:left="0" w:leftChars="0" w:right="-31" w:rightChars="-15"/>
              <w:jc w:val="center"/>
              <w:rPr>
                <w:rFonts w:hint="eastAsia" w:ascii="仿宋" w:hAnsi="仿宋" w:eastAsia="仿宋" w:cs="仿宋"/>
                <w:b/>
                <w:bCs w:val="0"/>
                <w:color w:val="auto"/>
                <w:sz w:val="22"/>
                <w:szCs w:val="22"/>
                <w:vertAlign w:val="baseline"/>
              </w:rPr>
            </w:pPr>
            <w:r>
              <w:rPr>
                <w:rFonts w:hint="eastAsia" w:ascii="仿宋" w:hAnsi="仿宋" w:eastAsia="仿宋" w:cs="仿宋"/>
                <w:b/>
                <w:bCs w:val="0"/>
                <w:color w:val="auto"/>
                <w:kern w:val="0"/>
                <w:sz w:val="22"/>
                <w:szCs w:val="22"/>
              </w:rPr>
              <w:t>评分细则</w:t>
            </w:r>
          </w:p>
        </w:tc>
      </w:tr>
      <w:tr w14:paraId="09282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2068" w:type="dxa"/>
            <w:gridSpan w:val="2"/>
            <w:vAlign w:val="center"/>
          </w:tcPr>
          <w:p w14:paraId="0ADC7A51">
            <w:pPr>
              <w:spacing w:line="240" w:lineRule="auto"/>
              <w:ind w:left="0" w:leftChars="0" w:right="638" w:rightChars="304"/>
              <w:jc w:val="center"/>
              <w:rPr>
                <w:rFonts w:hint="eastAsia" w:ascii="仿宋" w:hAnsi="仿宋" w:eastAsia="仿宋" w:cs="仿宋"/>
                <w:b/>
                <w:bCs w:val="0"/>
                <w:color w:val="auto"/>
                <w:kern w:val="0"/>
                <w:sz w:val="22"/>
                <w:szCs w:val="22"/>
                <w:lang w:val="en-US" w:eastAsia="zh-CN"/>
              </w:rPr>
            </w:pPr>
            <w:r>
              <w:rPr>
                <w:rFonts w:hint="eastAsia" w:ascii="仿宋" w:hAnsi="仿宋" w:eastAsia="仿宋" w:cs="仿宋"/>
                <w:b w:val="0"/>
                <w:bCs/>
                <w:color w:val="auto"/>
                <w:kern w:val="0"/>
                <w:sz w:val="22"/>
                <w:szCs w:val="22"/>
                <w:lang w:val="en-US" w:eastAsia="zh-CN"/>
              </w:rPr>
              <w:t>分值构成</w:t>
            </w:r>
          </w:p>
        </w:tc>
        <w:tc>
          <w:tcPr>
            <w:tcW w:w="6454" w:type="dxa"/>
            <w:gridSpan w:val="2"/>
            <w:vAlign w:val="center"/>
          </w:tcPr>
          <w:p w14:paraId="229A768F">
            <w:pPr>
              <w:spacing w:line="240" w:lineRule="auto"/>
              <w:ind w:left="0" w:leftChars="0" w:right="-31" w:rightChars="-15"/>
              <w:jc w:val="left"/>
              <w:rPr>
                <w:rFonts w:hint="eastAsia" w:ascii="仿宋" w:hAnsi="仿宋" w:eastAsia="仿宋" w:cs="仿宋"/>
                <w:b w:val="0"/>
                <w:bCs/>
                <w:color w:val="auto"/>
                <w:kern w:val="0"/>
                <w:sz w:val="22"/>
                <w:szCs w:val="22"/>
              </w:rPr>
            </w:pPr>
            <w:r>
              <w:rPr>
                <w:rFonts w:hint="eastAsia" w:ascii="仿宋" w:hAnsi="仿宋" w:eastAsia="仿宋" w:cs="仿宋"/>
                <w:b w:val="0"/>
                <w:bCs/>
                <w:color w:val="auto"/>
                <w:kern w:val="0"/>
                <w:sz w:val="22"/>
                <w:szCs w:val="22"/>
              </w:rPr>
              <w:t>商务部分</w:t>
            </w:r>
            <w:r>
              <w:rPr>
                <w:rFonts w:hint="eastAsia" w:ascii="仿宋" w:hAnsi="仿宋" w:eastAsia="仿宋" w:cs="仿宋"/>
                <w:b w:val="0"/>
                <w:bCs/>
                <w:color w:val="auto"/>
                <w:kern w:val="0"/>
                <w:sz w:val="22"/>
                <w:szCs w:val="22"/>
                <w:lang w:val="en-US" w:eastAsia="zh-CN"/>
              </w:rPr>
              <w:t>5</w:t>
            </w:r>
            <w:r>
              <w:rPr>
                <w:rFonts w:hint="eastAsia" w:ascii="仿宋" w:hAnsi="仿宋" w:eastAsia="仿宋" w:cs="仿宋"/>
                <w:b w:val="0"/>
                <w:bCs/>
                <w:color w:val="auto"/>
                <w:kern w:val="0"/>
                <w:sz w:val="22"/>
                <w:szCs w:val="22"/>
              </w:rPr>
              <w:t>.0分</w:t>
            </w:r>
          </w:p>
          <w:p w14:paraId="3C4C157A">
            <w:pPr>
              <w:spacing w:line="240" w:lineRule="auto"/>
              <w:ind w:left="0" w:leftChars="0" w:right="-31" w:rightChars="-15"/>
              <w:jc w:val="left"/>
              <w:rPr>
                <w:rFonts w:hint="eastAsia" w:ascii="仿宋" w:hAnsi="仿宋" w:eastAsia="仿宋" w:cs="仿宋"/>
                <w:b w:val="0"/>
                <w:bCs/>
                <w:color w:val="auto"/>
                <w:kern w:val="0"/>
                <w:sz w:val="22"/>
                <w:szCs w:val="22"/>
              </w:rPr>
            </w:pPr>
            <w:r>
              <w:rPr>
                <w:rFonts w:hint="eastAsia" w:ascii="仿宋" w:hAnsi="仿宋" w:eastAsia="仿宋" w:cs="仿宋"/>
                <w:b w:val="0"/>
                <w:bCs/>
                <w:color w:val="auto"/>
                <w:kern w:val="0"/>
                <w:sz w:val="22"/>
                <w:szCs w:val="22"/>
              </w:rPr>
              <w:t>技术部分</w:t>
            </w:r>
            <w:r>
              <w:rPr>
                <w:rFonts w:hint="eastAsia" w:ascii="仿宋" w:hAnsi="仿宋" w:eastAsia="仿宋" w:cs="仿宋"/>
                <w:b w:val="0"/>
                <w:bCs/>
                <w:color w:val="auto"/>
                <w:kern w:val="0"/>
                <w:sz w:val="22"/>
                <w:szCs w:val="22"/>
                <w:lang w:val="en-US" w:eastAsia="zh-CN"/>
              </w:rPr>
              <w:t>65</w:t>
            </w:r>
            <w:r>
              <w:rPr>
                <w:rFonts w:hint="eastAsia" w:ascii="仿宋" w:hAnsi="仿宋" w:eastAsia="仿宋" w:cs="仿宋"/>
                <w:b w:val="0"/>
                <w:bCs/>
                <w:color w:val="auto"/>
                <w:kern w:val="0"/>
                <w:sz w:val="22"/>
                <w:szCs w:val="22"/>
              </w:rPr>
              <w:t>.0分</w:t>
            </w:r>
          </w:p>
          <w:p w14:paraId="0ADDFAE4">
            <w:pPr>
              <w:spacing w:line="240" w:lineRule="auto"/>
              <w:ind w:left="0" w:leftChars="0" w:right="-31" w:rightChars="-15"/>
              <w:jc w:val="left"/>
              <w:rPr>
                <w:rFonts w:hint="eastAsia" w:ascii="仿宋" w:hAnsi="仿宋" w:eastAsia="仿宋" w:cs="仿宋"/>
                <w:b/>
                <w:bCs w:val="0"/>
                <w:color w:val="auto"/>
                <w:kern w:val="0"/>
                <w:sz w:val="22"/>
                <w:szCs w:val="22"/>
              </w:rPr>
            </w:pPr>
            <w:r>
              <w:rPr>
                <w:rFonts w:hint="eastAsia" w:ascii="仿宋" w:hAnsi="仿宋" w:eastAsia="仿宋" w:cs="仿宋"/>
                <w:b w:val="0"/>
                <w:bCs/>
                <w:color w:val="auto"/>
                <w:kern w:val="0"/>
                <w:sz w:val="22"/>
                <w:szCs w:val="22"/>
              </w:rPr>
              <w:t>报价得分</w:t>
            </w:r>
            <w:r>
              <w:rPr>
                <w:rFonts w:hint="eastAsia" w:ascii="仿宋" w:hAnsi="仿宋" w:eastAsia="仿宋" w:cs="仿宋"/>
                <w:b w:val="0"/>
                <w:bCs/>
                <w:color w:val="auto"/>
                <w:kern w:val="0"/>
                <w:sz w:val="22"/>
                <w:szCs w:val="22"/>
                <w:lang w:val="en-US" w:eastAsia="zh-CN"/>
              </w:rPr>
              <w:t>3</w:t>
            </w:r>
            <w:r>
              <w:rPr>
                <w:rFonts w:hint="eastAsia" w:ascii="仿宋" w:hAnsi="仿宋" w:eastAsia="仿宋" w:cs="仿宋"/>
                <w:b w:val="0"/>
                <w:bCs/>
                <w:color w:val="auto"/>
                <w:kern w:val="0"/>
                <w:sz w:val="22"/>
                <w:szCs w:val="22"/>
              </w:rPr>
              <w:t>0.0分</w:t>
            </w:r>
          </w:p>
        </w:tc>
      </w:tr>
      <w:tr w14:paraId="713CC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2068" w:type="dxa"/>
            <w:gridSpan w:val="2"/>
            <w:vAlign w:val="center"/>
          </w:tcPr>
          <w:p w14:paraId="416456A8">
            <w:pPr>
              <w:pStyle w:val="11"/>
              <w:spacing w:line="240" w:lineRule="auto"/>
              <w:ind w:right="8" w:rightChars="0"/>
              <w:jc w:val="center"/>
              <w:rPr>
                <w:rFonts w:hint="eastAsia" w:ascii="仿宋" w:hAnsi="仿宋" w:eastAsia="仿宋" w:cs="仿宋"/>
                <w:sz w:val="22"/>
                <w:szCs w:val="22"/>
                <w:vertAlign w:val="baseline"/>
              </w:rPr>
            </w:pPr>
            <w:r>
              <w:rPr>
                <w:rFonts w:hint="eastAsia" w:ascii="仿宋" w:hAnsi="仿宋" w:eastAsia="仿宋" w:cs="仿宋"/>
                <w:sz w:val="22"/>
                <w:szCs w:val="22"/>
                <w:vertAlign w:val="baseline"/>
                <w:lang w:val="en-US" w:eastAsia="zh-CN"/>
              </w:rPr>
              <w:t>报价</w:t>
            </w:r>
            <w:r>
              <w:rPr>
                <w:rFonts w:hint="eastAsia" w:ascii="仿宋" w:hAnsi="仿宋" w:eastAsia="仿宋" w:cs="仿宋"/>
                <w:sz w:val="22"/>
                <w:szCs w:val="22"/>
                <w:vertAlign w:val="baseline"/>
              </w:rPr>
              <w:t>部分（30 分）</w:t>
            </w:r>
          </w:p>
        </w:tc>
        <w:tc>
          <w:tcPr>
            <w:tcW w:w="843" w:type="dxa"/>
            <w:vAlign w:val="center"/>
          </w:tcPr>
          <w:p w14:paraId="759D0835">
            <w:pPr>
              <w:pStyle w:val="11"/>
              <w:spacing w:line="240" w:lineRule="auto"/>
              <w:ind w:right="0" w:rightChars="0"/>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30</w:t>
            </w:r>
          </w:p>
        </w:tc>
        <w:tc>
          <w:tcPr>
            <w:tcW w:w="5611" w:type="dxa"/>
          </w:tcPr>
          <w:p w14:paraId="79DCC4DF">
            <w:pPr>
              <w:pStyle w:val="11"/>
              <w:spacing w:line="240" w:lineRule="auto"/>
              <w:ind w:right="-31" w:rightChars="-15"/>
              <w:rPr>
                <w:rFonts w:hint="eastAsia" w:ascii="仿宋" w:hAnsi="仿宋" w:eastAsia="仿宋" w:cs="仿宋"/>
                <w:sz w:val="22"/>
                <w:szCs w:val="22"/>
                <w:vertAlign w:val="baseline"/>
              </w:rPr>
            </w:pPr>
            <w:r>
              <w:rPr>
                <w:rFonts w:hint="eastAsia" w:ascii="仿宋" w:hAnsi="仿宋" w:eastAsia="仿宋" w:cs="仿宋"/>
                <w:sz w:val="22"/>
                <w:szCs w:val="22"/>
                <w:vertAlign w:val="baseline"/>
                <w:lang w:val="en-US" w:eastAsia="zh-CN"/>
              </w:rPr>
              <w:t>满足招</w:t>
            </w:r>
            <w:r>
              <w:rPr>
                <w:rFonts w:hint="eastAsia" w:ascii="仿宋" w:hAnsi="仿宋" w:eastAsia="仿宋" w:cs="仿宋"/>
                <w:sz w:val="22"/>
                <w:szCs w:val="22"/>
                <w:vertAlign w:val="baseline"/>
              </w:rPr>
              <w:t>标文件要求且投标价格最低的有效投标报价（即除低于成本报价以外的报价）为评标基准价。其他</w:t>
            </w:r>
            <w:r>
              <w:rPr>
                <w:rFonts w:hint="eastAsia" w:ascii="仿宋" w:hAnsi="仿宋" w:eastAsia="仿宋" w:cs="仿宋"/>
                <w:sz w:val="22"/>
                <w:szCs w:val="22"/>
                <w:vertAlign w:val="baseline"/>
                <w:lang w:val="en-US" w:eastAsia="zh-CN"/>
              </w:rPr>
              <w:t>投标人</w:t>
            </w:r>
            <w:r>
              <w:rPr>
                <w:rFonts w:hint="eastAsia" w:ascii="仿宋" w:hAnsi="仿宋" w:eastAsia="仿宋" w:cs="仿宋"/>
                <w:sz w:val="22"/>
                <w:szCs w:val="22"/>
                <w:vertAlign w:val="baseline"/>
              </w:rPr>
              <w:t>的价格分统一按照下列公式计算：</w:t>
            </w:r>
          </w:p>
          <w:p w14:paraId="7C59108E">
            <w:pPr>
              <w:pStyle w:val="11"/>
              <w:spacing w:line="240" w:lineRule="auto"/>
              <w:ind w:right="-31" w:rightChars="-15"/>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rPr>
              <w:t>投标报价得分=（评标基准价/投标报价）×</w:t>
            </w:r>
            <w:r>
              <w:rPr>
                <w:rFonts w:hint="eastAsia" w:ascii="仿宋" w:hAnsi="仿宋" w:eastAsia="仿宋" w:cs="仿宋"/>
                <w:sz w:val="22"/>
                <w:szCs w:val="22"/>
                <w:vertAlign w:val="baseline"/>
                <w:lang w:val="en-US" w:eastAsia="zh-CN"/>
              </w:rPr>
              <w:t>价格满分分值</w:t>
            </w:r>
          </w:p>
        </w:tc>
      </w:tr>
      <w:tr w14:paraId="070BB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4" w:hRule="atLeast"/>
          <w:jc w:val="center"/>
        </w:trPr>
        <w:tc>
          <w:tcPr>
            <w:tcW w:w="1074" w:type="dxa"/>
            <w:tcBorders>
              <w:right w:val="single" w:color="000000" w:sz="4" w:space="0"/>
            </w:tcBorders>
            <w:vAlign w:val="center"/>
          </w:tcPr>
          <w:p w14:paraId="5F0A4C33">
            <w:pPr>
              <w:pStyle w:val="11"/>
              <w:spacing w:line="240" w:lineRule="auto"/>
              <w:ind w:right="-19" w:rightChars="-9"/>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rPr>
              <w:t>商务部分(</w:t>
            </w:r>
            <w:r>
              <w:rPr>
                <w:rFonts w:hint="eastAsia" w:ascii="仿宋" w:hAnsi="仿宋" w:eastAsia="仿宋" w:cs="仿宋"/>
                <w:sz w:val="22"/>
                <w:szCs w:val="22"/>
                <w:vertAlign w:val="baseline"/>
                <w:lang w:val="en-US" w:eastAsia="zh-CN"/>
              </w:rPr>
              <w:t>5</w:t>
            </w:r>
            <w:r>
              <w:rPr>
                <w:rFonts w:hint="eastAsia" w:ascii="仿宋" w:hAnsi="仿宋" w:eastAsia="仿宋" w:cs="仿宋"/>
                <w:sz w:val="22"/>
                <w:szCs w:val="22"/>
                <w:vertAlign w:val="baseline"/>
              </w:rPr>
              <w:t xml:space="preserve"> 分)</w:t>
            </w:r>
          </w:p>
        </w:tc>
        <w:tc>
          <w:tcPr>
            <w:tcW w:w="994" w:type="dxa"/>
            <w:tcBorders>
              <w:left w:val="single" w:color="000000" w:sz="4" w:space="0"/>
            </w:tcBorders>
            <w:vAlign w:val="center"/>
          </w:tcPr>
          <w:p w14:paraId="5F270796">
            <w:pPr>
              <w:pStyle w:val="11"/>
              <w:spacing w:line="240" w:lineRule="auto"/>
              <w:ind w:right="31" w:rightChars="15"/>
              <w:jc w:val="center"/>
              <w:rPr>
                <w:rFonts w:hint="eastAsia" w:ascii="仿宋" w:hAnsi="仿宋" w:eastAsia="仿宋" w:cs="仿宋"/>
                <w:sz w:val="22"/>
                <w:szCs w:val="22"/>
                <w:vertAlign w:val="baseline"/>
              </w:rPr>
            </w:pPr>
            <w:r>
              <w:rPr>
                <w:rFonts w:hint="eastAsia" w:ascii="仿宋" w:hAnsi="仿宋" w:eastAsia="仿宋" w:cs="仿宋"/>
                <w:sz w:val="22"/>
                <w:szCs w:val="22"/>
                <w:vertAlign w:val="baseline"/>
              </w:rPr>
              <w:t>类似项目业绩</w:t>
            </w:r>
          </w:p>
        </w:tc>
        <w:tc>
          <w:tcPr>
            <w:tcW w:w="843" w:type="dxa"/>
            <w:vAlign w:val="center"/>
          </w:tcPr>
          <w:p w14:paraId="355873BE">
            <w:pPr>
              <w:pStyle w:val="11"/>
              <w:spacing w:line="240" w:lineRule="auto"/>
              <w:ind w:right="0" w:rightChars="0"/>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5</w:t>
            </w:r>
          </w:p>
        </w:tc>
        <w:tc>
          <w:tcPr>
            <w:tcW w:w="5611" w:type="dxa"/>
          </w:tcPr>
          <w:p w14:paraId="4F2872F5">
            <w:pPr>
              <w:pStyle w:val="11"/>
              <w:spacing w:line="240" w:lineRule="auto"/>
              <w:ind w:right="-31" w:rightChars="-15"/>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根据投标产品（若为非单一产品采购包，则提供该包核心</w:t>
            </w:r>
          </w:p>
          <w:p w14:paraId="76EE97AA">
            <w:pPr>
              <w:pStyle w:val="11"/>
              <w:spacing w:line="240" w:lineRule="auto"/>
              <w:ind w:right="-31" w:rightChars="-15"/>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产品）或其同品牌的同类产品近三年（2022 年 1 月1日至本采购活动招标公告发布日期，以合同或协议签字日期为准），在中国境内的销售业绩进行评价，有 1 项业绩得1分，最高得 5 分。</w:t>
            </w:r>
          </w:p>
          <w:p w14:paraId="7A0482D1">
            <w:pPr>
              <w:pStyle w:val="11"/>
              <w:spacing w:line="240" w:lineRule="auto"/>
              <w:ind w:right="-31" w:rightChars="-15"/>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注：1.投标人需提供采购合同（含首页、采购设备品牌型</w:t>
            </w:r>
          </w:p>
          <w:p w14:paraId="6517315E">
            <w:pPr>
              <w:pStyle w:val="11"/>
              <w:spacing w:line="240" w:lineRule="auto"/>
              <w:ind w:right="-31" w:rightChars="-15"/>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号页、配置清单页、签字盖章页）复印件，否则业绩不予</w:t>
            </w:r>
          </w:p>
          <w:p w14:paraId="167EC1F1">
            <w:pPr>
              <w:pStyle w:val="11"/>
              <w:spacing w:line="240" w:lineRule="auto"/>
              <w:ind w:right="-31" w:rightChars="-15"/>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认可。</w:t>
            </w:r>
          </w:p>
          <w:p w14:paraId="07997448">
            <w:pPr>
              <w:pStyle w:val="11"/>
              <w:spacing w:line="240" w:lineRule="auto"/>
              <w:ind w:right="-31" w:rightChars="-15"/>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2.投标产品（若为非单一产品采购包，则提供该包核心产</w:t>
            </w:r>
          </w:p>
          <w:p w14:paraId="79D93D1C">
            <w:pPr>
              <w:pStyle w:val="11"/>
              <w:spacing w:line="240" w:lineRule="auto"/>
              <w:ind w:right="-31" w:rightChars="-15"/>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品）或其同品牌的同类产品销售给经销商或代理商的销售</w:t>
            </w:r>
          </w:p>
          <w:p w14:paraId="353ADEEF">
            <w:pPr>
              <w:pStyle w:val="11"/>
              <w:spacing w:line="240" w:lineRule="auto"/>
              <w:ind w:right="-31" w:rightChars="-15"/>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业绩不予认可。</w:t>
            </w:r>
          </w:p>
          <w:p w14:paraId="71E35182">
            <w:pPr>
              <w:pStyle w:val="11"/>
              <w:spacing w:line="240" w:lineRule="auto"/>
              <w:ind w:right="-31" w:rightChars="-15"/>
              <w:rPr>
                <w:rFonts w:hint="eastAsia" w:ascii="仿宋" w:hAnsi="仿宋" w:eastAsia="仿宋" w:cs="仿宋"/>
                <w:sz w:val="22"/>
                <w:szCs w:val="22"/>
                <w:vertAlign w:val="baseline"/>
              </w:rPr>
            </w:pPr>
            <w:r>
              <w:rPr>
                <w:rFonts w:hint="eastAsia" w:ascii="仿宋" w:hAnsi="仿宋" w:eastAsia="仿宋" w:cs="仿宋"/>
                <w:sz w:val="22"/>
                <w:szCs w:val="22"/>
                <w:vertAlign w:val="baseline"/>
                <w:lang w:val="en-US" w:eastAsia="zh-CN"/>
              </w:rPr>
              <w:t>3.同类型产品指与所投产品同档次、主要性能相当的产品。</w:t>
            </w:r>
          </w:p>
        </w:tc>
      </w:tr>
      <w:tr w14:paraId="1767F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1074" w:type="dxa"/>
            <w:vMerge w:val="restart"/>
            <w:tcBorders>
              <w:right w:val="single" w:color="000000" w:sz="4" w:space="0"/>
            </w:tcBorders>
            <w:vAlign w:val="center"/>
          </w:tcPr>
          <w:p w14:paraId="11E38254">
            <w:pPr>
              <w:pStyle w:val="11"/>
              <w:spacing w:line="240" w:lineRule="auto"/>
              <w:ind w:right="-19" w:rightChars="-9"/>
              <w:jc w:val="center"/>
              <w:rPr>
                <w:rFonts w:hint="eastAsia" w:ascii="仿宋" w:hAnsi="仿宋" w:eastAsia="仿宋" w:cs="仿宋"/>
                <w:sz w:val="22"/>
                <w:szCs w:val="22"/>
                <w:vertAlign w:val="baseline"/>
              </w:rPr>
            </w:pPr>
            <w:r>
              <w:rPr>
                <w:rFonts w:hint="eastAsia" w:ascii="仿宋" w:hAnsi="仿宋" w:eastAsia="仿宋" w:cs="仿宋"/>
                <w:sz w:val="22"/>
                <w:szCs w:val="22"/>
                <w:vertAlign w:val="baseline"/>
              </w:rPr>
              <w:t>技术部分 (</w:t>
            </w:r>
            <w:r>
              <w:rPr>
                <w:rFonts w:hint="eastAsia" w:ascii="仿宋" w:hAnsi="仿宋" w:eastAsia="仿宋" w:cs="仿宋"/>
                <w:sz w:val="22"/>
                <w:szCs w:val="22"/>
                <w:vertAlign w:val="baseline"/>
                <w:lang w:val="en-US" w:eastAsia="zh-CN"/>
              </w:rPr>
              <w:t>65</w:t>
            </w:r>
            <w:r>
              <w:rPr>
                <w:rFonts w:hint="eastAsia" w:ascii="仿宋" w:hAnsi="仿宋" w:eastAsia="仿宋" w:cs="仿宋"/>
                <w:sz w:val="22"/>
                <w:szCs w:val="22"/>
                <w:vertAlign w:val="baseline"/>
              </w:rPr>
              <w:t>分)</w:t>
            </w:r>
          </w:p>
        </w:tc>
        <w:tc>
          <w:tcPr>
            <w:tcW w:w="994" w:type="dxa"/>
            <w:tcBorders>
              <w:left w:val="single" w:color="000000" w:sz="4" w:space="0"/>
            </w:tcBorders>
            <w:vAlign w:val="center"/>
          </w:tcPr>
          <w:p w14:paraId="07ED7867">
            <w:pPr>
              <w:pStyle w:val="11"/>
              <w:spacing w:line="240" w:lineRule="auto"/>
              <w:ind w:right="31" w:rightChars="15"/>
              <w:jc w:val="center"/>
              <w:rPr>
                <w:rFonts w:hint="eastAsia" w:ascii="仿宋" w:hAnsi="仿宋" w:eastAsia="仿宋" w:cs="仿宋"/>
                <w:sz w:val="22"/>
                <w:szCs w:val="22"/>
                <w:vertAlign w:val="baseline"/>
              </w:rPr>
            </w:pPr>
            <w:r>
              <w:rPr>
                <w:rFonts w:hint="eastAsia" w:ascii="仿宋" w:hAnsi="仿宋" w:eastAsia="仿宋" w:cs="仿宋"/>
                <w:sz w:val="22"/>
                <w:szCs w:val="22"/>
                <w:vertAlign w:val="baseline"/>
              </w:rPr>
              <w:t>技术参数要求的响应程度</w:t>
            </w:r>
          </w:p>
        </w:tc>
        <w:tc>
          <w:tcPr>
            <w:tcW w:w="843" w:type="dxa"/>
            <w:vAlign w:val="center"/>
          </w:tcPr>
          <w:p w14:paraId="6B4F1557">
            <w:pPr>
              <w:pStyle w:val="11"/>
              <w:spacing w:line="240" w:lineRule="auto"/>
              <w:ind w:right="0" w:rightChars="0"/>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50</w:t>
            </w:r>
          </w:p>
        </w:tc>
        <w:tc>
          <w:tcPr>
            <w:tcW w:w="5611" w:type="dxa"/>
          </w:tcPr>
          <w:p w14:paraId="5991743F">
            <w:pPr>
              <w:pStyle w:val="11"/>
              <w:spacing w:line="240" w:lineRule="auto"/>
              <w:ind w:right="-31" w:rightChars="-15"/>
              <w:rPr>
                <w:rFonts w:hint="eastAsia" w:ascii="仿宋" w:hAnsi="仿宋" w:eastAsia="仿宋" w:cs="仿宋"/>
                <w:sz w:val="22"/>
                <w:szCs w:val="22"/>
                <w:vertAlign w:val="baseline"/>
              </w:rPr>
            </w:pPr>
            <w:r>
              <w:rPr>
                <w:rFonts w:hint="eastAsia" w:ascii="仿宋" w:hAnsi="仿宋" w:eastAsia="仿宋" w:cs="仿宋"/>
                <w:sz w:val="22"/>
                <w:szCs w:val="22"/>
                <w:vertAlign w:val="baseline"/>
              </w:rPr>
              <w:t>根据投标人对招标文件“第五章采购需求”中</w:t>
            </w:r>
            <w:r>
              <w:rPr>
                <w:rFonts w:hint="eastAsia" w:ascii="仿宋" w:hAnsi="仿宋" w:eastAsia="仿宋" w:cs="仿宋"/>
                <w:sz w:val="22"/>
                <w:szCs w:val="22"/>
                <w:vertAlign w:val="baseline"/>
                <w:lang w:val="en-US" w:eastAsia="zh-CN"/>
              </w:rPr>
              <w:t>的</w:t>
            </w:r>
            <w:r>
              <w:rPr>
                <w:rFonts w:hint="eastAsia" w:ascii="仿宋" w:hAnsi="仿宋" w:eastAsia="仿宋" w:cs="仿宋"/>
                <w:sz w:val="22"/>
                <w:szCs w:val="22"/>
                <w:vertAlign w:val="baseline"/>
              </w:rPr>
              <w:t>“</w:t>
            </w:r>
            <w:r>
              <w:rPr>
                <w:rFonts w:hint="eastAsia" w:ascii="仿宋" w:hAnsi="仿宋" w:eastAsia="仿宋" w:cs="仿宋"/>
                <w:sz w:val="22"/>
                <w:szCs w:val="22"/>
                <w:vertAlign w:val="baseline"/>
                <w:lang w:val="en-US" w:eastAsia="zh-CN"/>
              </w:rPr>
              <w:t>三</w:t>
            </w:r>
            <w:r>
              <w:rPr>
                <w:rFonts w:hint="eastAsia" w:ascii="仿宋" w:hAnsi="仿宋" w:eastAsia="仿宋" w:cs="仿宋"/>
                <w:sz w:val="22"/>
                <w:szCs w:val="22"/>
                <w:vertAlign w:val="baseline"/>
              </w:rPr>
              <w:t>、技术</w:t>
            </w:r>
          </w:p>
          <w:p w14:paraId="18B49C13">
            <w:pPr>
              <w:pStyle w:val="11"/>
              <w:spacing w:line="240" w:lineRule="auto"/>
              <w:ind w:right="-31" w:rightChars="-15"/>
              <w:rPr>
                <w:rFonts w:hint="eastAsia" w:ascii="仿宋" w:hAnsi="仿宋" w:eastAsia="仿宋" w:cs="仿宋"/>
                <w:sz w:val="22"/>
                <w:szCs w:val="22"/>
                <w:vertAlign w:val="baseline"/>
              </w:rPr>
            </w:pPr>
            <w:r>
              <w:rPr>
                <w:rFonts w:hint="eastAsia" w:ascii="仿宋" w:hAnsi="仿宋" w:eastAsia="仿宋" w:cs="仿宋"/>
                <w:sz w:val="22"/>
                <w:szCs w:val="22"/>
                <w:vertAlign w:val="baseline"/>
              </w:rPr>
              <w:t>要求”技术参数响应情况进行评分。完全符合响应技术参</w:t>
            </w:r>
          </w:p>
          <w:p w14:paraId="1D176177">
            <w:pPr>
              <w:pStyle w:val="11"/>
              <w:spacing w:line="240" w:lineRule="auto"/>
              <w:ind w:right="-31" w:rightChars="-15"/>
              <w:rPr>
                <w:rFonts w:hint="eastAsia" w:ascii="仿宋" w:hAnsi="仿宋" w:eastAsia="仿宋" w:cs="仿宋"/>
                <w:sz w:val="22"/>
                <w:szCs w:val="22"/>
                <w:vertAlign w:val="baseline"/>
              </w:rPr>
            </w:pPr>
            <w:r>
              <w:rPr>
                <w:rFonts w:hint="eastAsia" w:ascii="仿宋" w:hAnsi="仿宋" w:eastAsia="仿宋" w:cs="仿宋"/>
                <w:sz w:val="22"/>
                <w:szCs w:val="22"/>
                <w:vertAlign w:val="baseline"/>
              </w:rPr>
              <w:t>数，得 50 分；</w:t>
            </w:r>
          </w:p>
          <w:p w14:paraId="68BF512D">
            <w:pPr>
              <w:pStyle w:val="11"/>
              <w:spacing w:line="240" w:lineRule="auto"/>
              <w:ind w:right="-31" w:rightChars="-15"/>
              <w:rPr>
                <w:rFonts w:hint="eastAsia" w:ascii="仿宋" w:hAnsi="仿宋" w:eastAsia="仿宋" w:cs="仿宋"/>
                <w:sz w:val="22"/>
                <w:szCs w:val="22"/>
                <w:vertAlign w:val="baseline"/>
              </w:rPr>
            </w:pPr>
            <w:r>
              <w:rPr>
                <w:rFonts w:hint="eastAsia" w:ascii="仿宋" w:hAnsi="仿宋" w:eastAsia="仿宋" w:cs="仿宋"/>
                <w:sz w:val="22"/>
                <w:szCs w:val="22"/>
                <w:vertAlign w:val="baseline"/>
              </w:rPr>
              <w:t>技术要求中标注▲号的条款为重要条款</w:t>
            </w:r>
            <w:r>
              <w:rPr>
                <w:rFonts w:hint="eastAsia" w:ascii="仿宋" w:hAnsi="仿宋" w:eastAsia="仿宋" w:cs="仿宋"/>
                <w:sz w:val="22"/>
                <w:szCs w:val="22"/>
                <w:vertAlign w:val="baseline"/>
                <w:lang w:eastAsia="zh-CN"/>
              </w:rPr>
              <w:t>（</w:t>
            </w:r>
            <w:r>
              <w:rPr>
                <w:rFonts w:hint="eastAsia" w:ascii="仿宋" w:hAnsi="仿宋" w:eastAsia="仿宋" w:cs="仿宋"/>
                <w:sz w:val="22"/>
                <w:szCs w:val="22"/>
                <w:vertAlign w:val="baseline"/>
                <w:lang w:val="en-US" w:eastAsia="zh-CN"/>
              </w:rPr>
              <w:t>6条</w:t>
            </w:r>
            <w:r>
              <w:rPr>
                <w:rFonts w:hint="eastAsia" w:ascii="仿宋" w:hAnsi="仿宋" w:eastAsia="仿宋" w:cs="仿宋"/>
                <w:sz w:val="22"/>
                <w:szCs w:val="22"/>
                <w:vertAlign w:val="baseline"/>
                <w:lang w:eastAsia="zh-CN"/>
              </w:rPr>
              <w:t>）</w:t>
            </w:r>
            <w:r>
              <w:rPr>
                <w:rFonts w:hint="eastAsia" w:ascii="仿宋" w:hAnsi="仿宋" w:eastAsia="仿宋" w:cs="仿宋"/>
                <w:sz w:val="22"/>
                <w:szCs w:val="22"/>
                <w:vertAlign w:val="baseline"/>
              </w:rPr>
              <w:t xml:space="preserve">，对标注▲号的条款每出现一条负偏离扣 </w:t>
            </w:r>
            <w:r>
              <w:rPr>
                <w:rFonts w:hint="eastAsia" w:ascii="仿宋" w:hAnsi="仿宋" w:eastAsia="仿宋" w:cs="仿宋"/>
                <w:sz w:val="22"/>
                <w:szCs w:val="22"/>
                <w:vertAlign w:val="baseline"/>
                <w:lang w:val="en-US" w:eastAsia="zh-CN"/>
              </w:rPr>
              <w:t>4</w:t>
            </w:r>
            <w:r>
              <w:rPr>
                <w:rFonts w:hint="eastAsia" w:ascii="仿宋" w:hAnsi="仿宋" w:eastAsia="仿宋" w:cs="仿宋"/>
                <w:sz w:val="22"/>
                <w:szCs w:val="22"/>
                <w:vertAlign w:val="baseline"/>
              </w:rPr>
              <w:t xml:space="preserve"> 分，最多扣 </w:t>
            </w:r>
            <w:r>
              <w:rPr>
                <w:rFonts w:hint="eastAsia" w:ascii="仿宋" w:hAnsi="仿宋" w:eastAsia="仿宋" w:cs="仿宋"/>
                <w:sz w:val="22"/>
                <w:szCs w:val="22"/>
                <w:vertAlign w:val="baseline"/>
                <w:lang w:val="en-US" w:eastAsia="zh-CN"/>
              </w:rPr>
              <w:t>24</w:t>
            </w:r>
            <w:r>
              <w:rPr>
                <w:rFonts w:hint="eastAsia" w:ascii="仿宋" w:hAnsi="仿宋" w:eastAsia="仿宋" w:cs="仿宋"/>
                <w:sz w:val="22"/>
                <w:szCs w:val="22"/>
                <w:vertAlign w:val="baseline"/>
              </w:rPr>
              <w:t xml:space="preserve"> 分；对技术要求中未标注▲号和</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vertAlign w:val="baseline"/>
              </w:rPr>
              <w:t>号的一般条款偏离在 1</w:t>
            </w:r>
            <w:r>
              <w:rPr>
                <w:rFonts w:hint="eastAsia" w:ascii="仿宋" w:hAnsi="仿宋" w:eastAsia="仿宋" w:cs="仿宋"/>
                <w:sz w:val="22"/>
                <w:szCs w:val="22"/>
                <w:vertAlign w:val="baseline"/>
                <w:lang w:val="en-US" w:eastAsia="zh-CN"/>
              </w:rPr>
              <w:t>3</w:t>
            </w:r>
            <w:r>
              <w:rPr>
                <w:rFonts w:hint="eastAsia" w:ascii="仿宋" w:hAnsi="仿宋" w:eastAsia="仿宋" w:cs="仿宋"/>
                <w:sz w:val="22"/>
                <w:szCs w:val="22"/>
                <w:vertAlign w:val="baseline"/>
              </w:rPr>
              <w:t xml:space="preserve"> 项以内(含 1</w:t>
            </w:r>
            <w:r>
              <w:rPr>
                <w:rFonts w:hint="eastAsia" w:ascii="仿宋" w:hAnsi="仿宋" w:eastAsia="仿宋" w:cs="仿宋"/>
                <w:sz w:val="22"/>
                <w:szCs w:val="22"/>
                <w:vertAlign w:val="baseline"/>
                <w:lang w:val="en-US" w:eastAsia="zh-CN"/>
              </w:rPr>
              <w:t>3</w:t>
            </w:r>
            <w:r>
              <w:rPr>
                <w:rFonts w:hint="eastAsia" w:ascii="仿宋" w:hAnsi="仿宋" w:eastAsia="仿宋" w:cs="仿宋"/>
                <w:sz w:val="22"/>
                <w:szCs w:val="22"/>
                <w:vertAlign w:val="baseline"/>
              </w:rPr>
              <w:t xml:space="preserve"> 项)，每有 1 项负偏离，扣 </w:t>
            </w:r>
            <w:r>
              <w:rPr>
                <w:rFonts w:hint="eastAsia" w:ascii="仿宋" w:hAnsi="仿宋" w:eastAsia="仿宋" w:cs="仿宋"/>
                <w:sz w:val="22"/>
                <w:szCs w:val="22"/>
                <w:vertAlign w:val="baseline"/>
                <w:lang w:val="en-US" w:eastAsia="zh-CN"/>
              </w:rPr>
              <w:t>2</w:t>
            </w:r>
            <w:r>
              <w:rPr>
                <w:rFonts w:hint="eastAsia" w:ascii="仿宋" w:hAnsi="仿宋" w:eastAsia="仿宋" w:cs="仿宋"/>
                <w:sz w:val="22"/>
                <w:szCs w:val="22"/>
                <w:vertAlign w:val="baseline"/>
              </w:rPr>
              <w:t xml:space="preserve"> 分，一般条款偏离超过 1</w:t>
            </w:r>
            <w:r>
              <w:rPr>
                <w:rFonts w:hint="eastAsia" w:ascii="仿宋" w:hAnsi="仿宋" w:eastAsia="仿宋" w:cs="仿宋"/>
                <w:sz w:val="22"/>
                <w:szCs w:val="22"/>
                <w:vertAlign w:val="baseline"/>
                <w:lang w:val="en-US" w:eastAsia="zh-CN"/>
              </w:rPr>
              <w:t>4</w:t>
            </w:r>
            <w:r>
              <w:rPr>
                <w:rFonts w:hint="eastAsia" w:ascii="仿宋" w:hAnsi="仿宋" w:eastAsia="仿宋" w:cs="仿宋"/>
                <w:sz w:val="22"/>
                <w:szCs w:val="22"/>
                <w:vertAlign w:val="baseline"/>
              </w:rPr>
              <w:t xml:space="preserve"> 项(含 1</w:t>
            </w:r>
            <w:r>
              <w:rPr>
                <w:rFonts w:hint="eastAsia" w:ascii="仿宋" w:hAnsi="仿宋" w:eastAsia="仿宋" w:cs="仿宋"/>
                <w:sz w:val="22"/>
                <w:szCs w:val="22"/>
                <w:vertAlign w:val="baseline"/>
                <w:lang w:val="en-US" w:eastAsia="zh-CN"/>
              </w:rPr>
              <w:t>4</w:t>
            </w:r>
            <w:r>
              <w:rPr>
                <w:rFonts w:hint="eastAsia" w:ascii="仿宋" w:hAnsi="仿宋" w:eastAsia="仿宋" w:cs="仿宋"/>
                <w:sz w:val="22"/>
                <w:szCs w:val="22"/>
                <w:vertAlign w:val="baseline"/>
              </w:rPr>
              <w:t xml:space="preserve"> 项)，投标无效。</w:t>
            </w:r>
          </w:p>
          <w:p w14:paraId="167110E5">
            <w:pPr>
              <w:pStyle w:val="11"/>
              <w:spacing w:line="240" w:lineRule="auto"/>
              <w:ind w:right="-31" w:rightChars="-15"/>
              <w:rPr>
                <w:rFonts w:hint="eastAsia" w:ascii="仿宋" w:hAnsi="仿宋" w:eastAsia="仿宋" w:cs="仿宋"/>
                <w:sz w:val="22"/>
                <w:szCs w:val="22"/>
                <w:vertAlign w:val="baseline"/>
              </w:rPr>
            </w:pPr>
            <w:r>
              <w:rPr>
                <w:rFonts w:hint="eastAsia" w:ascii="仿宋" w:hAnsi="仿宋" w:eastAsia="仿宋" w:cs="仿宋"/>
                <w:sz w:val="22"/>
                <w:szCs w:val="22"/>
                <w:vertAlign w:val="baseline"/>
              </w:rPr>
              <w:t>注：</w:t>
            </w:r>
          </w:p>
          <w:p w14:paraId="5AA14186">
            <w:pPr>
              <w:pStyle w:val="11"/>
              <w:spacing w:line="240" w:lineRule="auto"/>
              <w:ind w:right="-31" w:rightChars="-15"/>
              <w:rPr>
                <w:rFonts w:hint="eastAsia" w:ascii="仿宋" w:hAnsi="仿宋" w:eastAsia="仿宋" w:cs="仿宋"/>
                <w:sz w:val="22"/>
                <w:szCs w:val="22"/>
                <w:vertAlign w:val="baseline"/>
              </w:rPr>
            </w:pPr>
            <w:r>
              <w:rPr>
                <w:rFonts w:hint="eastAsia" w:ascii="仿宋" w:hAnsi="仿宋" w:eastAsia="仿宋" w:cs="仿宋"/>
                <w:sz w:val="22"/>
                <w:szCs w:val="22"/>
                <w:vertAlign w:val="baseline"/>
              </w:rPr>
              <w:t>1.投标人须对本招标文件技术要求进行点对点应答，必须</w:t>
            </w:r>
          </w:p>
          <w:p w14:paraId="361AA585">
            <w:pPr>
              <w:pStyle w:val="11"/>
              <w:spacing w:line="240" w:lineRule="auto"/>
              <w:ind w:right="-31" w:rightChars="-15"/>
              <w:rPr>
                <w:rFonts w:hint="eastAsia" w:ascii="仿宋" w:hAnsi="仿宋" w:eastAsia="仿宋" w:cs="仿宋"/>
                <w:sz w:val="22"/>
                <w:szCs w:val="22"/>
                <w:vertAlign w:val="baseline"/>
              </w:rPr>
            </w:pPr>
            <w:r>
              <w:rPr>
                <w:rFonts w:hint="eastAsia" w:ascii="仿宋" w:hAnsi="仿宋" w:eastAsia="仿宋" w:cs="仿宋"/>
                <w:sz w:val="22"/>
                <w:szCs w:val="22"/>
                <w:vertAlign w:val="baseline"/>
              </w:rPr>
              <w:t>在引用本采购文件的基础上,进行逐条逐项答复、说明和</w:t>
            </w:r>
          </w:p>
          <w:p w14:paraId="421EF9FA">
            <w:pPr>
              <w:pStyle w:val="11"/>
              <w:spacing w:line="240" w:lineRule="auto"/>
              <w:ind w:right="-31" w:rightChars="-15"/>
              <w:rPr>
                <w:rFonts w:hint="eastAsia" w:ascii="仿宋" w:hAnsi="仿宋" w:eastAsia="仿宋" w:cs="仿宋"/>
                <w:sz w:val="22"/>
                <w:szCs w:val="22"/>
                <w:vertAlign w:val="baseline"/>
              </w:rPr>
            </w:pPr>
            <w:r>
              <w:rPr>
                <w:rFonts w:hint="eastAsia" w:ascii="仿宋" w:hAnsi="仿宋" w:eastAsia="仿宋" w:cs="仿宋"/>
                <w:sz w:val="22"/>
                <w:szCs w:val="22"/>
                <w:vertAlign w:val="baseline"/>
              </w:rPr>
              <w:t>解释,特别对有具体参数要求的指标，投标人必须提供所</w:t>
            </w:r>
          </w:p>
          <w:p w14:paraId="4762B15D">
            <w:pPr>
              <w:pStyle w:val="11"/>
              <w:spacing w:line="240" w:lineRule="auto"/>
              <w:ind w:right="-31" w:rightChars="-15"/>
              <w:rPr>
                <w:rFonts w:hint="eastAsia" w:ascii="仿宋" w:hAnsi="仿宋" w:eastAsia="仿宋" w:cs="仿宋"/>
                <w:sz w:val="22"/>
                <w:szCs w:val="22"/>
                <w:vertAlign w:val="baseline"/>
              </w:rPr>
            </w:pPr>
            <w:r>
              <w:rPr>
                <w:rFonts w:hint="eastAsia" w:ascii="仿宋" w:hAnsi="仿宋" w:eastAsia="仿宋" w:cs="仿宋"/>
                <w:sz w:val="22"/>
                <w:szCs w:val="22"/>
                <w:vertAlign w:val="baseline"/>
              </w:rPr>
              <w:t>投货物的具体参数值。</w:t>
            </w:r>
          </w:p>
          <w:p w14:paraId="3B3F9C66">
            <w:pPr>
              <w:pStyle w:val="11"/>
              <w:spacing w:line="240" w:lineRule="auto"/>
              <w:ind w:right="-31" w:rightChars="-15"/>
              <w:rPr>
                <w:rFonts w:hint="eastAsia" w:ascii="仿宋" w:hAnsi="仿宋" w:eastAsia="仿宋" w:cs="仿宋"/>
                <w:sz w:val="22"/>
                <w:szCs w:val="22"/>
                <w:vertAlign w:val="baseline"/>
              </w:rPr>
            </w:pPr>
            <w:r>
              <w:rPr>
                <w:rFonts w:hint="eastAsia" w:ascii="仿宋" w:hAnsi="仿宋" w:eastAsia="仿宋" w:cs="仿宋"/>
                <w:sz w:val="22"/>
                <w:szCs w:val="22"/>
                <w:vertAlign w:val="baseline"/>
              </w:rPr>
              <w:t>2.投标人在本表中须标注产品实际参数数值，经评标委员</w:t>
            </w:r>
          </w:p>
          <w:p w14:paraId="48FC9F5A">
            <w:pPr>
              <w:pStyle w:val="11"/>
              <w:spacing w:line="240" w:lineRule="auto"/>
              <w:ind w:right="-31" w:rightChars="-15"/>
              <w:rPr>
                <w:rFonts w:hint="eastAsia" w:ascii="仿宋" w:hAnsi="仿宋" w:eastAsia="仿宋" w:cs="仿宋"/>
                <w:sz w:val="22"/>
                <w:szCs w:val="22"/>
                <w:vertAlign w:val="baseline"/>
              </w:rPr>
            </w:pPr>
            <w:r>
              <w:rPr>
                <w:rFonts w:hint="eastAsia" w:ascii="仿宋" w:hAnsi="仿宋" w:eastAsia="仿宋" w:cs="仿宋"/>
                <w:sz w:val="22"/>
                <w:szCs w:val="22"/>
                <w:vertAlign w:val="baseline"/>
              </w:rPr>
              <w:t>会认定为投标人照搬照抄招标文件参数、不注明实际数值</w:t>
            </w:r>
          </w:p>
          <w:p w14:paraId="404504F1">
            <w:pPr>
              <w:pStyle w:val="11"/>
              <w:spacing w:line="240" w:lineRule="auto"/>
              <w:ind w:right="-31" w:rightChars="-15"/>
              <w:rPr>
                <w:rFonts w:hint="eastAsia" w:ascii="仿宋" w:hAnsi="仿宋" w:eastAsia="仿宋" w:cs="仿宋"/>
                <w:sz w:val="22"/>
                <w:szCs w:val="22"/>
                <w:vertAlign w:val="baseline"/>
              </w:rPr>
            </w:pPr>
            <w:r>
              <w:rPr>
                <w:rFonts w:hint="eastAsia" w:ascii="仿宋" w:hAnsi="仿宋" w:eastAsia="仿宋" w:cs="仿宋"/>
                <w:sz w:val="22"/>
                <w:szCs w:val="22"/>
                <w:vertAlign w:val="baseline"/>
              </w:rPr>
              <w:t>者视为未响应。此条技术条款按负偏离处理。</w:t>
            </w:r>
          </w:p>
        </w:tc>
      </w:tr>
      <w:tr w14:paraId="08C9E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0" w:hRule="atLeast"/>
          <w:jc w:val="center"/>
        </w:trPr>
        <w:tc>
          <w:tcPr>
            <w:tcW w:w="1074" w:type="dxa"/>
            <w:vMerge w:val="continue"/>
            <w:tcBorders>
              <w:right w:val="single" w:color="000000" w:sz="4" w:space="0"/>
            </w:tcBorders>
            <w:vAlign w:val="center"/>
          </w:tcPr>
          <w:p w14:paraId="57D5B329">
            <w:pPr>
              <w:pStyle w:val="11"/>
              <w:spacing w:line="240" w:lineRule="auto"/>
              <w:ind w:right="638" w:rightChars="304"/>
              <w:jc w:val="center"/>
              <w:rPr>
                <w:rFonts w:hint="eastAsia" w:ascii="仿宋" w:hAnsi="仿宋" w:eastAsia="仿宋" w:cs="仿宋"/>
                <w:sz w:val="22"/>
                <w:szCs w:val="22"/>
                <w:vertAlign w:val="baseline"/>
              </w:rPr>
            </w:pPr>
          </w:p>
        </w:tc>
        <w:tc>
          <w:tcPr>
            <w:tcW w:w="994" w:type="dxa"/>
            <w:tcBorders>
              <w:left w:val="single" w:color="000000" w:sz="4" w:space="0"/>
            </w:tcBorders>
            <w:vAlign w:val="center"/>
          </w:tcPr>
          <w:p w14:paraId="2FCE8BEE">
            <w:pPr>
              <w:pStyle w:val="11"/>
              <w:spacing w:line="240" w:lineRule="auto"/>
              <w:ind w:right="31" w:rightChars="15"/>
              <w:jc w:val="center"/>
              <w:rPr>
                <w:rFonts w:hint="eastAsia" w:ascii="仿宋" w:hAnsi="仿宋" w:eastAsia="仿宋" w:cs="仿宋"/>
                <w:sz w:val="22"/>
                <w:szCs w:val="22"/>
                <w:vertAlign w:val="baseline"/>
              </w:rPr>
            </w:pPr>
            <w:r>
              <w:rPr>
                <w:rFonts w:hint="eastAsia" w:ascii="仿宋" w:hAnsi="仿宋" w:eastAsia="仿宋" w:cs="仿宋"/>
                <w:sz w:val="22"/>
                <w:szCs w:val="22"/>
                <w:vertAlign w:val="baseline"/>
              </w:rPr>
              <w:t>售后服务方案</w:t>
            </w:r>
          </w:p>
        </w:tc>
        <w:tc>
          <w:tcPr>
            <w:tcW w:w="843" w:type="dxa"/>
            <w:vAlign w:val="center"/>
          </w:tcPr>
          <w:p w14:paraId="1009DD2B">
            <w:pPr>
              <w:pStyle w:val="11"/>
              <w:spacing w:line="240" w:lineRule="auto"/>
              <w:ind w:right="0" w:rightChars="0"/>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10</w:t>
            </w:r>
          </w:p>
        </w:tc>
        <w:tc>
          <w:tcPr>
            <w:tcW w:w="5611" w:type="dxa"/>
          </w:tcPr>
          <w:p w14:paraId="14B10BF0">
            <w:pPr>
              <w:pStyle w:val="11"/>
              <w:spacing w:line="240" w:lineRule="auto"/>
              <w:ind w:right="-31" w:rightChars="-15"/>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供应商须针对本项目提供详细的售后服务方案（包含但不限于售后服务具体内容、售后服务人员信息及服务电话、服务响应时间和故障处理措施、备品备件保证、质保期外维保方案等）：</w:t>
            </w:r>
          </w:p>
          <w:p w14:paraId="140E1275">
            <w:pPr>
              <w:pStyle w:val="11"/>
              <w:spacing w:line="240" w:lineRule="auto"/>
              <w:ind w:right="-31" w:rightChars="-15"/>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①方案包含上述五项内容，且内容阐述完整详实，符合项目实际，条理逻辑清晰，可操作性强，得 10 分。</w:t>
            </w:r>
          </w:p>
          <w:p w14:paraId="18ADD2A8">
            <w:pPr>
              <w:pStyle w:val="11"/>
              <w:spacing w:line="240" w:lineRule="auto"/>
              <w:ind w:right="-31" w:rightChars="-15"/>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②方案中每缺少上述一项内容扣 2 分，针对上述任一项内容，供应商的叙述不完整或不符合项目实际需求或不足或具有瑕疵的，扣 1 分，最多扣 10 分；</w:t>
            </w:r>
          </w:p>
          <w:p w14:paraId="1CDAE220">
            <w:pPr>
              <w:pStyle w:val="11"/>
              <w:spacing w:line="240" w:lineRule="auto"/>
              <w:ind w:right="-31" w:rightChars="-15"/>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③未提供方案或方案明显与本项目不符的，得 0 分。</w:t>
            </w:r>
          </w:p>
          <w:p w14:paraId="1ABCB496">
            <w:pPr>
              <w:pStyle w:val="11"/>
              <w:spacing w:line="240" w:lineRule="auto"/>
              <w:ind w:right="-31" w:rightChars="-15"/>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注：本项所称“不足或瑕疵”指内容不完整或缺少关键点；</w:t>
            </w:r>
          </w:p>
          <w:p w14:paraId="3DF7EF72">
            <w:pPr>
              <w:pStyle w:val="11"/>
              <w:spacing w:line="240" w:lineRule="auto"/>
              <w:ind w:right="-31" w:rightChars="-15"/>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非专门针对本项目或不适用本项目特性、套用其他项目内容；对同一问题前后表述矛盾；存在逻辑漏洞、科学原理或常识错误；不利于本项目目标的实现、现有技术条件下不可能实现的情形等以上任意一种情形。</w:t>
            </w:r>
          </w:p>
        </w:tc>
      </w:tr>
      <w:tr w14:paraId="6D93F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4" w:hRule="atLeast"/>
          <w:jc w:val="center"/>
        </w:trPr>
        <w:tc>
          <w:tcPr>
            <w:tcW w:w="1074" w:type="dxa"/>
            <w:vMerge w:val="continue"/>
            <w:tcBorders>
              <w:right w:val="single" w:color="000000" w:sz="4" w:space="0"/>
            </w:tcBorders>
            <w:vAlign w:val="center"/>
          </w:tcPr>
          <w:p w14:paraId="1C8B77D3">
            <w:pPr>
              <w:pStyle w:val="11"/>
              <w:spacing w:line="240" w:lineRule="auto"/>
              <w:ind w:right="638" w:rightChars="304"/>
              <w:jc w:val="center"/>
              <w:rPr>
                <w:rFonts w:hint="eastAsia" w:ascii="仿宋" w:hAnsi="仿宋" w:eastAsia="仿宋" w:cs="仿宋"/>
                <w:sz w:val="22"/>
                <w:szCs w:val="22"/>
                <w:vertAlign w:val="baseline"/>
              </w:rPr>
            </w:pPr>
          </w:p>
        </w:tc>
        <w:tc>
          <w:tcPr>
            <w:tcW w:w="994" w:type="dxa"/>
            <w:tcBorders>
              <w:left w:val="single" w:color="000000" w:sz="4" w:space="0"/>
            </w:tcBorders>
            <w:vAlign w:val="center"/>
          </w:tcPr>
          <w:p w14:paraId="4D20706F">
            <w:pPr>
              <w:pStyle w:val="11"/>
              <w:spacing w:line="240" w:lineRule="auto"/>
              <w:ind w:right="31" w:rightChars="15"/>
              <w:jc w:val="center"/>
              <w:rPr>
                <w:rFonts w:hint="eastAsia" w:ascii="仿宋" w:hAnsi="仿宋" w:eastAsia="仿宋" w:cs="仿宋"/>
                <w:sz w:val="22"/>
                <w:szCs w:val="22"/>
                <w:vertAlign w:val="baseline"/>
              </w:rPr>
            </w:pPr>
            <w:r>
              <w:rPr>
                <w:rFonts w:hint="eastAsia" w:ascii="仿宋" w:hAnsi="仿宋" w:eastAsia="仿宋" w:cs="仿宋"/>
                <w:sz w:val="22"/>
                <w:szCs w:val="22"/>
                <w:vertAlign w:val="baseline"/>
              </w:rPr>
              <w:t>培训方</w:t>
            </w:r>
          </w:p>
          <w:p w14:paraId="2BDA8ADF">
            <w:pPr>
              <w:pStyle w:val="11"/>
              <w:spacing w:line="240" w:lineRule="auto"/>
              <w:ind w:right="31" w:rightChars="15"/>
              <w:jc w:val="center"/>
              <w:rPr>
                <w:rFonts w:hint="eastAsia" w:ascii="仿宋" w:hAnsi="仿宋" w:eastAsia="仿宋" w:cs="仿宋"/>
                <w:sz w:val="22"/>
                <w:szCs w:val="22"/>
                <w:vertAlign w:val="baseline"/>
              </w:rPr>
            </w:pPr>
            <w:r>
              <w:rPr>
                <w:rFonts w:hint="eastAsia" w:ascii="仿宋" w:hAnsi="仿宋" w:eastAsia="仿宋" w:cs="仿宋"/>
                <w:sz w:val="22"/>
                <w:szCs w:val="22"/>
                <w:vertAlign w:val="baseline"/>
              </w:rPr>
              <w:t>案</w:t>
            </w:r>
          </w:p>
        </w:tc>
        <w:tc>
          <w:tcPr>
            <w:tcW w:w="843" w:type="dxa"/>
            <w:vAlign w:val="center"/>
          </w:tcPr>
          <w:p w14:paraId="4C8CA21F">
            <w:pPr>
              <w:pStyle w:val="11"/>
              <w:spacing w:line="240" w:lineRule="auto"/>
              <w:ind w:right="0" w:rightChars="0"/>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5</w:t>
            </w:r>
          </w:p>
        </w:tc>
        <w:tc>
          <w:tcPr>
            <w:tcW w:w="5611" w:type="dxa"/>
          </w:tcPr>
          <w:p w14:paraId="35F4BA11">
            <w:pPr>
              <w:pStyle w:val="11"/>
              <w:spacing w:line="240" w:lineRule="auto"/>
              <w:ind w:right="-31" w:rightChars="-15"/>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供应商须针对本项目提供详细的培训方案（包含但不限于</w:t>
            </w:r>
          </w:p>
          <w:p w14:paraId="4567A23D">
            <w:pPr>
              <w:pStyle w:val="11"/>
              <w:spacing w:line="240" w:lineRule="auto"/>
              <w:ind w:right="-31" w:rightChars="-15"/>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培训方式、培训目标、培训人员、培训内容、培训承诺等）：</w:t>
            </w:r>
          </w:p>
          <w:p w14:paraId="4F0D4455">
            <w:pPr>
              <w:pStyle w:val="11"/>
              <w:spacing w:line="240" w:lineRule="auto"/>
              <w:ind w:right="-31" w:rightChars="-15"/>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①方案包含上述五项内容，且内容阐述完整详实，符合项</w:t>
            </w:r>
          </w:p>
          <w:p w14:paraId="0B4A76B2">
            <w:pPr>
              <w:pStyle w:val="11"/>
              <w:spacing w:line="240" w:lineRule="auto"/>
              <w:ind w:right="-31" w:rightChars="-15"/>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目实际，条理逻辑清晰，可操作性强，得 5 分。</w:t>
            </w:r>
          </w:p>
          <w:p w14:paraId="1636444F">
            <w:pPr>
              <w:pStyle w:val="11"/>
              <w:spacing w:line="240" w:lineRule="auto"/>
              <w:ind w:right="-31" w:rightChars="-15"/>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②方案中每缺少上述一项内容扣 1 分，针对上述任一项内容，供应商的叙述不完整或不符合项目实际需求或不足或具有瑕疵的，扣 0.5 分，最多扣 5 分；</w:t>
            </w:r>
          </w:p>
          <w:p w14:paraId="206DE44D">
            <w:pPr>
              <w:pStyle w:val="11"/>
              <w:spacing w:line="240" w:lineRule="auto"/>
              <w:ind w:right="-31" w:rightChars="-15"/>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③未提供方案或方案明显与本项目不符的，得 0 分。</w:t>
            </w:r>
          </w:p>
          <w:p w14:paraId="7F5E4B15">
            <w:pPr>
              <w:pStyle w:val="11"/>
              <w:spacing w:line="240" w:lineRule="auto"/>
              <w:ind w:right="-31" w:rightChars="-15"/>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注：本项所称“不足或瑕疵”指内容不完整或缺少关键点；</w:t>
            </w:r>
          </w:p>
          <w:p w14:paraId="5CAFD767">
            <w:pPr>
              <w:pStyle w:val="11"/>
              <w:spacing w:line="240" w:lineRule="auto"/>
              <w:ind w:right="-31" w:rightChars="-15"/>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非专门针对本项目或不适用本项目特性、套用其他项目内</w:t>
            </w:r>
          </w:p>
          <w:p w14:paraId="7BEC490B">
            <w:pPr>
              <w:pStyle w:val="11"/>
              <w:spacing w:line="240" w:lineRule="auto"/>
              <w:ind w:right="-31" w:rightChars="-15"/>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容；对同一问题前后表述矛盾；存在逻辑漏洞、科学原理</w:t>
            </w:r>
          </w:p>
          <w:p w14:paraId="66371A64">
            <w:pPr>
              <w:pStyle w:val="11"/>
              <w:spacing w:line="240" w:lineRule="auto"/>
              <w:ind w:right="-31" w:rightChars="-15"/>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或常识错误；不利于本项目目标的实现、现有技术条件下</w:t>
            </w:r>
          </w:p>
          <w:p w14:paraId="06262F71">
            <w:pPr>
              <w:pStyle w:val="11"/>
              <w:spacing w:line="240" w:lineRule="auto"/>
              <w:ind w:right="-31" w:rightChars="-15"/>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不可能实现的情形等以上任意一种情形。</w:t>
            </w:r>
          </w:p>
        </w:tc>
      </w:tr>
    </w:tbl>
    <w:p w14:paraId="02CB4BD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lang w:val="en-US" w:eastAsia="zh-CN"/>
        </w:rPr>
      </w:pPr>
    </w:p>
    <w:p w14:paraId="60226BF3">
      <w:pPr>
        <w:keepNext w:val="0"/>
        <w:keepLines w:val="0"/>
        <w:pageBreakBefore w:val="0"/>
        <w:widowControl w:val="0"/>
        <w:numPr>
          <w:ilvl w:val="1"/>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评标委员会每位成员独立对每个有效投标人的投标文件进行评价、打分；然后汇总每个投标人的得分，计算得分平均值，以平均值由高到低进行排序，按排序顺序推荐中标候选人。分值计算保留小数点后二位，第三位四舍五入。</w:t>
      </w:r>
    </w:p>
    <w:p w14:paraId="7458C565">
      <w:pPr>
        <w:keepNext w:val="0"/>
        <w:keepLines w:val="0"/>
        <w:pageBreakBefore w:val="0"/>
        <w:widowControl w:val="0"/>
        <w:numPr>
          <w:ilvl w:val="1"/>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落实中小企业政府采购政策的价格调整：</w:t>
      </w:r>
    </w:p>
    <w:p w14:paraId="7D9D5DE8">
      <w:pPr>
        <w:keepNext w:val="0"/>
        <w:keepLines w:val="0"/>
        <w:pageBreakBefore w:val="0"/>
        <w:widowControl w:val="0"/>
        <w:numPr>
          <w:ilvl w:val="2"/>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对于未预留份额专门面向中小企业采购的采购项目，以及预留份额项目中的非预留部分采购包，根据《关于进一步加大政府采购支持中小企业力度的通知》（财库〔2022〕19号）、《关于印发《政府采购促进中小企业发展管理办法》的通知》（财库〔2020〕46号）、《财政部 司法部关于政府采购支持监狱企业发展有关问题的通知》（财库〔2014〕68号）和《三部门联合发布关于促进残疾人就业政府采购政策的通知》（财库〔2017〕141号）的规定，对满足价格扣除条件且在投标文件中提交了《中小企业声明函》或《残疾人福利性单位声明函》或省级以上监狱管理局、戒毒管理局（含新疆生产建设兵团）出具的属于监狱企业的证明文件的投标人，其投标报价扣除</w:t>
      </w:r>
      <w:r>
        <w:rPr>
          <w:rFonts w:hint="eastAsia" w:ascii="仿宋_GB2312" w:hAnsi="仿宋_GB2312" w:eastAsia="仿宋_GB2312" w:cs="仿宋_GB2312"/>
          <w:b w:val="0"/>
          <w:bCs w:val="0"/>
          <w:sz w:val="24"/>
          <w:szCs w:val="24"/>
          <w:u w:val="single"/>
          <w:lang w:val="en-US" w:eastAsia="zh-CN"/>
        </w:rPr>
        <w:t xml:space="preserve"> 10 % </w:t>
      </w:r>
      <w:r>
        <w:rPr>
          <w:rFonts w:hint="eastAsia" w:ascii="仿宋_GB2312" w:hAnsi="仿宋_GB2312" w:eastAsia="仿宋_GB2312" w:cs="仿宋_GB2312"/>
          <w:b w:val="0"/>
          <w:bCs w:val="0"/>
          <w:sz w:val="24"/>
          <w:szCs w:val="24"/>
          <w:lang w:val="en-US" w:eastAsia="zh-CN"/>
        </w:rPr>
        <w:t>后参与评审。对于同时属于小微企业、监狱企业或残疾人福利性单位的，不重复进行投标报价扣除。</w:t>
      </w:r>
    </w:p>
    <w:p w14:paraId="083716FF">
      <w:pPr>
        <w:keepNext w:val="0"/>
        <w:keepLines w:val="0"/>
        <w:pageBreakBefore w:val="0"/>
        <w:widowControl w:val="0"/>
        <w:numPr>
          <w:ilvl w:val="2"/>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rFonts w:hint="eastAsia" w:ascii="仿宋_GB2312" w:hAnsi="仿宋_GB2312" w:eastAsia="仿宋_GB2312" w:cs="仿宋_GB2312"/>
          <w:b w:val="0"/>
          <w:bCs w:val="0"/>
          <w:sz w:val="24"/>
          <w:szCs w:val="24"/>
          <w:u w:val="single"/>
          <w:lang w:val="en-US" w:eastAsia="zh-CN"/>
        </w:rPr>
        <w:t xml:space="preserve"> 30 %</w:t>
      </w:r>
      <w:r>
        <w:rPr>
          <w:rFonts w:hint="eastAsia" w:ascii="仿宋_GB2312" w:hAnsi="仿宋_GB2312" w:eastAsia="仿宋_GB2312" w:cs="仿宋_GB2312"/>
          <w:b w:val="0"/>
          <w:bCs w:val="0"/>
          <w:sz w:val="24"/>
          <w:szCs w:val="24"/>
          <w:lang w:val="en-US" w:eastAsia="zh-CN"/>
        </w:rPr>
        <w:t>以上的联合体或者大中型企业的报价给予</w:t>
      </w:r>
      <w:r>
        <w:rPr>
          <w:rFonts w:hint="eastAsia" w:ascii="仿宋_GB2312" w:hAnsi="仿宋_GB2312" w:eastAsia="仿宋_GB2312" w:cs="仿宋_GB2312"/>
          <w:b w:val="0"/>
          <w:bCs w:val="0"/>
          <w:sz w:val="24"/>
          <w:szCs w:val="24"/>
          <w:u w:val="single"/>
          <w:lang w:val="en-US" w:eastAsia="zh-CN"/>
        </w:rPr>
        <w:t xml:space="preserve"> 4% </w:t>
      </w:r>
      <w:r>
        <w:rPr>
          <w:rFonts w:hint="eastAsia" w:ascii="仿宋_GB2312" w:hAnsi="仿宋_GB2312" w:eastAsia="仿宋_GB2312" w:cs="仿宋_GB2312"/>
          <w:b w:val="0"/>
          <w:bCs w:val="0"/>
          <w:sz w:val="24"/>
          <w:szCs w:val="24"/>
          <w:lang w:val="en-US" w:eastAsia="zh-CN"/>
        </w:rPr>
        <w:t>的扣除，用扣除后的价格参加评审。</w:t>
      </w:r>
    </w:p>
    <w:p w14:paraId="3D4C67C0">
      <w:pPr>
        <w:keepNext w:val="0"/>
        <w:keepLines w:val="0"/>
        <w:pageBreakBefore w:val="0"/>
        <w:widowControl w:val="0"/>
        <w:numPr>
          <w:ilvl w:val="2"/>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组成联合体或者接受分包的小微企业与联合体内其他企业、分包企业之间存在直接控股、管理关系的，不享受价格扣除优惠政策。</w:t>
      </w:r>
    </w:p>
    <w:p w14:paraId="4207D6E4">
      <w:pPr>
        <w:keepNext w:val="0"/>
        <w:keepLines w:val="0"/>
        <w:pageBreakBefore w:val="0"/>
        <w:widowControl w:val="0"/>
        <w:numPr>
          <w:ilvl w:val="2"/>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价格扣除比例对小型企业和微型企业同等对待，不作区分。</w:t>
      </w:r>
    </w:p>
    <w:p w14:paraId="57811A6C">
      <w:pPr>
        <w:keepNext w:val="0"/>
        <w:keepLines w:val="0"/>
        <w:pageBreakBefore w:val="0"/>
        <w:widowControl w:val="0"/>
        <w:numPr>
          <w:ilvl w:val="2"/>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中小企业参加政府采购活动，应当按照招标文件给定的格式出具《中小企业声明函》，否则不得享受相关中小企业扶持政策。</w:t>
      </w:r>
    </w:p>
    <w:p w14:paraId="739A9E1E">
      <w:pPr>
        <w:keepNext w:val="0"/>
        <w:keepLines w:val="0"/>
        <w:pageBreakBefore w:val="0"/>
        <w:widowControl w:val="0"/>
        <w:numPr>
          <w:ilvl w:val="2"/>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监狱企业提供了由省级以上监狱管理局、戒毒管理局（含新疆生产建设兵团）出具的属于监狱企业的证明文件的，视同小微企业。</w:t>
      </w:r>
    </w:p>
    <w:p w14:paraId="5769B49D">
      <w:pPr>
        <w:keepNext w:val="0"/>
        <w:keepLines w:val="0"/>
        <w:pageBreakBefore w:val="0"/>
        <w:widowControl w:val="0"/>
        <w:numPr>
          <w:ilvl w:val="2"/>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残疾人福利性单位按招标文件要求提供了《残疾人福利性单位声明函》（见附件）的，视同小微企业。</w:t>
      </w:r>
    </w:p>
    <w:p w14:paraId="0795C402">
      <w:pPr>
        <w:keepNext w:val="0"/>
        <w:keepLines w:val="0"/>
        <w:pageBreakBefore w:val="0"/>
        <w:widowControl w:val="0"/>
        <w:numPr>
          <w:ilvl w:val="2"/>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若投标人同时属于小型或微型企业、监狱企业、残疾人福利性单位中的两种及以上，将不重复享受小微企业价格扣减的优惠政策。</w:t>
      </w:r>
    </w:p>
    <w:p w14:paraId="0D0100ED">
      <w:pPr>
        <w:keepNext w:val="0"/>
        <w:keepLines w:val="0"/>
        <w:pageBreakBefore w:val="0"/>
        <w:widowControl w:val="0"/>
        <w:numPr>
          <w:ilvl w:val="1"/>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u w:val="single"/>
          <w:lang w:val="en-US" w:eastAsia="zh-CN"/>
        </w:rPr>
      </w:pPr>
      <w:r>
        <w:rPr>
          <w:rFonts w:hint="eastAsia" w:ascii="仿宋_GB2312" w:hAnsi="仿宋_GB2312" w:eastAsia="仿宋_GB2312" w:cs="仿宋_GB2312"/>
          <w:b w:val="0"/>
          <w:bCs w:val="0"/>
          <w:sz w:val="24"/>
          <w:szCs w:val="24"/>
          <w:lang w:val="en-US" w:eastAsia="zh-CN"/>
        </w:rPr>
        <w:t>投标人所投产品如被列入财政部与国家主管部门颁发的节能产品目录或环境标志产品目录或无线局域网产品目录，应提供相关证明，在评标时予以优先采购，具体优惠措施为：</w:t>
      </w:r>
      <w:r>
        <w:rPr>
          <w:rFonts w:hint="eastAsia" w:ascii="仿宋_GB2312" w:hAnsi="仿宋_GB2312" w:eastAsia="仿宋_GB2312" w:cs="仿宋_GB2312"/>
          <w:b w:val="0"/>
          <w:bCs w:val="0"/>
          <w:sz w:val="24"/>
          <w:szCs w:val="24"/>
          <w:u w:val="single"/>
          <w:lang w:val="en-US" w:eastAsia="zh-CN"/>
        </w:rPr>
        <w:t>综合得分相同时排名优先。</w:t>
      </w:r>
    </w:p>
    <w:p w14:paraId="425BBF6C">
      <w:pPr>
        <w:keepNext w:val="0"/>
        <w:keepLines w:val="0"/>
        <w:pageBreakBefore w:val="0"/>
        <w:widowControl w:val="0"/>
        <w:numPr>
          <w:ilvl w:val="1"/>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u w:val="single"/>
          <w:lang w:val="en-US" w:eastAsia="zh-CN"/>
        </w:rPr>
      </w:pPr>
      <w:r>
        <w:rPr>
          <w:rFonts w:hint="eastAsia" w:ascii="仿宋_GB2312" w:hAnsi="仿宋_GB2312" w:eastAsia="仿宋_GB2312" w:cs="仿宋_GB2312"/>
          <w:b w:val="0"/>
          <w:bCs w:val="0"/>
          <w:sz w:val="24"/>
          <w:szCs w:val="24"/>
          <w:u w:val="none"/>
          <w:lang w:val="en-US" w:eastAsia="zh-CN"/>
        </w:rPr>
        <w:t>如采购人所采购产品为政府强制采购的节能产品，投标人所投产品的品牌及型号必须为清单中有效期内产品并提供证明文件，否则其投标将作为</w:t>
      </w:r>
      <w:r>
        <w:rPr>
          <w:rFonts w:hint="eastAsia" w:ascii="仿宋_GB2312" w:hAnsi="仿宋_GB2312" w:eastAsia="仿宋_GB2312" w:cs="仿宋_GB2312"/>
          <w:b/>
          <w:bCs/>
          <w:sz w:val="24"/>
          <w:szCs w:val="24"/>
          <w:u w:val="none"/>
          <w:lang w:val="en-US" w:eastAsia="zh-CN"/>
        </w:rPr>
        <w:t>无效投标</w:t>
      </w:r>
      <w:r>
        <w:rPr>
          <w:rFonts w:hint="eastAsia" w:ascii="仿宋_GB2312" w:hAnsi="仿宋_GB2312" w:eastAsia="仿宋_GB2312" w:cs="仿宋_GB2312"/>
          <w:b w:val="0"/>
          <w:bCs w:val="0"/>
          <w:sz w:val="24"/>
          <w:szCs w:val="24"/>
          <w:u w:val="none"/>
          <w:lang w:val="en-US" w:eastAsia="zh-CN"/>
        </w:rPr>
        <w:t>被拒绝。</w:t>
      </w:r>
    </w:p>
    <w:p w14:paraId="5CFA5CF8">
      <w:pPr>
        <w:keepNext w:val="0"/>
        <w:keepLines w:val="0"/>
        <w:pageBreakBefore w:val="0"/>
        <w:widowControl w:val="0"/>
        <w:numPr>
          <w:ilvl w:val="1"/>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投标人所投产品列入无线局域网产品清单，应提供相关证明，在评标时予以优先采购，具体优惠措施为：</w:t>
      </w:r>
      <w:r>
        <w:rPr>
          <w:rFonts w:hint="eastAsia" w:ascii="仿宋_GB2312" w:hAnsi="仿宋_GB2312" w:eastAsia="仿宋_GB2312" w:cs="仿宋_GB2312"/>
          <w:b w:val="0"/>
          <w:bCs w:val="0"/>
          <w:sz w:val="24"/>
          <w:szCs w:val="24"/>
          <w:u w:val="single"/>
          <w:lang w:val="en-US" w:eastAsia="zh-CN"/>
        </w:rPr>
        <w:t>综合得分相同时排名优先 。</w:t>
      </w:r>
    </w:p>
    <w:p w14:paraId="545FE18F">
      <w:pPr>
        <w:keepNext w:val="0"/>
        <w:keepLines w:val="0"/>
        <w:pageBreakBefore w:val="0"/>
        <w:widowControl w:val="0"/>
        <w:numPr>
          <w:ilvl w:val="1"/>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同品牌处理办法：</w:t>
      </w:r>
    </w:p>
    <w:p w14:paraId="733A9E77">
      <w:pPr>
        <w:keepNext w:val="0"/>
        <w:keepLines w:val="0"/>
        <w:pageBreakBefore w:val="0"/>
        <w:widowControl w:val="0"/>
        <w:numPr>
          <w:ilvl w:val="2"/>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如采用最低评标办法，则：</w:t>
      </w:r>
      <w:r>
        <w:rPr>
          <w:rFonts w:hint="eastAsia" w:ascii="仿宋_GB2312" w:hAnsi="仿宋_GB2312" w:eastAsia="仿宋_GB2312" w:cs="仿宋_GB2312"/>
          <w:b w:val="0"/>
          <w:bCs w:val="0"/>
          <w:sz w:val="24"/>
          <w:szCs w:val="24"/>
          <w:u w:val="single"/>
          <w:lang w:val="en-US" w:eastAsia="zh-CN"/>
        </w:rPr>
        <w:t>提供相同品牌产品（单一产品或核心产品品牌相同）的不同投标人以其中通过资格审查、符合性审查且报价最低的参加评标；报价相同的，由采购人或者采购人委托评标委员会采取随机抽取方式确定，其他同品牌投标人不作为中标候选人。</w:t>
      </w:r>
    </w:p>
    <w:p w14:paraId="0A502B82">
      <w:pPr>
        <w:keepNext w:val="0"/>
        <w:keepLines w:val="0"/>
        <w:pageBreakBefore w:val="0"/>
        <w:widowControl w:val="0"/>
        <w:numPr>
          <w:ilvl w:val="2"/>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如采用综合评标法，则：</w:t>
      </w:r>
      <w:r>
        <w:rPr>
          <w:rFonts w:hint="eastAsia" w:ascii="仿宋_GB2312" w:hAnsi="仿宋_GB2312" w:eastAsia="仿宋_GB2312" w:cs="仿宋_GB2312"/>
          <w:b w:val="0"/>
          <w:bCs w:val="0"/>
          <w:sz w:val="24"/>
          <w:szCs w:val="24"/>
          <w:u w:val="single"/>
          <w:lang w:val="en-US" w:eastAsia="zh-CN"/>
        </w:rPr>
        <w:t>提供相同品牌产品（单一产品或核心产品品牌相同）且通过资格审查、符合性审查的不同投标人参加同一合同项下投标的，按一家投标人计算，评审后得分最高的同品牌投标人获得中标人推荐资格；评审得分相同的，以投标报价低的为中标候选人；评审得分且投标报价均相同的，以技术部分得分高者为中标候选人；若投标报价、技术部分均相同的，由评标委员会采取随机抽取方式确定，其他同品牌投标人不作为中标候选人。</w:t>
      </w:r>
    </w:p>
    <w:p w14:paraId="6AE478A3">
      <w:pPr>
        <w:keepNext w:val="0"/>
        <w:keepLines w:val="0"/>
        <w:pageBreakBefore w:val="0"/>
        <w:widowControl w:val="0"/>
        <w:numPr>
          <w:ilvl w:val="1"/>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如一个分包内包含多种产品的，采购人或采购代理机构将在</w:t>
      </w:r>
      <w:r>
        <w:rPr>
          <w:rFonts w:hint="eastAsia" w:ascii="仿宋_GB2312" w:hAnsi="仿宋_GB2312" w:eastAsia="仿宋_GB2312" w:cs="仿宋_GB2312"/>
          <w:b w:val="0"/>
          <w:bCs w:val="0"/>
          <w:sz w:val="24"/>
          <w:szCs w:val="24"/>
          <w:u w:val="single"/>
          <w:lang w:val="en-US" w:eastAsia="zh-CN"/>
        </w:rPr>
        <w:t>投标人须知前附表</w:t>
      </w:r>
      <w:r>
        <w:rPr>
          <w:rFonts w:hint="eastAsia" w:ascii="仿宋_GB2312" w:hAnsi="仿宋_GB2312" w:eastAsia="仿宋_GB2312" w:cs="仿宋_GB2312"/>
          <w:b w:val="0"/>
          <w:bCs w:val="0"/>
          <w:sz w:val="24"/>
          <w:szCs w:val="24"/>
          <w:u w:val="none"/>
          <w:lang w:val="en-US" w:eastAsia="zh-CN"/>
        </w:rPr>
        <w:t xml:space="preserve">中载明核心产品，多家投标人提供的所有核心产品品牌均相同的，按前两条规定处理。 </w:t>
      </w:r>
    </w:p>
    <w:p w14:paraId="0E1A8CA0">
      <w:pPr>
        <w:keepNext w:val="0"/>
        <w:keepLines w:val="0"/>
        <w:pageBreakBefore w:val="0"/>
        <w:widowControl w:val="0"/>
        <w:numPr>
          <w:ilvl w:val="1"/>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确定中标候选人名单</w:t>
      </w:r>
    </w:p>
    <w:p w14:paraId="06C28066">
      <w:pPr>
        <w:keepNext w:val="0"/>
        <w:keepLines w:val="0"/>
        <w:pageBreakBefore w:val="0"/>
        <w:widowControl w:val="0"/>
        <w:numPr>
          <w:ilvl w:val="2"/>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3CF6B61C">
      <w:pPr>
        <w:keepNext w:val="0"/>
        <w:keepLines w:val="0"/>
        <w:pageBreakBefore w:val="0"/>
        <w:widowControl w:val="0"/>
        <w:numPr>
          <w:ilvl w:val="2"/>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采用最低评标价法的，评标结果按投标报价由低到高顺序排列。投标报价相同的并列。投标文件满足招标文件全部实质性要求且投标报价最低的投标人为排名第一的中标候选人。</w:t>
      </w:r>
    </w:p>
    <w:p w14:paraId="6EA84E28">
      <w:pPr>
        <w:keepNext w:val="0"/>
        <w:keepLines w:val="0"/>
        <w:pageBreakBefore w:val="0"/>
        <w:widowControl w:val="0"/>
        <w:numPr>
          <w:ilvl w:val="2"/>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评标委员会要对评分汇总情况进行复核，特别是对排名第一的、报价最低的、投标或响应文件被认定为无效的情形进行重点复核。</w:t>
      </w:r>
    </w:p>
    <w:p w14:paraId="77AC0052">
      <w:pPr>
        <w:keepNext w:val="0"/>
        <w:keepLines w:val="0"/>
        <w:pageBreakBefore w:val="0"/>
        <w:widowControl w:val="0"/>
        <w:numPr>
          <w:ilvl w:val="2"/>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评标委员会将根据各投标人的评标排序，依次推荐本项目（各采购包/标项）的中标候选人，起草并签署评标报告。本项目（各采购包/标项）评标委员会共（各）推荐</w:t>
      </w:r>
      <w:r>
        <w:rPr>
          <w:rFonts w:hint="eastAsia" w:ascii="仿宋_GB2312" w:hAnsi="仿宋_GB2312" w:eastAsia="仿宋_GB2312" w:cs="仿宋_GB2312"/>
          <w:b w:val="0"/>
          <w:bCs w:val="0"/>
          <w:sz w:val="24"/>
          <w:szCs w:val="24"/>
          <w:u w:val="single"/>
          <w:lang w:val="en-US" w:eastAsia="zh-CN"/>
        </w:rPr>
        <w:t xml:space="preserve"> 1 </w:t>
      </w:r>
      <w:r>
        <w:rPr>
          <w:rFonts w:hint="eastAsia" w:ascii="仿宋_GB2312" w:hAnsi="仿宋_GB2312" w:eastAsia="仿宋_GB2312" w:cs="仿宋_GB2312"/>
          <w:b w:val="0"/>
          <w:bCs w:val="0"/>
          <w:sz w:val="24"/>
          <w:szCs w:val="24"/>
          <w:u w:val="none"/>
          <w:lang w:val="en-US" w:eastAsia="zh-CN"/>
        </w:rPr>
        <w:t>名中标候选人。</w:t>
      </w:r>
    </w:p>
    <w:p w14:paraId="5E1D7ED9">
      <w:pPr>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br w:type="page"/>
      </w:r>
    </w:p>
    <w:p w14:paraId="3F71ADC6">
      <w:pPr>
        <w:pStyle w:val="2"/>
        <w:numPr>
          <w:ilvl w:val="0"/>
          <w:numId w:val="1"/>
        </w:numPr>
        <w:bidi w:val="0"/>
        <w:jc w:val="center"/>
        <w:rPr>
          <w:rFonts w:hint="eastAsia" w:ascii="仿宋_GB2312" w:hAnsi="仿宋_GB2312" w:eastAsia="仿宋_GB2312" w:cs="仿宋_GB2312"/>
          <w:sz w:val="32"/>
          <w:szCs w:val="32"/>
          <w:lang w:val="en-US" w:eastAsia="zh-CN"/>
        </w:rPr>
      </w:pPr>
      <w:bookmarkStart w:id="28" w:name="_Toc31337"/>
      <w:r>
        <w:rPr>
          <w:rFonts w:hint="eastAsia" w:ascii="仿宋_GB2312" w:hAnsi="仿宋_GB2312" w:eastAsia="仿宋_GB2312" w:cs="仿宋_GB2312"/>
          <w:sz w:val="32"/>
          <w:szCs w:val="32"/>
          <w:lang w:val="en-US" w:eastAsia="zh-CN"/>
        </w:rPr>
        <w:t>投标文件格式</w:t>
      </w:r>
      <w:bookmarkEnd w:id="28"/>
    </w:p>
    <w:p w14:paraId="26F72FB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u w:val="none"/>
          <w:lang w:val="en-US" w:eastAsia="zh-CN"/>
        </w:rPr>
      </w:pPr>
    </w:p>
    <w:p w14:paraId="31DCEE3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bCs/>
          <w:sz w:val="24"/>
          <w:szCs w:val="24"/>
          <w:u w:val="none"/>
          <w:lang w:val="en-US" w:eastAsia="zh-CN"/>
        </w:rPr>
      </w:pPr>
      <w:r>
        <w:rPr>
          <w:rFonts w:hint="eastAsia" w:ascii="仿宋_GB2312" w:hAnsi="仿宋_GB2312" w:eastAsia="仿宋_GB2312" w:cs="仿宋_GB2312"/>
          <w:b/>
          <w:bCs/>
          <w:sz w:val="24"/>
          <w:szCs w:val="24"/>
          <w:u w:val="none"/>
          <w:lang w:val="en-US" w:eastAsia="zh-CN"/>
        </w:rPr>
        <w:t>投标人编制文件须知</w:t>
      </w:r>
    </w:p>
    <w:p w14:paraId="6B0A964B">
      <w:pPr>
        <w:keepNext w:val="0"/>
        <w:keepLines w:val="0"/>
        <w:pageBreakBefore w:val="0"/>
        <w:widowControl w:val="0"/>
        <w:numPr>
          <w:ilvl w:val="0"/>
          <w:numId w:val="15"/>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为保证评标工作的顺利进行，各投标人需参照如下的格式，认真进行投标文件的编写工作。需建立详细的目录。</w:t>
      </w:r>
    </w:p>
    <w:p w14:paraId="5CB83440">
      <w:pPr>
        <w:keepNext w:val="0"/>
        <w:keepLines w:val="0"/>
        <w:pageBreakBefore w:val="0"/>
        <w:widowControl w:val="0"/>
        <w:numPr>
          <w:ilvl w:val="0"/>
          <w:numId w:val="1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各投标人提交文件中涉及商业机密的，应明确标明，采购人及最终用户将给予保密处理，否则视为公开资料。</w:t>
      </w:r>
    </w:p>
    <w:p w14:paraId="611EE04E">
      <w:pPr>
        <w:keepNext w:val="0"/>
        <w:keepLines w:val="0"/>
        <w:pageBreakBefore w:val="0"/>
        <w:widowControl w:val="0"/>
        <w:numPr>
          <w:ilvl w:val="0"/>
          <w:numId w:val="1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全部声明和问题的回答及所附材料必须是真实的、准确的和完整的。</w:t>
      </w:r>
    </w:p>
    <w:p w14:paraId="119B645E">
      <w:pPr>
        <w:keepNext w:val="0"/>
        <w:keepLines w:val="0"/>
        <w:pageBreakBefore w:val="0"/>
        <w:widowControl w:val="0"/>
        <w:numPr>
          <w:ilvl w:val="0"/>
          <w:numId w:val="1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本采购文件中所要求加盖的投标人公章是指与供应商名称全称相一致的“行政公章”，不得加盖其它“合同专用章、投标专用章、财务专用章”等非行政公章；“签字”是指供应商法定代表人（单位负责人）或授权委托人在采购文件规定处亲笔写上本人姓名（含电子签名）；“法定代表人（单位负责人）签章或印鉴”是指供应商法定代表人（单位负责人）在采购文件规定处加盖个人名章、手签章、印鉴等。</w:t>
      </w:r>
    </w:p>
    <w:p w14:paraId="2DF6F5C1">
      <w:pPr>
        <w:keepNext w:val="0"/>
        <w:keepLines w:val="0"/>
        <w:pageBreakBefore w:val="0"/>
        <w:widowControl w:val="0"/>
        <w:numPr>
          <w:ilvl w:val="0"/>
          <w:numId w:val="1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“法定代表人（单位负责人）”指供应商营业执照或登记证书载明的“法定代表人”、“负责人”、“执行事务合伙人”、“投资人”等。</w:t>
      </w:r>
    </w:p>
    <w:p w14:paraId="38B24BDA">
      <w:pPr>
        <w:keepNext w:val="0"/>
        <w:keepLines w:val="0"/>
        <w:pageBreakBefore w:val="0"/>
        <w:widowControl w:val="0"/>
        <w:numPr>
          <w:ilvl w:val="0"/>
          <w:numId w:val="1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以联合体参加的，除采购文件格式中要求外，采购文件要求的供应商盖章处应按加盖联合体协议中约定的联合体牵头人公章或所有联合体成员公章。</w:t>
      </w:r>
    </w:p>
    <w:p w14:paraId="46122CA7">
      <w:pPr>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br w:type="page"/>
      </w:r>
    </w:p>
    <w:p w14:paraId="539DD172">
      <w:pPr>
        <w:keepNext w:val="0"/>
        <w:keepLines w:val="0"/>
        <w:widowControl/>
        <w:suppressLineNumbers w:val="0"/>
        <w:jc w:val="left"/>
        <w:rPr>
          <w:rFonts w:hint="eastAsia" w:ascii="仿宋_GB2312" w:hAnsi="仿宋_GB2312" w:eastAsia="仿宋_GB2312" w:cs="仿宋_GB2312"/>
          <w:b/>
          <w:bCs/>
          <w:color w:val="000000"/>
          <w:kern w:val="0"/>
          <w:sz w:val="24"/>
          <w:szCs w:val="24"/>
          <w:lang w:val="en-US" w:eastAsia="zh-CN" w:bidi="ar"/>
        </w:rPr>
      </w:pPr>
    </w:p>
    <w:p w14:paraId="3E596A6C">
      <w:pPr>
        <w:keepNext w:val="0"/>
        <w:keepLines w:val="0"/>
        <w:widowControl/>
        <w:suppressLineNumbers w:val="0"/>
        <w:jc w:val="left"/>
        <w:outlineLvl w:val="1"/>
        <w:rPr>
          <w:rFonts w:hint="eastAsia" w:ascii="仿宋_GB2312" w:hAnsi="仿宋_GB2312" w:eastAsia="仿宋_GB2312" w:cs="仿宋_GB2312"/>
          <w:b/>
          <w:bCs/>
          <w:color w:val="000000"/>
          <w:kern w:val="0"/>
          <w:sz w:val="24"/>
          <w:szCs w:val="24"/>
          <w:lang w:val="en-US" w:eastAsia="zh-CN" w:bidi="ar"/>
        </w:rPr>
      </w:pPr>
      <w:bookmarkStart w:id="29" w:name="_Toc10196"/>
      <w:r>
        <w:rPr>
          <w:rFonts w:hint="eastAsia" w:ascii="仿宋_GB2312" w:hAnsi="仿宋_GB2312" w:eastAsia="仿宋_GB2312" w:cs="仿宋_GB2312"/>
          <w:b/>
          <w:bCs/>
          <w:color w:val="000000"/>
          <w:kern w:val="0"/>
          <w:sz w:val="24"/>
          <w:szCs w:val="24"/>
          <w:lang w:val="en-US" w:eastAsia="zh-CN" w:bidi="ar"/>
        </w:rPr>
        <w:t>投标文件封面（参考格式）</w:t>
      </w:r>
      <w:bookmarkEnd w:id="29"/>
    </w:p>
    <w:p w14:paraId="1F3CB066">
      <w:pPr>
        <w:keepNext w:val="0"/>
        <w:keepLines w:val="0"/>
        <w:widowControl/>
        <w:suppressLineNumbers w:val="0"/>
        <w:jc w:val="left"/>
        <w:rPr>
          <w:rFonts w:hint="eastAsia" w:ascii="仿宋_GB2312" w:hAnsi="仿宋_GB2312" w:eastAsia="仿宋_GB2312" w:cs="仿宋_GB2312"/>
          <w:b/>
          <w:bCs/>
          <w:color w:val="000000"/>
          <w:kern w:val="0"/>
          <w:sz w:val="84"/>
          <w:szCs w:val="84"/>
          <w:lang w:val="en-US" w:eastAsia="zh-CN" w:bidi="ar"/>
        </w:rPr>
      </w:pPr>
    </w:p>
    <w:p w14:paraId="629957EA">
      <w:pPr>
        <w:keepNext w:val="0"/>
        <w:keepLines w:val="0"/>
        <w:widowControl/>
        <w:suppressLineNumbers w:val="0"/>
        <w:jc w:val="left"/>
        <w:rPr>
          <w:rFonts w:hint="eastAsia" w:ascii="仿宋_GB2312" w:hAnsi="仿宋_GB2312" w:eastAsia="仿宋_GB2312" w:cs="仿宋_GB2312"/>
          <w:b/>
          <w:bCs/>
          <w:color w:val="000000"/>
          <w:kern w:val="0"/>
          <w:sz w:val="84"/>
          <w:szCs w:val="84"/>
          <w:lang w:val="en-US" w:eastAsia="zh-CN" w:bidi="ar"/>
        </w:rPr>
      </w:pPr>
    </w:p>
    <w:p w14:paraId="341A2660">
      <w:pPr>
        <w:keepNext w:val="0"/>
        <w:keepLines w:val="0"/>
        <w:widowControl/>
        <w:suppressLineNumbers w:val="0"/>
        <w:jc w:val="center"/>
        <w:rPr>
          <w:rFonts w:hint="eastAsia" w:ascii="仿宋_GB2312" w:hAnsi="仿宋_GB2312" w:eastAsia="仿宋_GB2312" w:cs="仿宋_GB2312"/>
        </w:rPr>
      </w:pPr>
      <w:r>
        <w:rPr>
          <w:rFonts w:hint="eastAsia" w:ascii="仿宋_GB2312" w:hAnsi="仿宋_GB2312" w:eastAsia="仿宋_GB2312" w:cs="仿宋_GB2312"/>
          <w:b/>
          <w:bCs/>
          <w:color w:val="000000"/>
          <w:kern w:val="0"/>
          <w:sz w:val="84"/>
          <w:szCs w:val="84"/>
          <w:lang w:val="en-US" w:eastAsia="zh-CN" w:bidi="ar"/>
        </w:rPr>
        <w:t>投标文件</w:t>
      </w:r>
    </w:p>
    <w:p w14:paraId="0ABCB782">
      <w:pPr>
        <w:keepNext w:val="0"/>
        <w:keepLines w:val="0"/>
        <w:widowControl/>
        <w:suppressLineNumbers w:val="0"/>
        <w:jc w:val="left"/>
        <w:rPr>
          <w:rFonts w:hint="eastAsia" w:ascii="仿宋_GB2312" w:hAnsi="仿宋_GB2312" w:eastAsia="仿宋_GB2312" w:cs="仿宋_GB2312"/>
          <w:b/>
          <w:bCs/>
          <w:color w:val="000000"/>
          <w:kern w:val="0"/>
          <w:sz w:val="52"/>
          <w:szCs w:val="52"/>
          <w:lang w:val="en-US" w:eastAsia="zh-CN" w:bidi="ar"/>
        </w:rPr>
      </w:pPr>
    </w:p>
    <w:p w14:paraId="106C9206">
      <w:pPr>
        <w:keepNext w:val="0"/>
        <w:keepLines w:val="0"/>
        <w:widowControl/>
        <w:suppressLineNumbers w:val="0"/>
        <w:jc w:val="left"/>
        <w:rPr>
          <w:rFonts w:hint="eastAsia" w:ascii="仿宋_GB2312" w:hAnsi="仿宋_GB2312" w:eastAsia="仿宋_GB2312" w:cs="仿宋_GB2312"/>
          <w:b/>
          <w:bCs/>
          <w:color w:val="000000"/>
          <w:kern w:val="0"/>
          <w:sz w:val="52"/>
          <w:szCs w:val="52"/>
          <w:lang w:val="en-US" w:eastAsia="zh-CN" w:bidi="ar"/>
        </w:rPr>
      </w:pPr>
    </w:p>
    <w:p w14:paraId="536E4C12">
      <w:pPr>
        <w:keepNext w:val="0"/>
        <w:keepLines w:val="0"/>
        <w:widowControl/>
        <w:suppressLineNumbers w:val="0"/>
        <w:jc w:val="left"/>
        <w:rPr>
          <w:rFonts w:hint="eastAsia" w:ascii="仿宋_GB2312" w:hAnsi="仿宋_GB2312" w:eastAsia="仿宋_GB2312" w:cs="仿宋_GB2312"/>
        </w:rPr>
      </w:pPr>
      <w:r>
        <w:rPr>
          <w:rFonts w:hint="eastAsia" w:ascii="仿宋_GB2312" w:hAnsi="仿宋_GB2312" w:eastAsia="仿宋_GB2312" w:cs="仿宋_GB2312"/>
          <w:b/>
          <w:bCs/>
          <w:color w:val="000000"/>
          <w:kern w:val="0"/>
          <w:sz w:val="52"/>
          <w:szCs w:val="52"/>
          <w:lang w:val="en-US" w:eastAsia="zh-CN" w:bidi="ar"/>
        </w:rPr>
        <w:t xml:space="preserve"> </w:t>
      </w:r>
    </w:p>
    <w:p w14:paraId="6BB60FED">
      <w:pPr>
        <w:keepNext w:val="0"/>
        <w:keepLines w:val="0"/>
        <w:widowControl/>
        <w:suppressLineNumbers w:val="0"/>
        <w:jc w:val="left"/>
        <w:rPr>
          <w:rFonts w:hint="eastAsia" w:ascii="仿宋_GB2312" w:hAnsi="仿宋_GB2312" w:eastAsia="仿宋_GB2312" w:cs="仿宋_GB2312"/>
          <w:b/>
          <w:bCs/>
          <w:color w:val="000000"/>
          <w:kern w:val="0"/>
          <w:sz w:val="31"/>
          <w:szCs w:val="31"/>
          <w:lang w:val="en-US" w:eastAsia="zh-CN" w:bidi="ar"/>
        </w:rPr>
      </w:pPr>
    </w:p>
    <w:p w14:paraId="3648D93C">
      <w:pPr>
        <w:keepNext w:val="0"/>
        <w:keepLines w:val="0"/>
        <w:widowControl/>
        <w:suppressLineNumbers w:val="0"/>
        <w:jc w:val="left"/>
        <w:rPr>
          <w:rFonts w:hint="eastAsia" w:ascii="仿宋_GB2312" w:hAnsi="仿宋_GB2312" w:eastAsia="仿宋_GB2312" w:cs="仿宋_GB2312"/>
          <w:b/>
          <w:bCs/>
          <w:color w:val="000000"/>
          <w:kern w:val="0"/>
          <w:sz w:val="31"/>
          <w:szCs w:val="31"/>
          <w:lang w:val="en-US" w:eastAsia="zh-CN" w:bidi="ar"/>
        </w:rPr>
      </w:pPr>
    </w:p>
    <w:p w14:paraId="6964451D">
      <w:pPr>
        <w:keepNext w:val="0"/>
        <w:keepLines w:val="0"/>
        <w:widowControl/>
        <w:suppressLineNumbers w:val="0"/>
        <w:jc w:val="left"/>
        <w:rPr>
          <w:rFonts w:hint="eastAsia" w:ascii="仿宋_GB2312" w:hAnsi="仿宋_GB2312" w:eastAsia="仿宋_GB2312" w:cs="仿宋_GB2312"/>
          <w:b/>
          <w:bCs/>
          <w:color w:val="000000"/>
          <w:kern w:val="0"/>
          <w:sz w:val="31"/>
          <w:szCs w:val="31"/>
          <w:lang w:val="en-US" w:eastAsia="zh-CN" w:bidi="ar"/>
        </w:rPr>
      </w:pPr>
    </w:p>
    <w:p w14:paraId="11C3C2D5">
      <w:pPr>
        <w:keepNext w:val="0"/>
        <w:keepLines w:val="0"/>
        <w:widowControl/>
        <w:suppressLineNumbers w:val="0"/>
        <w:jc w:val="left"/>
        <w:rPr>
          <w:rFonts w:hint="eastAsia" w:ascii="仿宋_GB2312" w:hAnsi="仿宋_GB2312" w:eastAsia="仿宋_GB2312" w:cs="仿宋_GB2312"/>
        </w:rPr>
      </w:pPr>
      <w:r>
        <w:rPr>
          <w:rFonts w:hint="eastAsia" w:ascii="仿宋_GB2312" w:hAnsi="仿宋_GB2312" w:eastAsia="仿宋_GB2312" w:cs="仿宋_GB2312"/>
          <w:b/>
          <w:bCs/>
          <w:color w:val="000000"/>
          <w:kern w:val="0"/>
          <w:sz w:val="31"/>
          <w:szCs w:val="31"/>
          <w:lang w:val="en-US" w:eastAsia="zh-CN" w:bidi="ar"/>
        </w:rPr>
        <w:t xml:space="preserve">项目名称: </w:t>
      </w:r>
    </w:p>
    <w:p w14:paraId="0C5B87C0">
      <w:pPr>
        <w:keepNext w:val="0"/>
        <w:keepLines w:val="0"/>
        <w:widowControl/>
        <w:suppressLineNumbers w:val="0"/>
        <w:jc w:val="left"/>
        <w:rPr>
          <w:rFonts w:hint="eastAsia" w:ascii="仿宋_GB2312" w:hAnsi="仿宋_GB2312" w:eastAsia="仿宋_GB2312" w:cs="仿宋_GB2312"/>
        </w:rPr>
      </w:pPr>
      <w:r>
        <w:rPr>
          <w:rFonts w:hint="eastAsia" w:ascii="仿宋_GB2312" w:hAnsi="仿宋_GB2312" w:eastAsia="仿宋_GB2312" w:cs="仿宋_GB2312"/>
          <w:b/>
          <w:bCs/>
          <w:color w:val="000000"/>
          <w:kern w:val="0"/>
          <w:sz w:val="31"/>
          <w:szCs w:val="31"/>
          <w:lang w:val="en-US" w:eastAsia="zh-CN" w:bidi="ar"/>
        </w:rPr>
        <w:t xml:space="preserve">项目编号/包号： </w:t>
      </w:r>
    </w:p>
    <w:p w14:paraId="0C7CFB0A">
      <w:pPr>
        <w:keepNext w:val="0"/>
        <w:keepLines w:val="0"/>
        <w:widowControl/>
        <w:suppressLineNumbers w:val="0"/>
        <w:jc w:val="left"/>
        <w:rPr>
          <w:rFonts w:hint="eastAsia" w:ascii="仿宋_GB2312" w:hAnsi="仿宋_GB2312" w:eastAsia="仿宋_GB2312" w:cs="仿宋_GB2312"/>
          <w:b/>
          <w:bCs/>
          <w:color w:val="000000"/>
          <w:kern w:val="0"/>
          <w:sz w:val="31"/>
          <w:szCs w:val="31"/>
          <w:lang w:val="en-US" w:eastAsia="zh-CN" w:bidi="ar"/>
        </w:rPr>
      </w:pPr>
    </w:p>
    <w:p w14:paraId="3EE28D88">
      <w:pPr>
        <w:keepNext w:val="0"/>
        <w:keepLines w:val="0"/>
        <w:widowControl/>
        <w:suppressLineNumbers w:val="0"/>
        <w:jc w:val="left"/>
        <w:rPr>
          <w:rFonts w:hint="eastAsia" w:ascii="仿宋_GB2312" w:hAnsi="仿宋_GB2312" w:eastAsia="仿宋_GB2312" w:cs="仿宋_GB2312"/>
          <w:b/>
          <w:bCs/>
          <w:color w:val="000000"/>
          <w:kern w:val="0"/>
          <w:sz w:val="31"/>
          <w:szCs w:val="31"/>
          <w:lang w:val="en-US" w:eastAsia="zh-CN" w:bidi="ar"/>
        </w:rPr>
      </w:pPr>
    </w:p>
    <w:p w14:paraId="558D7740">
      <w:pPr>
        <w:keepNext w:val="0"/>
        <w:keepLines w:val="0"/>
        <w:widowControl/>
        <w:suppressLineNumbers w:val="0"/>
        <w:jc w:val="left"/>
        <w:rPr>
          <w:rFonts w:hint="eastAsia" w:ascii="仿宋_GB2312" w:hAnsi="仿宋_GB2312" w:eastAsia="仿宋_GB2312" w:cs="仿宋_GB2312"/>
          <w:b/>
          <w:bCs/>
          <w:color w:val="000000"/>
          <w:kern w:val="0"/>
          <w:sz w:val="31"/>
          <w:szCs w:val="31"/>
          <w:lang w:val="en-US" w:eastAsia="zh-CN" w:bidi="ar"/>
        </w:rPr>
      </w:pPr>
    </w:p>
    <w:p w14:paraId="56578063">
      <w:pPr>
        <w:keepNext w:val="0"/>
        <w:keepLines w:val="0"/>
        <w:widowControl/>
        <w:suppressLineNumbers w:val="0"/>
        <w:jc w:val="left"/>
        <w:rPr>
          <w:rFonts w:hint="eastAsia" w:ascii="仿宋_GB2312" w:hAnsi="仿宋_GB2312" w:eastAsia="仿宋_GB2312" w:cs="仿宋_GB2312"/>
          <w:b/>
          <w:bCs/>
          <w:color w:val="000000"/>
          <w:kern w:val="0"/>
          <w:sz w:val="31"/>
          <w:szCs w:val="31"/>
          <w:lang w:val="en-US" w:eastAsia="zh-CN" w:bidi="ar"/>
        </w:rPr>
      </w:pPr>
      <w:r>
        <w:rPr>
          <w:rFonts w:hint="eastAsia" w:ascii="仿宋_GB2312" w:hAnsi="仿宋_GB2312" w:eastAsia="仿宋_GB2312" w:cs="仿宋_GB2312"/>
          <w:b/>
          <w:bCs/>
          <w:color w:val="000000"/>
          <w:kern w:val="0"/>
          <w:sz w:val="31"/>
          <w:szCs w:val="31"/>
          <w:lang w:val="en-US" w:eastAsia="zh-CN" w:bidi="ar"/>
        </w:rPr>
        <w:t>投标人名称（盖公章）：</w:t>
      </w:r>
    </w:p>
    <w:p w14:paraId="6DF6F501">
      <w:pPr>
        <w:keepNext w:val="0"/>
        <w:keepLines w:val="0"/>
        <w:widowControl/>
        <w:suppressLineNumbers w:val="0"/>
        <w:jc w:val="left"/>
        <w:rPr>
          <w:rFonts w:hint="eastAsia" w:ascii="仿宋_GB2312" w:hAnsi="仿宋_GB2312" w:eastAsia="仿宋_GB2312" w:cs="仿宋_GB2312"/>
          <w:b/>
          <w:bCs/>
          <w:color w:val="000000"/>
          <w:kern w:val="0"/>
          <w:sz w:val="31"/>
          <w:szCs w:val="31"/>
          <w:lang w:val="en-US" w:eastAsia="zh-CN" w:bidi="ar"/>
        </w:rPr>
      </w:pPr>
      <w:r>
        <w:rPr>
          <w:rFonts w:hint="eastAsia" w:ascii="仿宋_GB2312" w:hAnsi="仿宋_GB2312" w:eastAsia="仿宋_GB2312" w:cs="仿宋_GB2312"/>
          <w:b/>
          <w:bCs/>
          <w:color w:val="000000"/>
          <w:kern w:val="0"/>
          <w:sz w:val="31"/>
          <w:szCs w:val="31"/>
          <w:lang w:val="en-US" w:eastAsia="zh-CN" w:bidi="ar"/>
        </w:rPr>
        <w:t>法定代表人或其授权代表（签字或印鉴）：</w:t>
      </w:r>
    </w:p>
    <w:p w14:paraId="774DD68A">
      <w:pPr>
        <w:keepNext w:val="0"/>
        <w:keepLines w:val="0"/>
        <w:widowControl/>
        <w:suppressLineNumbers w:val="0"/>
        <w:jc w:val="left"/>
        <w:rPr>
          <w:rFonts w:hint="eastAsia" w:ascii="仿宋_GB2312" w:hAnsi="仿宋_GB2312" w:eastAsia="仿宋_GB2312" w:cs="仿宋_GB2312"/>
          <w:b/>
          <w:bCs/>
          <w:color w:val="000000"/>
          <w:kern w:val="0"/>
          <w:sz w:val="31"/>
          <w:szCs w:val="31"/>
          <w:lang w:val="en-US" w:eastAsia="zh-CN" w:bidi="ar"/>
        </w:rPr>
      </w:pPr>
    </w:p>
    <w:p w14:paraId="7925F7B8">
      <w:pPr>
        <w:keepNext w:val="0"/>
        <w:keepLines w:val="0"/>
        <w:widowControl/>
        <w:suppressLineNumbers w:val="0"/>
        <w:jc w:val="left"/>
        <w:rPr>
          <w:rFonts w:hint="eastAsia" w:ascii="仿宋_GB2312" w:hAnsi="仿宋_GB2312" w:eastAsia="仿宋_GB2312" w:cs="仿宋_GB2312"/>
          <w:b/>
          <w:bCs/>
          <w:color w:val="000000"/>
          <w:kern w:val="0"/>
          <w:sz w:val="31"/>
          <w:szCs w:val="31"/>
          <w:lang w:val="en-US" w:eastAsia="zh-CN" w:bidi="ar"/>
        </w:rPr>
      </w:pPr>
    </w:p>
    <w:p w14:paraId="6CB26B4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 xml:space="preserve">1   满足《中华人民共和国政府采购法》第二十二条规定及法律法规的其他规定 </w:t>
      </w:r>
    </w:p>
    <w:p w14:paraId="2999727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lang w:val="en-US" w:eastAsia="zh-CN" w:bidi="ar"/>
        </w:rPr>
      </w:pPr>
    </w:p>
    <w:p w14:paraId="53E9E2DB">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附件 1-1 法人或者其他组织的营业执照等证明文件或自然人的身份证明复印件;</w:t>
      </w:r>
    </w:p>
    <w:p w14:paraId="427A16EA">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color w:val="000000"/>
          <w:kern w:val="0"/>
          <w:sz w:val="24"/>
          <w:szCs w:val="24"/>
          <w:lang w:val="en-US" w:eastAsia="zh-CN" w:bidi="ar"/>
        </w:rPr>
      </w:pPr>
    </w:p>
    <w:p w14:paraId="4ADA078D">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color w:val="000000"/>
          <w:kern w:val="0"/>
          <w:sz w:val="24"/>
          <w:szCs w:val="24"/>
          <w:lang w:val="en-US" w:eastAsia="zh-CN" w:bidi="ar"/>
        </w:rPr>
      </w:pPr>
    </w:p>
    <w:p w14:paraId="2DAA4C01">
      <w:pP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br w:type="page"/>
      </w:r>
    </w:p>
    <w:p w14:paraId="4EB1882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0"/>
          <w:sz w:val="24"/>
          <w:u w:val="none"/>
          <w:lang w:bidi="ar"/>
        </w:rPr>
      </w:pPr>
      <w:r>
        <w:rPr>
          <w:rFonts w:hint="eastAsia" w:ascii="仿宋_GB2312" w:hAnsi="仿宋_GB2312" w:eastAsia="仿宋_GB2312" w:cs="仿宋_GB2312"/>
          <w:color w:val="000000"/>
          <w:kern w:val="0"/>
          <w:sz w:val="24"/>
          <w:u w:val="none"/>
          <w:lang w:bidi="ar"/>
        </w:rPr>
        <w:t xml:space="preserve">附件 </w:t>
      </w:r>
      <w:r>
        <w:rPr>
          <w:rFonts w:hint="eastAsia" w:ascii="仿宋_GB2312" w:hAnsi="仿宋_GB2312" w:eastAsia="仿宋_GB2312" w:cs="仿宋_GB2312"/>
          <w:color w:val="000000"/>
          <w:kern w:val="0"/>
          <w:sz w:val="24"/>
          <w:u w:val="none"/>
          <w:lang w:val="en-US" w:eastAsia="zh-CN" w:bidi="ar"/>
        </w:rPr>
        <w:t>1</w:t>
      </w:r>
      <w:r>
        <w:rPr>
          <w:rFonts w:hint="eastAsia" w:ascii="仿宋_GB2312" w:hAnsi="仿宋_GB2312" w:eastAsia="仿宋_GB2312" w:cs="仿宋_GB2312"/>
          <w:color w:val="000000"/>
          <w:kern w:val="0"/>
          <w:sz w:val="24"/>
          <w:u w:val="none"/>
          <w:lang w:bidi="ar"/>
        </w:rPr>
        <w:t>-</w:t>
      </w:r>
      <w:r>
        <w:rPr>
          <w:rFonts w:hint="eastAsia" w:ascii="仿宋_GB2312" w:hAnsi="仿宋_GB2312" w:eastAsia="仿宋_GB2312" w:cs="仿宋_GB2312"/>
          <w:color w:val="000000"/>
          <w:kern w:val="0"/>
          <w:sz w:val="24"/>
          <w:u w:val="none"/>
          <w:lang w:val="en-US" w:eastAsia="zh-CN" w:bidi="ar"/>
        </w:rPr>
        <w:t>2</w:t>
      </w:r>
      <w:r>
        <w:rPr>
          <w:rFonts w:hint="eastAsia" w:ascii="仿宋_GB2312" w:hAnsi="仿宋_GB2312" w:eastAsia="仿宋_GB2312" w:cs="仿宋_GB2312"/>
          <w:color w:val="000000"/>
          <w:kern w:val="0"/>
          <w:sz w:val="24"/>
          <w:u w:val="none"/>
          <w:lang w:bidi="ar"/>
        </w:rPr>
        <w:t xml:space="preserve"> 投标人具有良好的商业信誉和健全的财务会计制度的证明文件</w:t>
      </w:r>
    </w:p>
    <w:p w14:paraId="714F0A1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0"/>
          <w:sz w:val="24"/>
          <w:u w:val="none"/>
          <w:lang w:bidi="ar"/>
        </w:rPr>
      </w:pPr>
      <w:r>
        <w:rPr>
          <w:rFonts w:hint="eastAsia" w:ascii="仿宋_GB2312" w:hAnsi="仿宋_GB2312" w:eastAsia="仿宋_GB2312" w:cs="仿宋_GB2312"/>
          <w:color w:val="000000"/>
          <w:kern w:val="0"/>
          <w:sz w:val="24"/>
          <w:u w:val="none"/>
          <w:lang w:bidi="ar"/>
        </w:rPr>
        <w:t>说明：</w:t>
      </w:r>
    </w:p>
    <w:p w14:paraId="7661544B">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_GB2312" w:hAnsi="仿宋_GB2312" w:eastAsia="仿宋_GB2312" w:cs="仿宋_GB2312"/>
          <w:color w:val="000000"/>
          <w:kern w:val="0"/>
          <w:sz w:val="24"/>
          <w:u w:val="none"/>
          <w:lang w:bidi="ar"/>
        </w:rPr>
      </w:pPr>
      <w:bookmarkStart w:id="30" w:name="_Toc16703"/>
      <w:r>
        <w:rPr>
          <w:rFonts w:hint="eastAsia" w:ascii="仿宋_GB2312" w:hAnsi="仿宋_GB2312" w:eastAsia="仿宋_GB2312" w:cs="仿宋_GB2312"/>
          <w:color w:val="000000"/>
          <w:kern w:val="0"/>
          <w:sz w:val="24"/>
          <w:u w:val="none"/>
          <w:lang w:bidi="ar"/>
        </w:rPr>
        <w:t>1、复印件并加盖本单位公章</w:t>
      </w:r>
      <w:bookmarkEnd w:id="30"/>
    </w:p>
    <w:p w14:paraId="3D1C6C5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0"/>
          <w:sz w:val="24"/>
          <w:u w:val="none"/>
          <w:lang w:bidi="ar"/>
        </w:rPr>
      </w:pPr>
      <w:r>
        <w:rPr>
          <w:rFonts w:hint="eastAsia" w:ascii="仿宋_GB2312" w:hAnsi="仿宋_GB2312" w:eastAsia="仿宋_GB2312" w:cs="仿宋_GB2312"/>
          <w:color w:val="000000"/>
          <w:kern w:val="0"/>
          <w:sz w:val="24"/>
          <w:u w:val="none"/>
          <w:lang w:bidi="ar"/>
        </w:rPr>
        <w:t>2、若提供的是复印件，采购人、采购代理机构保留审核原件的权利。</w:t>
      </w:r>
    </w:p>
    <w:p w14:paraId="6A5878ED">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_GB2312" w:hAnsi="仿宋_GB2312" w:eastAsia="仿宋_GB2312" w:cs="仿宋_GB2312"/>
          <w:color w:val="000000"/>
          <w:kern w:val="0"/>
          <w:sz w:val="24"/>
          <w:u w:val="none"/>
          <w:lang w:bidi="ar"/>
        </w:rPr>
      </w:pPr>
      <w:bookmarkStart w:id="31" w:name="_Toc32425"/>
      <w:r>
        <w:rPr>
          <w:rFonts w:hint="eastAsia" w:ascii="仿宋_GB2312" w:hAnsi="仿宋_GB2312" w:eastAsia="仿宋_GB2312" w:cs="仿宋_GB2312"/>
          <w:color w:val="000000"/>
          <w:kern w:val="0"/>
          <w:sz w:val="24"/>
          <w:u w:val="none"/>
          <w:lang w:bidi="ar"/>
        </w:rPr>
        <w:t>3、如果是联合体投标，联合体各方均需提供上述证明。</w:t>
      </w:r>
      <w:bookmarkEnd w:id="31"/>
    </w:p>
    <w:p w14:paraId="575FC20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0"/>
          <w:sz w:val="24"/>
          <w:u w:val="none"/>
          <w:lang w:bidi="ar"/>
        </w:rPr>
      </w:pPr>
    </w:p>
    <w:p w14:paraId="0066271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0"/>
          <w:sz w:val="24"/>
          <w:u w:val="none"/>
          <w:lang w:bidi="ar"/>
        </w:rPr>
      </w:pPr>
      <w:r>
        <w:rPr>
          <w:rFonts w:hint="eastAsia" w:ascii="仿宋_GB2312" w:hAnsi="仿宋_GB2312" w:eastAsia="仿宋_GB2312" w:cs="仿宋_GB2312"/>
          <w:color w:val="000000"/>
          <w:kern w:val="0"/>
          <w:sz w:val="24"/>
          <w:u w:val="none"/>
          <w:lang w:bidi="ar"/>
        </w:rPr>
        <w:br w:type="page"/>
      </w:r>
    </w:p>
    <w:p w14:paraId="179AC35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0"/>
          <w:sz w:val="24"/>
          <w:u w:val="none"/>
          <w:lang w:bidi="ar"/>
        </w:rPr>
      </w:pPr>
      <w:r>
        <w:rPr>
          <w:rFonts w:hint="eastAsia" w:ascii="仿宋_GB2312" w:hAnsi="仿宋_GB2312" w:eastAsia="仿宋_GB2312" w:cs="仿宋_GB2312"/>
          <w:color w:val="000000"/>
          <w:kern w:val="0"/>
          <w:sz w:val="24"/>
          <w:u w:val="none"/>
          <w:lang w:bidi="ar"/>
        </w:rPr>
        <w:t>附件</w:t>
      </w:r>
      <w:r>
        <w:rPr>
          <w:rFonts w:hint="eastAsia" w:ascii="仿宋_GB2312" w:hAnsi="仿宋_GB2312" w:eastAsia="仿宋_GB2312" w:cs="仿宋_GB2312"/>
          <w:color w:val="000000"/>
          <w:kern w:val="0"/>
          <w:sz w:val="24"/>
          <w:u w:val="none"/>
          <w:lang w:val="en-US" w:eastAsia="zh-CN" w:bidi="ar"/>
        </w:rPr>
        <w:t>1</w:t>
      </w:r>
      <w:r>
        <w:rPr>
          <w:rFonts w:hint="eastAsia" w:ascii="仿宋_GB2312" w:hAnsi="仿宋_GB2312" w:eastAsia="仿宋_GB2312" w:cs="仿宋_GB2312"/>
          <w:color w:val="000000"/>
          <w:kern w:val="0"/>
          <w:sz w:val="24"/>
          <w:u w:val="none"/>
          <w:lang w:bidi="ar"/>
        </w:rPr>
        <w:t>-</w:t>
      </w:r>
      <w:r>
        <w:rPr>
          <w:rFonts w:hint="eastAsia" w:ascii="仿宋_GB2312" w:hAnsi="仿宋_GB2312" w:eastAsia="仿宋_GB2312" w:cs="仿宋_GB2312"/>
          <w:color w:val="000000"/>
          <w:kern w:val="0"/>
          <w:sz w:val="24"/>
          <w:u w:val="none"/>
          <w:lang w:val="en-US" w:eastAsia="zh-CN" w:bidi="ar"/>
        </w:rPr>
        <w:t>3</w:t>
      </w:r>
      <w:r>
        <w:rPr>
          <w:rFonts w:hint="eastAsia" w:ascii="仿宋_GB2312" w:hAnsi="仿宋_GB2312" w:eastAsia="仿宋_GB2312" w:cs="仿宋_GB2312"/>
          <w:color w:val="000000"/>
          <w:kern w:val="0"/>
          <w:sz w:val="24"/>
          <w:u w:val="none"/>
          <w:lang w:bidi="ar"/>
        </w:rPr>
        <w:t xml:space="preserve"> </w:t>
      </w:r>
      <w:r>
        <w:rPr>
          <w:rFonts w:hint="eastAsia" w:ascii="仿宋_GB2312" w:hAnsi="仿宋_GB2312" w:eastAsia="仿宋_GB2312" w:cs="仿宋_GB2312"/>
          <w:color w:val="000000"/>
          <w:kern w:val="0"/>
          <w:sz w:val="24"/>
          <w:u w:val="none"/>
          <w:lang w:val="en-US" w:eastAsia="zh-CN" w:bidi="ar"/>
        </w:rPr>
        <w:t xml:space="preserve"> </w:t>
      </w:r>
      <w:r>
        <w:rPr>
          <w:rFonts w:hint="eastAsia" w:ascii="仿宋_GB2312" w:hAnsi="仿宋_GB2312" w:eastAsia="仿宋_GB2312" w:cs="仿宋_GB2312"/>
          <w:color w:val="000000"/>
          <w:kern w:val="0"/>
          <w:sz w:val="24"/>
          <w:u w:val="none"/>
          <w:lang w:bidi="ar"/>
        </w:rPr>
        <w:t>投标人缴纳税收的证明</w:t>
      </w:r>
    </w:p>
    <w:p w14:paraId="3E9396F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0"/>
          <w:sz w:val="24"/>
          <w:u w:val="none"/>
          <w:lang w:bidi="ar"/>
        </w:rPr>
      </w:pPr>
      <w:r>
        <w:rPr>
          <w:rFonts w:hint="eastAsia" w:ascii="仿宋_GB2312" w:hAnsi="仿宋_GB2312" w:eastAsia="仿宋_GB2312" w:cs="仿宋_GB2312"/>
          <w:color w:val="000000"/>
          <w:kern w:val="0"/>
          <w:sz w:val="24"/>
          <w:u w:val="none"/>
          <w:lang w:bidi="ar"/>
        </w:rPr>
        <w:t>说明：</w:t>
      </w:r>
    </w:p>
    <w:p w14:paraId="3CD76D04">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_GB2312" w:hAnsi="仿宋_GB2312" w:eastAsia="仿宋_GB2312" w:cs="仿宋_GB2312"/>
          <w:color w:val="000000"/>
          <w:kern w:val="0"/>
          <w:sz w:val="24"/>
          <w:u w:val="none"/>
          <w:lang w:bidi="ar"/>
        </w:rPr>
      </w:pPr>
      <w:bookmarkStart w:id="32" w:name="_Toc7512"/>
      <w:r>
        <w:rPr>
          <w:rFonts w:hint="eastAsia" w:ascii="仿宋_GB2312" w:hAnsi="仿宋_GB2312" w:eastAsia="仿宋_GB2312" w:cs="仿宋_GB2312"/>
          <w:color w:val="000000"/>
          <w:kern w:val="0"/>
          <w:sz w:val="24"/>
          <w:u w:val="none"/>
          <w:lang w:bidi="ar"/>
        </w:rPr>
        <w:t>1、复印件并加盖本单位公章</w:t>
      </w:r>
      <w:bookmarkEnd w:id="32"/>
    </w:p>
    <w:p w14:paraId="0E5B5E0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0"/>
          <w:sz w:val="24"/>
          <w:u w:val="none"/>
          <w:lang w:bidi="ar"/>
        </w:rPr>
      </w:pPr>
      <w:r>
        <w:rPr>
          <w:rFonts w:hint="eastAsia" w:ascii="仿宋_GB2312" w:hAnsi="仿宋_GB2312" w:eastAsia="仿宋_GB2312" w:cs="仿宋_GB2312"/>
          <w:color w:val="000000"/>
          <w:kern w:val="0"/>
          <w:sz w:val="24"/>
          <w:u w:val="none"/>
          <w:lang w:bidi="ar"/>
        </w:rPr>
        <w:t>2、若提供的是复印件，采购人、采购代理机构保留审核原件的权利。</w:t>
      </w:r>
    </w:p>
    <w:p w14:paraId="75EC4B62">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_GB2312" w:hAnsi="仿宋_GB2312" w:eastAsia="仿宋_GB2312" w:cs="仿宋_GB2312"/>
          <w:color w:val="000000"/>
          <w:kern w:val="0"/>
          <w:sz w:val="24"/>
          <w:u w:val="none"/>
          <w:lang w:bidi="ar"/>
        </w:rPr>
      </w:pPr>
      <w:bookmarkStart w:id="33" w:name="_Toc8376"/>
      <w:r>
        <w:rPr>
          <w:rFonts w:hint="eastAsia" w:ascii="仿宋_GB2312" w:hAnsi="仿宋_GB2312" w:eastAsia="仿宋_GB2312" w:cs="仿宋_GB2312"/>
          <w:color w:val="000000"/>
          <w:kern w:val="0"/>
          <w:sz w:val="24"/>
          <w:u w:val="none"/>
          <w:lang w:bidi="ar"/>
        </w:rPr>
        <w:t>3、如果是联合体投标，联合体各方均需提供上述证明。</w:t>
      </w:r>
      <w:r>
        <w:rPr>
          <w:rFonts w:hint="eastAsia" w:ascii="仿宋_GB2312" w:hAnsi="仿宋_GB2312" w:eastAsia="仿宋_GB2312" w:cs="仿宋_GB2312"/>
          <w:color w:val="000000"/>
          <w:kern w:val="0"/>
          <w:sz w:val="24"/>
          <w:u w:val="none"/>
          <w:lang w:bidi="ar"/>
        </w:rPr>
        <w:br w:type="page"/>
      </w:r>
      <w:bookmarkEnd w:id="33"/>
    </w:p>
    <w:p w14:paraId="67608ED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0"/>
          <w:sz w:val="24"/>
          <w:u w:val="none"/>
          <w:lang w:bidi="ar"/>
        </w:rPr>
      </w:pPr>
      <w:r>
        <w:rPr>
          <w:rFonts w:hint="eastAsia" w:ascii="仿宋_GB2312" w:hAnsi="仿宋_GB2312" w:eastAsia="仿宋_GB2312" w:cs="仿宋_GB2312"/>
          <w:color w:val="000000"/>
          <w:kern w:val="0"/>
          <w:sz w:val="24"/>
          <w:u w:val="none"/>
          <w:lang w:bidi="ar"/>
        </w:rPr>
        <w:t>附件</w:t>
      </w:r>
      <w:r>
        <w:rPr>
          <w:rFonts w:hint="eastAsia" w:ascii="仿宋_GB2312" w:hAnsi="仿宋_GB2312" w:eastAsia="仿宋_GB2312" w:cs="仿宋_GB2312"/>
          <w:color w:val="000000"/>
          <w:kern w:val="0"/>
          <w:sz w:val="24"/>
          <w:u w:val="none"/>
          <w:lang w:val="en-US" w:eastAsia="zh-CN" w:bidi="ar"/>
        </w:rPr>
        <w:t>1</w:t>
      </w:r>
      <w:r>
        <w:rPr>
          <w:rFonts w:hint="eastAsia" w:ascii="仿宋_GB2312" w:hAnsi="仿宋_GB2312" w:eastAsia="仿宋_GB2312" w:cs="仿宋_GB2312"/>
          <w:color w:val="000000"/>
          <w:kern w:val="0"/>
          <w:sz w:val="24"/>
          <w:u w:val="none"/>
          <w:lang w:bidi="ar"/>
        </w:rPr>
        <w:t>-</w:t>
      </w:r>
      <w:r>
        <w:rPr>
          <w:rFonts w:hint="eastAsia" w:ascii="仿宋_GB2312" w:hAnsi="仿宋_GB2312" w:eastAsia="仿宋_GB2312" w:cs="仿宋_GB2312"/>
          <w:color w:val="000000"/>
          <w:kern w:val="0"/>
          <w:sz w:val="24"/>
          <w:u w:val="none"/>
          <w:lang w:val="en-US" w:eastAsia="zh-CN" w:bidi="ar"/>
        </w:rPr>
        <w:t>4</w:t>
      </w:r>
      <w:r>
        <w:rPr>
          <w:rFonts w:hint="eastAsia" w:ascii="仿宋_GB2312" w:hAnsi="仿宋_GB2312" w:eastAsia="仿宋_GB2312" w:cs="仿宋_GB2312"/>
          <w:color w:val="000000"/>
          <w:kern w:val="0"/>
          <w:sz w:val="24"/>
          <w:u w:val="none"/>
          <w:lang w:bidi="ar"/>
        </w:rPr>
        <w:t xml:space="preserve"> </w:t>
      </w:r>
      <w:r>
        <w:rPr>
          <w:rFonts w:hint="eastAsia" w:ascii="仿宋_GB2312" w:hAnsi="仿宋_GB2312" w:eastAsia="仿宋_GB2312" w:cs="仿宋_GB2312"/>
          <w:color w:val="000000"/>
          <w:kern w:val="0"/>
          <w:sz w:val="24"/>
          <w:u w:val="none"/>
          <w:lang w:val="en-US" w:eastAsia="zh-CN" w:bidi="ar"/>
        </w:rPr>
        <w:t xml:space="preserve"> </w:t>
      </w:r>
      <w:r>
        <w:rPr>
          <w:rFonts w:hint="eastAsia" w:ascii="仿宋_GB2312" w:hAnsi="仿宋_GB2312" w:eastAsia="仿宋_GB2312" w:cs="仿宋_GB2312"/>
          <w:color w:val="000000"/>
          <w:kern w:val="0"/>
          <w:sz w:val="24"/>
          <w:u w:val="none"/>
          <w:lang w:bidi="ar"/>
        </w:rPr>
        <w:t>投标人为职工缴纳社会保险的证明</w:t>
      </w:r>
    </w:p>
    <w:p w14:paraId="3881579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0"/>
          <w:sz w:val="24"/>
          <w:u w:val="none"/>
          <w:lang w:bidi="ar"/>
        </w:rPr>
      </w:pPr>
      <w:r>
        <w:rPr>
          <w:rFonts w:hint="eastAsia" w:ascii="仿宋_GB2312" w:hAnsi="仿宋_GB2312" w:eastAsia="仿宋_GB2312" w:cs="仿宋_GB2312"/>
          <w:color w:val="000000"/>
          <w:kern w:val="0"/>
          <w:sz w:val="24"/>
          <w:u w:val="none"/>
          <w:lang w:bidi="ar"/>
        </w:rPr>
        <w:t>说明：</w:t>
      </w:r>
    </w:p>
    <w:p w14:paraId="73B783C3">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_GB2312" w:hAnsi="仿宋_GB2312" w:eastAsia="仿宋_GB2312" w:cs="仿宋_GB2312"/>
          <w:color w:val="000000"/>
          <w:kern w:val="0"/>
          <w:sz w:val="24"/>
          <w:u w:val="none"/>
          <w:lang w:bidi="ar"/>
        </w:rPr>
      </w:pPr>
      <w:bookmarkStart w:id="34" w:name="_Toc3006"/>
      <w:r>
        <w:rPr>
          <w:rFonts w:hint="eastAsia" w:ascii="仿宋_GB2312" w:hAnsi="仿宋_GB2312" w:eastAsia="仿宋_GB2312" w:cs="仿宋_GB2312"/>
          <w:color w:val="000000"/>
          <w:kern w:val="0"/>
          <w:sz w:val="24"/>
          <w:u w:val="none"/>
          <w:lang w:bidi="ar"/>
        </w:rPr>
        <w:t>1、复印件并加盖本单位公章</w:t>
      </w:r>
      <w:bookmarkEnd w:id="34"/>
    </w:p>
    <w:p w14:paraId="3109AC0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0"/>
          <w:sz w:val="24"/>
          <w:u w:val="none"/>
          <w:lang w:bidi="ar"/>
        </w:rPr>
      </w:pPr>
      <w:r>
        <w:rPr>
          <w:rFonts w:hint="eastAsia" w:ascii="仿宋_GB2312" w:hAnsi="仿宋_GB2312" w:eastAsia="仿宋_GB2312" w:cs="仿宋_GB2312"/>
          <w:color w:val="000000"/>
          <w:kern w:val="0"/>
          <w:sz w:val="24"/>
          <w:u w:val="none"/>
          <w:lang w:bidi="ar"/>
        </w:rPr>
        <w:t>2、若提供的是复印件，采购人、采购代理机构保留审核原件的权利。</w:t>
      </w:r>
    </w:p>
    <w:p w14:paraId="4A432EBE">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_GB2312" w:hAnsi="仿宋_GB2312" w:eastAsia="仿宋_GB2312" w:cs="仿宋_GB2312"/>
          <w:color w:val="000000"/>
          <w:kern w:val="0"/>
          <w:sz w:val="24"/>
          <w:u w:val="none"/>
          <w:lang w:bidi="ar"/>
        </w:rPr>
      </w:pPr>
      <w:bookmarkStart w:id="35" w:name="_Toc28907"/>
      <w:r>
        <w:rPr>
          <w:rFonts w:hint="eastAsia" w:ascii="仿宋_GB2312" w:hAnsi="仿宋_GB2312" w:eastAsia="仿宋_GB2312" w:cs="仿宋_GB2312"/>
          <w:color w:val="000000"/>
          <w:kern w:val="0"/>
          <w:sz w:val="24"/>
          <w:u w:val="none"/>
          <w:lang w:bidi="ar"/>
        </w:rPr>
        <w:t>3、如果是联合体投标，联合体各方均需提供上述证明。</w:t>
      </w:r>
      <w:bookmarkEnd w:id="35"/>
    </w:p>
    <w:p w14:paraId="3DC93A5A">
      <w:pPr>
        <w:rPr>
          <w:rFonts w:hint="eastAsia" w:ascii="仿宋_GB2312" w:hAnsi="仿宋_GB2312" w:eastAsia="仿宋_GB2312" w:cs="仿宋_GB2312"/>
          <w:color w:val="000000"/>
          <w:kern w:val="0"/>
          <w:sz w:val="24"/>
          <w:u w:val="none"/>
          <w:lang w:bidi="ar"/>
        </w:rPr>
      </w:pPr>
    </w:p>
    <w:p w14:paraId="17BAC0BF">
      <w:pPr>
        <w:rPr>
          <w:rFonts w:hint="eastAsia" w:ascii="仿宋_GB2312" w:hAnsi="仿宋_GB2312" w:eastAsia="仿宋_GB2312" w:cs="仿宋_GB2312"/>
          <w:color w:val="000000"/>
          <w:kern w:val="0"/>
          <w:sz w:val="24"/>
          <w:u w:val="none"/>
          <w:lang w:bidi="ar"/>
        </w:rPr>
      </w:pPr>
      <w:r>
        <w:rPr>
          <w:rFonts w:hint="eastAsia" w:ascii="仿宋_GB2312" w:hAnsi="仿宋_GB2312" w:eastAsia="仿宋_GB2312" w:cs="仿宋_GB2312"/>
          <w:color w:val="000000"/>
          <w:kern w:val="0"/>
          <w:sz w:val="24"/>
          <w:u w:val="none"/>
          <w:lang w:bidi="ar"/>
        </w:rPr>
        <w:br w:type="page"/>
      </w:r>
    </w:p>
    <w:p w14:paraId="6A0561F2">
      <w:pPr>
        <w:rPr>
          <w:rFonts w:hint="eastAsia" w:ascii="仿宋_GB2312" w:hAnsi="仿宋_GB2312" w:eastAsia="仿宋_GB2312" w:cs="仿宋_GB2312"/>
          <w:color w:val="000000"/>
          <w:kern w:val="0"/>
          <w:sz w:val="24"/>
          <w:u w:val="none"/>
          <w:lang w:bidi="ar"/>
        </w:rPr>
      </w:pPr>
      <w:r>
        <w:rPr>
          <w:rFonts w:hint="eastAsia" w:ascii="仿宋_GB2312" w:hAnsi="仿宋_GB2312" w:eastAsia="仿宋_GB2312" w:cs="仿宋_GB2312"/>
          <w:color w:val="000000"/>
          <w:kern w:val="0"/>
          <w:sz w:val="24"/>
          <w:u w:val="none"/>
          <w:lang w:bidi="ar"/>
        </w:rPr>
        <w:t xml:space="preserve">附件 </w:t>
      </w:r>
      <w:r>
        <w:rPr>
          <w:rFonts w:hint="eastAsia" w:ascii="仿宋_GB2312" w:hAnsi="仿宋_GB2312" w:eastAsia="仿宋_GB2312" w:cs="仿宋_GB2312"/>
          <w:color w:val="000000"/>
          <w:kern w:val="0"/>
          <w:sz w:val="24"/>
          <w:u w:val="none"/>
          <w:lang w:val="en-US" w:eastAsia="zh-CN" w:bidi="ar"/>
        </w:rPr>
        <w:t>1</w:t>
      </w:r>
      <w:r>
        <w:rPr>
          <w:rFonts w:hint="eastAsia" w:ascii="仿宋_GB2312" w:hAnsi="仿宋_GB2312" w:eastAsia="仿宋_GB2312" w:cs="仿宋_GB2312"/>
          <w:color w:val="000000"/>
          <w:kern w:val="0"/>
          <w:sz w:val="24"/>
          <w:u w:val="none"/>
          <w:lang w:bidi="ar"/>
        </w:rPr>
        <w:t>-</w:t>
      </w:r>
      <w:r>
        <w:rPr>
          <w:rFonts w:hint="eastAsia" w:ascii="仿宋_GB2312" w:hAnsi="仿宋_GB2312" w:eastAsia="仿宋_GB2312" w:cs="仿宋_GB2312"/>
          <w:color w:val="000000"/>
          <w:kern w:val="0"/>
          <w:sz w:val="24"/>
          <w:u w:val="none"/>
          <w:lang w:val="en-US" w:eastAsia="zh-CN" w:bidi="ar"/>
        </w:rPr>
        <w:t>5</w:t>
      </w:r>
      <w:r>
        <w:rPr>
          <w:rFonts w:hint="eastAsia" w:ascii="仿宋_GB2312" w:hAnsi="仿宋_GB2312" w:eastAsia="仿宋_GB2312" w:cs="仿宋_GB2312"/>
          <w:color w:val="000000"/>
          <w:kern w:val="0"/>
          <w:sz w:val="24"/>
          <w:u w:val="none"/>
          <w:lang w:bidi="ar"/>
        </w:rPr>
        <w:t xml:space="preserve"> 投标人资格声明书</w:t>
      </w:r>
    </w:p>
    <w:p w14:paraId="012E3139">
      <w:pPr>
        <w:rPr>
          <w:rFonts w:hint="eastAsia" w:ascii="仿宋_GB2312" w:hAnsi="仿宋_GB2312" w:eastAsia="仿宋_GB2312" w:cs="仿宋_GB2312"/>
          <w:color w:val="000000"/>
          <w:kern w:val="0"/>
          <w:sz w:val="24"/>
          <w:u w:val="none"/>
          <w:lang w:bidi="ar"/>
        </w:rPr>
      </w:pPr>
    </w:p>
    <w:p w14:paraId="4EE3AAE8">
      <w:pPr>
        <w:keepNext w:val="0"/>
        <w:keepLines w:val="0"/>
        <w:widowControl/>
        <w:suppressLineNumbers w:val="0"/>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kern w:val="0"/>
          <w:sz w:val="32"/>
          <w:szCs w:val="32"/>
          <w:lang w:val="en-US" w:eastAsia="zh-CN" w:bidi="ar"/>
        </w:rPr>
        <w:t>投标人资格声明书</w:t>
      </w:r>
    </w:p>
    <w:p w14:paraId="4BACDF0A">
      <w:pPr>
        <w:keepNext w:val="0"/>
        <w:keepLines w:val="0"/>
        <w:widowControl/>
        <w:suppressLineNumbers w:val="0"/>
        <w:jc w:val="left"/>
        <w:rPr>
          <w:rFonts w:hint="eastAsia" w:ascii="仿宋_GB2312" w:hAnsi="仿宋_GB2312" w:eastAsia="仿宋_GB2312" w:cs="仿宋_GB2312"/>
          <w:color w:val="000000"/>
          <w:kern w:val="0"/>
          <w:sz w:val="24"/>
          <w:szCs w:val="24"/>
          <w:lang w:val="en-US" w:eastAsia="zh-CN" w:bidi="ar"/>
        </w:rPr>
      </w:pPr>
    </w:p>
    <w:p w14:paraId="1142830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lang w:val="en-US" w:eastAsia="zh-CN" w:bidi="ar"/>
        </w:rPr>
        <w:t>致：</w:t>
      </w:r>
      <w:r>
        <w:rPr>
          <w:rFonts w:hint="eastAsia" w:ascii="仿宋_GB2312" w:hAnsi="仿宋_GB2312" w:eastAsia="仿宋_GB2312" w:cs="仿宋_GB2312"/>
          <w:color w:val="000000"/>
          <w:kern w:val="0"/>
          <w:sz w:val="24"/>
          <w:szCs w:val="24"/>
          <w:u w:val="single"/>
          <w:lang w:val="en-US" w:eastAsia="zh-CN" w:bidi="ar"/>
        </w:rPr>
        <w:t xml:space="preserve">采购人或采购代理机构 </w:t>
      </w:r>
    </w:p>
    <w:p w14:paraId="5AB2068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lang w:val="en-US" w:eastAsia="zh-CN" w:bidi="ar"/>
        </w:rPr>
        <w:t xml:space="preserve">在参与本次项目投标中，我单位承诺： </w:t>
      </w:r>
    </w:p>
    <w:p w14:paraId="2CD17A1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lang w:val="en-US" w:eastAsia="zh-CN" w:bidi="ar"/>
        </w:rPr>
        <w:t xml:space="preserve">（一）具有良好的商业信誉和健全的财务会计制度； </w:t>
      </w:r>
    </w:p>
    <w:p w14:paraId="1E0417A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lang w:val="en-US" w:eastAsia="zh-CN" w:bidi="ar"/>
        </w:rPr>
        <w:t xml:space="preserve">（二）具有履行合同所必需的设备和专业技术能力； </w:t>
      </w:r>
    </w:p>
    <w:p w14:paraId="2298BE5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lang w:val="en-US" w:eastAsia="zh-CN" w:bidi="ar"/>
        </w:rPr>
        <w:t xml:space="preserve">（三）有依法缴纳税收和社会保障资金的良好记录； </w:t>
      </w:r>
    </w:p>
    <w:p w14:paraId="47C9F50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lang w:val="en-US" w:eastAsia="zh-CN" w:bidi="ar"/>
        </w:rPr>
        <w:t xml:space="preserve">（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 </w:t>
      </w:r>
    </w:p>
    <w:p w14:paraId="48987DA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lang w:val="en-US" w:eastAsia="zh-CN" w:bidi="ar"/>
        </w:rPr>
        <w:t xml:space="preserve">（五）我单位不属于政府采购法律、行政法规规定的公益一类事业单位、或使用事业编制且由财政拨款保障的群团组织（仅适用于政府购买服务项目）； </w:t>
      </w:r>
    </w:p>
    <w:p w14:paraId="2227A0D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lang w:val="en-US" w:eastAsia="zh-CN" w:bidi="ar"/>
        </w:rPr>
        <w:t xml:space="preserve">（六）我单位不存在为采购项目提供整体设计、规范编制或者项目管理、监理、检测等服务后，再参加该采购项目的其他采购活动的情形（单一来源采购项目除外）； </w:t>
      </w:r>
    </w:p>
    <w:p w14:paraId="6BD2601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lang w:val="en-US" w:eastAsia="zh-CN" w:bidi="ar"/>
        </w:rPr>
        <w:t xml:space="preserve">（七）与我单位存在“单位负责人为同一人或者存在直接控股、管理关系”的其他法人单位信息如下（如有，不论其是否参加同一合同项下的政府采购活动均须填写）：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3798"/>
        <w:gridCol w:w="3406"/>
      </w:tblGrid>
      <w:tr w14:paraId="2888B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29B8855F">
            <w:pPr>
              <w:keepNext w:val="0"/>
              <w:keepLines w:val="0"/>
              <w:widowControl/>
              <w:suppressLineNumbers w:val="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序号</w:t>
            </w:r>
          </w:p>
        </w:tc>
        <w:tc>
          <w:tcPr>
            <w:tcW w:w="3798" w:type="dxa"/>
            <w:vAlign w:val="center"/>
          </w:tcPr>
          <w:p w14:paraId="6B395DE3">
            <w:pPr>
              <w:keepNext w:val="0"/>
              <w:keepLines w:val="0"/>
              <w:widowControl/>
              <w:suppressLineNumbers w:val="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单位名称</w:t>
            </w:r>
          </w:p>
        </w:tc>
        <w:tc>
          <w:tcPr>
            <w:tcW w:w="3406" w:type="dxa"/>
            <w:vAlign w:val="center"/>
          </w:tcPr>
          <w:p w14:paraId="487B6BDB">
            <w:pPr>
              <w:keepNext w:val="0"/>
              <w:keepLines w:val="0"/>
              <w:widowControl/>
              <w:suppressLineNumbers w:val="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相互关系</w:t>
            </w:r>
          </w:p>
        </w:tc>
      </w:tr>
      <w:tr w14:paraId="3CCF4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27CDD4E8">
            <w:pPr>
              <w:keepNext w:val="0"/>
              <w:keepLines w:val="0"/>
              <w:widowControl/>
              <w:suppressLineNumbers w:val="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1</w:t>
            </w:r>
          </w:p>
        </w:tc>
        <w:tc>
          <w:tcPr>
            <w:tcW w:w="3798" w:type="dxa"/>
          </w:tcPr>
          <w:p w14:paraId="39FB7C2A">
            <w:pPr>
              <w:keepNext w:val="0"/>
              <w:keepLines w:val="0"/>
              <w:widowControl/>
              <w:suppressLineNumbers w:val="0"/>
              <w:jc w:val="left"/>
              <w:rPr>
                <w:rFonts w:hint="eastAsia" w:ascii="仿宋_GB2312" w:hAnsi="仿宋_GB2312" w:eastAsia="仿宋_GB2312" w:cs="仿宋_GB2312"/>
                <w:color w:val="000000"/>
                <w:kern w:val="0"/>
                <w:sz w:val="24"/>
                <w:szCs w:val="24"/>
                <w:vertAlign w:val="baseline"/>
                <w:lang w:val="en-US" w:eastAsia="zh-CN" w:bidi="ar"/>
              </w:rPr>
            </w:pPr>
          </w:p>
        </w:tc>
        <w:tc>
          <w:tcPr>
            <w:tcW w:w="3406" w:type="dxa"/>
          </w:tcPr>
          <w:p w14:paraId="1B735F7B">
            <w:pPr>
              <w:keepNext w:val="0"/>
              <w:keepLines w:val="0"/>
              <w:widowControl/>
              <w:suppressLineNumbers w:val="0"/>
              <w:jc w:val="left"/>
              <w:rPr>
                <w:rFonts w:hint="eastAsia" w:ascii="仿宋_GB2312" w:hAnsi="仿宋_GB2312" w:eastAsia="仿宋_GB2312" w:cs="仿宋_GB2312"/>
                <w:color w:val="000000"/>
                <w:kern w:val="0"/>
                <w:sz w:val="24"/>
                <w:szCs w:val="24"/>
                <w:vertAlign w:val="baseline"/>
                <w:lang w:val="en-US" w:eastAsia="zh-CN" w:bidi="ar"/>
              </w:rPr>
            </w:pPr>
          </w:p>
        </w:tc>
      </w:tr>
      <w:tr w14:paraId="19665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219D1228">
            <w:pPr>
              <w:keepNext w:val="0"/>
              <w:keepLines w:val="0"/>
              <w:widowControl/>
              <w:suppressLineNumbers w:val="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2</w:t>
            </w:r>
          </w:p>
        </w:tc>
        <w:tc>
          <w:tcPr>
            <w:tcW w:w="3798" w:type="dxa"/>
          </w:tcPr>
          <w:p w14:paraId="34268C0E">
            <w:pPr>
              <w:keepNext w:val="0"/>
              <w:keepLines w:val="0"/>
              <w:widowControl/>
              <w:suppressLineNumbers w:val="0"/>
              <w:jc w:val="left"/>
              <w:rPr>
                <w:rFonts w:hint="eastAsia" w:ascii="仿宋_GB2312" w:hAnsi="仿宋_GB2312" w:eastAsia="仿宋_GB2312" w:cs="仿宋_GB2312"/>
                <w:color w:val="000000"/>
                <w:kern w:val="0"/>
                <w:sz w:val="24"/>
                <w:szCs w:val="24"/>
                <w:vertAlign w:val="baseline"/>
                <w:lang w:val="en-US" w:eastAsia="zh-CN" w:bidi="ar"/>
              </w:rPr>
            </w:pPr>
          </w:p>
        </w:tc>
        <w:tc>
          <w:tcPr>
            <w:tcW w:w="3406" w:type="dxa"/>
          </w:tcPr>
          <w:p w14:paraId="3BB181BA">
            <w:pPr>
              <w:keepNext w:val="0"/>
              <w:keepLines w:val="0"/>
              <w:widowControl/>
              <w:suppressLineNumbers w:val="0"/>
              <w:jc w:val="left"/>
              <w:rPr>
                <w:rFonts w:hint="eastAsia" w:ascii="仿宋_GB2312" w:hAnsi="仿宋_GB2312" w:eastAsia="仿宋_GB2312" w:cs="仿宋_GB2312"/>
                <w:color w:val="000000"/>
                <w:kern w:val="0"/>
                <w:sz w:val="24"/>
                <w:szCs w:val="24"/>
                <w:vertAlign w:val="baseline"/>
                <w:lang w:val="en-US" w:eastAsia="zh-CN" w:bidi="ar"/>
              </w:rPr>
            </w:pPr>
          </w:p>
        </w:tc>
      </w:tr>
      <w:tr w14:paraId="7356A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315" w:type="dxa"/>
            <w:vAlign w:val="center"/>
          </w:tcPr>
          <w:p w14:paraId="0DBAEA96">
            <w:pPr>
              <w:keepNext w:val="0"/>
              <w:keepLines w:val="0"/>
              <w:widowControl/>
              <w:suppressLineNumbers w:val="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w:t>
            </w:r>
          </w:p>
        </w:tc>
        <w:tc>
          <w:tcPr>
            <w:tcW w:w="3798" w:type="dxa"/>
          </w:tcPr>
          <w:p w14:paraId="2205A41E">
            <w:pPr>
              <w:keepNext w:val="0"/>
              <w:keepLines w:val="0"/>
              <w:widowControl/>
              <w:suppressLineNumbers w:val="0"/>
              <w:jc w:val="left"/>
              <w:rPr>
                <w:rFonts w:hint="eastAsia" w:ascii="仿宋_GB2312" w:hAnsi="仿宋_GB2312" w:eastAsia="仿宋_GB2312" w:cs="仿宋_GB2312"/>
                <w:color w:val="000000"/>
                <w:kern w:val="0"/>
                <w:sz w:val="24"/>
                <w:szCs w:val="24"/>
                <w:vertAlign w:val="baseline"/>
                <w:lang w:val="en-US" w:eastAsia="zh-CN" w:bidi="ar"/>
              </w:rPr>
            </w:pPr>
          </w:p>
        </w:tc>
        <w:tc>
          <w:tcPr>
            <w:tcW w:w="3406" w:type="dxa"/>
          </w:tcPr>
          <w:p w14:paraId="0FF7FAAC">
            <w:pPr>
              <w:keepNext w:val="0"/>
              <w:keepLines w:val="0"/>
              <w:widowControl/>
              <w:suppressLineNumbers w:val="0"/>
              <w:jc w:val="left"/>
              <w:rPr>
                <w:rFonts w:hint="eastAsia" w:ascii="仿宋_GB2312" w:hAnsi="仿宋_GB2312" w:eastAsia="仿宋_GB2312" w:cs="仿宋_GB2312"/>
                <w:color w:val="000000"/>
                <w:kern w:val="0"/>
                <w:sz w:val="24"/>
                <w:szCs w:val="24"/>
                <w:vertAlign w:val="baseline"/>
                <w:lang w:val="en-US" w:eastAsia="zh-CN" w:bidi="ar"/>
              </w:rPr>
            </w:pPr>
          </w:p>
        </w:tc>
      </w:tr>
    </w:tbl>
    <w:p w14:paraId="681EE55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lang w:val="en-US" w:eastAsia="zh-CN" w:bidi="ar"/>
        </w:rPr>
        <w:t xml:space="preserve">上述声明真实有效，否则我方负全部责任。 </w:t>
      </w:r>
    </w:p>
    <w:p w14:paraId="5BC5741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lang w:val="en-US" w:eastAsia="zh-CN" w:bidi="ar"/>
        </w:rPr>
      </w:pPr>
    </w:p>
    <w:p w14:paraId="714BAA9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lang w:val="en-US" w:eastAsia="zh-CN" w:bidi="ar"/>
        </w:rPr>
      </w:pPr>
    </w:p>
    <w:p w14:paraId="2C185FC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lang w:val="en-US" w:eastAsia="zh-CN" w:bidi="ar"/>
        </w:rPr>
        <w:t xml:space="preserve">投标人名称：  </w:t>
      </w:r>
      <w:r>
        <w:rPr>
          <w:rFonts w:hint="eastAsia" w:ascii="仿宋_GB2312" w:hAnsi="仿宋_GB2312" w:eastAsia="仿宋_GB2312" w:cs="仿宋_GB2312"/>
          <w:i w:val="0"/>
          <w:iCs w:val="0"/>
          <w:color w:val="000000"/>
          <w:kern w:val="0"/>
          <w:sz w:val="24"/>
          <w:szCs w:val="24"/>
          <w:u w:val="single"/>
          <w:lang w:val="en-US" w:eastAsia="zh-CN" w:bidi="ar"/>
        </w:rPr>
        <w:t xml:space="preserve">                       </w:t>
      </w:r>
      <w:r>
        <w:rPr>
          <w:rFonts w:hint="eastAsia" w:ascii="仿宋_GB2312" w:hAnsi="仿宋_GB2312" w:eastAsia="仿宋_GB2312" w:cs="仿宋_GB2312"/>
          <w:color w:val="000000"/>
          <w:kern w:val="0"/>
          <w:sz w:val="24"/>
          <w:szCs w:val="24"/>
          <w:u w:val="single"/>
          <w:lang w:val="en-US" w:eastAsia="zh-CN" w:bidi="ar"/>
        </w:rPr>
        <w:t>（加盖公章）</w:t>
      </w:r>
    </w:p>
    <w:p w14:paraId="24D4B3F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法定代表人或其授权代理人：</w:t>
      </w:r>
      <w:r>
        <w:rPr>
          <w:rFonts w:hint="eastAsia" w:ascii="仿宋_GB2312" w:hAnsi="仿宋_GB2312" w:eastAsia="仿宋_GB2312" w:cs="仿宋_GB2312"/>
          <w:color w:val="000000"/>
          <w:kern w:val="0"/>
          <w:sz w:val="24"/>
          <w:szCs w:val="24"/>
          <w:u w:val="single"/>
          <w:lang w:val="en-US" w:eastAsia="zh-CN" w:bidi="ar"/>
        </w:rPr>
        <w:t xml:space="preserve">      </w:t>
      </w:r>
      <w:r>
        <w:rPr>
          <w:rFonts w:hint="eastAsia" w:ascii="仿宋_GB2312" w:hAnsi="仿宋_GB2312" w:eastAsia="仿宋_GB2312" w:cs="仿宋_GB2312"/>
          <w:color w:val="000000"/>
          <w:kern w:val="0"/>
          <w:sz w:val="24"/>
          <w:szCs w:val="24"/>
          <w:u w:val="single"/>
          <w:lang w:val="en-US" w:eastAsia="zh-CN" w:bidi="ar"/>
        </w:rPr>
        <w:tab/>
      </w:r>
      <w:r>
        <w:rPr>
          <w:rFonts w:hint="eastAsia" w:ascii="仿宋_GB2312" w:hAnsi="仿宋_GB2312" w:eastAsia="仿宋_GB2312" w:cs="仿宋_GB2312"/>
          <w:color w:val="000000"/>
          <w:kern w:val="0"/>
          <w:sz w:val="24"/>
          <w:szCs w:val="24"/>
          <w:u w:val="single"/>
          <w:lang w:val="en-US" w:eastAsia="zh-CN" w:bidi="ar"/>
        </w:rPr>
        <w:t>（签字或印鉴）</w:t>
      </w:r>
      <w:r>
        <w:rPr>
          <w:rFonts w:hint="eastAsia" w:ascii="仿宋_GB2312" w:hAnsi="仿宋_GB2312" w:eastAsia="仿宋_GB2312" w:cs="仿宋_GB2312"/>
          <w:color w:val="000000"/>
          <w:kern w:val="0"/>
          <w:sz w:val="24"/>
          <w:szCs w:val="24"/>
          <w:lang w:val="en-US" w:eastAsia="zh-CN" w:bidi="ar"/>
        </w:rPr>
        <w:tab/>
      </w:r>
    </w:p>
    <w:p w14:paraId="0BE5EA6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lang w:val="en-US" w:eastAsia="zh-CN" w:bidi="ar"/>
        </w:rPr>
        <w:t>日期：</w:t>
      </w:r>
      <w:r>
        <w:rPr>
          <w:rFonts w:hint="eastAsia" w:ascii="仿宋_GB2312" w:hAnsi="仿宋_GB2312" w:eastAsia="仿宋_GB2312" w:cs="仿宋_GB2312"/>
          <w:color w:val="000000"/>
          <w:kern w:val="0"/>
          <w:sz w:val="24"/>
          <w:szCs w:val="24"/>
          <w:u w:val="single"/>
          <w:lang w:val="en-US" w:eastAsia="zh-CN" w:bidi="ar"/>
        </w:rPr>
        <w:t xml:space="preserve">    年    月    日</w:t>
      </w:r>
    </w:p>
    <w:p w14:paraId="33D43558">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0"/>
          <w:sz w:val="24"/>
          <w:u w:val="none"/>
          <w:lang w:bidi="ar"/>
        </w:rPr>
      </w:pPr>
    </w:p>
    <w:p w14:paraId="73A8C6E0">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说明：（1）单位负责人为同一人或者存在直接控股、管理关系的不同供应商，不得参加同一合同项下的政府采购活动。</w:t>
      </w:r>
    </w:p>
    <w:p w14:paraId="709F5CB8">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（2）本条所指单位负责人为同一人指单位法定代表人或者法律、行政法规规定代表单位行使职权的主要负责人。</w:t>
      </w:r>
    </w:p>
    <w:p w14:paraId="2F8107FD">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（3）本条所指控股关系指单位或股东的控股关系。控股股东指:</w:t>
      </w:r>
    </w:p>
    <w:p w14:paraId="7DD7A756">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a.出资额占有限责任公司资本总额百分之五十以上或者其持有的股份占股份有限公司股本总额百分之五十以上的股东；</w:t>
      </w:r>
    </w:p>
    <w:p w14:paraId="72F0A3C9">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b.出资额或者持有股份的比例不足百分之五十，但其出资额或者持有的股份所享有的表决权已足以对股东会、股东大会的决议产生重大影响的股东。</w:t>
      </w:r>
    </w:p>
    <w:p w14:paraId="1881D965">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（4）本条所指管理关系指不具有出资持股关系的其他单位之间存在的管理与被管理关系。</w:t>
      </w:r>
    </w:p>
    <w:p w14:paraId="00FA0C69">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（5）本条所指的控股、管理关系仅限于直接控股、直接管理关系，不包括间接控股或管理关系。</w:t>
      </w:r>
    </w:p>
    <w:p w14:paraId="3361219E">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（6）如无相关情况，请在相应栏填写“无”。</w:t>
      </w:r>
    </w:p>
    <w:p w14:paraId="5D7F9198">
      <w:pPr>
        <w:rPr>
          <w:rFonts w:hint="eastAsia" w:ascii="仿宋_GB2312" w:hAnsi="仿宋_GB2312" w:eastAsia="仿宋_GB2312" w:cs="仿宋_GB2312"/>
          <w:color w:val="000000"/>
          <w:kern w:val="0"/>
          <w:sz w:val="24"/>
          <w:szCs w:val="24"/>
          <w:lang w:val="en-US" w:eastAsia="zh-CN" w:bidi="ar"/>
        </w:rPr>
      </w:pPr>
    </w:p>
    <w:p w14:paraId="07DD6F5E">
      <w:pP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br w:type="page"/>
      </w:r>
    </w:p>
    <w:p w14:paraId="42577F2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_GB2312" w:hAnsi="仿宋_GB2312" w:eastAsia="仿宋_GB2312" w:cs="仿宋_GB2312"/>
          <w:sz w:val="24"/>
          <w:szCs w:val="24"/>
        </w:rPr>
      </w:pPr>
      <w:bookmarkStart w:id="36" w:name="_Toc32152"/>
      <w:r>
        <w:rPr>
          <w:rFonts w:hint="eastAsia" w:ascii="仿宋_GB2312" w:hAnsi="仿宋_GB2312" w:eastAsia="仿宋_GB2312" w:cs="仿宋_GB2312"/>
          <w:color w:val="000000"/>
          <w:kern w:val="0"/>
          <w:sz w:val="24"/>
          <w:szCs w:val="24"/>
          <w:lang w:val="en-US" w:eastAsia="zh-CN" w:bidi="ar"/>
        </w:rPr>
        <w:t>2 落实政府采购政策需满足的资格要求</w:t>
      </w:r>
      <w:r>
        <w:rPr>
          <w:rFonts w:hint="eastAsia" w:ascii="仿宋_GB2312" w:hAnsi="仿宋_GB2312" w:eastAsia="仿宋_GB2312" w:cs="仿宋_GB2312"/>
          <w:b/>
          <w:bCs/>
          <w:color w:val="000000"/>
          <w:kern w:val="0"/>
          <w:sz w:val="24"/>
          <w:szCs w:val="24"/>
          <w:lang w:val="en-US" w:eastAsia="zh-CN" w:bidi="ar"/>
        </w:rPr>
        <w:t>（是否涉及详见投标邀请和投标人须知资料表，如不涉及无需提供）</w:t>
      </w:r>
      <w:bookmarkEnd w:id="36"/>
      <w:r>
        <w:rPr>
          <w:rFonts w:hint="eastAsia" w:ascii="仿宋_GB2312" w:hAnsi="仿宋_GB2312" w:eastAsia="仿宋_GB2312" w:cs="仿宋_GB2312"/>
          <w:color w:val="000000"/>
          <w:kern w:val="0"/>
          <w:sz w:val="24"/>
          <w:szCs w:val="24"/>
          <w:lang w:val="en-US" w:eastAsia="zh-CN" w:bidi="ar"/>
        </w:rPr>
        <w:t xml:space="preserve"> </w:t>
      </w:r>
    </w:p>
    <w:p w14:paraId="5029401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2-1 中小企业声明函 </w:t>
      </w:r>
    </w:p>
    <w:p w14:paraId="56709D7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说明： </w:t>
      </w:r>
    </w:p>
    <w:p w14:paraId="16C7C3E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如本项目（包）不专门面向中小企业预留采购份额，资格证明文件部分无需提供《中小企业声明函》或《残疾人福利性单位声明函》或由省级以上监狱管理局、戒毒管理局（含新疆生产建设兵团）出具的属于监狱企业的证明文件；</w:t>
      </w:r>
    </w:p>
    <w:p w14:paraId="1E8C151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供应商如具有上述证明文件，建议在投标文件中提供。 </w:t>
      </w:r>
    </w:p>
    <w:p w14:paraId="0A3A4AB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2）如本项目（包）专门面向中小/小微企业采购，须提供《中小企业声明函》或《残疾人福利性单位声明函》，或提供由省级以上监狱管理局、戒毒管理局（含新疆生产建设兵团）出具的属于监狱企业的证明文件。《中小企业声明函》或《残疾人福利性单位声明函》格式不得修改，否则不得享受相关中小企业扶持政策。供应商根据项目属性选择申明函格式。 </w:t>
      </w:r>
    </w:p>
    <w:p w14:paraId="6156F90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3）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w:t>
      </w:r>
    </w:p>
    <w:p w14:paraId="563EBC2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级以上监狱管理局、戒毒管理局（含新疆生产建设兵团）出具的属于监狱企业</w:t>
      </w:r>
    </w:p>
    <w:p w14:paraId="7284F52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 xml:space="preserve">的证明文件，还须同时提供《拟分包情况说明》及《分包意向协议》（供应商因落实政府采购政策拟进行分包的，必须提供《拟分包情况说明》及《分包意向协议》，否则无须提供），且建议在资格证明文件部分提供。 </w:t>
      </w:r>
    </w:p>
    <w:p w14:paraId="3484F9B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4）如本项目（包）预留部分采购项目预算专门面向中小企业采购，且要求供应商以联合体形式参加采购活动，投标文件中除须提供《中小企业声明函》或《残疾人福利性单位声明函》或由省级以上监狱管理局、戒毒管理局（含新疆生产 建设兵团）出具的属于监狱企业的证明文件，还须同时提供《联合协议》（供应商因落实政府采购政策拟进行联合体投标的，必须提供《联合协议》，否则无须提供），且建议在资格证明文件部分提供。</w:t>
      </w:r>
    </w:p>
    <w:p w14:paraId="701C187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（5）中小企业声明函填写注意事项 </w:t>
      </w:r>
    </w:p>
    <w:p w14:paraId="3835581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1）中小企业参加政府采购活动，应当出具此格式文件。《中小企业声明函》由参加政府采购活动的投标人出具。联合体投标的，《中小企业声明函》由牵头人出具。 </w:t>
      </w:r>
    </w:p>
    <w:p w14:paraId="192714D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2）对于联合体中由中小企业承担的部分，或者分包给中小企业的部分，必须全</w:t>
      </w:r>
    </w:p>
    <w:p w14:paraId="0182902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部由中小企业制造、承建或者承接。供应商应当在声明函“标的名称”部分标明</w:t>
      </w:r>
    </w:p>
    <w:p w14:paraId="25771AF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联合体中中小企业承担的具体内容或者中小企业的具体分包内容。 </w:t>
      </w:r>
    </w:p>
    <w:p w14:paraId="178671B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3）对于多标的的采购项目，供应商应充分、准确地了解所投产品制造企业、提供服务的承接企业、工程承接企业信息。对相关情况了解不清楚的，不建议填报本声明函。 </w:t>
      </w:r>
    </w:p>
    <w:p w14:paraId="3EA8B67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前附表》，如在该程序中未找到本采购文件规定的中小企业划分标准所属行业，则按照《关于印发中小企业划型标准规定的通知（工信部联企业﹝2011﹞300 号）》及本项目文件规定的中小企业划分标准所属行业执行及《金融业企业划型标准规定》（〔2015〕309 号）等国务院批准的中小企业划分标准执行。。</w:t>
      </w:r>
    </w:p>
    <w:p w14:paraId="0E9893DA">
      <w:pP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br w:type="page"/>
      </w:r>
    </w:p>
    <w:p w14:paraId="5B0137AA">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rPr>
          <w:rFonts w:hint="eastAsia" w:ascii="仿宋_GB2312" w:hAnsi="仿宋_GB2312" w:eastAsia="仿宋_GB2312" w:cs="仿宋_GB2312"/>
          <w:i w:val="0"/>
          <w:iCs w:val="0"/>
          <w:caps w:val="0"/>
          <w:color w:val="000000"/>
          <w:spacing w:val="0"/>
          <w:sz w:val="32"/>
          <w:szCs w:val="32"/>
          <w:lang w:val="en-US" w:eastAsia="zh-CN"/>
        </w:rPr>
      </w:pPr>
      <w:r>
        <w:rPr>
          <w:rStyle w:val="20"/>
          <w:rFonts w:hint="eastAsia" w:ascii="仿宋_GB2312" w:hAnsi="仿宋_GB2312" w:eastAsia="仿宋_GB2312" w:cs="仿宋_GB2312"/>
          <w:i w:val="0"/>
          <w:iCs w:val="0"/>
          <w:caps w:val="0"/>
          <w:color w:val="000000"/>
          <w:spacing w:val="0"/>
          <w:sz w:val="32"/>
          <w:szCs w:val="32"/>
        </w:rPr>
        <w:t>中小企业声明函</w:t>
      </w:r>
      <w:r>
        <w:rPr>
          <w:rStyle w:val="20"/>
          <w:rFonts w:hint="eastAsia" w:ascii="仿宋_GB2312" w:hAnsi="仿宋_GB2312" w:eastAsia="仿宋_GB2312" w:cs="仿宋_GB2312"/>
          <w:i w:val="0"/>
          <w:iCs w:val="0"/>
          <w:caps w:val="0"/>
          <w:color w:val="000000"/>
          <w:spacing w:val="0"/>
          <w:sz w:val="32"/>
          <w:szCs w:val="32"/>
          <w:lang w:eastAsia="zh-CN"/>
        </w:rPr>
        <w:t>（</w:t>
      </w:r>
      <w:r>
        <w:rPr>
          <w:rStyle w:val="20"/>
          <w:rFonts w:hint="eastAsia" w:ascii="仿宋_GB2312" w:hAnsi="仿宋_GB2312" w:eastAsia="仿宋_GB2312" w:cs="仿宋_GB2312"/>
          <w:i w:val="0"/>
          <w:iCs w:val="0"/>
          <w:caps w:val="0"/>
          <w:color w:val="000000"/>
          <w:spacing w:val="0"/>
          <w:sz w:val="32"/>
          <w:szCs w:val="32"/>
        </w:rPr>
        <w:t>货物</w:t>
      </w:r>
      <w:r>
        <w:rPr>
          <w:rStyle w:val="20"/>
          <w:rFonts w:hint="eastAsia" w:ascii="仿宋_GB2312" w:hAnsi="仿宋_GB2312" w:eastAsia="仿宋_GB2312" w:cs="仿宋_GB2312"/>
          <w:i w:val="0"/>
          <w:iCs w:val="0"/>
          <w:caps w:val="0"/>
          <w:color w:val="000000"/>
          <w:spacing w:val="0"/>
          <w:sz w:val="32"/>
          <w:szCs w:val="32"/>
          <w:lang w:eastAsia="zh-CN"/>
        </w:rPr>
        <w:t>）</w:t>
      </w:r>
    </w:p>
    <w:p w14:paraId="4B1DA708">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_GB2312" w:hAnsi="仿宋_GB2312" w:eastAsia="仿宋_GB2312" w:cs="仿宋_GB2312"/>
          <w:i w:val="0"/>
          <w:iCs w:val="0"/>
          <w:caps w:val="0"/>
          <w:color w:val="000000"/>
          <w:spacing w:val="0"/>
          <w:sz w:val="27"/>
          <w:szCs w:val="27"/>
        </w:rPr>
      </w:pPr>
      <w:r>
        <w:rPr>
          <w:rFonts w:hint="eastAsia" w:ascii="仿宋_GB2312" w:hAnsi="仿宋_GB2312" w:eastAsia="仿宋_GB2312" w:cs="仿宋_GB2312"/>
          <w:i w:val="0"/>
          <w:iCs w:val="0"/>
          <w:caps w:val="0"/>
          <w:color w:val="000000"/>
          <w:spacing w:val="0"/>
          <w:sz w:val="27"/>
          <w:szCs w:val="27"/>
        </w:rPr>
        <w:t> </w:t>
      </w:r>
    </w:p>
    <w:p w14:paraId="08DC606D">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720" w:firstLineChars="300"/>
        <w:textAlignment w:val="auto"/>
        <w:rPr>
          <w:rFonts w:hint="eastAsia" w:ascii="仿宋_GB2312" w:hAnsi="仿宋_GB2312" w:eastAsia="仿宋_GB2312" w:cs="仿宋_GB2312"/>
          <w:i w:val="0"/>
          <w:iCs w:val="0"/>
          <w:caps w:val="0"/>
          <w:color w:val="000000"/>
          <w:spacing w:val="0"/>
          <w:sz w:val="24"/>
          <w:szCs w:val="24"/>
        </w:rPr>
      </w:pPr>
      <w:r>
        <w:rPr>
          <w:rFonts w:hint="eastAsia" w:ascii="仿宋_GB2312" w:hAnsi="仿宋_GB2312" w:eastAsia="仿宋_GB2312" w:cs="仿宋_GB2312"/>
          <w:i w:val="0"/>
          <w:iCs w:val="0"/>
          <w:caps w:val="0"/>
          <w:color w:val="000000"/>
          <w:spacing w:val="0"/>
          <w:sz w:val="24"/>
          <w:szCs w:val="24"/>
        </w:rPr>
        <w:t>本公司（联合体）郑重声明，根据《政府采购促进中小企业发展管理办法》（财库〔2020〕[2020]46号）的规定，本公司（联合体）参加</w:t>
      </w:r>
      <w:r>
        <w:rPr>
          <w:rFonts w:hint="eastAsia" w:ascii="仿宋_GB2312" w:hAnsi="仿宋_GB2312" w:eastAsia="仿宋_GB2312" w:cs="仿宋_GB2312"/>
          <w:i/>
          <w:iCs/>
          <w:caps w:val="0"/>
          <w:color w:val="000000"/>
          <w:spacing w:val="0"/>
          <w:sz w:val="24"/>
          <w:szCs w:val="24"/>
          <w:u w:val="single"/>
        </w:rPr>
        <w:t>（单位名称）</w:t>
      </w:r>
      <w:r>
        <w:rPr>
          <w:rFonts w:hint="eastAsia" w:ascii="仿宋_GB2312" w:hAnsi="仿宋_GB2312" w:eastAsia="仿宋_GB2312" w:cs="仿宋_GB2312"/>
          <w:i w:val="0"/>
          <w:iCs w:val="0"/>
          <w:caps w:val="0"/>
          <w:color w:val="000000"/>
          <w:spacing w:val="0"/>
          <w:sz w:val="24"/>
          <w:szCs w:val="24"/>
        </w:rPr>
        <w:t>的</w:t>
      </w:r>
      <w:r>
        <w:rPr>
          <w:rFonts w:hint="eastAsia" w:ascii="仿宋_GB2312" w:hAnsi="仿宋_GB2312" w:eastAsia="仿宋_GB2312" w:cs="仿宋_GB2312"/>
          <w:i/>
          <w:iCs/>
          <w:caps w:val="0"/>
          <w:color w:val="000000"/>
          <w:spacing w:val="0"/>
          <w:sz w:val="24"/>
          <w:szCs w:val="24"/>
          <w:u w:val="single"/>
        </w:rPr>
        <w:t>（项目名称）</w:t>
      </w:r>
      <w:r>
        <w:rPr>
          <w:rFonts w:hint="eastAsia" w:ascii="仿宋_GB2312" w:hAnsi="仿宋_GB2312" w:eastAsia="仿宋_GB2312" w:cs="仿宋_GB2312"/>
          <w:i w:val="0"/>
          <w:iCs w:val="0"/>
          <w:caps w:val="0"/>
          <w:color w:val="000000"/>
          <w:spacing w:val="0"/>
          <w:sz w:val="24"/>
          <w:szCs w:val="24"/>
        </w:rPr>
        <w:t>采购活动，提供的货物全部由符合政策要求的中小企业制造。相关企业（含联合体中的中小企业、签订分包意向协议的中小企业）的具体情况如下：</w:t>
      </w:r>
    </w:p>
    <w:p w14:paraId="7A74E475">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_GB2312" w:hAnsi="仿宋_GB2312" w:eastAsia="仿宋_GB2312" w:cs="仿宋_GB2312"/>
          <w:i w:val="0"/>
          <w:iCs w:val="0"/>
          <w:caps w:val="0"/>
          <w:color w:val="000000"/>
          <w:spacing w:val="0"/>
          <w:sz w:val="24"/>
          <w:szCs w:val="24"/>
        </w:rPr>
      </w:pPr>
      <w:r>
        <w:rPr>
          <w:rFonts w:hint="eastAsia" w:ascii="仿宋_GB2312" w:hAnsi="仿宋_GB2312" w:eastAsia="仿宋_GB2312" w:cs="仿宋_GB2312"/>
          <w:i w:val="0"/>
          <w:iCs w:val="0"/>
          <w:caps w:val="0"/>
          <w:color w:val="000000"/>
          <w:spacing w:val="0"/>
          <w:sz w:val="24"/>
          <w:szCs w:val="24"/>
        </w:rPr>
        <w:t>1.</w:t>
      </w:r>
      <w:r>
        <w:rPr>
          <w:rFonts w:hint="eastAsia" w:ascii="仿宋_GB2312" w:hAnsi="仿宋_GB2312" w:eastAsia="仿宋_GB2312" w:cs="仿宋_GB2312"/>
          <w:i/>
          <w:iCs/>
          <w:caps w:val="0"/>
          <w:color w:val="000000"/>
          <w:spacing w:val="0"/>
          <w:sz w:val="24"/>
          <w:szCs w:val="24"/>
          <w:u w:val="single"/>
        </w:rPr>
        <w:t>（标的名称）</w:t>
      </w:r>
      <w:r>
        <w:rPr>
          <w:rFonts w:hint="eastAsia" w:ascii="仿宋_GB2312" w:hAnsi="仿宋_GB2312" w:eastAsia="仿宋_GB2312" w:cs="仿宋_GB2312"/>
          <w:i w:val="0"/>
          <w:iCs w:val="0"/>
          <w:caps w:val="0"/>
          <w:color w:val="000000"/>
          <w:spacing w:val="0"/>
          <w:sz w:val="24"/>
          <w:szCs w:val="24"/>
        </w:rPr>
        <w:t>，属于</w:t>
      </w:r>
      <w:r>
        <w:rPr>
          <w:rFonts w:hint="eastAsia" w:ascii="仿宋_GB2312" w:hAnsi="仿宋_GB2312" w:eastAsia="仿宋_GB2312" w:cs="仿宋_GB2312"/>
          <w:i/>
          <w:iCs/>
          <w:caps w:val="0"/>
          <w:color w:val="000000"/>
          <w:spacing w:val="0"/>
          <w:sz w:val="24"/>
          <w:szCs w:val="24"/>
          <w:u w:val="single"/>
        </w:rPr>
        <w:t>（采购文件中明确的所属行业）</w:t>
      </w:r>
      <w:r>
        <w:rPr>
          <w:rFonts w:hint="eastAsia" w:ascii="仿宋_GB2312" w:hAnsi="仿宋_GB2312" w:eastAsia="仿宋_GB2312" w:cs="仿宋_GB2312"/>
          <w:i w:val="0"/>
          <w:iCs w:val="0"/>
          <w:caps w:val="0"/>
          <w:color w:val="000000"/>
          <w:spacing w:val="0"/>
          <w:sz w:val="24"/>
          <w:szCs w:val="24"/>
        </w:rPr>
        <w:t>；制造商为</w:t>
      </w:r>
      <w:r>
        <w:rPr>
          <w:rFonts w:hint="eastAsia" w:ascii="仿宋_GB2312" w:hAnsi="仿宋_GB2312" w:eastAsia="仿宋_GB2312" w:cs="仿宋_GB2312"/>
          <w:i/>
          <w:iCs/>
          <w:caps w:val="0"/>
          <w:color w:val="000000"/>
          <w:spacing w:val="0"/>
          <w:sz w:val="24"/>
          <w:szCs w:val="24"/>
          <w:u w:val="single"/>
        </w:rPr>
        <w:t>（企业名称）</w:t>
      </w:r>
      <w:r>
        <w:rPr>
          <w:rFonts w:hint="eastAsia" w:ascii="仿宋_GB2312" w:hAnsi="仿宋_GB2312" w:eastAsia="仿宋_GB2312" w:cs="仿宋_GB2312"/>
          <w:i w:val="0"/>
          <w:iCs w:val="0"/>
          <w:caps w:val="0"/>
          <w:color w:val="000000"/>
          <w:spacing w:val="0"/>
          <w:sz w:val="24"/>
          <w:szCs w:val="24"/>
        </w:rPr>
        <w:t>，从业人员</w:t>
      </w:r>
      <w:r>
        <w:rPr>
          <w:rFonts w:hint="eastAsia" w:ascii="仿宋_GB2312" w:hAnsi="仿宋_GB2312" w:eastAsia="仿宋_GB2312" w:cs="仿宋_GB2312"/>
          <w:i w:val="0"/>
          <w:iCs w:val="0"/>
          <w:caps w:val="0"/>
          <w:color w:val="000000"/>
          <w:spacing w:val="0"/>
          <w:sz w:val="24"/>
          <w:szCs w:val="24"/>
          <w:u w:val="single"/>
          <w:lang w:val="en-US" w:eastAsia="zh-CN"/>
        </w:rPr>
        <w:t xml:space="preserve">      </w:t>
      </w:r>
      <w:r>
        <w:rPr>
          <w:rFonts w:hint="eastAsia" w:ascii="仿宋_GB2312" w:hAnsi="仿宋_GB2312" w:eastAsia="仿宋_GB2312" w:cs="仿宋_GB2312"/>
          <w:i w:val="0"/>
          <w:iCs w:val="0"/>
          <w:caps w:val="0"/>
          <w:color w:val="000000"/>
          <w:spacing w:val="0"/>
          <w:sz w:val="24"/>
          <w:szCs w:val="24"/>
        </w:rPr>
        <w:t>人，营业收入为</w:t>
      </w:r>
      <w:r>
        <w:rPr>
          <w:rFonts w:hint="eastAsia" w:ascii="仿宋_GB2312" w:hAnsi="仿宋_GB2312" w:eastAsia="仿宋_GB2312" w:cs="仿宋_GB2312"/>
          <w:i w:val="0"/>
          <w:iCs w:val="0"/>
          <w:caps w:val="0"/>
          <w:color w:val="000000"/>
          <w:spacing w:val="0"/>
          <w:sz w:val="24"/>
          <w:szCs w:val="24"/>
          <w:u w:val="single"/>
          <w:lang w:val="en-US" w:eastAsia="zh-CN"/>
        </w:rPr>
        <w:t xml:space="preserve">       </w:t>
      </w:r>
      <w:r>
        <w:rPr>
          <w:rFonts w:hint="eastAsia" w:ascii="仿宋_GB2312" w:hAnsi="仿宋_GB2312" w:eastAsia="仿宋_GB2312" w:cs="仿宋_GB2312"/>
          <w:i w:val="0"/>
          <w:iCs w:val="0"/>
          <w:caps w:val="0"/>
          <w:color w:val="000000"/>
          <w:spacing w:val="0"/>
          <w:sz w:val="24"/>
          <w:szCs w:val="24"/>
        </w:rPr>
        <w:t> 万元，资产总额为</w:t>
      </w:r>
      <w:r>
        <w:rPr>
          <w:rFonts w:hint="eastAsia" w:ascii="仿宋_GB2312" w:hAnsi="仿宋_GB2312" w:eastAsia="仿宋_GB2312" w:cs="仿宋_GB2312"/>
          <w:i w:val="0"/>
          <w:iCs w:val="0"/>
          <w:caps w:val="0"/>
          <w:color w:val="000000"/>
          <w:spacing w:val="0"/>
          <w:sz w:val="24"/>
          <w:szCs w:val="24"/>
          <w:u w:val="single"/>
          <w:lang w:val="en-US" w:eastAsia="zh-CN"/>
        </w:rPr>
        <w:t xml:space="preserve">       </w:t>
      </w:r>
      <w:r>
        <w:rPr>
          <w:rFonts w:hint="eastAsia" w:ascii="仿宋_GB2312" w:hAnsi="仿宋_GB2312" w:eastAsia="仿宋_GB2312" w:cs="仿宋_GB2312"/>
          <w:i w:val="0"/>
          <w:iCs w:val="0"/>
          <w:caps w:val="0"/>
          <w:color w:val="000000"/>
          <w:spacing w:val="0"/>
          <w:sz w:val="24"/>
          <w:szCs w:val="24"/>
        </w:rPr>
        <w:t> 万元，属于</w:t>
      </w:r>
      <w:r>
        <w:rPr>
          <w:rFonts w:hint="eastAsia" w:ascii="仿宋_GB2312" w:hAnsi="仿宋_GB2312" w:eastAsia="仿宋_GB2312" w:cs="仿宋_GB2312"/>
          <w:i/>
          <w:iCs/>
          <w:caps w:val="0"/>
          <w:color w:val="000000"/>
          <w:spacing w:val="0"/>
          <w:sz w:val="24"/>
          <w:szCs w:val="24"/>
          <w:u w:val="single"/>
        </w:rPr>
        <w:t>（中型企业、小型企业、微型企业）</w:t>
      </w:r>
      <w:r>
        <w:rPr>
          <w:rFonts w:hint="eastAsia" w:ascii="仿宋_GB2312" w:hAnsi="仿宋_GB2312" w:eastAsia="仿宋_GB2312" w:cs="仿宋_GB2312"/>
          <w:i w:val="0"/>
          <w:iCs w:val="0"/>
          <w:caps w:val="0"/>
          <w:color w:val="000000"/>
          <w:spacing w:val="0"/>
          <w:sz w:val="24"/>
          <w:szCs w:val="24"/>
        </w:rPr>
        <w:t>；</w:t>
      </w:r>
    </w:p>
    <w:p w14:paraId="1CA98128">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_GB2312" w:hAnsi="仿宋_GB2312" w:eastAsia="仿宋_GB2312" w:cs="仿宋_GB2312"/>
          <w:i w:val="0"/>
          <w:iCs w:val="0"/>
          <w:caps w:val="0"/>
          <w:color w:val="000000"/>
          <w:spacing w:val="0"/>
          <w:sz w:val="24"/>
          <w:szCs w:val="24"/>
        </w:rPr>
      </w:pPr>
      <w:r>
        <w:rPr>
          <w:rFonts w:hint="eastAsia" w:ascii="仿宋_GB2312" w:hAnsi="仿宋_GB2312" w:eastAsia="仿宋_GB2312" w:cs="仿宋_GB2312"/>
          <w:i w:val="0"/>
          <w:iCs w:val="0"/>
          <w:caps w:val="0"/>
          <w:color w:val="000000"/>
          <w:spacing w:val="0"/>
          <w:sz w:val="24"/>
          <w:szCs w:val="24"/>
        </w:rPr>
        <w:t>2.</w:t>
      </w:r>
      <w:r>
        <w:rPr>
          <w:rFonts w:hint="eastAsia" w:ascii="仿宋_GB2312" w:hAnsi="仿宋_GB2312" w:eastAsia="仿宋_GB2312" w:cs="仿宋_GB2312"/>
          <w:i/>
          <w:iCs/>
          <w:caps w:val="0"/>
          <w:color w:val="000000"/>
          <w:spacing w:val="0"/>
          <w:sz w:val="24"/>
          <w:szCs w:val="24"/>
          <w:u w:val="single"/>
        </w:rPr>
        <w:t>（标的名称）</w:t>
      </w:r>
      <w:r>
        <w:rPr>
          <w:rFonts w:hint="eastAsia" w:ascii="仿宋_GB2312" w:hAnsi="仿宋_GB2312" w:eastAsia="仿宋_GB2312" w:cs="仿宋_GB2312"/>
          <w:i w:val="0"/>
          <w:iCs w:val="0"/>
          <w:caps w:val="0"/>
          <w:color w:val="000000"/>
          <w:spacing w:val="0"/>
          <w:sz w:val="24"/>
          <w:szCs w:val="24"/>
        </w:rPr>
        <w:t>，属于</w:t>
      </w:r>
      <w:r>
        <w:rPr>
          <w:rFonts w:hint="eastAsia" w:ascii="仿宋_GB2312" w:hAnsi="仿宋_GB2312" w:eastAsia="仿宋_GB2312" w:cs="仿宋_GB2312"/>
          <w:i/>
          <w:iCs/>
          <w:caps w:val="0"/>
          <w:color w:val="000000"/>
          <w:spacing w:val="0"/>
          <w:sz w:val="24"/>
          <w:szCs w:val="24"/>
          <w:u w:val="single"/>
        </w:rPr>
        <w:t>（采购文件中明确的所属行业）</w:t>
      </w:r>
      <w:r>
        <w:rPr>
          <w:rFonts w:hint="eastAsia" w:ascii="仿宋_GB2312" w:hAnsi="仿宋_GB2312" w:eastAsia="仿宋_GB2312" w:cs="仿宋_GB2312"/>
          <w:i w:val="0"/>
          <w:iCs w:val="0"/>
          <w:caps w:val="0"/>
          <w:color w:val="000000"/>
          <w:spacing w:val="0"/>
          <w:sz w:val="24"/>
          <w:szCs w:val="24"/>
        </w:rPr>
        <w:t>；制造商为</w:t>
      </w:r>
      <w:r>
        <w:rPr>
          <w:rFonts w:hint="eastAsia" w:ascii="仿宋_GB2312" w:hAnsi="仿宋_GB2312" w:eastAsia="仿宋_GB2312" w:cs="仿宋_GB2312"/>
          <w:i/>
          <w:iCs/>
          <w:caps w:val="0"/>
          <w:color w:val="000000"/>
          <w:spacing w:val="0"/>
          <w:sz w:val="24"/>
          <w:szCs w:val="24"/>
          <w:u w:val="single"/>
        </w:rPr>
        <w:t>（企业名称）</w:t>
      </w:r>
      <w:r>
        <w:rPr>
          <w:rFonts w:hint="eastAsia" w:ascii="仿宋_GB2312" w:hAnsi="仿宋_GB2312" w:eastAsia="仿宋_GB2312" w:cs="仿宋_GB2312"/>
          <w:i w:val="0"/>
          <w:iCs w:val="0"/>
          <w:caps w:val="0"/>
          <w:color w:val="000000"/>
          <w:spacing w:val="0"/>
          <w:sz w:val="24"/>
          <w:szCs w:val="24"/>
        </w:rPr>
        <w:t>，从业人员</w:t>
      </w:r>
      <w:r>
        <w:rPr>
          <w:rFonts w:hint="eastAsia" w:ascii="仿宋_GB2312" w:hAnsi="仿宋_GB2312" w:eastAsia="仿宋_GB2312" w:cs="仿宋_GB2312"/>
          <w:i w:val="0"/>
          <w:iCs w:val="0"/>
          <w:caps w:val="0"/>
          <w:color w:val="000000"/>
          <w:spacing w:val="0"/>
          <w:sz w:val="24"/>
          <w:szCs w:val="24"/>
          <w:u w:val="single"/>
          <w:lang w:val="en-US" w:eastAsia="zh-CN"/>
        </w:rPr>
        <w:t xml:space="preserve">      </w:t>
      </w:r>
      <w:r>
        <w:rPr>
          <w:rFonts w:hint="eastAsia" w:ascii="仿宋_GB2312" w:hAnsi="仿宋_GB2312" w:eastAsia="仿宋_GB2312" w:cs="仿宋_GB2312"/>
          <w:i w:val="0"/>
          <w:iCs w:val="0"/>
          <w:caps w:val="0"/>
          <w:color w:val="000000"/>
          <w:spacing w:val="0"/>
          <w:sz w:val="24"/>
          <w:szCs w:val="24"/>
        </w:rPr>
        <w:t>人，营业收入为</w:t>
      </w:r>
      <w:r>
        <w:rPr>
          <w:rFonts w:hint="eastAsia" w:ascii="仿宋_GB2312" w:hAnsi="仿宋_GB2312" w:eastAsia="仿宋_GB2312" w:cs="仿宋_GB2312"/>
          <w:i w:val="0"/>
          <w:iCs w:val="0"/>
          <w:caps w:val="0"/>
          <w:color w:val="000000"/>
          <w:spacing w:val="0"/>
          <w:sz w:val="24"/>
          <w:szCs w:val="24"/>
          <w:u w:val="single"/>
          <w:lang w:val="en-US" w:eastAsia="zh-CN"/>
        </w:rPr>
        <w:t xml:space="preserve">       </w:t>
      </w:r>
      <w:r>
        <w:rPr>
          <w:rFonts w:hint="eastAsia" w:ascii="仿宋_GB2312" w:hAnsi="仿宋_GB2312" w:eastAsia="仿宋_GB2312" w:cs="仿宋_GB2312"/>
          <w:i w:val="0"/>
          <w:iCs w:val="0"/>
          <w:caps w:val="0"/>
          <w:color w:val="000000"/>
          <w:spacing w:val="0"/>
          <w:sz w:val="24"/>
          <w:szCs w:val="24"/>
        </w:rPr>
        <w:t> 万元，资产总额为</w:t>
      </w:r>
      <w:r>
        <w:rPr>
          <w:rFonts w:hint="eastAsia" w:ascii="仿宋_GB2312" w:hAnsi="仿宋_GB2312" w:eastAsia="仿宋_GB2312" w:cs="仿宋_GB2312"/>
          <w:i w:val="0"/>
          <w:iCs w:val="0"/>
          <w:caps w:val="0"/>
          <w:color w:val="000000"/>
          <w:spacing w:val="0"/>
          <w:sz w:val="24"/>
          <w:szCs w:val="24"/>
          <w:u w:val="single"/>
          <w:lang w:val="en-US" w:eastAsia="zh-CN"/>
        </w:rPr>
        <w:t xml:space="preserve">       </w:t>
      </w:r>
      <w:r>
        <w:rPr>
          <w:rFonts w:hint="eastAsia" w:ascii="仿宋_GB2312" w:hAnsi="仿宋_GB2312" w:eastAsia="仿宋_GB2312" w:cs="仿宋_GB2312"/>
          <w:i w:val="0"/>
          <w:iCs w:val="0"/>
          <w:caps w:val="0"/>
          <w:color w:val="000000"/>
          <w:spacing w:val="0"/>
          <w:sz w:val="24"/>
          <w:szCs w:val="24"/>
        </w:rPr>
        <w:t> 万元，属于</w:t>
      </w:r>
      <w:r>
        <w:rPr>
          <w:rFonts w:hint="eastAsia" w:ascii="仿宋_GB2312" w:hAnsi="仿宋_GB2312" w:eastAsia="仿宋_GB2312" w:cs="仿宋_GB2312"/>
          <w:i/>
          <w:iCs/>
          <w:caps w:val="0"/>
          <w:color w:val="000000"/>
          <w:spacing w:val="0"/>
          <w:sz w:val="24"/>
          <w:szCs w:val="24"/>
          <w:u w:val="single"/>
        </w:rPr>
        <w:t>（中型企业、小型企业、微型企业）</w:t>
      </w:r>
      <w:r>
        <w:rPr>
          <w:rFonts w:hint="eastAsia" w:ascii="仿宋_GB2312" w:hAnsi="仿宋_GB2312" w:eastAsia="仿宋_GB2312" w:cs="仿宋_GB2312"/>
          <w:i w:val="0"/>
          <w:iCs w:val="0"/>
          <w:caps w:val="0"/>
          <w:color w:val="000000"/>
          <w:spacing w:val="0"/>
          <w:sz w:val="24"/>
          <w:szCs w:val="24"/>
        </w:rPr>
        <w:t>；</w:t>
      </w:r>
    </w:p>
    <w:p w14:paraId="74CBE8D1">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_GB2312" w:hAnsi="仿宋_GB2312" w:eastAsia="仿宋_GB2312" w:cs="仿宋_GB2312"/>
          <w:i w:val="0"/>
          <w:iCs w:val="0"/>
          <w:caps w:val="0"/>
          <w:color w:val="000000"/>
          <w:spacing w:val="0"/>
          <w:sz w:val="24"/>
          <w:szCs w:val="24"/>
        </w:rPr>
      </w:pPr>
      <w:r>
        <w:rPr>
          <w:rFonts w:hint="eastAsia" w:ascii="仿宋_GB2312" w:hAnsi="仿宋_GB2312" w:eastAsia="仿宋_GB2312" w:cs="仿宋_GB2312"/>
          <w:i w:val="0"/>
          <w:iCs w:val="0"/>
          <w:caps w:val="0"/>
          <w:color w:val="000000"/>
          <w:spacing w:val="0"/>
          <w:sz w:val="24"/>
          <w:szCs w:val="24"/>
        </w:rPr>
        <w:t>……</w:t>
      </w:r>
    </w:p>
    <w:p w14:paraId="276DBEFF">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_GB2312" w:hAnsi="仿宋_GB2312" w:eastAsia="仿宋_GB2312" w:cs="仿宋_GB2312"/>
          <w:i w:val="0"/>
          <w:iCs w:val="0"/>
          <w:caps w:val="0"/>
          <w:color w:val="000000"/>
          <w:spacing w:val="0"/>
          <w:sz w:val="24"/>
          <w:szCs w:val="24"/>
        </w:rPr>
      </w:pPr>
      <w:r>
        <w:rPr>
          <w:rFonts w:hint="eastAsia" w:ascii="仿宋_GB2312" w:hAnsi="仿宋_GB2312" w:eastAsia="仿宋_GB2312" w:cs="仿宋_GB2312"/>
          <w:i w:val="0"/>
          <w:iCs w:val="0"/>
          <w:caps w:val="0"/>
          <w:color w:val="000000"/>
          <w:spacing w:val="0"/>
          <w:sz w:val="24"/>
          <w:szCs w:val="24"/>
        </w:rPr>
        <w:t>以上企业，不属于大企业的分支机构，不存在控股股东为大企业的情形，也不存在与大企业的负责人为同一人的情形。</w:t>
      </w:r>
    </w:p>
    <w:p w14:paraId="5104EB94">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_GB2312" w:hAnsi="仿宋_GB2312" w:eastAsia="仿宋_GB2312" w:cs="仿宋_GB2312"/>
          <w:i w:val="0"/>
          <w:iCs w:val="0"/>
          <w:caps w:val="0"/>
          <w:color w:val="000000"/>
          <w:spacing w:val="0"/>
          <w:sz w:val="24"/>
          <w:szCs w:val="24"/>
        </w:rPr>
      </w:pPr>
      <w:r>
        <w:rPr>
          <w:rFonts w:hint="eastAsia" w:ascii="仿宋_GB2312" w:hAnsi="仿宋_GB2312" w:eastAsia="仿宋_GB2312" w:cs="仿宋_GB2312"/>
          <w:i w:val="0"/>
          <w:iCs w:val="0"/>
          <w:caps w:val="0"/>
          <w:color w:val="000000"/>
          <w:spacing w:val="0"/>
          <w:sz w:val="24"/>
          <w:szCs w:val="24"/>
        </w:rPr>
        <w:t>本企业对上述声明内容的真实性负责。如有虚假，将依法承担相应责任。</w:t>
      </w:r>
    </w:p>
    <w:p w14:paraId="457F9314">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_GB2312" w:hAnsi="仿宋_GB2312" w:eastAsia="仿宋_GB2312" w:cs="仿宋_GB2312"/>
          <w:i w:val="0"/>
          <w:iCs w:val="0"/>
          <w:caps w:val="0"/>
          <w:color w:val="000000"/>
          <w:spacing w:val="0"/>
          <w:sz w:val="24"/>
          <w:szCs w:val="24"/>
        </w:rPr>
      </w:pPr>
      <w:r>
        <w:rPr>
          <w:rFonts w:hint="eastAsia" w:ascii="仿宋_GB2312" w:hAnsi="仿宋_GB2312" w:eastAsia="仿宋_GB2312" w:cs="仿宋_GB2312"/>
          <w:i w:val="0"/>
          <w:iCs w:val="0"/>
          <w:caps w:val="0"/>
          <w:color w:val="000000"/>
          <w:spacing w:val="0"/>
          <w:sz w:val="24"/>
          <w:szCs w:val="24"/>
        </w:rPr>
        <w:t> </w:t>
      </w:r>
    </w:p>
    <w:p w14:paraId="71835785">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rPr>
          <w:rFonts w:hint="eastAsia" w:ascii="仿宋_GB2312" w:hAnsi="仿宋_GB2312" w:eastAsia="仿宋_GB2312" w:cs="仿宋_GB2312"/>
          <w:i w:val="0"/>
          <w:iCs w:val="0"/>
          <w:caps w:val="0"/>
          <w:color w:val="000000"/>
          <w:spacing w:val="0"/>
          <w:sz w:val="24"/>
          <w:szCs w:val="24"/>
          <w:u w:val="single"/>
          <w:lang w:val="en-US" w:eastAsia="zh-CN"/>
        </w:rPr>
      </w:pPr>
      <w:r>
        <w:rPr>
          <w:rFonts w:hint="eastAsia" w:ascii="仿宋_GB2312" w:hAnsi="仿宋_GB2312" w:eastAsia="仿宋_GB2312" w:cs="仿宋_GB2312"/>
          <w:i w:val="0"/>
          <w:iCs w:val="0"/>
          <w:caps w:val="0"/>
          <w:color w:val="000000"/>
          <w:spacing w:val="0"/>
          <w:sz w:val="24"/>
          <w:szCs w:val="24"/>
          <w:lang w:val="en-US" w:eastAsia="zh-CN"/>
        </w:rPr>
        <w:t xml:space="preserve">           </w:t>
      </w:r>
      <w:r>
        <w:rPr>
          <w:rFonts w:hint="eastAsia" w:ascii="仿宋_GB2312" w:hAnsi="仿宋_GB2312" w:eastAsia="仿宋_GB2312" w:cs="仿宋_GB2312"/>
          <w:i w:val="0"/>
          <w:iCs w:val="0"/>
          <w:caps w:val="0"/>
          <w:color w:val="000000"/>
          <w:spacing w:val="0"/>
          <w:sz w:val="24"/>
          <w:szCs w:val="24"/>
        </w:rPr>
        <w:t>企业名称（盖章）：</w:t>
      </w:r>
      <w:r>
        <w:rPr>
          <w:rFonts w:hint="eastAsia" w:ascii="仿宋_GB2312" w:hAnsi="仿宋_GB2312" w:eastAsia="仿宋_GB2312" w:cs="仿宋_GB2312"/>
          <w:i w:val="0"/>
          <w:iCs w:val="0"/>
          <w:caps w:val="0"/>
          <w:color w:val="000000"/>
          <w:spacing w:val="0"/>
          <w:sz w:val="24"/>
          <w:szCs w:val="24"/>
          <w:u w:val="single"/>
          <w:lang w:val="en-US" w:eastAsia="zh-CN"/>
        </w:rPr>
        <w:t xml:space="preserve">          </w:t>
      </w:r>
    </w:p>
    <w:p w14:paraId="344C1764">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520" w:firstLineChars="2300"/>
        <w:jc w:val="both"/>
        <w:textAlignment w:val="auto"/>
        <w:rPr>
          <w:rFonts w:hint="eastAsia" w:ascii="仿宋_GB2312" w:hAnsi="仿宋_GB2312" w:eastAsia="仿宋_GB2312" w:cs="仿宋_GB2312"/>
          <w:i w:val="0"/>
          <w:iCs w:val="0"/>
          <w:caps w:val="0"/>
          <w:color w:val="000000"/>
          <w:spacing w:val="0"/>
          <w:sz w:val="27"/>
          <w:szCs w:val="27"/>
          <w:u w:val="single"/>
          <w:lang w:val="en-US" w:eastAsia="zh-CN"/>
        </w:rPr>
      </w:pPr>
      <w:r>
        <w:rPr>
          <w:rFonts w:hint="eastAsia" w:ascii="仿宋_GB2312" w:hAnsi="仿宋_GB2312" w:eastAsia="仿宋_GB2312" w:cs="仿宋_GB2312"/>
          <w:i w:val="0"/>
          <w:iCs w:val="0"/>
          <w:caps w:val="0"/>
          <w:color w:val="000000"/>
          <w:spacing w:val="0"/>
          <w:sz w:val="24"/>
          <w:szCs w:val="24"/>
        </w:rPr>
        <w:t>日期：</w:t>
      </w:r>
      <w:r>
        <w:rPr>
          <w:rFonts w:hint="eastAsia" w:ascii="仿宋_GB2312" w:hAnsi="仿宋_GB2312" w:eastAsia="仿宋_GB2312" w:cs="仿宋_GB2312"/>
          <w:i w:val="0"/>
          <w:iCs w:val="0"/>
          <w:caps w:val="0"/>
          <w:color w:val="000000"/>
          <w:spacing w:val="0"/>
          <w:sz w:val="24"/>
          <w:szCs w:val="24"/>
          <w:u w:val="single"/>
          <w:lang w:val="en-US" w:eastAsia="zh-CN"/>
        </w:rPr>
        <w:t xml:space="preserve">         </w:t>
      </w:r>
    </w:p>
    <w:p w14:paraId="56C0D936">
      <w:pPr>
        <w:rPr>
          <w:rFonts w:hint="eastAsia" w:ascii="仿宋_GB2312" w:hAnsi="仿宋_GB2312" w:eastAsia="仿宋_GB2312" w:cs="仿宋_GB2312"/>
          <w:b w:val="0"/>
          <w:bCs w:val="0"/>
          <w:color w:val="000000"/>
          <w:kern w:val="0"/>
          <w:sz w:val="21"/>
          <w:szCs w:val="21"/>
          <w:lang w:val="en-US" w:eastAsia="zh-CN" w:bidi="ar"/>
        </w:rPr>
      </w:pPr>
    </w:p>
    <w:p w14:paraId="52A08A18">
      <w:pPr>
        <w:rPr>
          <w:rFonts w:hint="eastAsia" w:ascii="仿宋_GB2312" w:hAnsi="仿宋_GB2312" w:eastAsia="仿宋_GB2312" w:cs="仿宋_GB2312"/>
          <w:b w:val="0"/>
          <w:bCs w:val="0"/>
          <w:color w:val="000000"/>
          <w:kern w:val="0"/>
          <w:sz w:val="21"/>
          <w:szCs w:val="21"/>
          <w:lang w:val="en-US" w:eastAsia="zh-CN" w:bidi="ar"/>
        </w:rPr>
      </w:pPr>
    </w:p>
    <w:p w14:paraId="73486D88">
      <w:pPr>
        <w:rPr>
          <w:rFonts w:hint="eastAsia" w:ascii="仿宋_GB2312" w:hAnsi="仿宋_GB2312" w:eastAsia="仿宋_GB2312" w:cs="仿宋_GB2312"/>
          <w:b w:val="0"/>
          <w:bCs w:val="0"/>
          <w:color w:val="000000"/>
          <w:kern w:val="0"/>
          <w:sz w:val="21"/>
          <w:szCs w:val="21"/>
          <w:lang w:val="en-US" w:eastAsia="zh-CN" w:bidi="ar"/>
        </w:rPr>
      </w:pPr>
    </w:p>
    <w:p w14:paraId="13166243">
      <w:pPr>
        <w:rPr>
          <w:rFonts w:hint="eastAsia" w:ascii="仿宋_GB2312" w:hAnsi="仿宋_GB2312" w:eastAsia="仿宋_GB2312" w:cs="仿宋_GB2312"/>
          <w:b w:val="0"/>
          <w:bCs w:val="0"/>
          <w:color w:val="000000"/>
          <w:kern w:val="0"/>
          <w:sz w:val="21"/>
          <w:szCs w:val="21"/>
          <w:lang w:val="en-US" w:eastAsia="zh-CN" w:bidi="ar"/>
        </w:rPr>
      </w:pPr>
    </w:p>
    <w:p w14:paraId="2B8C23CD">
      <w:pPr>
        <w:rPr>
          <w:rFonts w:hint="eastAsia" w:ascii="仿宋_GB2312" w:hAnsi="仿宋_GB2312" w:eastAsia="仿宋_GB2312" w:cs="仿宋_GB2312"/>
          <w:b w:val="0"/>
          <w:bCs w:val="0"/>
          <w:color w:val="000000"/>
          <w:kern w:val="0"/>
          <w:sz w:val="21"/>
          <w:szCs w:val="21"/>
          <w:lang w:val="en-US" w:eastAsia="zh-CN" w:bidi="ar"/>
        </w:rPr>
      </w:pPr>
    </w:p>
    <w:p w14:paraId="053526BE">
      <w:pPr>
        <w:rPr>
          <w:rFonts w:hint="eastAsia" w:ascii="仿宋_GB2312" w:hAnsi="仿宋_GB2312" w:eastAsia="仿宋_GB2312" w:cs="仿宋_GB2312"/>
          <w:b w:val="0"/>
          <w:bCs w:val="0"/>
          <w:color w:val="000000"/>
          <w:kern w:val="0"/>
          <w:sz w:val="21"/>
          <w:szCs w:val="21"/>
          <w:lang w:val="en-US" w:eastAsia="zh-CN" w:bidi="ar"/>
        </w:rPr>
      </w:pPr>
    </w:p>
    <w:p w14:paraId="15276C09">
      <w:pPr>
        <w:rPr>
          <w:rFonts w:hint="eastAsia" w:ascii="仿宋_GB2312" w:hAnsi="仿宋_GB2312" w:eastAsia="仿宋_GB2312" w:cs="仿宋_GB2312"/>
          <w:b w:val="0"/>
          <w:bCs w:val="0"/>
          <w:color w:val="000000"/>
          <w:kern w:val="0"/>
          <w:sz w:val="21"/>
          <w:szCs w:val="21"/>
          <w:lang w:val="en-US" w:eastAsia="zh-CN" w:bidi="ar"/>
        </w:rPr>
      </w:pPr>
    </w:p>
    <w:p w14:paraId="0E97BD63">
      <w:pPr>
        <w:rPr>
          <w:rFonts w:hint="eastAsia" w:ascii="仿宋_GB2312" w:hAnsi="仿宋_GB2312" w:eastAsia="仿宋_GB2312" w:cs="仿宋_GB2312"/>
          <w:b w:val="0"/>
          <w:bCs w:val="0"/>
          <w:color w:val="000000"/>
          <w:kern w:val="0"/>
          <w:sz w:val="21"/>
          <w:szCs w:val="21"/>
          <w:lang w:val="en-US" w:eastAsia="zh-CN" w:bidi="ar"/>
        </w:rPr>
      </w:pPr>
      <w:r>
        <w:rPr>
          <w:rFonts w:hint="eastAsia" w:ascii="仿宋_GB2312" w:hAnsi="仿宋_GB2312" w:eastAsia="仿宋_GB2312" w:cs="仿宋_GB2312"/>
          <w:b w:val="0"/>
          <w:bCs w:val="0"/>
          <w:color w:val="000000"/>
          <w:kern w:val="0"/>
          <w:sz w:val="21"/>
          <w:szCs w:val="21"/>
          <w:lang w:val="en-US" w:eastAsia="zh-CN" w:bidi="ar"/>
        </w:rPr>
        <w:t>从业人员、营业收入、资产总额填报上一年度数据，无上一年度数据的新成立企业可不填报。</w:t>
      </w:r>
    </w:p>
    <w:p w14:paraId="249EAB24">
      <w:pP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br w:type="page"/>
      </w:r>
    </w:p>
    <w:p w14:paraId="19EEAA1C">
      <w:pPr>
        <w:rPr>
          <w:rFonts w:hint="eastAsia" w:ascii="仿宋_GB2312" w:hAnsi="仿宋_GB2312" w:eastAsia="仿宋_GB2312" w:cs="仿宋_GB2312"/>
          <w:b w:val="0"/>
          <w:bCs w:val="0"/>
          <w:color w:val="000000"/>
          <w:kern w:val="0"/>
          <w:sz w:val="24"/>
          <w:szCs w:val="24"/>
          <w:lang w:val="en-US" w:eastAsia="zh-CN" w:bidi="ar"/>
        </w:rPr>
      </w:pPr>
    </w:p>
    <w:p w14:paraId="458E351D">
      <w:pPr>
        <w:keepNext w:val="0"/>
        <w:keepLines w:val="0"/>
        <w:widowControl/>
        <w:suppressLineNumbers w:val="0"/>
        <w:jc w:val="center"/>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残疾人福利性单位声明函格式</w:t>
      </w:r>
    </w:p>
    <w:p w14:paraId="3F098CE4">
      <w:pPr>
        <w:keepNext w:val="0"/>
        <w:keepLines w:val="0"/>
        <w:widowControl/>
        <w:suppressLineNumbers w:val="0"/>
        <w:jc w:val="center"/>
        <w:rPr>
          <w:rFonts w:hint="eastAsia" w:ascii="仿宋_GB2312" w:hAnsi="仿宋_GB2312" w:eastAsia="仿宋_GB2312" w:cs="仿宋_GB2312"/>
          <w:b/>
          <w:bCs/>
          <w:color w:val="000000"/>
          <w:kern w:val="0"/>
          <w:sz w:val="32"/>
          <w:szCs w:val="32"/>
          <w:lang w:val="en-US" w:eastAsia="zh-CN" w:bidi="ar"/>
        </w:rPr>
      </w:pPr>
    </w:p>
    <w:p w14:paraId="786F86DD">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本单位郑重声明，根据《财政部民政部中国残疾人联合会关于促进残疾人就业政府采购政策的通知》（财库〔2017〕 141 号）的规定，本单位</w:t>
      </w:r>
      <w:r>
        <w:rPr>
          <w:rFonts w:hint="eastAsia" w:ascii="仿宋_GB2312" w:hAnsi="仿宋_GB2312" w:eastAsia="仿宋_GB2312" w:cs="仿宋_GB2312"/>
          <w:b/>
          <w:bCs/>
          <w:color w:val="000000"/>
          <w:kern w:val="0"/>
          <w:sz w:val="24"/>
          <w:szCs w:val="24"/>
          <w:lang w:val="en-US" w:eastAsia="zh-CN" w:bidi="ar"/>
        </w:rPr>
        <w:t>（请进行勾选）</w:t>
      </w:r>
      <w:r>
        <w:rPr>
          <w:rFonts w:hint="eastAsia" w:ascii="仿宋_GB2312" w:hAnsi="仿宋_GB2312" w:eastAsia="仿宋_GB2312" w:cs="仿宋_GB2312"/>
          <w:color w:val="000000"/>
          <w:kern w:val="0"/>
          <w:sz w:val="24"/>
          <w:szCs w:val="24"/>
          <w:lang w:val="en-US" w:eastAsia="zh-CN" w:bidi="ar"/>
        </w:rPr>
        <w:t xml:space="preserve">： </w:t>
      </w:r>
    </w:p>
    <w:p w14:paraId="10775D14">
      <w:pPr>
        <w:keepNext w:val="0"/>
        <w:keepLines w:val="0"/>
        <w:pageBreakBefore w:val="0"/>
        <w:widowControl/>
        <w:suppressLineNumbers w:val="0"/>
        <w:kinsoku/>
        <w:wordWrap/>
        <w:overflowPunct/>
        <w:topLinePunct w:val="0"/>
        <w:autoSpaceDE/>
        <w:autoSpaceDN/>
        <w:bidi w:val="0"/>
        <w:adjustRightInd/>
        <w:snapToGrid/>
        <w:spacing w:line="500" w:lineRule="exact"/>
        <w:ind w:firstLine="482"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color w:val="000000"/>
          <w:kern w:val="0"/>
          <w:sz w:val="24"/>
          <w:szCs w:val="24"/>
          <w:lang w:val="en-US" w:eastAsia="zh-CN" w:bidi="ar"/>
        </w:rPr>
        <w:t xml:space="preserve">□不属于符合条件的残疾人福利性单位。 </w:t>
      </w:r>
    </w:p>
    <w:p w14:paraId="48EB5C36">
      <w:pPr>
        <w:keepNext w:val="0"/>
        <w:keepLines w:val="0"/>
        <w:pageBreakBefore w:val="0"/>
        <w:widowControl/>
        <w:suppressLineNumbers w:val="0"/>
        <w:kinsoku/>
        <w:wordWrap/>
        <w:overflowPunct/>
        <w:topLinePunct w:val="0"/>
        <w:autoSpaceDE/>
        <w:autoSpaceDN/>
        <w:bidi w:val="0"/>
        <w:adjustRightInd/>
        <w:snapToGrid/>
        <w:spacing w:line="500" w:lineRule="exact"/>
        <w:ind w:firstLine="482"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color w:val="000000"/>
          <w:kern w:val="0"/>
          <w:sz w:val="24"/>
          <w:szCs w:val="24"/>
          <w:lang w:val="en-US" w:eastAsia="zh-CN" w:bidi="ar"/>
        </w:rPr>
        <w:t>□属于符合条件的残疾人福利性单位，</w:t>
      </w:r>
      <w:r>
        <w:rPr>
          <w:rFonts w:hint="eastAsia" w:ascii="仿宋_GB2312" w:hAnsi="仿宋_GB2312" w:eastAsia="仿宋_GB2312" w:cs="仿宋_GB2312"/>
          <w:color w:val="000000"/>
          <w:kern w:val="0"/>
          <w:sz w:val="24"/>
          <w:szCs w:val="24"/>
          <w:lang w:val="en-US" w:eastAsia="zh-CN" w:bidi="ar"/>
        </w:rPr>
        <w:t>且本单位参加</w:t>
      </w:r>
      <w:r>
        <w:rPr>
          <w:rFonts w:hint="eastAsia" w:ascii="仿宋_GB2312" w:hAnsi="仿宋_GB2312" w:eastAsia="仿宋_GB2312" w:cs="仿宋_GB2312"/>
          <w:color w:val="000000"/>
          <w:kern w:val="0"/>
          <w:sz w:val="24"/>
          <w:szCs w:val="24"/>
          <w:u w:val="single"/>
          <w:lang w:val="en-US" w:eastAsia="zh-CN" w:bidi="ar"/>
        </w:rPr>
        <w:t xml:space="preserve">     </w:t>
      </w:r>
      <w:r>
        <w:rPr>
          <w:rFonts w:hint="eastAsia" w:ascii="仿宋_GB2312" w:hAnsi="仿宋_GB2312" w:eastAsia="仿宋_GB2312" w:cs="仿宋_GB2312"/>
          <w:color w:val="000000"/>
          <w:kern w:val="0"/>
          <w:sz w:val="24"/>
          <w:szCs w:val="24"/>
          <w:lang w:val="en-US" w:eastAsia="zh-CN" w:bidi="ar"/>
        </w:rPr>
        <w:t>单位的</w:t>
      </w:r>
      <w:r>
        <w:rPr>
          <w:rFonts w:hint="eastAsia" w:ascii="仿宋_GB2312" w:hAnsi="仿宋_GB2312" w:eastAsia="仿宋_GB2312" w:cs="仿宋_GB2312"/>
          <w:color w:val="000000"/>
          <w:kern w:val="0"/>
          <w:sz w:val="24"/>
          <w:szCs w:val="24"/>
          <w:u w:val="single"/>
          <w:lang w:val="en-US" w:eastAsia="zh-CN" w:bidi="ar"/>
        </w:rPr>
        <w:t xml:space="preserve">      </w:t>
      </w:r>
      <w:r>
        <w:rPr>
          <w:rFonts w:hint="eastAsia" w:ascii="仿宋_GB2312" w:hAnsi="仿宋_GB2312" w:eastAsia="仿宋_GB2312" w:cs="仿宋_GB2312"/>
          <w:color w:val="000000"/>
          <w:kern w:val="0"/>
          <w:sz w:val="24"/>
          <w:szCs w:val="24"/>
          <w:lang w:val="en-US" w:eastAsia="zh-CN" w:bidi="ar"/>
        </w:rPr>
        <w:t xml:space="preserve">项目采购活动提供本单位制造的货物（由本单位承担工程/提供服务），或者提供其他残疾人福利性单位制造的货物（不包括使用非残疾人福利性单位注册商标的货物）。 </w:t>
      </w:r>
    </w:p>
    <w:p w14:paraId="48C708BE">
      <w:pPr>
        <w:keepNext w:val="0"/>
        <w:keepLines w:val="0"/>
        <w:pageBreakBefore w:val="0"/>
        <w:widowControl/>
        <w:suppressLineNumbers w:val="0"/>
        <w:kinsoku/>
        <w:wordWrap/>
        <w:overflowPunct/>
        <w:topLinePunct w:val="0"/>
        <w:autoSpaceDE/>
        <w:autoSpaceDN/>
        <w:bidi w:val="0"/>
        <w:adjustRightInd/>
        <w:snapToGrid/>
        <w:spacing w:line="500" w:lineRule="exact"/>
        <w:ind w:firstLine="723" w:firstLineChars="3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color w:val="000000"/>
          <w:kern w:val="0"/>
          <w:sz w:val="24"/>
          <w:szCs w:val="24"/>
          <w:lang w:val="en-US" w:eastAsia="zh-CN" w:bidi="ar"/>
        </w:rPr>
        <w:t xml:space="preserve">本单位对上述声明的真实性负责。如有虚假，将依法承担相应责任。 </w:t>
      </w:r>
    </w:p>
    <w:p w14:paraId="7C66597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lang w:val="en-US" w:eastAsia="zh-CN" w:bidi="ar"/>
        </w:rPr>
      </w:pPr>
    </w:p>
    <w:p w14:paraId="5209DD9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lang w:val="en-US" w:eastAsia="zh-CN" w:bidi="ar"/>
        </w:rPr>
      </w:pPr>
    </w:p>
    <w:p w14:paraId="1C6765B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             单位名称（盖章）：</w:t>
      </w:r>
    </w:p>
    <w:p w14:paraId="4FC6E1A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                         日期：</w:t>
      </w:r>
    </w:p>
    <w:p w14:paraId="79B5A2C3">
      <w:pP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br w:type="page"/>
      </w:r>
    </w:p>
    <w:p w14:paraId="21B03E6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2-2 拟分包情况说明及分包意向协议 </w:t>
      </w:r>
    </w:p>
    <w:p w14:paraId="3A8495D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color w:val="000000"/>
          <w:kern w:val="0"/>
          <w:sz w:val="32"/>
          <w:szCs w:val="32"/>
          <w:lang w:val="en-US" w:eastAsia="zh-CN" w:bidi="ar"/>
        </w:rPr>
      </w:pPr>
    </w:p>
    <w:p w14:paraId="306D3CB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拟分包情况说明</w:t>
      </w:r>
    </w:p>
    <w:p w14:paraId="6B9C2D0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color w:val="000000"/>
          <w:kern w:val="0"/>
          <w:sz w:val="32"/>
          <w:szCs w:val="32"/>
          <w:lang w:val="en-US" w:eastAsia="zh-CN" w:bidi="ar"/>
        </w:rPr>
      </w:pPr>
    </w:p>
    <w:p w14:paraId="681E991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致：</w:t>
      </w:r>
      <w:r>
        <w:rPr>
          <w:rFonts w:hint="eastAsia" w:ascii="仿宋_GB2312" w:hAnsi="仿宋_GB2312" w:eastAsia="仿宋_GB2312" w:cs="仿宋_GB2312"/>
          <w:color w:val="000000"/>
          <w:kern w:val="0"/>
          <w:sz w:val="24"/>
          <w:szCs w:val="24"/>
          <w:u w:val="single"/>
          <w:lang w:val="en-US" w:eastAsia="zh-CN" w:bidi="ar"/>
        </w:rPr>
        <w:t>（采购人或采购代理机构）</w:t>
      </w:r>
      <w:r>
        <w:rPr>
          <w:rFonts w:hint="eastAsia" w:ascii="仿宋_GB2312" w:hAnsi="仿宋_GB2312" w:eastAsia="仿宋_GB2312" w:cs="仿宋_GB2312"/>
          <w:color w:val="000000"/>
          <w:kern w:val="0"/>
          <w:sz w:val="24"/>
          <w:szCs w:val="24"/>
          <w:lang w:val="en-US" w:eastAsia="zh-CN" w:bidi="ar"/>
        </w:rPr>
        <w:t xml:space="preserve"> </w:t>
      </w:r>
    </w:p>
    <w:p w14:paraId="2A7FF46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我单位参加贵单位组织采购的项目编号为</w:t>
      </w:r>
      <w:r>
        <w:rPr>
          <w:rFonts w:hint="eastAsia" w:ascii="仿宋_GB2312" w:hAnsi="仿宋_GB2312" w:eastAsia="仿宋_GB2312" w:cs="仿宋_GB2312"/>
          <w:color w:val="000000"/>
          <w:kern w:val="0"/>
          <w:sz w:val="24"/>
          <w:szCs w:val="24"/>
          <w:u w:val="single"/>
          <w:lang w:val="en-US" w:eastAsia="zh-CN" w:bidi="ar"/>
        </w:rPr>
        <w:t xml:space="preserve">        </w:t>
      </w:r>
      <w:r>
        <w:rPr>
          <w:rFonts w:hint="eastAsia" w:ascii="仿宋_GB2312" w:hAnsi="仿宋_GB2312" w:eastAsia="仿宋_GB2312" w:cs="仿宋_GB2312"/>
          <w:color w:val="000000"/>
          <w:kern w:val="0"/>
          <w:sz w:val="24"/>
          <w:szCs w:val="24"/>
          <w:lang w:val="en-US" w:eastAsia="zh-CN" w:bidi="ar"/>
        </w:rPr>
        <w:t>的</w:t>
      </w:r>
      <w:r>
        <w:rPr>
          <w:rFonts w:hint="eastAsia" w:ascii="仿宋_GB2312" w:hAnsi="仿宋_GB2312" w:eastAsia="仿宋_GB2312" w:cs="仿宋_GB2312"/>
          <w:color w:val="000000"/>
          <w:kern w:val="0"/>
          <w:sz w:val="24"/>
          <w:szCs w:val="24"/>
          <w:u w:val="single"/>
          <w:lang w:val="en-US" w:eastAsia="zh-CN" w:bidi="ar"/>
        </w:rPr>
        <w:t xml:space="preserve"> （填写采购项目名称）  </w:t>
      </w:r>
      <w:r>
        <w:rPr>
          <w:rFonts w:hint="eastAsia" w:ascii="仿宋_GB2312" w:hAnsi="仿宋_GB2312" w:eastAsia="仿宋_GB2312" w:cs="仿宋_GB2312"/>
          <w:color w:val="000000"/>
          <w:kern w:val="0"/>
          <w:sz w:val="24"/>
          <w:szCs w:val="24"/>
          <w:lang w:val="en-US" w:eastAsia="zh-CN" w:bidi="ar"/>
        </w:rPr>
        <w:t>项目中</w:t>
      </w:r>
      <w:r>
        <w:rPr>
          <w:rFonts w:hint="eastAsia" w:ascii="仿宋_GB2312" w:hAnsi="仿宋_GB2312" w:eastAsia="仿宋_GB2312" w:cs="仿宋_GB2312"/>
          <w:color w:val="000000"/>
          <w:kern w:val="0"/>
          <w:sz w:val="24"/>
          <w:szCs w:val="24"/>
          <w:u w:val="single"/>
          <w:lang w:val="en-US" w:eastAsia="zh-CN" w:bidi="ar"/>
        </w:rPr>
        <w:t xml:space="preserve"> （填写包号） </w:t>
      </w:r>
      <w:r>
        <w:rPr>
          <w:rFonts w:hint="eastAsia" w:ascii="仿宋_GB2312" w:hAnsi="仿宋_GB2312" w:eastAsia="仿宋_GB2312" w:cs="仿宋_GB2312"/>
          <w:color w:val="000000"/>
          <w:kern w:val="0"/>
          <w:sz w:val="24"/>
          <w:szCs w:val="24"/>
          <w:lang w:val="en-US" w:eastAsia="zh-CN" w:bidi="ar"/>
        </w:rPr>
        <w:t xml:space="preserve">包的投标。拟签订分包合同的单位情况如下表所示，我单 </w:t>
      </w:r>
    </w:p>
    <w:p w14:paraId="754B1F4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位承诺一旦在该项目中获得采购合同将按下表所列情况进行分包，同时承诺分包承担主体不再次分包。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323"/>
        <w:gridCol w:w="1338"/>
        <w:gridCol w:w="1123"/>
        <w:gridCol w:w="1154"/>
        <w:gridCol w:w="1439"/>
        <w:gridCol w:w="1422"/>
      </w:tblGrid>
      <w:tr w14:paraId="49677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3" w:type="dxa"/>
            <w:vAlign w:val="center"/>
          </w:tcPr>
          <w:p w14:paraId="7F61641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kern w:val="0"/>
                <w:sz w:val="21"/>
                <w:szCs w:val="21"/>
                <w:vertAlign w:val="baseline"/>
                <w:lang w:val="en-US" w:eastAsia="zh-CN" w:bidi="ar"/>
              </w:rPr>
            </w:pPr>
            <w:r>
              <w:rPr>
                <w:rFonts w:hint="eastAsia" w:ascii="仿宋_GB2312" w:hAnsi="仿宋_GB2312" w:eastAsia="仿宋_GB2312" w:cs="仿宋_GB2312"/>
                <w:b w:val="0"/>
                <w:bCs w:val="0"/>
                <w:color w:val="000000"/>
                <w:kern w:val="0"/>
                <w:sz w:val="21"/>
                <w:szCs w:val="21"/>
                <w:vertAlign w:val="baseline"/>
                <w:lang w:val="en-US" w:eastAsia="zh-CN" w:bidi="ar"/>
              </w:rPr>
              <w:t>序号</w:t>
            </w:r>
          </w:p>
        </w:tc>
        <w:tc>
          <w:tcPr>
            <w:tcW w:w="1323" w:type="dxa"/>
            <w:vAlign w:val="center"/>
          </w:tcPr>
          <w:p w14:paraId="264BE53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kern w:val="0"/>
                <w:sz w:val="21"/>
                <w:szCs w:val="21"/>
                <w:vertAlign w:val="baseline"/>
                <w:lang w:val="en-US" w:eastAsia="zh-CN" w:bidi="ar"/>
              </w:rPr>
            </w:pPr>
            <w:r>
              <w:rPr>
                <w:rFonts w:hint="eastAsia" w:ascii="仿宋_GB2312" w:hAnsi="仿宋_GB2312" w:eastAsia="仿宋_GB2312" w:cs="仿宋_GB2312"/>
                <w:b w:val="0"/>
                <w:bCs w:val="0"/>
                <w:color w:val="000000"/>
                <w:kern w:val="0"/>
                <w:sz w:val="21"/>
                <w:szCs w:val="21"/>
                <w:vertAlign w:val="baseline"/>
                <w:lang w:val="en-US" w:eastAsia="zh-CN" w:bidi="ar"/>
              </w:rPr>
              <w:t>分包承担</w:t>
            </w:r>
          </w:p>
          <w:p w14:paraId="1376FB9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kern w:val="0"/>
                <w:sz w:val="21"/>
                <w:szCs w:val="21"/>
                <w:vertAlign w:val="baseline"/>
                <w:lang w:val="en-US" w:eastAsia="zh-CN" w:bidi="ar"/>
              </w:rPr>
            </w:pPr>
            <w:r>
              <w:rPr>
                <w:rFonts w:hint="eastAsia" w:ascii="仿宋_GB2312" w:hAnsi="仿宋_GB2312" w:eastAsia="仿宋_GB2312" w:cs="仿宋_GB2312"/>
                <w:b w:val="0"/>
                <w:bCs w:val="0"/>
                <w:color w:val="000000"/>
                <w:kern w:val="0"/>
                <w:sz w:val="21"/>
                <w:szCs w:val="21"/>
                <w:vertAlign w:val="baseline"/>
                <w:lang w:val="en-US" w:eastAsia="zh-CN" w:bidi="ar"/>
              </w:rPr>
              <w:t>主体名称</w:t>
            </w:r>
          </w:p>
        </w:tc>
        <w:tc>
          <w:tcPr>
            <w:tcW w:w="1338" w:type="dxa"/>
            <w:vAlign w:val="center"/>
          </w:tcPr>
          <w:p w14:paraId="6DDAFE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分包承担</w:t>
            </w:r>
          </w:p>
          <w:p w14:paraId="033F1D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主体类型</w:t>
            </w:r>
          </w:p>
          <w:p w14:paraId="0A9684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kern w:val="0"/>
                <w:sz w:val="21"/>
                <w:szCs w:val="21"/>
                <w:vertAlign w:val="baseline"/>
                <w:lang w:val="en-US" w:eastAsia="zh-CN" w:bidi="ar"/>
              </w:rPr>
            </w:pPr>
            <w:r>
              <w:rPr>
                <w:rFonts w:hint="eastAsia" w:ascii="仿宋_GB2312" w:hAnsi="仿宋_GB2312" w:eastAsia="仿宋_GB2312" w:cs="仿宋_GB2312"/>
                <w:color w:val="000000"/>
                <w:kern w:val="0"/>
                <w:sz w:val="21"/>
                <w:szCs w:val="21"/>
                <w:lang w:val="en-US" w:eastAsia="zh-CN" w:bidi="ar"/>
              </w:rPr>
              <w:t>（勾选）</w:t>
            </w:r>
          </w:p>
        </w:tc>
        <w:tc>
          <w:tcPr>
            <w:tcW w:w="1123" w:type="dxa"/>
            <w:vAlign w:val="center"/>
          </w:tcPr>
          <w:p w14:paraId="246F2B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kern w:val="0"/>
                <w:sz w:val="21"/>
                <w:szCs w:val="21"/>
                <w:vertAlign w:val="baseline"/>
                <w:lang w:val="en-US" w:eastAsia="zh-CN" w:bidi="ar"/>
              </w:rPr>
            </w:pPr>
            <w:r>
              <w:rPr>
                <w:rFonts w:hint="eastAsia" w:ascii="仿宋_GB2312" w:hAnsi="仿宋_GB2312" w:eastAsia="仿宋_GB2312" w:cs="仿宋_GB2312"/>
                <w:b w:val="0"/>
                <w:bCs w:val="0"/>
                <w:color w:val="000000"/>
                <w:kern w:val="0"/>
                <w:sz w:val="21"/>
                <w:szCs w:val="21"/>
                <w:vertAlign w:val="baseline"/>
                <w:lang w:val="en-US" w:eastAsia="zh-CN" w:bidi="ar"/>
              </w:rPr>
              <w:t>资质等级</w:t>
            </w:r>
          </w:p>
        </w:tc>
        <w:tc>
          <w:tcPr>
            <w:tcW w:w="1154" w:type="dxa"/>
            <w:vAlign w:val="center"/>
          </w:tcPr>
          <w:p w14:paraId="564CAE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拟分包</w:t>
            </w:r>
          </w:p>
          <w:p w14:paraId="62682E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kern w:val="0"/>
                <w:sz w:val="21"/>
                <w:szCs w:val="21"/>
                <w:vertAlign w:val="baseline"/>
                <w:lang w:val="en-US" w:eastAsia="zh-CN" w:bidi="ar"/>
              </w:rPr>
            </w:pPr>
            <w:r>
              <w:rPr>
                <w:rFonts w:hint="eastAsia" w:ascii="仿宋_GB2312" w:hAnsi="仿宋_GB2312" w:eastAsia="仿宋_GB2312" w:cs="仿宋_GB2312"/>
                <w:color w:val="000000"/>
                <w:kern w:val="0"/>
                <w:sz w:val="21"/>
                <w:szCs w:val="21"/>
                <w:lang w:val="en-US" w:eastAsia="zh-CN" w:bidi="ar"/>
              </w:rPr>
              <w:t>合同内容</w:t>
            </w:r>
          </w:p>
        </w:tc>
        <w:tc>
          <w:tcPr>
            <w:tcW w:w="1439" w:type="dxa"/>
            <w:vAlign w:val="center"/>
          </w:tcPr>
          <w:p w14:paraId="3A570D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拟分包</w:t>
            </w:r>
          </w:p>
          <w:p w14:paraId="727DFB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合同金额</w:t>
            </w:r>
          </w:p>
          <w:p w14:paraId="608C84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kern w:val="0"/>
                <w:sz w:val="21"/>
                <w:szCs w:val="21"/>
                <w:vertAlign w:val="baseline"/>
                <w:lang w:val="en-US" w:eastAsia="zh-CN" w:bidi="ar"/>
              </w:rPr>
            </w:pPr>
            <w:r>
              <w:rPr>
                <w:rFonts w:hint="eastAsia" w:ascii="仿宋_GB2312" w:hAnsi="仿宋_GB2312" w:eastAsia="仿宋_GB2312" w:cs="仿宋_GB2312"/>
                <w:color w:val="000000"/>
                <w:kern w:val="0"/>
                <w:sz w:val="21"/>
                <w:szCs w:val="21"/>
                <w:lang w:val="en-US" w:eastAsia="zh-CN" w:bidi="ar"/>
              </w:rPr>
              <w:t>（人民币元）</w:t>
            </w:r>
          </w:p>
        </w:tc>
        <w:tc>
          <w:tcPr>
            <w:tcW w:w="1422" w:type="dxa"/>
            <w:vAlign w:val="center"/>
          </w:tcPr>
          <w:p w14:paraId="7EE1BE2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kern w:val="0"/>
                <w:sz w:val="21"/>
                <w:szCs w:val="21"/>
                <w:vertAlign w:val="baseline"/>
                <w:lang w:val="en-US" w:eastAsia="zh-CN" w:bidi="ar"/>
              </w:rPr>
            </w:pPr>
            <w:r>
              <w:rPr>
                <w:rFonts w:hint="eastAsia" w:ascii="仿宋_GB2312" w:hAnsi="仿宋_GB2312" w:eastAsia="仿宋_GB2312" w:cs="仿宋_GB2312"/>
                <w:color w:val="000000"/>
                <w:kern w:val="0"/>
                <w:sz w:val="21"/>
                <w:szCs w:val="21"/>
                <w:lang w:val="en-US" w:eastAsia="zh-CN" w:bidi="ar"/>
              </w:rPr>
              <w:t>占该采购包</w:t>
            </w:r>
            <w:r>
              <w:rPr>
                <w:rFonts w:hint="eastAsia" w:ascii="仿宋_GB2312" w:hAnsi="仿宋_GB2312" w:eastAsia="仿宋_GB2312" w:cs="仿宋_GB2312"/>
                <w:b/>
                <w:bCs/>
                <w:color w:val="000000"/>
                <w:kern w:val="0"/>
                <w:sz w:val="21"/>
                <w:szCs w:val="21"/>
                <w:lang w:val="en-US" w:eastAsia="zh-CN" w:bidi="ar"/>
              </w:rPr>
              <w:t>预算金额的</w:t>
            </w:r>
            <w:r>
              <w:rPr>
                <w:rFonts w:hint="eastAsia" w:ascii="仿宋_GB2312" w:hAnsi="仿宋_GB2312" w:eastAsia="仿宋_GB2312" w:cs="仿宋_GB2312"/>
                <w:color w:val="000000"/>
                <w:kern w:val="0"/>
                <w:sz w:val="21"/>
                <w:szCs w:val="21"/>
                <w:lang w:val="en-US" w:eastAsia="zh-CN" w:bidi="ar"/>
              </w:rPr>
              <w:t>比例（%）</w:t>
            </w:r>
          </w:p>
        </w:tc>
      </w:tr>
      <w:tr w14:paraId="08E7A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7DD7182D">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vertAlign w:val="baseline"/>
                <w:lang w:val="en-US" w:eastAsia="zh-CN" w:bidi="ar"/>
              </w:rPr>
            </w:pPr>
            <w:r>
              <w:rPr>
                <w:rFonts w:hint="eastAsia" w:ascii="仿宋_GB2312" w:hAnsi="仿宋_GB2312" w:eastAsia="仿宋_GB2312" w:cs="仿宋_GB2312"/>
                <w:b w:val="0"/>
                <w:bCs w:val="0"/>
                <w:color w:val="000000"/>
                <w:kern w:val="0"/>
                <w:sz w:val="24"/>
                <w:szCs w:val="24"/>
                <w:vertAlign w:val="baseline"/>
                <w:lang w:val="en-US" w:eastAsia="zh-CN" w:bidi="ar"/>
              </w:rPr>
              <w:t>1</w:t>
            </w:r>
          </w:p>
        </w:tc>
        <w:tc>
          <w:tcPr>
            <w:tcW w:w="1323" w:type="dxa"/>
            <w:vAlign w:val="center"/>
          </w:tcPr>
          <w:p w14:paraId="15D83A4F">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vertAlign w:val="baseline"/>
                <w:lang w:val="en-US" w:eastAsia="zh-CN" w:bidi="ar"/>
              </w:rPr>
            </w:pPr>
          </w:p>
        </w:tc>
        <w:tc>
          <w:tcPr>
            <w:tcW w:w="1338" w:type="dxa"/>
            <w:vAlign w:val="center"/>
          </w:tcPr>
          <w:p w14:paraId="004B907F">
            <w:pPr>
              <w:keepNext w:val="0"/>
              <w:keepLines w:val="0"/>
              <w:widowControl/>
              <w:suppressLineNumbers w:val="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□中型企业</w:t>
            </w:r>
          </w:p>
          <w:p w14:paraId="1B489625">
            <w:pPr>
              <w:keepNext w:val="0"/>
              <w:keepLines w:val="0"/>
              <w:widowControl/>
              <w:suppressLineNumbers w:val="0"/>
              <w:jc w:val="center"/>
              <w:rPr>
                <w:rFonts w:hint="eastAsia" w:ascii="仿宋_GB2312" w:hAnsi="仿宋_GB2312" w:eastAsia="仿宋_GB2312" w:cs="仿宋_GB2312"/>
                <w:b w:val="0"/>
                <w:bCs w:val="0"/>
                <w:color w:val="000000"/>
                <w:kern w:val="0"/>
                <w:sz w:val="21"/>
                <w:szCs w:val="21"/>
                <w:vertAlign w:val="baseline"/>
                <w:lang w:val="en-US" w:eastAsia="zh-CN" w:bidi="ar"/>
              </w:rPr>
            </w:pPr>
            <w:r>
              <w:rPr>
                <w:rFonts w:hint="eastAsia" w:ascii="仿宋_GB2312" w:hAnsi="仿宋_GB2312" w:eastAsia="仿宋_GB2312" w:cs="仿宋_GB2312"/>
                <w:color w:val="000000"/>
                <w:kern w:val="0"/>
                <w:sz w:val="21"/>
                <w:szCs w:val="21"/>
                <w:lang w:val="en-US" w:eastAsia="zh-CN" w:bidi="ar"/>
              </w:rPr>
              <w:t>□小微企业</w:t>
            </w:r>
          </w:p>
        </w:tc>
        <w:tc>
          <w:tcPr>
            <w:tcW w:w="1123" w:type="dxa"/>
            <w:vAlign w:val="center"/>
          </w:tcPr>
          <w:p w14:paraId="6EC63CD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vertAlign w:val="baseline"/>
                <w:lang w:val="en-US" w:eastAsia="zh-CN" w:bidi="ar"/>
              </w:rPr>
            </w:pPr>
          </w:p>
        </w:tc>
        <w:tc>
          <w:tcPr>
            <w:tcW w:w="1154" w:type="dxa"/>
            <w:vAlign w:val="center"/>
          </w:tcPr>
          <w:p w14:paraId="4E5BFD25">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vertAlign w:val="baseline"/>
                <w:lang w:val="en-US" w:eastAsia="zh-CN" w:bidi="ar"/>
              </w:rPr>
            </w:pPr>
          </w:p>
        </w:tc>
        <w:tc>
          <w:tcPr>
            <w:tcW w:w="1439" w:type="dxa"/>
            <w:vAlign w:val="center"/>
          </w:tcPr>
          <w:p w14:paraId="1A98E319">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vertAlign w:val="baseline"/>
                <w:lang w:val="en-US" w:eastAsia="zh-CN" w:bidi="ar"/>
              </w:rPr>
            </w:pPr>
          </w:p>
        </w:tc>
        <w:tc>
          <w:tcPr>
            <w:tcW w:w="1422" w:type="dxa"/>
            <w:vAlign w:val="center"/>
          </w:tcPr>
          <w:p w14:paraId="7901B42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vertAlign w:val="baseline"/>
                <w:lang w:val="en-US" w:eastAsia="zh-CN" w:bidi="ar"/>
              </w:rPr>
            </w:pPr>
          </w:p>
        </w:tc>
      </w:tr>
      <w:tr w14:paraId="47D0A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0C06A3FF">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vertAlign w:val="baseline"/>
                <w:lang w:val="en-US" w:eastAsia="zh-CN" w:bidi="ar"/>
              </w:rPr>
            </w:pPr>
            <w:r>
              <w:rPr>
                <w:rFonts w:hint="eastAsia" w:ascii="仿宋_GB2312" w:hAnsi="仿宋_GB2312" w:eastAsia="仿宋_GB2312" w:cs="仿宋_GB2312"/>
                <w:b w:val="0"/>
                <w:bCs w:val="0"/>
                <w:color w:val="000000"/>
                <w:kern w:val="0"/>
                <w:sz w:val="24"/>
                <w:szCs w:val="24"/>
                <w:vertAlign w:val="baseline"/>
                <w:lang w:val="en-US" w:eastAsia="zh-CN" w:bidi="ar"/>
              </w:rPr>
              <w:t>2</w:t>
            </w:r>
          </w:p>
        </w:tc>
        <w:tc>
          <w:tcPr>
            <w:tcW w:w="1323" w:type="dxa"/>
            <w:vAlign w:val="center"/>
          </w:tcPr>
          <w:p w14:paraId="5F9A6465">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vertAlign w:val="baseline"/>
                <w:lang w:val="en-US" w:eastAsia="zh-CN" w:bidi="ar"/>
              </w:rPr>
            </w:pPr>
          </w:p>
        </w:tc>
        <w:tc>
          <w:tcPr>
            <w:tcW w:w="1338" w:type="dxa"/>
            <w:vAlign w:val="center"/>
          </w:tcPr>
          <w:p w14:paraId="26638130">
            <w:pPr>
              <w:keepNext w:val="0"/>
              <w:keepLines w:val="0"/>
              <w:widowControl/>
              <w:suppressLineNumbers w:val="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□中型企业</w:t>
            </w:r>
          </w:p>
          <w:p w14:paraId="1F9806E8">
            <w:pPr>
              <w:keepNext w:val="0"/>
              <w:keepLines w:val="0"/>
              <w:widowControl/>
              <w:suppressLineNumbers w:val="0"/>
              <w:jc w:val="center"/>
              <w:rPr>
                <w:rFonts w:hint="eastAsia" w:ascii="仿宋_GB2312" w:hAnsi="仿宋_GB2312" w:eastAsia="仿宋_GB2312" w:cs="仿宋_GB2312"/>
                <w:b w:val="0"/>
                <w:bCs w:val="0"/>
                <w:color w:val="000000"/>
                <w:kern w:val="0"/>
                <w:sz w:val="21"/>
                <w:szCs w:val="21"/>
                <w:vertAlign w:val="baseline"/>
                <w:lang w:val="en-US" w:eastAsia="zh-CN" w:bidi="ar"/>
              </w:rPr>
            </w:pPr>
            <w:r>
              <w:rPr>
                <w:rFonts w:hint="eastAsia" w:ascii="仿宋_GB2312" w:hAnsi="仿宋_GB2312" w:eastAsia="仿宋_GB2312" w:cs="仿宋_GB2312"/>
                <w:color w:val="000000"/>
                <w:kern w:val="0"/>
                <w:sz w:val="21"/>
                <w:szCs w:val="21"/>
                <w:lang w:val="en-US" w:eastAsia="zh-CN" w:bidi="ar"/>
              </w:rPr>
              <w:t>□小微企业</w:t>
            </w:r>
          </w:p>
        </w:tc>
        <w:tc>
          <w:tcPr>
            <w:tcW w:w="1123" w:type="dxa"/>
            <w:vAlign w:val="center"/>
          </w:tcPr>
          <w:p w14:paraId="2026FE59">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vertAlign w:val="baseline"/>
                <w:lang w:val="en-US" w:eastAsia="zh-CN" w:bidi="ar"/>
              </w:rPr>
            </w:pPr>
          </w:p>
        </w:tc>
        <w:tc>
          <w:tcPr>
            <w:tcW w:w="1154" w:type="dxa"/>
            <w:vAlign w:val="center"/>
          </w:tcPr>
          <w:p w14:paraId="73DE350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vertAlign w:val="baseline"/>
                <w:lang w:val="en-US" w:eastAsia="zh-CN" w:bidi="ar"/>
              </w:rPr>
            </w:pPr>
          </w:p>
        </w:tc>
        <w:tc>
          <w:tcPr>
            <w:tcW w:w="1439" w:type="dxa"/>
            <w:vAlign w:val="center"/>
          </w:tcPr>
          <w:p w14:paraId="33C0F436">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vertAlign w:val="baseline"/>
                <w:lang w:val="en-US" w:eastAsia="zh-CN" w:bidi="ar"/>
              </w:rPr>
            </w:pPr>
          </w:p>
        </w:tc>
        <w:tc>
          <w:tcPr>
            <w:tcW w:w="1422" w:type="dxa"/>
            <w:vAlign w:val="center"/>
          </w:tcPr>
          <w:p w14:paraId="7DA09D5E">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vertAlign w:val="baseline"/>
                <w:lang w:val="en-US" w:eastAsia="zh-CN" w:bidi="ar"/>
              </w:rPr>
            </w:pPr>
          </w:p>
        </w:tc>
      </w:tr>
      <w:tr w14:paraId="721DD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2A18B41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vertAlign w:val="baseline"/>
                <w:lang w:val="en-US" w:eastAsia="zh-CN" w:bidi="ar"/>
              </w:rPr>
            </w:pPr>
            <w:r>
              <w:rPr>
                <w:rFonts w:hint="eastAsia" w:ascii="仿宋_GB2312" w:hAnsi="仿宋_GB2312" w:eastAsia="仿宋_GB2312" w:cs="仿宋_GB2312"/>
                <w:b w:val="0"/>
                <w:bCs w:val="0"/>
                <w:color w:val="000000"/>
                <w:kern w:val="0"/>
                <w:sz w:val="24"/>
                <w:szCs w:val="24"/>
                <w:vertAlign w:val="baseline"/>
                <w:lang w:val="en-US" w:eastAsia="zh-CN" w:bidi="ar"/>
              </w:rPr>
              <w:t>...</w:t>
            </w:r>
          </w:p>
        </w:tc>
        <w:tc>
          <w:tcPr>
            <w:tcW w:w="1323" w:type="dxa"/>
            <w:vAlign w:val="center"/>
          </w:tcPr>
          <w:p w14:paraId="7D014889">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vertAlign w:val="baseline"/>
                <w:lang w:val="en-US" w:eastAsia="zh-CN" w:bidi="ar"/>
              </w:rPr>
            </w:pPr>
          </w:p>
        </w:tc>
        <w:tc>
          <w:tcPr>
            <w:tcW w:w="1338" w:type="dxa"/>
            <w:vAlign w:val="center"/>
          </w:tcPr>
          <w:p w14:paraId="5D13D79E">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vertAlign w:val="baseline"/>
                <w:lang w:val="en-US" w:eastAsia="zh-CN" w:bidi="ar"/>
              </w:rPr>
            </w:pPr>
          </w:p>
        </w:tc>
        <w:tc>
          <w:tcPr>
            <w:tcW w:w="1123" w:type="dxa"/>
            <w:vAlign w:val="center"/>
          </w:tcPr>
          <w:p w14:paraId="1347FA45">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vertAlign w:val="baseline"/>
                <w:lang w:val="en-US" w:eastAsia="zh-CN" w:bidi="ar"/>
              </w:rPr>
            </w:pPr>
          </w:p>
        </w:tc>
        <w:tc>
          <w:tcPr>
            <w:tcW w:w="1154" w:type="dxa"/>
            <w:vAlign w:val="center"/>
          </w:tcPr>
          <w:p w14:paraId="5D71DD7D">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vertAlign w:val="baseline"/>
                <w:lang w:val="en-US" w:eastAsia="zh-CN" w:bidi="ar"/>
              </w:rPr>
            </w:pPr>
          </w:p>
        </w:tc>
        <w:tc>
          <w:tcPr>
            <w:tcW w:w="1439" w:type="dxa"/>
            <w:vAlign w:val="center"/>
          </w:tcPr>
          <w:p w14:paraId="3F70E0D6">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vertAlign w:val="baseline"/>
                <w:lang w:val="en-US" w:eastAsia="zh-CN" w:bidi="ar"/>
              </w:rPr>
            </w:pPr>
          </w:p>
        </w:tc>
        <w:tc>
          <w:tcPr>
            <w:tcW w:w="1422" w:type="dxa"/>
            <w:vAlign w:val="center"/>
          </w:tcPr>
          <w:p w14:paraId="502F06B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vertAlign w:val="baseline"/>
                <w:lang w:val="en-US" w:eastAsia="zh-CN" w:bidi="ar"/>
              </w:rPr>
            </w:pPr>
          </w:p>
        </w:tc>
      </w:tr>
      <w:tr w14:paraId="0290C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1" w:type="dxa"/>
            <w:gridSpan w:val="5"/>
            <w:vAlign w:val="center"/>
          </w:tcPr>
          <w:p w14:paraId="09B132C3">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vertAlign w:val="baseline"/>
                <w:lang w:val="en-US" w:eastAsia="zh-CN" w:bidi="ar"/>
              </w:rPr>
            </w:pPr>
            <w:r>
              <w:rPr>
                <w:rFonts w:hint="eastAsia" w:ascii="仿宋_GB2312" w:hAnsi="仿宋_GB2312" w:eastAsia="仿宋_GB2312" w:cs="仿宋_GB2312"/>
                <w:b w:val="0"/>
                <w:bCs w:val="0"/>
                <w:color w:val="000000"/>
                <w:kern w:val="0"/>
                <w:sz w:val="24"/>
                <w:szCs w:val="24"/>
                <w:vertAlign w:val="baseline"/>
                <w:lang w:val="en-US" w:eastAsia="zh-CN" w:bidi="ar"/>
              </w:rPr>
              <w:t>合计</w:t>
            </w:r>
          </w:p>
        </w:tc>
        <w:tc>
          <w:tcPr>
            <w:tcW w:w="1439" w:type="dxa"/>
            <w:vAlign w:val="center"/>
          </w:tcPr>
          <w:p w14:paraId="51796E6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vertAlign w:val="baseline"/>
                <w:lang w:val="en-US" w:eastAsia="zh-CN" w:bidi="ar"/>
              </w:rPr>
            </w:pPr>
          </w:p>
        </w:tc>
        <w:tc>
          <w:tcPr>
            <w:tcW w:w="1422" w:type="dxa"/>
            <w:vAlign w:val="center"/>
          </w:tcPr>
          <w:p w14:paraId="3DEE882D">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vertAlign w:val="baseline"/>
                <w:lang w:val="en-US" w:eastAsia="zh-CN" w:bidi="ar"/>
              </w:rPr>
            </w:pPr>
          </w:p>
        </w:tc>
      </w:tr>
    </w:tbl>
    <w:p w14:paraId="1B84241A">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color w:val="000000"/>
          <w:kern w:val="0"/>
          <w:sz w:val="24"/>
          <w:szCs w:val="24"/>
          <w:lang w:val="en-US" w:eastAsia="zh-CN" w:bidi="ar"/>
        </w:rPr>
      </w:pPr>
    </w:p>
    <w:p w14:paraId="285414F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u w:val="single"/>
          <w:lang w:val="en-US"/>
        </w:rPr>
      </w:pPr>
      <w:r>
        <w:rPr>
          <w:rFonts w:hint="eastAsia" w:ascii="仿宋_GB2312" w:hAnsi="仿宋_GB2312" w:eastAsia="仿宋_GB2312" w:cs="仿宋_GB2312"/>
          <w:color w:val="000000"/>
          <w:kern w:val="0"/>
          <w:sz w:val="24"/>
          <w:szCs w:val="24"/>
          <w:lang w:val="en-US" w:eastAsia="zh-CN" w:bidi="ar"/>
        </w:rPr>
        <w:t>投标人名称（加盖公章）：</w:t>
      </w:r>
      <w:r>
        <w:rPr>
          <w:rFonts w:hint="eastAsia" w:ascii="仿宋_GB2312" w:hAnsi="仿宋_GB2312" w:eastAsia="仿宋_GB2312" w:cs="仿宋_GB2312"/>
          <w:color w:val="000000"/>
          <w:kern w:val="0"/>
          <w:sz w:val="24"/>
          <w:szCs w:val="24"/>
          <w:u w:val="single"/>
          <w:lang w:val="en-US" w:eastAsia="zh-CN" w:bidi="ar"/>
        </w:rPr>
        <w:t xml:space="preserve">               </w:t>
      </w:r>
    </w:p>
    <w:p w14:paraId="7AA68FC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lang w:val="en-US" w:eastAsia="zh-CN" w:bidi="ar"/>
        </w:rPr>
        <w:t>日期：</w:t>
      </w:r>
      <w:r>
        <w:rPr>
          <w:rFonts w:hint="eastAsia" w:ascii="仿宋_GB2312" w:hAnsi="仿宋_GB2312" w:eastAsia="仿宋_GB2312" w:cs="仿宋_GB2312"/>
          <w:color w:val="000000"/>
          <w:kern w:val="0"/>
          <w:sz w:val="24"/>
          <w:szCs w:val="24"/>
          <w:u w:val="single"/>
          <w:lang w:val="en-US" w:eastAsia="zh-CN" w:bidi="ar"/>
        </w:rPr>
        <w:t xml:space="preserve">      年     月    日</w:t>
      </w:r>
      <w:r>
        <w:rPr>
          <w:rFonts w:hint="eastAsia" w:ascii="仿宋_GB2312" w:hAnsi="仿宋_GB2312" w:eastAsia="仿宋_GB2312" w:cs="仿宋_GB2312"/>
          <w:color w:val="000000"/>
          <w:kern w:val="0"/>
          <w:sz w:val="24"/>
          <w:szCs w:val="24"/>
          <w:lang w:val="en-US" w:eastAsia="zh-CN" w:bidi="ar"/>
        </w:rPr>
        <w:t xml:space="preserve"> </w:t>
      </w:r>
    </w:p>
    <w:p w14:paraId="570B51AF">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color w:val="000000"/>
          <w:kern w:val="0"/>
          <w:sz w:val="24"/>
          <w:szCs w:val="24"/>
          <w:lang w:val="en-US" w:eastAsia="zh-CN" w:bidi="ar"/>
        </w:rPr>
      </w:pPr>
    </w:p>
    <w:p w14:paraId="2AC1632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说明： </w:t>
      </w:r>
    </w:p>
    <w:p w14:paraId="27E55176">
      <w:pPr>
        <w:keepNext w:val="0"/>
        <w:keepLines w:val="0"/>
        <w:pageBreakBefore w:val="0"/>
        <w:widowControl/>
        <w:numPr>
          <w:ilvl w:val="0"/>
          <w:numId w:val="16"/>
        </w:numPr>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本表仅在投标人“为落实政府采购政策”而向中小企业分包时填写。</w:t>
      </w:r>
    </w:p>
    <w:p w14:paraId="460F75CE">
      <w:pPr>
        <w:keepNext w:val="0"/>
        <w:keepLines w:val="0"/>
        <w:pageBreakBefore w:val="0"/>
        <w:widowControl/>
        <w:numPr>
          <w:ilvl w:val="0"/>
          <w:numId w:val="16"/>
        </w:numPr>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如本招标文件《投标人须知资料表》载明本项目分包承担主体应具备的相应资质条件，则投标人须在本表中列明分包承担主体的资质等级，并后附资质证书复印件加盖投标人公章，否则</w:t>
      </w:r>
      <w:r>
        <w:rPr>
          <w:rFonts w:hint="eastAsia" w:ascii="仿宋_GB2312" w:hAnsi="仿宋_GB2312" w:eastAsia="仿宋_GB2312" w:cs="仿宋_GB2312"/>
          <w:b/>
          <w:bCs/>
          <w:color w:val="000000"/>
          <w:kern w:val="0"/>
          <w:sz w:val="24"/>
          <w:szCs w:val="24"/>
          <w:lang w:val="en-US" w:eastAsia="zh-CN" w:bidi="ar"/>
        </w:rPr>
        <w:t>投标无效</w:t>
      </w:r>
      <w:r>
        <w:rPr>
          <w:rFonts w:hint="eastAsia" w:ascii="仿宋_GB2312" w:hAnsi="仿宋_GB2312" w:eastAsia="仿宋_GB2312" w:cs="仿宋_GB2312"/>
          <w:color w:val="000000"/>
          <w:kern w:val="0"/>
          <w:sz w:val="24"/>
          <w:szCs w:val="24"/>
          <w:lang w:val="en-US" w:eastAsia="zh-CN" w:bidi="ar"/>
        </w:rPr>
        <w:t xml:space="preserve">。 </w:t>
      </w:r>
    </w:p>
    <w:p w14:paraId="65E6E91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（3）投标人与上述拟分包承担主体签署的《分包意向协议》后附。</w:t>
      </w:r>
    </w:p>
    <w:p w14:paraId="220AFF31">
      <w:pP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br w:type="page"/>
      </w:r>
    </w:p>
    <w:p w14:paraId="48365BC1">
      <w:pPr>
        <w:keepNext w:val="0"/>
        <w:keepLines w:val="0"/>
        <w:widowControl/>
        <w:suppressLineNumbers w:val="0"/>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color w:val="000000"/>
          <w:kern w:val="0"/>
          <w:sz w:val="24"/>
          <w:szCs w:val="24"/>
          <w:lang w:val="en-US" w:eastAsia="zh-CN" w:bidi="ar"/>
        </w:rPr>
        <w:t xml:space="preserve">附：分包意向协议（参考格式） </w:t>
      </w:r>
    </w:p>
    <w:p w14:paraId="74E50948">
      <w:pPr>
        <w:keepNext w:val="0"/>
        <w:keepLines w:val="0"/>
        <w:widowControl/>
        <w:suppressLineNumbers w:val="0"/>
        <w:jc w:val="left"/>
        <w:rPr>
          <w:rFonts w:hint="eastAsia" w:ascii="仿宋_GB2312" w:hAnsi="仿宋_GB2312" w:eastAsia="仿宋_GB2312" w:cs="仿宋_GB2312"/>
          <w:color w:val="000000"/>
          <w:kern w:val="0"/>
          <w:sz w:val="24"/>
          <w:szCs w:val="24"/>
          <w:lang w:val="en-US" w:eastAsia="zh-CN" w:bidi="ar"/>
        </w:rPr>
      </w:pPr>
    </w:p>
    <w:p w14:paraId="33EEA75C">
      <w:pPr>
        <w:keepNext w:val="0"/>
        <w:keepLines w:val="0"/>
        <w:widowControl/>
        <w:suppressLineNumbers w:val="0"/>
        <w:jc w:val="left"/>
        <w:rPr>
          <w:rFonts w:hint="eastAsia" w:ascii="仿宋_GB2312" w:hAnsi="仿宋_GB2312" w:eastAsia="仿宋_GB2312" w:cs="仿宋_GB2312"/>
          <w:color w:val="000000"/>
          <w:kern w:val="0"/>
          <w:sz w:val="24"/>
          <w:szCs w:val="24"/>
          <w:lang w:val="en-US" w:eastAsia="zh-CN" w:bidi="ar"/>
        </w:rPr>
      </w:pPr>
    </w:p>
    <w:p w14:paraId="03077EA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u w:val="single"/>
          <w:lang w:val="en-US" w:eastAsia="zh-CN" w:bidi="ar"/>
        </w:rPr>
      </w:pPr>
      <w:r>
        <w:rPr>
          <w:rFonts w:hint="eastAsia" w:ascii="仿宋_GB2312" w:hAnsi="仿宋_GB2312" w:eastAsia="仿宋_GB2312" w:cs="仿宋_GB2312"/>
          <w:color w:val="000000"/>
          <w:kern w:val="0"/>
          <w:sz w:val="24"/>
          <w:szCs w:val="24"/>
          <w:lang w:val="en-US" w:eastAsia="zh-CN" w:bidi="ar"/>
        </w:rPr>
        <w:t>甲方（投标人）：</w:t>
      </w:r>
      <w:r>
        <w:rPr>
          <w:rFonts w:hint="eastAsia" w:ascii="仿宋_GB2312" w:hAnsi="仿宋_GB2312" w:eastAsia="仿宋_GB2312" w:cs="仿宋_GB2312"/>
          <w:color w:val="000000"/>
          <w:kern w:val="0"/>
          <w:sz w:val="24"/>
          <w:szCs w:val="24"/>
          <w:u w:val="single"/>
          <w:lang w:val="en-US" w:eastAsia="zh-CN" w:bidi="ar"/>
        </w:rPr>
        <w:t xml:space="preserve">                 </w:t>
      </w:r>
    </w:p>
    <w:p w14:paraId="5FDD9A1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乙方（拟分包单位）：</w:t>
      </w:r>
      <w:r>
        <w:rPr>
          <w:rFonts w:hint="eastAsia" w:ascii="仿宋_GB2312" w:hAnsi="仿宋_GB2312" w:eastAsia="仿宋_GB2312" w:cs="仿宋_GB2312"/>
          <w:color w:val="000000"/>
          <w:kern w:val="0"/>
          <w:sz w:val="24"/>
          <w:szCs w:val="24"/>
          <w:u w:val="single"/>
          <w:lang w:val="en-US" w:eastAsia="zh-CN" w:bidi="ar"/>
        </w:rPr>
        <w:t xml:space="preserve">             </w:t>
      </w:r>
      <w:r>
        <w:rPr>
          <w:rFonts w:hint="eastAsia" w:ascii="仿宋_GB2312" w:hAnsi="仿宋_GB2312" w:eastAsia="仿宋_GB2312" w:cs="仿宋_GB2312"/>
          <w:color w:val="000000"/>
          <w:kern w:val="0"/>
          <w:sz w:val="24"/>
          <w:szCs w:val="24"/>
          <w:lang w:val="en-US" w:eastAsia="zh-CN" w:bidi="ar"/>
        </w:rPr>
        <w:t xml:space="preserve">  </w:t>
      </w:r>
    </w:p>
    <w:p w14:paraId="1ACD66E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甲方承诺，一旦在</w:t>
      </w:r>
      <w:r>
        <w:rPr>
          <w:rFonts w:hint="eastAsia" w:ascii="仿宋_GB2312" w:hAnsi="仿宋_GB2312" w:eastAsia="仿宋_GB2312" w:cs="仿宋_GB2312"/>
          <w:color w:val="000000"/>
          <w:kern w:val="0"/>
          <w:sz w:val="24"/>
          <w:szCs w:val="24"/>
          <w:u w:val="single"/>
          <w:lang w:val="en-US" w:eastAsia="zh-CN" w:bidi="ar"/>
        </w:rPr>
        <w:t xml:space="preserve">（采购项目名称）（项目编号/包号为：     </w:t>
      </w:r>
      <w:r>
        <w:rPr>
          <w:rFonts w:hint="eastAsia" w:ascii="仿宋_GB2312" w:hAnsi="仿宋_GB2312" w:eastAsia="仿宋_GB2312" w:cs="仿宋_GB2312"/>
          <w:color w:val="000000"/>
          <w:kern w:val="0"/>
          <w:sz w:val="24"/>
          <w:szCs w:val="24"/>
          <w:lang w:val="en-US" w:eastAsia="zh-CN" w:bidi="ar"/>
        </w:rPr>
        <w:t xml:space="preserve">）招标采购项目中获得采购合同，将按照下述约定将合同项下部分内容分包给乙方： </w:t>
      </w:r>
    </w:p>
    <w:p w14:paraId="526327C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_GB2312" w:hAnsi="仿宋_GB2312" w:eastAsia="仿宋_GB2312" w:cs="仿宋_GB2312"/>
          <w:sz w:val="24"/>
          <w:szCs w:val="24"/>
        </w:rPr>
      </w:pPr>
      <w:bookmarkStart w:id="37" w:name="_Toc22054"/>
      <w:r>
        <w:rPr>
          <w:rFonts w:hint="eastAsia" w:ascii="仿宋_GB2312" w:hAnsi="仿宋_GB2312" w:eastAsia="仿宋_GB2312" w:cs="仿宋_GB2312"/>
          <w:color w:val="000000"/>
          <w:kern w:val="0"/>
          <w:sz w:val="24"/>
          <w:szCs w:val="24"/>
          <w:lang w:val="en-US" w:eastAsia="zh-CN" w:bidi="ar"/>
        </w:rPr>
        <w:t>1.分包内容：</w:t>
      </w:r>
      <w:r>
        <w:rPr>
          <w:rFonts w:hint="eastAsia" w:ascii="仿宋_GB2312" w:hAnsi="仿宋_GB2312" w:eastAsia="仿宋_GB2312" w:cs="仿宋_GB2312"/>
          <w:color w:val="000000"/>
          <w:kern w:val="0"/>
          <w:sz w:val="24"/>
          <w:szCs w:val="24"/>
          <w:u w:val="single"/>
          <w:lang w:val="en-US" w:eastAsia="zh-CN" w:bidi="ar"/>
        </w:rPr>
        <w:t xml:space="preserve">       </w:t>
      </w:r>
      <w:r>
        <w:rPr>
          <w:rFonts w:hint="eastAsia" w:ascii="仿宋_GB2312" w:hAnsi="仿宋_GB2312" w:eastAsia="仿宋_GB2312" w:cs="仿宋_GB2312"/>
          <w:color w:val="000000"/>
          <w:kern w:val="0"/>
          <w:sz w:val="24"/>
          <w:szCs w:val="24"/>
          <w:lang w:val="en-US" w:eastAsia="zh-CN" w:bidi="ar"/>
        </w:rPr>
        <w:t>。</w:t>
      </w:r>
      <w:bookmarkEnd w:id="37"/>
      <w:r>
        <w:rPr>
          <w:rFonts w:hint="eastAsia" w:ascii="仿宋_GB2312" w:hAnsi="仿宋_GB2312" w:eastAsia="仿宋_GB2312" w:cs="仿宋_GB2312"/>
          <w:color w:val="000000"/>
          <w:kern w:val="0"/>
          <w:sz w:val="24"/>
          <w:szCs w:val="24"/>
          <w:lang w:val="en-US" w:eastAsia="zh-CN" w:bidi="ar"/>
        </w:rPr>
        <w:t xml:space="preserve"> </w:t>
      </w:r>
    </w:p>
    <w:p w14:paraId="716BE0F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2.分包金额：</w:t>
      </w:r>
      <w:r>
        <w:rPr>
          <w:rFonts w:hint="eastAsia" w:ascii="仿宋_GB2312" w:hAnsi="仿宋_GB2312" w:eastAsia="仿宋_GB2312" w:cs="仿宋_GB2312"/>
          <w:color w:val="000000"/>
          <w:kern w:val="0"/>
          <w:sz w:val="24"/>
          <w:szCs w:val="24"/>
          <w:u w:val="single"/>
          <w:lang w:val="en-US" w:eastAsia="zh-CN" w:bidi="ar"/>
        </w:rPr>
        <w:t xml:space="preserve">       </w:t>
      </w:r>
      <w:r>
        <w:rPr>
          <w:rFonts w:hint="eastAsia" w:ascii="仿宋_GB2312" w:hAnsi="仿宋_GB2312" w:eastAsia="仿宋_GB2312" w:cs="仿宋_GB2312"/>
          <w:color w:val="000000"/>
          <w:kern w:val="0"/>
          <w:sz w:val="24"/>
          <w:szCs w:val="24"/>
          <w:lang w:val="en-US" w:eastAsia="zh-CN" w:bidi="ar"/>
        </w:rPr>
        <w:t>，该金额占该采购包预算总金额的比例为</w:t>
      </w:r>
      <w:r>
        <w:rPr>
          <w:rFonts w:hint="eastAsia" w:ascii="仿宋_GB2312" w:hAnsi="仿宋_GB2312" w:eastAsia="仿宋_GB2312" w:cs="仿宋_GB2312"/>
          <w:color w:val="000000"/>
          <w:kern w:val="0"/>
          <w:sz w:val="24"/>
          <w:szCs w:val="24"/>
          <w:u w:val="single"/>
          <w:lang w:val="en-US" w:eastAsia="zh-CN" w:bidi="ar"/>
        </w:rPr>
        <w:t xml:space="preserve">      </w:t>
      </w:r>
      <w:r>
        <w:rPr>
          <w:rFonts w:hint="eastAsia" w:ascii="仿宋_GB2312" w:hAnsi="仿宋_GB2312" w:eastAsia="仿宋_GB2312" w:cs="仿宋_GB2312"/>
          <w:color w:val="000000"/>
          <w:kern w:val="0"/>
          <w:sz w:val="24"/>
          <w:szCs w:val="24"/>
          <w:lang w:val="en-US" w:eastAsia="zh-CN" w:bidi="ar"/>
        </w:rPr>
        <w:t xml:space="preserve">%。 </w:t>
      </w:r>
    </w:p>
    <w:p w14:paraId="6963F55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乙方承诺将在上述情况下与甲方签订分包合同。 </w:t>
      </w:r>
    </w:p>
    <w:p w14:paraId="6DED8CF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本协议自各方盖章之日起生效，如甲方未在该项目（采购包）中标，本协议自动终止。 </w:t>
      </w:r>
    </w:p>
    <w:p w14:paraId="709642D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lang w:val="en-US" w:eastAsia="zh-CN" w:bidi="ar"/>
        </w:rPr>
      </w:pPr>
    </w:p>
    <w:p w14:paraId="6D0AE2A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甲方（盖章）：</w:t>
      </w:r>
      <w:r>
        <w:rPr>
          <w:rFonts w:hint="eastAsia" w:ascii="仿宋_GB2312" w:hAnsi="仿宋_GB2312" w:eastAsia="仿宋_GB2312" w:cs="仿宋_GB2312"/>
          <w:color w:val="000000"/>
          <w:kern w:val="0"/>
          <w:sz w:val="24"/>
          <w:szCs w:val="24"/>
          <w:u w:val="single"/>
          <w:lang w:val="en-US" w:eastAsia="zh-CN" w:bidi="ar"/>
        </w:rPr>
        <w:t xml:space="preserve">        </w:t>
      </w:r>
      <w:r>
        <w:rPr>
          <w:rFonts w:hint="eastAsia" w:ascii="仿宋_GB2312" w:hAnsi="仿宋_GB2312" w:eastAsia="仿宋_GB2312" w:cs="仿宋_GB2312"/>
          <w:color w:val="000000"/>
          <w:kern w:val="0"/>
          <w:sz w:val="24"/>
          <w:szCs w:val="24"/>
          <w:lang w:val="en-US" w:eastAsia="zh-CN" w:bidi="ar"/>
        </w:rPr>
        <w:t xml:space="preserve"> 乙方（盖章）：</w:t>
      </w:r>
      <w:r>
        <w:rPr>
          <w:rFonts w:hint="eastAsia" w:ascii="仿宋_GB2312" w:hAnsi="仿宋_GB2312" w:eastAsia="仿宋_GB2312" w:cs="仿宋_GB2312"/>
          <w:color w:val="000000"/>
          <w:kern w:val="0"/>
          <w:sz w:val="24"/>
          <w:szCs w:val="24"/>
          <w:u w:val="single"/>
          <w:lang w:val="en-US" w:eastAsia="zh-CN" w:bidi="ar"/>
        </w:rPr>
        <w:t xml:space="preserve">          </w:t>
      </w:r>
      <w:r>
        <w:rPr>
          <w:rFonts w:hint="eastAsia" w:ascii="仿宋_GB2312" w:hAnsi="仿宋_GB2312" w:eastAsia="仿宋_GB2312" w:cs="仿宋_GB2312"/>
          <w:color w:val="000000"/>
          <w:kern w:val="0"/>
          <w:sz w:val="24"/>
          <w:szCs w:val="24"/>
          <w:lang w:val="en-US" w:eastAsia="zh-CN" w:bidi="ar"/>
        </w:rPr>
        <w:t xml:space="preserve"> </w:t>
      </w:r>
    </w:p>
    <w:p w14:paraId="1E1561C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日期： </w:t>
      </w:r>
      <w:r>
        <w:rPr>
          <w:rFonts w:hint="eastAsia" w:ascii="仿宋_GB2312" w:hAnsi="仿宋_GB2312" w:eastAsia="仿宋_GB2312" w:cs="仿宋_GB2312"/>
          <w:color w:val="000000"/>
          <w:kern w:val="0"/>
          <w:sz w:val="24"/>
          <w:szCs w:val="24"/>
          <w:u w:val="single"/>
          <w:lang w:val="en-US" w:eastAsia="zh-CN" w:bidi="ar"/>
        </w:rPr>
        <w:t xml:space="preserve">    年    月    日</w:t>
      </w:r>
      <w:r>
        <w:rPr>
          <w:rFonts w:hint="eastAsia" w:ascii="仿宋_GB2312" w:hAnsi="仿宋_GB2312" w:eastAsia="仿宋_GB2312" w:cs="仿宋_GB2312"/>
          <w:color w:val="000000"/>
          <w:kern w:val="0"/>
          <w:sz w:val="24"/>
          <w:szCs w:val="24"/>
          <w:lang w:val="en-US" w:eastAsia="zh-CN" w:bidi="ar"/>
        </w:rPr>
        <w:t xml:space="preserve"> </w:t>
      </w:r>
    </w:p>
    <w:p w14:paraId="6BA203B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lang w:val="en-US" w:eastAsia="zh-CN" w:bidi="ar"/>
        </w:rPr>
      </w:pPr>
    </w:p>
    <w:p w14:paraId="3D749B7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说明：本协议仅在投标人“为落实政府采购政策”而向中小企业分包时必须提供，否则投标无效；且投标人须与所有拟分包单位分别签订《分包意向协议》，每单位签订一份，并在投标文件中提交全部协议原件的电子件，否则投标无效。</w:t>
      </w:r>
    </w:p>
    <w:p w14:paraId="3B03D186">
      <w:pP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br w:type="page"/>
      </w:r>
    </w:p>
    <w:p w14:paraId="1B50D0AE">
      <w:pPr>
        <w:keepNext w:val="0"/>
        <w:keepLines w:val="0"/>
        <w:widowControl/>
        <w:suppressLineNumbers w:val="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2-3 其它落实政府采购政策的资格要求（如有）</w:t>
      </w:r>
    </w:p>
    <w:p w14:paraId="3D68DF75">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color w:val="000000"/>
          <w:kern w:val="0"/>
          <w:sz w:val="24"/>
          <w:szCs w:val="24"/>
          <w:lang w:val="en-US" w:eastAsia="zh-CN" w:bidi="ar"/>
        </w:rPr>
      </w:pPr>
    </w:p>
    <w:p w14:paraId="761B949A">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color w:val="000000"/>
          <w:kern w:val="0"/>
          <w:sz w:val="24"/>
          <w:szCs w:val="24"/>
          <w:lang w:val="en-US" w:eastAsia="zh-CN" w:bidi="ar"/>
        </w:rPr>
      </w:pPr>
    </w:p>
    <w:p w14:paraId="074F4EF9">
      <w:pP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br w:type="page"/>
      </w:r>
    </w:p>
    <w:p w14:paraId="28D58CD3">
      <w:pPr>
        <w:keepNext w:val="0"/>
        <w:keepLines w:val="0"/>
        <w:widowControl/>
        <w:suppressLineNumbers w:val="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3  本项目的特定资格要求（如有） </w:t>
      </w:r>
    </w:p>
    <w:p w14:paraId="369D06D5">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color w:val="000000"/>
          <w:kern w:val="0"/>
          <w:sz w:val="24"/>
          <w:szCs w:val="24"/>
          <w:lang w:val="en-US" w:eastAsia="zh-CN" w:bidi="ar"/>
        </w:rPr>
      </w:pPr>
    </w:p>
    <w:p w14:paraId="48B32D2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投标产品属于医疗器械的，投标人应具有合法的医疗器械经营资格，投标人须提供书面声明和证明材料： </w:t>
      </w:r>
    </w:p>
    <w:p w14:paraId="2507351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rPr>
      </w:pPr>
    </w:p>
    <w:p w14:paraId="5685E60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投标人具有合法的医疗器械经营资格书面声明（格式）</w:t>
      </w:r>
    </w:p>
    <w:p w14:paraId="7CB26C3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4"/>
          <w:szCs w:val="24"/>
        </w:rPr>
      </w:pPr>
    </w:p>
    <w:p w14:paraId="553F1B6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新疆世纪星工程咨询有限公司： </w:t>
      </w:r>
    </w:p>
    <w:p w14:paraId="184C119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我单位参与</w:t>
      </w:r>
      <w:r>
        <w:rPr>
          <w:rFonts w:hint="eastAsia" w:ascii="仿宋_GB2312" w:hAnsi="仿宋_GB2312" w:eastAsia="仿宋_GB2312" w:cs="仿宋_GB2312"/>
          <w:sz w:val="24"/>
          <w:szCs w:val="24"/>
          <w:u w:val="single"/>
          <w:lang w:val="en-US" w:eastAsia="zh-CN"/>
        </w:rPr>
        <w:t xml:space="preserve">        项目（招标编号：       ）</w:t>
      </w:r>
      <w:r>
        <w:rPr>
          <w:rFonts w:hint="eastAsia" w:ascii="仿宋_GB2312" w:hAnsi="仿宋_GB2312" w:eastAsia="仿宋_GB2312" w:cs="仿宋_GB2312"/>
          <w:sz w:val="24"/>
          <w:szCs w:val="24"/>
          <w:lang w:val="en-US" w:eastAsia="zh-CN"/>
        </w:rPr>
        <w:t>第</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包投标的下列产品：</w:t>
      </w:r>
    </w:p>
    <w:p w14:paraId="220128D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u w:val="single"/>
          <w:lang w:val="en-US" w:eastAsia="zh-CN"/>
        </w:rPr>
        <w:t xml:space="preserve"> （投标产品名称）</w:t>
      </w:r>
      <w:r>
        <w:rPr>
          <w:rFonts w:hint="eastAsia" w:ascii="仿宋_GB2312" w:hAnsi="仿宋_GB2312" w:eastAsia="仿宋_GB2312" w:cs="仿宋_GB2312"/>
          <w:sz w:val="24"/>
          <w:szCs w:val="24"/>
          <w:lang w:val="en-US" w:eastAsia="zh-CN"/>
        </w:rPr>
        <w:t>属于医疗器械分类管理中的第</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类医疗器械，对应的医疗器械经营范围为</w:t>
      </w:r>
      <w:r>
        <w:rPr>
          <w:rFonts w:hint="eastAsia" w:ascii="仿宋_GB2312" w:hAnsi="仿宋_GB2312" w:eastAsia="仿宋_GB2312" w:cs="仿宋_GB2312"/>
          <w:sz w:val="24"/>
          <w:szCs w:val="24"/>
          <w:u w:val="single"/>
          <w:lang w:val="en-US" w:eastAsia="zh-CN"/>
        </w:rPr>
        <w:t xml:space="preserve">    （医疗器械管理类别、分类编码及名称）</w:t>
      </w:r>
      <w:r>
        <w:rPr>
          <w:rFonts w:hint="eastAsia" w:ascii="仿宋_GB2312" w:hAnsi="仿宋_GB2312" w:eastAsia="仿宋_GB2312" w:cs="仿宋_GB2312"/>
          <w:sz w:val="24"/>
          <w:szCs w:val="24"/>
          <w:lang w:val="en-US" w:eastAsia="zh-CN"/>
        </w:rPr>
        <w:t>；</w:t>
      </w:r>
    </w:p>
    <w:p w14:paraId="2118FDF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u w:val="single"/>
          <w:lang w:val="en-US" w:eastAsia="zh-CN"/>
        </w:rPr>
        <w:t xml:space="preserve"> （投标产品名称）</w:t>
      </w:r>
      <w:r>
        <w:rPr>
          <w:rFonts w:hint="eastAsia" w:ascii="仿宋_GB2312" w:hAnsi="仿宋_GB2312" w:eastAsia="仿宋_GB2312" w:cs="仿宋_GB2312"/>
          <w:sz w:val="24"/>
          <w:szCs w:val="24"/>
          <w:lang w:val="en-US" w:eastAsia="zh-CN"/>
        </w:rPr>
        <w:t>属于医疗器械分类管理中的第</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类医疗器械，对应的医疗器械经营范围为</w:t>
      </w:r>
      <w:r>
        <w:rPr>
          <w:rFonts w:hint="eastAsia" w:ascii="仿宋_GB2312" w:hAnsi="仿宋_GB2312" w:eastAsia="仿宋_GB2312" w:cs="仿宋_GB2312"/>
          <w:sz w:val="24"/>
          <w:szCs w:val="24"/>
          <w:u w:val="single"/>
          <w:lang w:val="en-US" w:eastAsia="zh-CN"/>
        </w:rPr>
        <w:t xml:space="preserve">    （医疗器械管理类别、分类编码及名称）</w:t>
      </w:r>
      <w:r>
        <w:rPr>
          <w:rFonts w:hint="eastAsia" w:ascii="仿宋_GB2312" w:hAnsi="仿宋_GB2312" w:eastAsia="仿宋_GB2312" w:cs="仿宋_GB2312"/>
          <w:sz w:val="24"/>
          <w:szCs w:val="24"/>
          <w:lang w:val="en-US" w:eastAsia="zh-CN"/>
        </w:rPr>
        <w:t>；</w:t>
      </w:r>
    </w:p>
    <w:p w14:paraId="00BC9C0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p>
    <w:p w14:paraId="1B1C0DD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我单位具有该产品合法的医疗器械经营资格。我单位对上述说明和提供文件的真实性负责，并随声明附上相关证明材料。如有虚假，将依法承担相应责任。</w:t>
      </w:r>
    </w:p>
    <w:p w14:paraId="2276C1E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p>
    <w:p w14:paraId="4355471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p>
    <w:p w14:paraId="1ED5666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lang w:val="en-US" w:eastAsia="zh-CN"/>
        </w:rPr>
        <w:t>投标人名称：</w:t>
      </w:r>
      <w:r>
        <w:rPr>
          <w:rFonts w:hint="eastAsia" w:ascii="仿宋_GB2312" w:hAnsi="仿宋_GB2312" w:eastAsia="仿宋_GB2312" w:cs="仿宋_GB2312"/>
          <w:sz w:val="24"/>
          <w:szCs w:val="24"/>
          <w:u w:val="single"/>
          <w:lang w:val="en-US" w:eastAsia="zh-CN"/>
        </w:rPr>
        <w:t xml:space="preserve">               （加盖单位公章）</w:t>
      </w:r>
    </w:p>
    <w:p w14:paraId="2D35868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法定代表人或授权代表：</w:t>
      </w:r>
      <w:r>
        <w:rPr>
          <w:rFonts w:hint="eastAsia" w:ascii="仿宋_GB2312" w:hAnsi="仿宋_GB2312" w:eastAsia="仿宋_GB2312" w:cs="仿宋_GB2312"/>
          <w:sz w:val="24"/>
          <w:szCs w:val="24"/>
          <w:u w:val="single"/>
          <w:lang w:val="en-US" w:eastAsia="zh-CN"/>
        </w:rPr>
        <w:t xml:space="preserve">             （签字）</w:t>
      </w:r>
    </w:p>
    <w:p w14:paraId="1C1C6C5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日期：</w:t>
      </w:r>
    </w:p>
    <w:p w14:paraId="27C22B6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b w:val="0"/>
          <w:bCs w:val="0"/>
          <w:color w:val="000000"/>
          <w:kern w:val="0"/>
          <w:sz w:val="24"/>
          <w:szCs w:val="24"/>
          <w:lang w:val="en-US" w:eastAsia="zh-CN" w:bidi="ar"/>
        </w:rPr>
      </w:pPr>
    </w:p>
    <w:p w14:paraId="4F98147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b w:val="0"/>
          <w:bCs w:val="0"/>
          <w:color w:val="000000"/>
          <w:kern w:val="0"/>
          <w:sz w:val="24"/>
          <w:szCs w:val="24"/>
          <w:lang w:val="en-US" w:eastAsia="zh-CN" w:bidi="ar"/>
        </w:rPr>
      </w:pPr>
    </w:p>
    <w:p w14:paraId="2B4B00F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注：投标人如为代理商，所投产品属第二类医疗器械的应具有医疗器械经营备案凭证，属第三类医疗器械的应具有医疗器械经营许可证，须提供相关证明文件复印件；投标人如为制造商，使用自身生产的产品投标时，所投产品属第一类医疗器械的应具有医疗器械生产备案凭证，属第二类、第三类医疗器械的应具有医疗器械生产许可证，须提供相关证明文件复印件。</w:t>
      </w:r>
      <w:r>
        <w:rPr>
          <w:rFonts w:hint="eastAsia" w:ascii="仿宋_GB2312" w:hAnsi="仿宋_GB2312" w:eastAsia="仿宋_GB2312" w:cs="仿宋_GB2312"/>
          <w:b w:val="0"/>
          <w:bCs w:val="0"/>
          <w:color w:val="000000"/>
          <w:kern w:val="0"/>
          <w:sz w:val="24"/>
          <w:szCs w:val="24"/>
          <w:lang w:val="en-US" w:eastAsia="zh-CN" w:bidi="ar"/>
        </w:rPr>
        <w:br w:type="page"/>
      </w:r>
    </w:p>
    <w:p w14:paraId="0A93A955">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color w:val="000000"/>
          <w:kern w:val="0"/>
          <w:sz w:val="24"/>
          <w:szCs w:val="24"/>
          <w:lang w:val="en-US" w:eastAsia="zh-CN" w:bidi="ar"/>
        </w:rPr>
      </w:pPr>
    </w:p>
    <w:p w14:paraId="45C8E18A">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color w:val="000000"/>
          <w:kern w:val="0"/>
          <w:sz w:val="24"/>
          <w:szCs w:val="24"/>
          <w:lang w:val="en-US" w:eastAsia="zh-CN" w:bidi="ar"/>
        </w:rPr>
      </w:pPr>
    </w:p>
    <w:p w14:paraId="7BA18489">
      <w:pPr>
        <w:keepNext w:val="0"/>
        <w:keepLines w:val="0"/>
        <w:widowControl/>
        <w:suppressLineNumbers w:val="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4  投标保证金凭证/交款单据电子件</w:t>
      </w:r>
    </w:p>
    <w:p w14:paraId="532A6122">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color w:val="000000"/>
          <w:kern w:val="0"/>
          <w:sz w:val="24"/>
          <w:szCs w:val="24"/>
          <w:lang w:val="en-US" w:eastAsia="zh-CN" w:bidi="ar"/>
        </w:rPr>
      </w:pPr>
    </w:p>
    <w:p w14:paraId="4E036023">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color w:val="000000"/>
          <w:kern w:val="0"/>
          <w:sz w:val="24"/>
          <w:szCs w:val="24"/>
          <w:lang w:val="en-US" w:eastAsia="zh-CN" w:bidi="ar"/>
        </w:rPr>
      </w:pPr>
    </w:p>
    <w:p w14:paraId="5913174E">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color w:val="000000"/>
          <w:kern w:val="0"/>
          <w:sz w:val="24"/>
          <w:szCs w:val="24"/>
          <w:lang w:val="en-US" w:eastAsia="zh-CN" w:bidi="ar"/>
        </w:rPr>
      </w:pPr>
    </w:p>
    <w:p w14:paraId="4497E5C0">
      <w:pP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br w:type="page"/>
      </w:r>
    </w:p>
    <w:p w14:paraId="67FB5B1F">
      <w:pPr>
        <w:keepNext w:val="0"/>
        <w:keepLines w:val="0"/>
        <w:widowControl/>
        <w:suppressLineNumbers w:val="0"/>
        <w:jc w:val="left"/>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lang w:val="en-US" w:eastAsia="zh-CN" w:bidi="ar"/>
        </w:rPr>
        <w:t xml:space="preserve">5  投标书 </w:t>
      </w:r>
    </w:p>
    <w:p w14:paraId="7D00880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color w:val="000000"/>
          <w:kern w:val="0"/>
          <w:sz w:val="32"/>
          <w:szCs w:val="32"/>
          <w:lang w:val="en-US" w:eastAsia="zh-CN" w:bidi="ar"/>
        </w:rPr>
      </w:pPr>
    </w:p>
    <w:p w14:paraId="06A26CC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投标书</w:t>
      </w:r>
    </w:p>
    <w:p w14:paraId="4D21000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lang w:val="en-US" w:eastAsia="zh-CN" w:bidi="ar"/>
        </w:rPr>
      </w:pPr>
    </w:p>
    <w:p w14:paraId="6F8DF7E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致：</w:t>
      </w:r>
      <w:r>
        <w:rPr>
          <w:rFonts w:hint="eastAsia" w:ascii="仿宋_GB2312" w:hAnsi="仿宋_GB2312" w:eastAsia="仿宋_GB2312" w:cs="仿宋_GB2312"/>
          <w:color w:val="000000"/>
          <w:kern w:val="0"/>
          <w:sz w:val="24"/>
          <w:szCs w:val="24"/>
          <w:u w:val="single"/>
          <w:lang w:val="en-US" w:eastAsia="zh-CN" w:bidi="ar"/>
        </w:rPr>
        <w:t>（采购人或采购代理机构）</w:t>
      </w:r>
      <w:r>
        <w:rPr>
          <w:rFonts w:hint="eastAsia" w:ascii="仿宋_GB2312" w:hAnsi="仿宋_GB2312" w:eastAsia="仿宋_GB2312" w:cs="仿宋_GB2312"/>
          <w:color w:val="000000"/>
          <w:kern w:val="0"/>
          <w:sz w:val="24"/>
          <w:szCs w:val="24"/>
          <w:lang w:val="en-US" w:eastAsia="zh-CN" w:bidi="ar"/>
        </w:rPr>
        <w:t xml:space="preserve"> </w:t>
      </w:r>
    </w:p>
    <w:p w14:paraId="1FCB46A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我方参加你方就</w:t>
      </w:r>
      <w:r>
        <w:rPr>
          <w:rFonts w:hint="eastAsia" w:ascii="仿宋_GB2312" w:hAnsi="仿宋_GB2312" w:eastAsia="仿宋_GB2312" w:cs="仿宋_GB2312"/>
          <w:color w:val="000000"/>
          <w:kern w:val="0"/>
          <w:sz w:val="24"/>
          <w:szCs w:val="24"/>
          <w:u w:val="single"/>
          <w:lang w:val="en-US" w:eastAsia="zh-CN" w:bidi="ar"/>
        </w:rPr>
        <w:t>（项目名称，项目编号/包号）</w:t>
      </w:r>
      <w:r>
        <w:rPr>
          <w:rFonts w:hint="eastAsia" w:ascii="仿宋_GB2312" w:hAnsi="仿宋_GB2312" w:eastAsia="仿宋_GB2312" w:cs="仿宋_GB2312"/>
          <w:color w:val="000000"/>
          <w:kern w:val="0"/>
          <w:sz w:val="24"/>
          <w:szCs w:val="24"/>
          <w:lang w:val="en-US" w:eastAsia="zh-CN" w:bidi="ar"/>
        </w:rPr>
        <w:t xml:space="preserve">组织的招标活动，并对此项目进行投标。 </w:t>
      </w:r>
    </w:p>
    <w:p w14:paraId="0FF7021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_GB2312" w:hAnsi="仿宋_GB2312" w:eastAsia="仿宋_GB2312" w:cs="仿宋_GB2312"/>
          <w:sz w:val="24"/>
          <w:szCs w:val="24"/>
        </w:rPr>
      </w:pPr>
      <w:bookmarkStart w:id="38" w:name="_Toc30504"/>
      <w:r>
        <w:rPr>
          <w:rFonts w:hint="eastAsia" w:ascii="仿宋_GB2312" w:hAnsi="仿宋_GB2312" w:eastAsia="仿宋_GB2312" w:cs="仿宋_GB2312"/>
          <w:color w:val="000000"/>
          <w:kern w:val="0"/>
          <w:sz w:val="24"/>
          <w:szCs w:val="24"/>
          <w:lang w:val="en-US" w:eastAsia="zh-CN" w:bidi="ar"/>
        </w:rPr>
        <w:t>1. 我方已详细审查全部招标文件，自愿参与投标并承诺如下：</w:t>
      </w:r>
      <w:bookmarkEnd w:id="38"/>
      <w:r>
        <w:rPr>
          <w:rFonts w:hint="eastAsia" w:ascii="仿宋_GB2312" w:hAnsi="仿宋_GB2312" w:eastAsia="仿宋_GB2312" w:cs="仿宋_GB2312"/>
          <w:color w:val="000000"/>
          <w:kern w:val="0"/>
          <w:sz w:val="24"/>
          <w:szCs w:val="24"/>
          <w:lang w:val="en-US" w:eastAsia="zh-CN" w:bidi="ar"/>
        </w:rPr>
        <w:t xml:space="preserve"> </w:t>
      </w:r>
    </w:p>
    <w:p w14:paraId="74F3132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（1）本投标有效期为自提交投标文件的截止之日起</w:t>
      </w:r>
      <w:r>
        <w:rPr>
          <w:rFonts w:hint="eastAsia" w:ascii="仿宋_GB2312" w:hAnsi="仿宋_GB2312" w:eastAsia="仿宋_GB2312" w:cs="仿宋_GB2312"/>
          <w:color w:val="000000"/>
          <w:kern w:val="0"/>
          <w:sz w:val="24"/>
          <w:szCs w:val="24"/>
          <w:u w:val="single"/>
          <w:lang w:val="en-US" w:eastAsia="zh-CN" w:bidi="ar"/>
        </w:rPr>
        <w:t xml:space="preserve">     </w:t>
      </w:r>
      <w:r>
        <w:rPr>
          <w:rFonts w:hint="eastAsia" w:ascii="仿宋_GB2312" w:hAnsi="仿宋_GB2312" w:eastAsia="仿宋_GB2312" w:cs="仿宋_GB2312"/>
          <w:color w:val="000000"/>
          <w:kern w:val="0"/>
          <w:sz w:val="24"/>
          <w:szCs w:val="24"/>
          <w:lang w:val="en-US" w:eastAsia="zh-CN" w:bidi="ar"/>
        </w:rPr>
        <w:t xml:space="preserve">个日历日。 </w:t>
      </w:r>
    </w:p>
    <w:p w14:paraId="40C6D94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（2）除合同条款及采购需求偏离表列出的偏离外，我方响应招标文件的全部要求。 </w:t>
      </w:r>
    </w:p>
    <w:p w14:paraId="31F29E6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（3）我方已提供的全部文件资料是真实、准确的，并对此承担一切法律后果。 </w:t>
      </w:r>
    </w:p>
    <w:p w14:paraId="479814B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（4）如我方中标，我方将在法律规定的期限内与你方签订合同，按照招标文件要求提交履约保证金，并在合同约定的期限内完成合同规定的全部义务。 </w:t>
      </w:r>
    </w:p>
    <w:p w14:paraId="13F9F3D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_GB2312" w:hAnsi="仿宋_GB2312" w:eastAsia="仿宋_GB2312" w:cs="仿宋_GB2312"/>
          <w:sz w:val="24"/>
          <w:szCs w:val="24"/>
        </w:rPr>
      </w:pPr>
      <w:bookmarkStart w:id="39" w:name="_Toc24785"/>
      <w:r>
        <w:rPr>
          <w:rFonts w:hint="eastAsia" w:ascii="仿宋_GB2312" w:hAnsi="仿宋_GB2312" w:eastAsia="仿宋_GB2312" w:cs="仿宋_GB2312"/>
          <w:color w:val="000000"/>
          <w:kern w:val="0"/>
          <w:sz w:val="24"/>
          <w:szCs w:val="24"/>
          <w:lang w:val="en-US" w:eastAsia="zh-CN" w:bidi="ar"/>
        </w:rPr>
        <w:t>2. 其他补充条款（如有）：</w:t>
      </w:r>
      <w:r>
        <w:rPr>
          <w:rFonts w:hint="eastAsia" w:ascii="仿宋_GB2312" w:hAnsi="仿宋_GB2312" w:eastAsia="仿宋_GB2312" w:cs="仿宋_GB2312"/>
          <w:color w:val="000000"/>
          <w:kern w:val="0"/>
          <w:sz w:val="24"/>
          <w:szCs w:val="24"/>
          <w:u w:val="single"/>
          <w:lang w:val="en-US" w:eastAsia="zh-CN" w:bidi="ar"/>
        </w:rPr>
        <w:t xml:space="preserve">          </w:t>
      </w:r>
      <w:r>
        <w:rPr>
          <w:rFonts w:hint="eastAsia" w:ascii="仿宋_GB2312" w:hAnsi="仿宋_GB2312" w:eastAsia="仿宋_GB2312" w:cs="仿宋_GB2312"/>
          <w:color w:val="000000"/>
          <w:kern w:val="0"/>
          <w:sz w:val="24"/>
          <w:szCs w:val="24"/>
          <w:lang w:val="en-US" w:eastAsia="zh-CN" w:bidi="ar"/>
        </w:rPr>
        <w:t>。</w:t>
      </w:r>
      <w:bookmarkEnd w:id="39"/>
      <w:r>
        <w:rPr>
          <w:rFonts w:hint="eastAsia" w:ascii="仿宋_GB2312" w:hAnsi="仿宋_GB2312" w:eastAsia="仿宋_GB2312" w:cs="仿宋_GB2312"/>
          <w:color w:val="000000"/>
          <w:kern w:val="0"/>
          <w:sz w:val="24"/>
          <w:szCs w:val="24"/>
          <w:lang w:val="en-US" w:eastAsia="zh-CN" w:bidi="ar"/>
        </w:rPr>
        <w:t xml:space="preserve"> </w:t>
      </w:r>
    </w:p>
    <w:p w14:paraId="3E7B051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与本投标有关的一切正式往来信函请寄： </w:t>
      </w:r>
    </w:p>
    <w:p w14:paraId="4A928DA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地址</w:t>
      </w:r>
      <w:r>
        <w:rPr>
          <w:rFonts w:hint="eastAsia" w:ascii="仿宋_GB2312" w:hAnsi="仿宋_GB2312" w:eastAsia="仿宋_GB2312" w:cs="仿宋_GB2312"/>
          <w:color w:val="000000"/>
          <w:kern w:val="0"/>
          <w:sz w:val="24"/>
          <w:szCs w:val="24"/>
          <w:u w:val="single"/>
          <w:lang w:val="en-US" w:eastAsia="zh-CN" w:bidi="ar"/>
        </w:rPr>
        <w:t xml:space="preserve">                         </w:t>
      </w:r>
      <w:r>
        <w:rPr>
          <w:rFonts w:hint="eastAsia" w:ascii="仿宋_GB2312" w:hAnsi="仿宋_GB2312" w:eastAsia="仿宋_GB2312" w:cs="仿宋_GB2312"/>
          <w:color w:val="000000"/>
          <w:kern w:val="0"/>
          <w:sz w:val="24"/>
          <w:szCs w:val="24"/>
          <w:lang w:val="en-US" w:eastAsia="zh-CN" w:bidi="ar"/>
        </w:rPr>
        <w:t xml:space="preserve"> 传真</w:t>
      </w:r>
      <w:r>
        <w:rPr>
          <w:rFonts w:hint="eastAsia" w:ascii="仿宋_GB2312" w:hAnsi="仿宋_GB2312" w:eastAsia="仿宋_GB2312" w:cs="仿宋_GB2312"/>
          <w:color w:val="000000"/>
          <w:kern w:val="0"/>
          <w:sz w:val="24"/>
          <w:szCs w:val="24"/>
          <w:u w:val="single"/>
          <w:lang w:val="en-US" w:eastAsia="zh-CN" w:bidi="ar"/>
        </w:rPr>
        <w:t xml:space="preserve">                           </w:t>
      </w:r>
      <w:r>
        <w:rPr>
          <w:rFonts w:hint="eastAsia" w:ascii="仿宋_GB2312" w:hAnsi="仿宋_GB2312" w:eastAsia="仿宋_GB2312" w:cs="仿宋_GB2312"/>
          <w:color w:val="000000"/>
          <w:kern w:val="0"/>
          <w:sz w:val="24"/>
          <w:szCs w:val="24"/>
          <w:lang w:val="en-US" w:eastAsia="zh-CN" w:bidi="ar"/>
        </w:rPr>
        <w:t xml:space="preserve"> </w:t>
      </w:r>
    </w:p>
    <w:p w14:paraId="52B62EE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电话</w:t>
      </w:r>
      <w:r>
        <w:rPr>
          <w:rFonts w:hint="eastAsia" w:ascii="仿宋_GB2312" w:hAnsi="仿宋_GB2312" w:eastAsia="仿宋_GB2312" w:cs="仿宋_GB2312"/>
          <w:color w:val="000000"/>
          <w:kern w:val="0"/>
          <w:sz w:val="24"/>
          <w:szCs w:val="24"/>
          <w:u w:val="single"/>
          <w:lang w:val="en-US" w:eastAsia="zh-CN" w:bidi="ar"/>
        </w:rPr>
        <w:t xml:space="preserve">                          </w:t>
      </w:r>
      <w:r>
        <w:rPr>
          <w:rFonts w:hint="eastAsia" w:ascii="仿宋_GB2312" w:hAnsi="仿宋_GB2312" w:eastAsia="仿宋_GB2312" w:cs="仿宋_GB2312"/>
          <w:color w:val="000000"/>
          <w:kern w:val="0"/>
          <w:sz w:val="24"/>
          <w:szCs w:val="24"/>
          <w:lang w:val="en-US" w:eastAsia="zh-CN" w:bidi="ar"/>
        </w:rPr>
        <w:t>电子函件</w:t>
      </w:r>
      <w:r>
        <w:rPr>
          <w:rFonts w:hint="eastAsia" w:ascii="仿宋_GB2312" w:hAnsi="仿宋_GB2312" w:eastAsia="仿宋_GB2312" w:cs="仿宋_GB2312"/>
          <w:color w:val="000000"/>
          <w:kern w:val="0"/>
          <w:sz w:val="24"/>
          <w:szCs w:val="24"/>
          <w:u w:val="single"/>
          <w:lang w:val="en-US" w:eastAsia="zh-CN" w:bidi="ar"/>
        </w:rPr>
        <w:t xml:space="preserve">                       </w:t>
      </w:r>
      <w:r>
        <w:rPr>
          <w:rFonts w:hint="eastAsia" w:ascii="仿宋_GB2312" w:hAnsi="仿宋_GB2312" w:eastAsia="仿宋_GB2312" w:cs="仿宋_GB2312"/>
          <w:color w:val="000000"/>
          <w:kern w:val="0"/>
          <w:sz w:val="24"/>
          <w:szCs w:val="24"/>
          <w:lang w:val="en-US" w:eastAsia="zh-CN" w:bidi="ar"/>
        </w:rPr>
        <w:t xml:space="preserve"> </w:t>
      </w:r>
    </w:p>
    <w:p w14:paraId="001C477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投标人名称（加盖公章） </w:t>
      </w:r>
      <w:r>
        <w:rPr>
          <w:rFonts w:hint="eastAsia" w:ascii="仿宋_GB2312" w:hAnsi="仿宋_GB2312" w:eastAsia="仿宋_GB2312" w:cs="仿宋_GB2312"/>
          <w:color w:val="000000"/>
          <w:kern w:val="0"/>
          <w:sz w:val="24"/>
          <w:szCs w:val="24"/>
          <w:u w:val="single"/>
          <w:lang w:val="en-US" w:eastAsia="zh-CN" w:bidi="ar"/>
        </w:rPr>
        <w:t xml:space="preserve">              </w:t>
      </w:r>
      <w:r>
        <w:rPr>
          <w:rFonts w:hint="eastAsia" w:ascii="仿宋_GB2312" w:hAnsi="仿宋_GB2312" w:eastAsia="仿宋_GB2312" w:cs="仿宋_GB2312"/>
          <w:color w:val="000000"/>
          <w:kern w:val="0"/>
          <w:sz w:val="24"/>
          <w:szCs w:val="24"/>
          <w:lang w:val="en-US" w:eastAsia="zh-CN" w:bidi="ar"/>
        </w:rPr>
        <w:t xml:space="preserve"> </w:t>
      </w:r>
    </w:p>
    <w:p w14:paraId="70E3DE1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日期：</w:t>
      </w:r>
      <w:r>
        <w:rPr>
          <w:rFonts w:hint="eastAsia" w:ascii="仿宋_GB2312" w:hAnsi="仿宋_GB2312" w:eastAsia="仿宋_GB2312" w:cs="仿宋_GB2312"/>
          <w:color w:val="000000"/>
          <w:kern w:val="0"/>
          <w:sz w:val="24"/>
          <w:szCs w:val="24"/>
          <w:u w:val="single"/>
          <w:lang w:val="en-US" w:eastAsia="zh-CN" w:bidi="ar"/>
        </w:rPr>
        <w:t xml:space="preserve">     年     月    日</w:t>
      </w:r>
    </w:p>
    <w:p w14:paraId="7A5E52F9">
      <w:pP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br w:type="page"/>
      </w:r>
    </w:p>
    <w:p w14:paraId="0E38742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_GB2312" w:hAnsi="仿宋_GB2312" w:eastAsia="仿宋_GB2312" w:cs="仿宋_GB2312"/>
          <w:sz w:val="24"/>
          <w:szCs w:val="24"/>
        </w:rPr>
      </w:pPr>
      <w:bookmarkStart w:id="40" w:name="_Toc6076"/>
      <w:r>
        <w:rPr>
          <w:rFonts w:hint="eastAsia" w:ascii="仿宋_GB2312" w:hAnsi="仿宋_GB2312" w:eastAsia="仿宋_GB2312" w:cs="仿宋_GB2312"/>
          <w:color w:val="000000"/>
          <w:kern w:val="0"/>
          <w:sz w:val="24"/>
          <w:szCs w:val="24"/>
          <w:lang w:val="en-US" w:eastAsia="zh-CN" w:bidi="ar"/>
        </w:rPr>
        <w:t>6  授权委托书</w:t>
      </w:r>
      <w:bookmarkEnd w:id="40"/>
      <w:r>
        <w:rPr>
          <w:rFonts w:hint="eastAsia" w:ascii="仿宋_GB2312" w:hAnsi="仿宋_GB2312" w:eastAsia="仿宋_GB2312" w:cs="仿宋_GB2312"/>
          <w:color w:val="000000"/>
          <w:kern w:val="0"/>
          <w:sz w:val="24"/>
          <w:szCs w:val="24"/>
          <w:lang w:val="en-US" w:eastAsia="zh-CN" w:bidi="ar"/>
        </w:rPr>
        <w:t xml:space="preserve"> </w:t>
      </w:r>
    </w:p>
    <w:p w14:paraId="59CC15EE">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bCs/>
          <w:color w:val="000000"/>
          <w:kern w:val="0"/>
          <w:sz w:val="32"/>
          <w:szCs w:val="32"/>
          <w:lang w:val="en-US" w:eastAsia="zh-CN" w:bidi="ar"/>
        </w:rPr>
      </w:pPr>
    </w:p>
    <w:p w14:paraId="175D392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授权委托书</w:t>
      </w:r>
    </w:p>
    <w:p w14:paraId="27E93E4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color w:val="000000"/>
          <w:kern w:val="0"/>
          <w:sz w:val="32"/>
          <w:szCs w:val="32"/>
          <w:lang w:val="en-US" w:eastAsia="zh-CN" w:bidi="ar"/>
        </w:rPr>
      </w:pPr>
    </w:p>
    <w:p w14:paraId="0B8C68E3">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本人</w:t>
      </w:r>
      <w:r>
        <w:rPr>
          <w:rFonts w:hint="eastAsia" w:ascii="仿宋_GB2312" w:hAnsi="仿宋_GB2312" w:eastAsia="仿宋_GB2312" w:cs="仿宋_GB2312"/>
          <w:color w:val="000000"/>
          <w:kern w:val="0"/>
          <w:sz w:val="24"/>
          <w:szCs w:val="24"/>
          <w:u w:val="single"/>
          <w:lang w:val="en-US" w:eastAsia="zh-CN" w:bidi="ar"/>
        </w:rPr>
        <w:t xml:space="preserve">      </w:t>
      </w:r>
      <w:r>
        <w:rPr>
          <w:rFonts w:hint="eastAsia" w:ascii="仿宋_GB2312" w:hAnsi="仿宋_GB2312" w:eastAsia="仿宋_GB2312" w:cs="仿宋_GB2312"/>
          <w:color w:val="000000"/>
          <w:kern w:val="0"/>
          <w:sz w:val="24"/>
          <w:szCs w:val="24"/>
          <w:lang w:val="en-US" w:eastAsia="zh-CN" w:bidi="ar"/>
        </w:rPr>
        <w:t>（姓名）系</w:t>
      </w:r>
      <w:r>
        <w:rPr>
          <w:rFonts w:hint="eastAsia" w:ascii="仿宋_GB2312" w:hAnsi="仿宋_GB2312" w:eastAsia="仿宋_GB2312" w:cs="仿宋_GB2312"/>
          <w:color w:val="000000"/>
          <w:kern w:val="0"/>
          <w:sz w:val="24"/>
          <w:szCs w:val="24"/>
          <w:u w:val="single"/>
          <w:lang w:val="en-US" w:eastAsia="zh-CN" w:bidi="ar"/>
        </w:rPr>
        <w:t xml:space="preserve">        </w:t>
      </w:r>
      <w:r>
        <w:rPr>
          <w:rFonts w:hint="eastAsia" w:ascii="仿宋_GB2312" w:hAnsi="仿宋_GB2312" w:eastAsia="仿宋_GB2312" w:cs="仿宋_GB2312"/>
          <w:color w:val="000000"/>
          <w:kern w:val="0"/>
          <w:sz w:val="24"/>
          <w:szCs w:val="24"/>
          <w:lang w:val="en-US" w:eastAsia="zh-CN" w:bidi="ar"/>
        </w:rPr>
        <w:t>（投标人名称）的法定代表人（单位负责人），现委托</w:t>
      </w:r>
      <w:r>
        <w:rPr>
          <w:rFonts w:hint="eastAsia" w:ascii="仿宋_GB2312" w:hAnsi="仿宋_GB2312" w:eastAsia="仿宋_GB2312" w:cs="仿宋_GB2312"/>
          <w:color w:val="000000"/>
          <w:kern w:val="0"/>
          <w:sz w:val="24"/>
          <w:szCs w:val="24"/>
          <w:u w:val="single"/>
          <w:lang w:val="en-US" w:eastAsia="zh-CN" w:bidi="ar"/>
        </w:rPr>
        <w:t xml:space="preserve">      </w:t>
      </w:r>
      <w:r>
        <w:rPr>
          <w:rFonts w:hint="eastAsia" w:ascii="仿宋_GB2312" w:hAnsi="仿宋_GB2312" w:eastAsia="仿宋_GB2312" w:cs="仿宋_GB2312"/>
          <w:color w:val="000000"/>
          <w:kern w:val="0"/>
          <w:sz w:val="24"/>
          <w:szCs w:val="24"/>
          <w:lang w:val="en-US" w:eastAsia="zh-CN" w:bidi="ar"/>
        </w:rPr>
        <w:t>（姓名）为我方代理人。代理人根据授权，以我方名义签署、澄清确认、递交、撤回、修改</w:t>
      </w:r>
      <w:r>
        <w:rPr>
          <w:rFonts w:hint="eastAsia" w:ascii="仿宋_GB2312" w:hAnsi="仿宋_GB2312" w:eastAsia="仿宋_GB2312" w:cs="仿宋_GB2312"/>
          <w:color w:val="000000"/>
          <w:kern w:val="0"/>
          <w:sz w:val="24"/>
          <w:szCs w:val="24"/>
          <w:u w:val="single"/>
          <w:lang w:val="en-US" w:eastAsia="zh-CN" w:bidi="ar"/>
        </w:rPr>
        <w:t xml:space="preserve">           （项目名称）</w:t>
      </w:r>
      <w:r>
        <w:rPr>
          <w:rFonts w:hint="eastAsia" w:ascii="仿宋_GB2312" w:hAnsi="仿宋_GB2312" w:eastAsia="仿宋_GB2312" w:cs="仿宋_GB2312"/>
          <w:color w:val="000000"/>
          <w:kern w:val="0"/>
          <w:sz w:val="24"/>
          <w:szCs w:val="24"/>
          <w:lang w:val="en-US" w:eastAsia="zh-CN" w:bidi="ar"/>
        </w:rPr>
        <w:t xml:space="preserve">投标文件和处理有关事宜，其法律后果由我方承担。 </w:t>
      </w:r>
    </w:p>
    <w:p w14:paraId="3E70F3F0">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委托期限：自本授权委托书签署之日起至响应有效期届满之日止。 </w:t>
      </w:r>
    </w:p>
    <w:p w14:paraId="0F5EF4AD">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代理人无转委托权。 </w:t>
      </w:r>
    </w:p>
    <w:p w14:paraId="020DCBC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lang w:val="en-US" w:eastAsia="zh-CN" w:bidi="ar"/>
        </w:rPr>
      </w:pPr>
    </w:p>
    <w:p w14:paraId="738040E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投标人名称（加盖公章）：</w:t>
      </w:r>
      <w:r>
        <w:rPr>
          <w:rFonts w:hint="eastAsia" w:ascii="仿宋_GB2312" w:hAnsi="仿宋_GB2312" w:eastAsia="仿宋_GB2312" w:cs="仿宋_GB2312"/>
          <w:color w:val="000000"/>
          <w:kern w:val="0"/>
          <w:sz w:val="24"/>
          <w:szCs w:val="24"/>
          <w:u w:val="single"/>
          <w:lang w:val="en-US" w:eastAsia="zh-CN" w:bidi="ar"/>
        </w:rPr>
        <w:t xml:space="preserve">               </w:t>
      </w:r>
      <w:r>
        <w:rPr>
          <w:rFonts w:hint="eastAsia" w:ascii="仿宋_GB2312" w:hAnsi="仿宋_GB2312" w:eastAsia="仿宋_GB2312" w:cs="仿宋_GB2312"/>
          <w:color w:val="000000"/>
          <w:kern w:val="0"/>
          <w:sz w:val="24"/>
          <w:szCs w:val="24"/>
          <w:lang w:val="en-US" w:eastAsia="zh-CN" w:bidi="ar"/>
        </w:rPr>
        <w:t xml:space="preserve"> </w:t>
      </w:r>
    </w:p>
    <w:p w14:paraId="5743399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法定代表人（单位负责人）（签字或印鉴）：</w:t>
      </w:r>
      <w:r>
        <w:rPr>
          <w:rFonts w:hint="eastAsia" w:ascii="仿宋_GB2312" w:hAnsi="仿宋_GB2312" w:eastAsia="仿宋_GB2312" w:cs="仿宋_GB2312"/>
          <w:color w:val="000000"/>
          <w:kern w:val="0"/>
          <w:sz w:val="24"/>
          <w:szCs w:val="24"/>
          <w:u w:val="single"/>
          <w:lang w:val="en-US" w:eastAsia="zh-CN" w:bidi="ar"/>
        </w:rPr>
        <w:t xml:space="preserve">            </w:t>
      </w:r>
      <w:r>
        <w:rPr>
          <w:rFonts w:hint="eastAsia" w:ascii="仿宋_GB2312" w:hAnsi="仿宋_GB2312" w:eastAsia="仿宋_GB2312" w:cs="仿宋_GB2312"/>
          <w:color w:val="000000"/>
          <w:kern w:val="0"/>
          <w:sz w:val="24"/>
          <w:szCs w:val="24"/>
          <w:lang w:val="en-US" w:eastAsia="zh-CN" w:bidi="ar"/>
        </w:rPr>
        <w:t xml:space="preserve"> </w:t>
      </w:r>
    </w:p>
    <w:p w14:paraId="20F675A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委托代理人（签字或印鉴）：</w:t>
      </w:r>
      <w:r>
        <w:rPr>
          <w:rFonts w:hint="eastAsia" w:ascii="仿宋_GB2312" w:hAnsi="仿宋_GB2312" w:eastAsia="仿宋_GB2312" w:cs="仿宋_GB2312"/>
          <w:color w:val="000000"/>
          <w:kern w:val="0"/>
          <w:sz w:val="24"/>
          <w:szCs w:val="24"/>
          <w:u w:val="single"/>
          <w:lang w:val="en-US" w:eastAsia="zh-CN" w:bidi="ar"/>
        </w:rPr>
        <w:t xml:space="preserve">              </w:t>
      </w:r>
      <w:r>
        <w:rPr>
          <w:rFonts w:hint="eastAsia" w:ascii="仿宋_GB2312" w:hAnsi="仿宋_GB2312" w:eastAsia="仿宋_GB2312" w:cs="仿宋_GB2312"/>
          <w:color w:val="000000"/>
          <w:kern w:val="0"/>
          <w:sz w:val="24"/>
          <w:szCs w:val="24"/>
          <w:lang w:val="en-US" w:eastAsia="zh-CN" w:bidi="ar"/>
        </w:rPr>
        <w:t xml:space="preserve"> </w:t>
      </w:r>
    </w:p>
    <w:p w14:paraId="0CB3788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日期：</w:t>
      </w:r>
      <w:r>
        <w:rPr>
          <w:rFonts w:hint="eastAsia" w:ascii="仿宋_GB2312" w:hAnsi="仿宋_GB2312" w:eastAsia="仿宋_GB2312" w:cs="仿宋_GB2312"/>
          <w:color w:val="000000"/>
          <w:kern w:val="0"/>
          <w:sz w:val="24"/>
          <w:szCs w:val="24"/>
          <w:u w:val="single"/>
          <w:lang w:val="en-US" w:eastAsia="zh-CN" w:bidi="ar"/>
        </w:rPr>
        <w:t xml:space="preserve">   年    月    日</w:t>
      </w:r>
      <w:r>
        <w:rPr>
          <w:rFonts w:hint="eastAsia" w:ascii="仿宋_GB2312" w:hAnsi="仿宋_GB2312" w:eastAsia="仿宋_GB2312" w:cs="仿宋_GB2312"/>
          <w:color w:val="000000"/>
          <w:kern w:val="0"/>
          <w:sz w:val="24"/>
          <w:szCs w:val="24"/>
          <w:lang w:val="en-US" w:eastAsia="zh-CN" w:bidi="ar"/>
        </w:rPr>
        <w:t xml:space="preserve"> </w:t>
      </w:r>
    </w:p>
    <w:p w14:paraId="6461B10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lang w:val="en-US" w:eastAsia="zh-CN" w:bidi="ar"/>
        </w:rPr>
      </w:pPr>
    </w:p>
    <w:p w14:paraId="50D2267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法定代表人（单位负责人）有效期内的身份证</w:t>
      </w:r>
      <w:r>
        <w:rPr>
          <w:rFonts w:hint="eastAsia" w:ascii="仿宋_GB2312" w:hAnsi="仿宋_GB2312" w:eastAsia="仿宋_GB2312" w:cs="仿宋_GB2312"/>
          <w:b/>
          <w:bCs/>
          <w:color w:val="000000"/>
          <w:kern w:val="0"/>
          <w:sz w:val="24"/>
          <w:szCs w:val="24"/>
          <w:lang w:val="en-US" w:eastAsia="zh-CN" w:bidi="ar"/>
        </w:rPr>
        <w:t>正反面</w:t>
      </w:r>
      <w:r>
        <w:rPr>
          <w:rFonts w:hint="eastAsia" w:ascii="仿宋_GB2312" w:hAnsi="仿宋_GB2312" w:eastAsia="仿宋_GB2312" w:cs="仿宋_GB2312"/>
          <w:color w:val="000000"/>
          <w:kern w:val="0"/>
          <w:sz w:val="24"/>
          <w:szCs w:val="24"/>
          <w:lang w:val="en-US" w:eastAsia="zh-CN" w:bidi="ar"/>
        </w:rPr>
        <w:t xml:space="preserve">复印件：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5D960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4261" w:type="dxa"/>
          </w:tcPr>
          <w:p w14:paraId="213CC3E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vertAlign w:val="baseline"/>
                <w:lang w:val="en-US" w:eastAsia="zh-CN" w:bidi="ar"/>
              </w:rPr>
            </w:pPr>
          </w:p>
        </w:tc>
        <w:tc>
          <w:tcPr>
            <w:tcW w:w="4261" w:type="dxa"/>
          </w:tcPr>
          <w:p w14:paraId="0AFF5E2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vertAlign w:val="baseline"/>
                <w:lang w:val="en-US" w:eastAsia="zh-CN" w:bidi="ar"/>
              </w:rPr>
            </w:pPr>
          </w:p>
        </w:tc>
      </w:tr>
    </w:tbl>
    <w:p w14:paraId="54D4ED6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委托代理人有效期内的身份证</w:t>
      </w:r>
      <w:r>
        <w:rPr>
          <w:rFonts w:hint="eastAsia" w:ascii="仿宋_GB2312" w:hAnsi="仿宋_GB2312" w:eastAsia="仿宋_GB2312" w:cs="仿宋_GB2312"/>
          <w:b/>
          <w:bCs/>
          <w:color w:val="000000"/>
          <w:kern w:val="0"/>
          <w:sz w:val="24"/>
          <w:szCs w:val="24"/>
          <w:lang w:val="en-US" w:eastAsia="zh-CN" w:bidi="ar"/>
        </w:rPr>
        <w:t>正反面</w:t>
      </w:r>
      <w:r>
        <w:rPr>
          <w:rFonts w:hint="eastAsia" w:ascii="仿宋_GB2312" w:hAnsi="仿宋_GB2312" w:eastAsia="仿宋_GB2312" w:cs="仿宋_GB2312"/>
          <w:color w:val="000000"/>
          <w:kern w:val="0"/>
          <w:sz w:val="24"/>
          <w:szCs w:val="24"/>
          <w:lang w:val="en-US" w:eastAsia="zh-CN" w:bidi="ar"/>
        </w:rPr>
        <w:t xml:space="preserve">复印件：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50CCB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4261" w:type="dxa"/>
          </w:tcPr>
          <w:p w14:paraId="3426A42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vertAlign w:val="baseline"/>
                <w:lang w:val="en-US" w:eastAsia="zh-CN" w:bidi="ar"/>
              </w:rPr>
            </w:pPr>
          </w:p>
        </w:tc>
        <w:tc>
          <w:tcPr>
            <w:tcW w:w="4261" w:type="dxa"/>
          </w:tcPr>
          <w:p w14:paraId="58129A9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vertAlign w:val="baseline"/>
                <w:lang w:val="en-US" w:eastAsia="zh-CN" w:bidi="ar"/>
              </w:rPr>
            </w:pPr>
          </w:p>
        </w:tc>
      </w:tr>
    </w:tbl>
    <w:p w14:paraId="38A1672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说明：1.若供应商为事业单位或其他组织或分支机构（仅当招标文件注明允许分支机构投标的），则法定代表人（单位负责人）处的签署人可为单位负责人。 </w:t>
      </w:r>
    </w:p>
    <w:p w14:paraId="75B0158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2.若投标文件中签字之处均为法定代表人（单位负责人）本人签署，则可不提供本《授权委托书》，但须提供《法定代表人（单位负责人）身份证明》。 </w:t>
      </w:r>
    </w:p>
    <w:p w14:paraId="401EFFD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_GB2312" w:hAnsi="仿宋_GB2312" w:eastAsia="仿宋_GB2312" w:cs="仿宋_GB2312"/>
          <w:color w:val="000000"/>
          <w:kern w:val="0"/>
          <w:sz w:val="24"/>
          <w:szCs w:val="24"/>
          <w:lang w:val="en-US" w:eastAsia="zh-CN" w:bidi="ar"/>
        </w:rPr>
      </w:pPr>
      <w:bookmarkStart w:id="41" w:name="_Toc18807"/>
      <w:r>
        <w:rPr>
          <w:rFonts w:hint="eastAsia" w:ascii="仿宋_GB2312" w:hAnsi="仿宋_GB2312" w:eastAsia="仿宋_GB2312" w:cs="仿宋_GB2312"/>
          <w:color w:val="000000"/>
          <w:kern w:val="0"/>
          <w:sz w:val="24"/>
          <w:szCs w:val="24"/>
          <w:lang w:val="en-US" w:eastAsia="zh-CN" w:bidi="ar"/>
        </w:rPr>
        <w:t>3.供应商为自然人的情形，可不提供本《授权委托书》。</w:t>
      </w:r>
      <w:bookmarkEnd w:id="41"/>
    </w:p>
    <w:p w14:paraId="2EEA9E3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4.供应商应随本《授权委托书》同时提供法定代表人（单位负责人）及委托代理人的有效的身份证或护照等身份证明文件电子件。提供身份证的，应同时提供身份证双面电子件。</w:t>
      </w:r>
    </w:p>
    <w:p w14:paraId="63B05372">
      <w:pP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br w:type="page"/>
      </w:r>
    </w:p>
    <w:p w14:paraId="7095F62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附：法定代表人（单位负责人）身份证明</w:t>
      </w:r>
    </w:p>
    <w:p w14:paraId="19E67DA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lang w:val="en-US" w:eastAsia="zh-CN" w:bidi="ar"/>
        </w:rPr>
      </w:pPr>
    </w:p>
    <w:p w14:paraId="327573C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致：</w:t>
      </w:r>
      <w:r>
        <w:rPr>
          <w:rFonts w:hint="eastAsia" w:ascii="仿宋_GB2312" w:hAnsi="仿宋_GB2312" w:eastAsia="仿宋_GB2312" w:cs="仿宋_GB2312"/>
          <w:color w:val="000000"/>
          <w:kern w:val="0"/>
          <w:sz w:val="24"/>
          <w:szCs w:val="24"/>
          <w:u w:val="single"/>
          <w:lang w:val="en-US" w:eastAsia="zh-CN" w:bidi="ar"/>
        </w:rPr>
        <w:t xml:space="preserve">（采购人或采购代理机构） </w:t>
      </w:r>
    </w:p>
    <w:p w14:paraId="3F4D0A98">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兹证明， </w:t>
      </w:r>
    </w:p>
    <w:p w14:paraId="2C33D7D1">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_GB2312" w:hAnsi="仿宋_GB2312" w:eastAsia="仿宋_GB2312" w:cs="仿宋_GB2312"/>
          <w:color w:val="000000"/>
          <w:kern w:val="0"/>
          <w:sz w:val="24"/>
          <w:szCs w:val="24"/>
          <w:u w:val="single"/>
          <w:lang w:val="en-US" w:eastAsia="zh-CN" w:bidi="ar"/>
        </w:rPr>
      </w:pPr>
      <w:r>
        <w:rPr>
          <w:rFonts w:hint="eastAsia" w:ascii="仿宋_GB2312" w:hAnsi="仿宋_GB2312" w:eastAsia="仿宋_GB2312" w:cs="仿宋_GB2312"/>
          <w:color w:val="000000"/>
          <w:kern w:val="0"/>
          <w:sz w:val="24"/>
          <w:szCs w:val="24"/>
          <w:lang w:val="en-US" w:eastAsia="zh-CN" w:bidi="ar"/>
        </w:rPr>
        <w:t>姓名：</w:t>
      </w:r>
      <w:r>
        <w:rPr>
          <w:rFonts w:hint="eastAsia" w:ascii="仿宋_GB2312" w:hAnsi="仿宋_GB2312" w:eastAsia="仿宋_GB2312" w:cs="仿宋_GB2312"/>
          <w:color w:val="000000"/>
          <w:kern w:val="0"/>
          <w:sz w:val="24"/>
          <w:szCs w:val="24"/>
          <w:u w:val="single"/>
          <w:lang w:val="en-US" w:eastAsia="zh-CN" w:bidi="ar"/>
        </w:rPr>
        <w:t xml:space="preserve">    </w:t>
      </w:r>
      <w:r>
        <w:rPr>
          <w:rFonts w:hint="eastAsia" w:ascii="仿宋_GB2312" w:hAnsi="仿宋_GB2312" w:eastAsia="仿宋_GB2312" w:cs="仿宋_GB2312"/>
          <w:color w:val="000000"/>
          <w:kern w:val="0"/>
          <w:sz w:val="24"/>
          <w:szCs w:val="24"/>
          <w:lang w:val="en-US" w:eastAsia="zh-CN" w:bidi="ar"/>
        </w:rPr>
        <w:t>性别：</w:t>
      </w:r>
      <w:r>
        <w:rPr>
          <w:rFonts w:hint="eastAsia" w:ascii="仿宋_GB2312" w:hAnsi="仿宋_GB2312" w:eastAsia="仿宋_GB2312" w:cs="仿宋_GB2312"/>
          <w:color w:val="000000"/>
          <w:kern w:val="0"/>
          <w:sz w:val="24"/>
          <w:szCs w:val="24"/>
          <w:u w:val="single"/>
          <w:lang w:val="en-US" w:eastAsia="zh-CN" w:bidi="ar"/>
        </w:rPr>
        <w:t xml:space="preserve">    </w:t>
      </w:r>
      <w:r>
        <w:rPr>
          <w:rFonts w:hint="eastAsia" w:ascii="仿宋_GB2312" w:hAnsi="仿宋_GB2312" w:eastAsia="仿宋_GB2312" w:cs="仿宋_GB2312"/>
          <w:color w:val="000000"/>
          <w:kern w:val="0"/>
          <w:sz w:val="24"/>
          <w:szCs w:val="24"/>
          <w:lang w:val="en-US" w:eastAsia="zh-CN" w:bidi="ar"/>
        </w:rPr>
        <w:t>年龄：</w:t>
      </w:r>
      <w:r>
        <w:rPr>
          <w:rFonts w:hint="eastAsia" w:ascii="仿宋_GB2312" w:hAnsi="仿宋_GB2312" w:eastAsia="仿宋_GB2312" w:cs="仿宋_GB2312"/>
          <w:color w:val="000000"/>
          <w:kern w:val="0"/>
          <w:sz w:val="24"/>
          <w:szCs w:val="24"/>
          <w:u w:val="single"/>
          <w:lang w:val="en-US" w:eastAsia="zh-CN" w:bidi="ar"/>
        </w:rPr>
        <w:t xml:space="preserve">     </w:t>
      </w:r>
      <w:r>
        <w:rPr>
          <w:rFonts w:hint="eastAsia" w:ascii="仿宋_GB2312" w:hAnsi="仿宋_GB2312" w:eastAsia="仿宋_GB2312" w:cs="仿宋_GB2312"/>
          <w:color w:val="000000"/>
          <w:kern w:val="0"/>
          <w:sz w:val="24"/>
          <w:szCs w:val="24"/>
          <w:lang w:val="en-US" w:eastAsia="zh-CN" w:bidi="ar"/>
        </w:rPr>
        <w:t>职务：</w:t>
      </w:r>
      <w:r>
        <w:rPr>
          <w:rFonts w:hint="eastAsia" w:ascii="仿宋_GB2312" w:hAnsi="仿宋_GB2312" w:eastAsia="仿宋_GB2312" w:cs="仿宋_GB2312"/>
          <w:color w:val="000000"/>
          <w:kern w:val="0"/>
          <w:sz w:val="24"/>
          <w:szCs w:val="24"/>
          <w:u w:val="single"/>
          <w:lang w:val="en-US" w:eastAsia="zh-CN" w:bidi="ar"/>
        </w:rPr>
        <w:t xml:space="preserve">     </w:t>
      </w:r>
    </w:p>
    <w:p w14:paraId="07B2C494">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系</w:t>
      </w:r>
      <w:r>
        <w:rPr>
          <w:rFonts w:hint="eastAsia" w:ascii="仿宋_GB2312" w:hAnsi="仿宋_GB2312" w:eastAsia="仿宋_GB2312" w:cs="仿宋_GB2312"/>
          <w:color w:val="000000"/>
          <w:kern w:val="0"/>
          <w:sz w:val="24"/>
          <w:szCs w:val="24"/>
          <w:u w:val="single"/>
          <w:lang w:val="en-US" w:eastAsia="zh-CN" w:bidi="ar"/>
        </w:rPr>
        <w:t xml:space="preserve">       （投标人名称）</w:t>
      </w:r>
      <w:r>
        <w:rPr>
          <w:rFonts w:hint="eastAsia" w:ascii="仿宋_GB2312" w:hAnsi="仿宋_GB2312" w:eastAsia="仿宋_GB2312" w:cs="仿宋_GB2312"/>
          <w:color w:val="000000"/>
          <w:kern w:val="0"/>
          <w:sz w:val="24"/>
          <w:szCs w:val="24"/>
          <w:lang w:val="en-US" w:eastAsia="zh-CN" w:bidi="ar"/>
        </w:rPr>
        <w:t xml:space="preserve">的法定代表人（单位负责人）。 </w:t>
      </w:r>
    </w:p>
    <w:p w14:paraId="0CE388F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lang w:val="en-US" w:eastAsia="zh-CN" w:bidi="ar"/>
        </w:rPr>
      </w:pPr>
    </w:p>
    <w:p w14:paraId="4AABDB5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lang w:val="en-US" w:eastAsia="zh-CN" w:bidi="ar"/>
        </w:rPr>
      </w:pPr>
    </w:p>
    <w:p w14:paraId="5BF278A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附：法定代表人（单位负责人）有效期内的身份证</w:t>
      </w:r>
      <w:r>
        <w:rPr>
          <w:rFonts w:hint="eastAsia" w:ascii="仿宋_GB2312" w:hAnsi="仿宋_GB2312" w:eastAsia="仿宋_GB2312" w:cs="仿宋_GB2312"/>
          <w:b/>
          <w:bCs/>
          <w:color w:val="000000"/>
          <w:kern w:val="0"/>
          <w:sz w:val="24"/>
          <w:szCs w:val="24"/>
          <w:lang w:val="en-US" w:eastAsia="zh-CN" w:bidi="ar"/>
        </w:rPr>
        <w:t>正反面</w:t>
      </w:r>
      <w:r>
        <w:rPr>
          <w:rFonts w:hint="eastAsia" w:ascii="仿宋_GB2312" w:hAnsi="仿宋_GB2312" w:eastAsia="仿宋_GB2312" w:cs="仿宋_GB2312"/>
          <w:color w:val="000000"/>
          <w:kern w:val="0"/>
          <w:sz w:val="24"/>
          <w:szCs w:val="24"/>
          <w:lang w:val="en-US" w:eastAsia="zh-CN" w:bidi="ar"/>
        </w:rPr>
        <w:t xml:space="preserve">复印件。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51BBE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4261" w:type="dxa"/>
          </w:tcPr>
          <w:p w14:paraId="79C0FAC8">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color w:val="000000"/>
                <w:kern w:val="0"/>
                <w:sz w:val="24"/>
                <w:szCs w:val="24"/>
                <w:vertAlign w:val="baseline"/>
                <w:lang w:val="en-US" w:eastAsia="zh-CN" w:bidi="ar"/>
              </w:rPr>
            </w:pPr>
          </w:p>
        </w:tc>
        <w:tc>
          <w:tcPr>
            <w:tcW w:w="4261" w:type="dxa"/>
          </w:tcPr>
          <w:p w14:paraId="3C773B48">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color w:val="000000"/>
                <w:kern w:val="0"/>
                <w:sz w:val="24"/>
                <w:szCs w:val="24"/>
                <w:vertAlign w:val="baseline"/>
                <w:lang w:val="en-US" w:eastAsia="zh-CN" w:bidi="ar"/>
              </w:rPr>
            </w:pPr>
          </w:p>
        </w:tc>
      </w:tr>
    </w:tbl>
    <w:p w14:paraId="62324196">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color w:val="000000"/>
          <w:kern w:val="0"/>
          <w:sz w:val="24"/>
          <w:szCs w:val="24"/>
          <w:lang w:val="en-US" w:eastAsia="zh-CN" w:bidi="ar"/>
        </w:rPr>
      </w:pPr>
    </w:p>
    <w:p w14:paraId="6E5B3D1A">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color w:val="000000"/>
          <w:kern w:val="0"/>
          <w:sz w:val="24"/>
          <w:szCs w:val="24"/>
          <w:lang w:val="en-US" w:eastAsia="zh-CN" w:bidi="ar"/>
        </w:rPr>
      </w:pPr>
    </w:p>
    <w:p w14:paraId="08868EB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投标人名称（加盖公章）：</w:t>
      </w:r>
      <w:r>
        <w:rPr>
          <w:rFonts w:hint="eastAsia" w:ascii="仿宋_GB2312" w:hAnsi="仿宋_GB2312" w:eastAsia="仿宋_GB2312" w:cs="仿宋_GB2312"/>
          <w:color w:val="000000"/>
          <w:kern w:val="0"/>
          <w:sz w:val="24"/>
          <w:szCs w:val="24"/>
          <w:u w:val="single"/>
          <w:lang w:val="en-US" w:eastAsia="zh-CN" w:bidi="ar"/>
        </w:rPr>
        <w:t xml:space="preserve">                </w:t>
      </w:r>
      <w:r>
        <w:rPr>
          <w:rFonts w:hint="eastAsia" w:ascii="仿宋_GB2312" w:hAnsi="仿宋_GB2312" w:eastAsia="仿宋_GB2312" w:cs="仿宋_GB2312"/>
          <w:color w:val="000000"/>
          <w:kern w:val="0"/>
          <w:sz w:val="24"/>
          <w:szCs w:val="24"/>
          <w:lang w:val="en-US" w:eastAsia="zh-CN" w:bidi="ar"/>
        </w:rPr>
        <w:t xml:space="preserve"> </w:t>
      </w:r>
    </w:p>
    <w:p w14:paraId="13BC5C3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法定代表人（单位负责人）（签字或印鉴）：</w:t>
      </w:r>
      <w:r>
        <w:rPr>
          <w:rFonts w:hint="eastAsia" w:ascii="仿宋_GB2312" w:hAnsi="仿宋_GB2312" w:eastAsia="仿宋_GB2312" w:cs="仿宋_GB2312"/>
          <w:color w:val="000000"/>
          <w:kern w:val="0"/>
          <w:sz w:val="24"/>
          <w:szCs w:val="24"/>
          <w:u w:val="single"/>
          <w:lang w:val="en-US" w:eastAsia="zh-CN" w:bidi="ar"/>
        </w:rPr>
        <w:t xml:space="preserve">           </w:t>
      </w:r>
      <w:r>
        <w:rPr>
          <w:rFonts w:hint="eastAsia" w:ascii="仿宋_GB2312" w:hAnsi="仿宋_GB2312" w:eastAsia="仿宋_GB2312" w:cs="仿宋_GB2312"/>
          <w:color w:val="000000"/>
          <w:kern w:val="0"/>
          <w:sz w:val="24"/>
          <w:szCs w:val="24"/>
          <w:lang w:val="en-US" w:eastAsia="zh-CN" w:bidi="ar"/>
        </w:rPr>
        <w:t xml:space="preserve"> </w:t>
      </w:r>
    </w:p>
    <w:p w14:paraId="49D7CF1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日期：</w:t>
      </w:r>
      <w:r>
        <w:rPr>
          <w:rFonts w:hint="eastAsia" w:ascii="仿宋_GB2312" w:hAnsi="仿宋_GB2312" w:eastAsia="仿宋_GB2312" w:cs="仿宋_GB2312"/>
          <w:color w:val="000000"/>
          <w:kern w:val="0"/>
          <w:sz w:val="24"/>
          <w:szCs w:val="24"/>
          <w:u w:val="single"/>
          <w:lang w:val="en-US" w:eastAsia="zh-CN" w:bidi="ar"/>
        </w:rPr>
        <w:t xml:space="preserve">    年    月    日</w:t>
      </w:r>
    </w:p>
    <w:p w14:paraId="7A84C9F9">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color w:val="000000"/>
          <w:kern w:val="0"/>
          <w:sz w:val="24"/>
          <w:szCs w:val="24"/>
          <w:lang w:val="en-US" w:eastAsia="zh-CN" w:bidi="ar"/>
        </w:rPr>
      </w:pPr>
    </w:p>
    <w:p w14:paraId="7237225C">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br w:type="page"/>
      </w:r>
    </w:p>
    <w:p w14:paraId="09F9A582">
      <w:pPr>
        <w:outlineLvl w:val="1"/>
        <w:rPr>
          <w:rFonts w:hint="eastAsia" w:ascii="仿宋_GB2312" w:hAnsi="仿宋_GB2312" w:eastAsia="仿宋_GB2312" w:cs="仿宋_GB2312"/>
          <w:sz w:val="24"/>
          <w:szCs w:val="24"/>
          <w:lang w:val="en-US" w:eastAsia="zh-CN"/>
        </w:rPr>
      </w:pPr>
      <w:bookmarkStart w:id="42" w:name="_Toc23107"/>
      <w:r>
        <w:rPr>
          <w:rFonts w:hint="eastAsia" w:ascii="仿宋_GB2312" w:hAnsi="仿宋_GB2312" w:eastAsia="仿宋_GB2312" w:cs="仿宋_GB2312"/>
          <w:sz w:val="24"/>
          <w:szCs w:val="24"/>
          <w:lang w:val="en-US" w:eastAsia="zh-CN"/>
        </w:rPr>
        <w:t>7  开标一览表</w:t>
      </w:r>
      <w:bookmarkEnd w:id="42"/>
    </w:p>
    <w:p w14:paraId="475CD945">
      <w:pPr>
        <w:rPr>
          <w:rFonts w:hint="eastAsia" w:ascii="仿宋_GB2312" w:hAnsi="仿宋_GB2312" w:eastAsia="仿宋_GB2312" w:cs="仿宋_GB2312"/>
          <w:lang w:val="en-US" w:eastAsia="zh-CN"/>
        </w:rPr>
      </w:pPr>
    </w:p>
    <w:p w14:paraId="010BF100">
      <w:pPr>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开标一览表</w:t>
      </w:r>
    </w:p>
    <w:p w14:paraId="5D9EB27D">
      <w:pPr>
        <w:rPr>
          <w:rFonts w:hint="eastAsia" w:ascii="仿宋_GB2312" w:hAnsi="仿宋_GB2312" w:eastAsia="仿宋_GB2312" w:cs="仿宋_GB2312"/>
          <w:lang w:val="en-US" w:eastAsia="zh-CN"/>
        </w:rPr>
      </w:pPr>
    </w:p>
    <w:p w14:paraId="7D30BC28">
      <w:pPr>
        <w:rPr>
          <w:rFonts w:hint="eastAsia" w:ascii="仿宋_GB2312" w:hAnsi="仿宋_GB2312" w:eastAsia="仿宋_GB2312" w:cs="仿宋_GB2312"/>
          <w:lang w:val="en-US" w:eastAsia="zh-CN"/>
        </w:rPr>
      </w:pPr>
    </w:p>
    <w:p w14:paraId="22C827FB">
      <w:pP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项目编号/包号：</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lang w:val="en-US" w:eastAsia="zh-CN"/>
        </w:rPr>
        <w:t xml:space="preserve"> 项目名称：</w:t>
      </w:r>
      <w:r>
        <w:rPr>
          <w:rFonts w:hint="eastAsia" w:ascii="仿宋_GB2312" w:hAnsi="仿宋_GB2312" w:eastAsia="仿宋_GB2312" w:cs="仿宋_GB2312"/>
          <w:u w:val="single"/>
          <w:lang w:val="en-US" w:eastAsia="zh-CN"/>
        </w:rPr>
        <w:t xml:space="preserve">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0955B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14:paraId="11F1F890">
            <w:pPr>
              <w:pStyle w:val="16"/>
              <w:ind w:left="0" w:leftChars="0" w:firstLine="0" w:firstLineChars="0"/>
              <w:jc w:val="center"/>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vertAlign w:val="baseline"/>
                <w:lang w:val="en-US" w:eastAsia="zh-CN"/>
              </w:rPr>
              <w:t>序号</w:t>
            </w:r>
          </w:p>
        </w:tc>
        <w:tc>
          <w:tcPr>
            <w:tcW w:w="2130" w:type="dxa"/>
            <w:vMerge w:val="restart"/>
            <w:vAlign w:val="center"/>
          </w:tcPr>
          <w:p w14:paraId="3CDADA71">
            <w:pPr>
              <w:pStyle w:val="16"/>
              <w:ind w:left="0" w:leftChars="0" w:firstLine="0" w:firstLineChars="0"/>
              <w:jc w:val="center"/>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vertAlign w:val="baseline"/>
                <w:lang w:val="en-US" w:eastAsia="zh-CN"/>
              </w:rPr>
              <w:t>投标人名称</w:t>
            </w:r>
          </w:p>
        </w:tc>
        <w:tc>
          <w:tcPr>
            <w:tcW w:w="4262" w:type="dxa"/>
            <w:gridSpan w:val="2"/>
            <w:vAlign w:val="center"/>
          </w:tcPr>
          <w:p w14:paraId="6AB29A83">
            <w:pPr>
              <w:pStyle w:val="16"/>
              <w:ind w:left="0" w:leftChars="0" w:firstLine="0" w:firstLineChars="0"/>
              <w:jc w:val="center"/>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vertAlign w:val="baseline"/>
                <w:lang w:val="en-US" w:eastAsia="zh-CN"/>
              </w:rPr>
              <w:t>投标报价（元）</w:t>
            </w:r>
          </w:p>
        </w:tc>
      </w:tr>
      <w:tr w14:paraId="0D338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6073A9C0">
            <w:pPr>
              <w:pStyle w:val="16"/>
              <w:jc w:val="center"/>
              <w:rPr>
                <w:rFonts w:hint="eastAsia" w:ascii="仿宋_GB2312" w:hAnsi="仿宋_GB2312" w:eastAsia="仿宋_GB2312" w:cs="仿宋_GB2312"/>
                <w:b/>
                <w:bCs/>
                <w:vertAlign w:val="baseline"/>
                <w:lang w:val="en-US" w:eastAsia="zh-CN"/>
              </w:rPr>
            </w:pPr>
          </w:p>
        </w:tc>
        <w:tc>
          <w:tcPr>
            <w:tcW w:w="2130" w:type="dxa"/>
            <w:vMerge w:val="continue"/>
            <w:vAlign w:val="center"/>
          </w:tcPr>
          <w:p w14:paraId="120488C5">
            <w:pPr>
              <w:pStyle w:val="16"/>
              <w:jc w:val="center"/>
              <w:rPr>
                <w:rFonts w:hint="eastAsia" w:ascii="仿宋_GB2312" w:hAnsi="仿宋_GB2312" w:eastAsia="仿宋_GB2312" w:cs="仿宋_GB2312"/>
                <w:b/>
                <w:bCs/>
                <w:vertAlign w:val="baseline"/>
                <w:lang w:val="en-US" w:eastAsia="zh-CN"/>
              </w:rPr>
            </w:pPr>
          </w:p>
        </w:tc>
        <w:tc>
          <w:tcPr>
            <w:tcW w:w="2131" w:type="dxa"/>
            <w:vAlign w:val="center"/>
          </w:tcPr>
          <w:p w14:paraId="537B1FF0">
            <w:pPr>
              <w:pStyle w:val="16"/>
              <w:ind w:left="0" w:leftChars="0" w:firstLine="0" w:firstLineChars="0"/>
              <w:jc w:val="center"/>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vertAlign w:val="baseline"/>
                <w:lang w:val="en-US" w:eastAsia="zh-CN"/>
              </w:rPr>
              <w:t>大写</w:t>
            </w:r>
          </w:p>
        </w:tc>
        <w:tc>
          <w:tcPr>
            <w:tcW w:w="2131" w:type="dxa"/>
            <w:vAlign w:val="center"/>
          </w:tcPr>
          <w:p w14:paraId="7158D6AB">
            <w:pPr>
              <w:pStyle w:val="16"/>
              <w:ind w:left="0" w:leftChars="0" w:firstLine="0" w:firstLineChars="0"/>
              <w:jc w:val="center"/>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vertAlign w:val="baseline"/>
                <w:lang w:val="en-US" w:eastAsia="zh-CN"/>
              </w:rPr>
              <w:t>小写</w:t>
            </w:r>
          </w:p>
        </w:tc>
      </w:tr>
      <w:tr w14:paraId="7020B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2130" w:type="dxa"/>
            <w:vAlign w:val="center"/>
          </w:tcPr>
          <w:p w14:paraId="60B05DCC">
            <w:pPr>
              <w:pStyle w:val="16"/>
              <w:jc w:val="center"/>
              <w:rPr>
                <w:rFonts w:hint="eastAsia" w:ascii="仿宋_GB2312" w:hAnsi="仿宋_GB2312" w:eastAsia="仿宋_GB2312" w:cs="仿宋_GB2312"/>
                <w:vertAlign w:val="baseline"/>
                <w:lang w:val="en-US" w:eastAsia="zh-CN"/>
              </w:rPr>
            </w:pPr>
          </w:p>
        </w:tc>
        <w:tc>
          <w:tcPr>
            <w:tcW w:w="2130" w:type="dxa"/>
            <w:vAlign w:val="center"/>
          </w:tcPr>
          <w:p w14:paraId="189B03A1">
            <w:pPr>
              <w:pStyle w:val="16"/>
              <w:jc w:val="center"/>
              <w:rPr>
                <w:rFonts w:hint="eastAsia" w:ascii="仿宋_GB2312" w:hAnsi="仿宋_GB2312" w:eastAsia="仿宋_GB2312" w:cs="仿宋_GB2312"/>
                <w:vertAlign w:val="baseline"/>
                <w:lang w:val="en-US" w:eastAsia="zh-CN"/>
              </w:rPr>
            </w:pPr>
          </w:p>
        </w:tc>
        <w:tc>
          <w:tcPr>
            <w:tcW w:w="2131" w:type="dxa"/>
            <w:vAlign w:val="center"/>
          </w:tcPr>
          <w:p w14:paraId="56B2FC0F">
            <w:pPr>
              <w:pStyle w:val="16"/>
              <w:jc w:val="center"/>
              <w:rPr>
                <w:rFonts w:hint="eastAsia" w:ascii="仿宋_GB2312" w:hAnsi="仿宋_GB2312" w:eastAsia="仿宋_GB2312" w:cs="仿宋_GB2312"/>
                <w:vertAlign w:val="baseline"/>
                <w:lang w:val="en-US" w:eastAsia="zh-CN"/>
              </w:rPr>
            </w:pPr>
          </w:p>
        </w:tc>
        <w:tc>
          <w:tcPr>
            <w:tcW w:w="2131" w:type="dxa"/>
            <w:vAlign w:val="center"/>
          </w:tcPr>
          <w:p w14:paraId="784070AD">
            <w:pPr>
              <w:pStyle w:val="16"/>
              <w:jc w:val="center"/>
              <w:rPr>
                <w:rFonts w:hint="eastAsia" w:ascii="仿宋_GB2312" w:hAnsi="仿宋_GB2312" w:eastAsia="仿宋_GB2312" w:cs="仿宋_GB2312"/>
                <w:vertAlign w:val="baseline"/>
                <w:lang w:val="en-US" w:eastAsia="zh-CN"/>
              </w:rPr>
            </w:pPr>
          </w:p>
        </w:tc>
      </w:tr>
    </w:tbl>
    <w:p w14:paraId="34D1DB27">
      <w:pPr>
        <w:pStyle w:val="16"/>
        <w:ind w:left="0" w:leftChars="0" w:firstLine="0" w:firstLineChars="0"/>
        <w:rPr>
          <w:rFonts w:hint="eastAsia" w:ascii="仿宋_GB2312" w:hAnsi="仿宋_GB2312" w:eastAsia="仿宋_GB2312" w:cs="仿宋_GB2312"/>
          <w:lang w:val="en-US" w:eastAsia="zh-CN"/>
        </w:rPr>
      </w:pPr>
    </w:p>
    <w:p w14:paraId="29811EF2">
      <w:pPr>
        <w:pStyle w:val="15"/>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注：1.此表中，每包的投标报价应和《投标分项报价表》中的总价相一致。</w:t>
      </w:r>
    </w:p>
    <w:p w14:paraId="703979CA">
      <w:pPr>
        <w:pStyle w:val="15"/>
        <w:outlineLvl w:val="1"/>
        <w:rPr>
          <w:rFonts w:hint="eastAsia" w:ascii="仿宋_GB2312" w:hAnsi="仿宋_GB2312" w:eastAsia="仿宋_GB2312" w:cs="仿宋_GB2312"/>
          <w:lang w:val="en-US" w:eastAsia="zh-CN"/>
        </w:rPr>
      </w:pPr>
      <w:bookmarkStart w:id="43" w:name="_Toc31128"/>
      <w:r>
        <w:rPr>
          <w:rFonts w:hint="eastAsia" w:ascii="仿宋_GB2312" w:hAnsi="仿宋_GB2312" w:eastAsia="仿宋_GB2312" w:cs="仿宋_GB2312"/>
          <w:lang w:val="en-US" w:eastAsia="zh-CN"/>
        </w:rPr>
        <w:t>2.本表必须按包分别填写。</w:t>
      </w:r>
      <w:bookmarkEnd w:id="43"/>
    </w:p>
    <w:p w14:paraId="13D8BF2D">
      <w:pPr>
        <w:pStyle w:val="15"/>
        <w:rPr>
          <w:rFonts w:hint="eastAsia" w:ascii="仿宋_GB2312" w:hAnsi="仿宋_GB2312" w:eastAsia="仿宋_GB2312" w:cs="仿宋_GB2312"/>
          <w:lang w:val="en-US" w:eastAsia="zh-CN"/>
        </w:rPr>
      </w:pPr>
    </w:p>
    <w:p w14:paraId="31E5E455">
      <w:pPr>
        <w:pStyle w:val="15"/>
        <w:rPr>
          <w:rFonts w:hint="eastAsia" w:ascii="仿宋_GB2312" w:hAnsi="仿宋_GB2312" w:eastAsia="仿宋_GB2312" w:cs="仿宋_GB2312"/>
          <w:lang w:val="en-US" w:eastAsia="zh-CN"/>
        </w:rPr>
      </w:pPr>
    </w:p>
    <w:p w14:paraId="76073FBF">
      <w:pPr>
        <w:pStyle w:val="15"/>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投标人名称（加盖公章）：</w:t>
      </w:r>
      <w:r>
        <w:rPr>
          <w:rFonts w:hint="eastAsia" w:ascii="仿宋_GB2312" w:hAnsi="仿宋_GB2312" w:eastAsia="仿宋_GB2312" w:cs="仿宋_GB2312"/>
          <w:sz w:val="24"/>
          <w:szCs w:val="24"/>
          <w:u w:val="single"/>
          <w:lang w:val="en-US" w:eastAsia="zh-CN"/>
        </w:rPr>
        <w:t xml:space="preserve">             </w:t>
      </w:r>
    </w:p>
    <w:p w14:paraId="4C3E6A74">
      <w:pPr>
        <w:pStyle w:val="15"/>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日期：</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年</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月</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日</w:t>
      </w:r>
    </w:p>
    <w:p w14:paraId="234892EA">
      <w:pPr>
        <w:pStyle w:val="13"/>
        <w:rPr>
          <w:rFonts w:hint="eastAsia" w:ascii="仿宋_GB2312" w:hAnsi="仿宋_GB2312" w:eastAsia="仿宋_GB2312" w:cs="仿宋_GB2312"/>
          <w:lang w:val="en-US" w:eastAsia="zh-CN"/>
        </w:rPr>
      </w:pPr>
    </w:p>
    <w:p w14:paraId="3F45E308">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br w:type="page"/>
      </w:r>
    </w:p>
    <w:p w14:paraId="59EFA4E7">
      <w:pPr>
        <w:pStyle w:val="16"/>
        <w:ind w:left="0" w:leftChars="0" w:firstLine="0" w:firstLineChars="0"/>
        <w:outlineLvl w:val="1"/>
        <w:rPr>
          <w:rFonts w:hint="eastAsia" w:ascii="仿宋_GB2312" w:hAnsi="仿宋_GB2312" w:eastAsia="仿宋_GB2312" w:cs="仿宋_GB2312"/>
          <w:sz w:val="24"/>
          <w:szCs w:val="24"/>
          <w:lang w:val="en-US" w:eastAsia="zh-CN"/>
        </w:rPr>
      </w:pPr>
      <w:bookmarkStart w:id="44" w:name="_Toc7007"/>
      <w:r>
        <w:rPr>
          <w:rFonts w:hint="eastAsia" w:ascii="仿宋_GB2312" w:hAnsi="仿宋_GB2312" w:eastAsia="仿宋_GB2312" w:cs="仿宋_GB2312"/>
          <w:sz w:val="24"/>
          <w:szCs w:val="24"/>
          <w:lang w:val="en-US" w:eastAsia="zh-CN"/>
        </w:rPr>
        <w:t>7  投标分项报价表</w:t>
      </w:r>
      <w:bookmarkEnd w:id="44"/>
    </w:p>
    <w:p w14:paraId="00398A5D">
      <w:pPr>
        <w:pStyle w:val="16"/>
        <w:ind w:left="0" w:leftChars="0" w:firstLine="0" w:firstLineChars="0"/>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投标分项报价表</w:t>
      </w:r>
    </w:p>
    <w:p w14:paraId="0103F1EB">
      <w:pPr>
        <w:pStyle w:val="16"/>
        <w:ind w:left="0" w:leftChars="0" w:firstLine="0" w:firstLineChars="0"/>
        <w:jc w:val="center"/>
        <w:rPr>
          <w:rFonts w:hint="eastAsia" w:ascii="仿宋_GB2312" w:hAnsi="仿宋_GB2312" w:eastAsia="仿宋_GB2312" w:cs="仿宋_GB2312"/>
          <w:lang w:val="en-US" w:eastAsia="zh-CN"/>
        </w:rPr>
      </w:pPr>
    </w:p>
    <w:p w14:paraId="2502CC12">
      <w:pPr>
        <w:pStyle w:val="16"/>
        <w:ind w:left="0" w:leftChars="0" w:firstLine="0" w:firstLineChars="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项目编号/包号：</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lang w:val="en-US" w:eastAsia="zh-CN"/>
        </w:rPr>
        <w:t xml:space="preserve"> 项目名称：</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lang w:val="en-US" w:eastAsia="zh-CN"/>
        </w:rPr>
        <w:t xml:space="preserve">      报价单位：人民币元</w:t>
      </w:r>
    </w:p>
    <w:tbl>
      <w:tblPr>
        <w:tblStyle w:val="18"/>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1171"/>
        <w:gridCol w:w="992"/>
        <w:gridCol w:w="705"/>
        <w:gridCol w:w="942"/>
        <w:gridCol w:w="835"/>
        <w:gridCol w:w="828"/>
        <w:gridCol w:w="1257"/>
        <w:gridCol w:w="1075"/>
        <w:gridCol w:w="1417"/>
      </w:tblGrid>
      <w:tr w14:paraId="56509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14" w:type="dxa"/>
            <w:vAlign w:val="center"/>
          </w:tcPr>
          <w:p w14:paraId="556D5220">
            <w:pPr>
              <w:pStyle w:val="15"/>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序号</w:t>
            </w:r>
          </w:p>
        </w:tc>
        <w:tc>
          <w:tcPr>
            <w:tcW w:w="1171" w:type="dxa"/>
            <w:vAlign w:val="center"/>
          </w:tcPr>
          <w:p w14:paraId="4B851B9B">
            <w:pPr>
              <w:pStyle w:val="15"/>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分项名称</w:t>
            </w:r>
          </w:p>
        </w:tc>
        <w:tc>
          <w:tcPr>
            <w:tcW w:w="992" w:type="dxa"/>
            <w:vAlign w:val="center"/>
          </w:tcPr>
          <w:p w14:paraId="1F2F0B95">
            <w:pPr>
              <w:pStyle w:val="15"/>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制造商</w:t>
            </w:r>
          </w:p>
        </w:tc>
        <w:tc>
          <w:tcPr>
            <w:tcW w:w="705" w:type="dxa"/>
            <w:vAlign w:val="center"/>
          </w:tcPr>
          <w:p w14:paraId="6325A534">
            <w:pPr>
              <w:pStyle w:val="15"/>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品牌</w:t>
            </w:r>
          </w:p>
        </w:tc>
        <w:tc>
          <w:tcPr>
            <w:tcW w:w="942" w:type="dxa"/>
            <w:vAlign w:val="center"/>
          </w:tcPr>
          <w:p w14:paraId="4BF66223">
            <w:pPr>
              <w:pStyle w:val="15"/>
              <w:ind w:left="0" w:leftChars="0" w:firstLine="0" w:firstLineChars="0"/>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产地/国别</w:t>
            </w:r>
          </w:p>
        </w:tc>
        <w:tc>
          <w:tcPr>
            <w:tcW w:w="835" w:type="dxa"/>
            <w:vAlign w:val="center"/>
          </w:tcPr>
          <w:p w14:paraId="4E73973F">
            <w:pPr>
              <w:pStyle w:val="15"/>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规格、型号</w:t>
            </w:r>
          </w:p>
        </w:tc>
        <w:tc>
          <w:tcPr>
            <w:tcW w:w="828" w:type="dxa"/>
            <w:vAlign w:val="center"/>
          </w:tcPr>
          <w:p w14:paraId="202A9DBE">
            <w:pPr>
              <w:pStyle w:val="15"/>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单价（元）</w:t>
            </w:r>
          </w:p>
        </w:tc>
        <w:tc>
          <w:tcPr>
            <w:tcW w:w="1257" w:type="dxa"/>
            <w:vAlign w:val="center"/>
          </w:tcPr>
          <w:p w14:paraId="5C8BD4BB">
            <w:pPr>
              <w:pStyle w:val="15"/>
              <w:ind w:left="0" w:leftChars="0" w:firstLine="0" w:firstLineChars="0"/>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数量（台/套）</w:t>
            </w:r>
          </w:p>
        </w:tc>
        <w:tc>
          <w:tcPr>
            <w:tcW w:w="1075" w:type="dxa"/>
            <w:vAlign w:val="center"/>
          </w:tcPr>
          <w:p w14:paraId="6681E8A4">
            <w:pPr>
              <w:pStyle w:val="15"/>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合价（元）</w:t>
            </w:r>
          </w:p>
        </w:tc>
        <w:tc>
          <w:tcPr>
            <w:tcW w:w="1417" w:type="dxa"/>
            <w:vAlign w:val="center"/>
          </w:tcPr>
          <w:p w14:paraId="48A8A311">
            <w:pPr>
              <w:pStyle w:val="15"/>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备注/说明</w:t>
            </w:r>
          </w:p>
        </w:tc>
      </w:tr>
      <w:tr w14:paraId="3169E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14" w:type="dxa"/>
            <w:vAlign w:val="center"/>
          </w:tcPr>
          <w:p w14:paraId="3F3195E8">
            <w:pPr>
              <w:pStyle w:val="15"/>
              <w:jc w:val="center"/>
              <w:rPr>
                <w:rFonts w:hint="eastAsia" w:ascii="仿宋_GB2312" w:hAnsi="仿宋_GB2312" w:eastAsia="仿宋_GB2312" w:cs="仿宋_GB2312"/>
                <w:sz w:val="21"/>
                <w:szCs w:val="21"/>
                <w:vertAlign w:val="baseline"/>
                <w:lang w:val="en-US" w:eastAsia="zh-CN"/>
              </w:rPr>
            </w:pPr>
          </w:p>
        </w:tc>
        <w:tc>
          <w:tcPr>
            <w:tcW w:w="1171" w:type="dxa"/>
            <w:vAlign w:val="center"/>
          </w:tcPr>
          <w:p w14:paraId="1900A443">
            <w:pPr>
              <w:pStyle w:val="15"/>
              <w:jc w:val="center"/>
              <w:rPr>
                <w:rFonts w:hint="eastAsia" w:ascii="仿宋_GB2312" w:hAnsi="仿宋_GB2312" w:eastAsia="仿宋_GB2312" w:cs="仿宋_GB2312"/>
                <w:sz w:val="21"/>
                <w:szCs w:val="21"/>
                <w:vertAlign w:val="baseline"/>
                <w:lang w:val="en-US" w:eastAsia="zh-CN"/>
              </w:rPr>
            </w:pPr>
          </w:p>
        </w:tc>
        <w:tc>
          <w:tcPr>
            <w:tcW w:w="992" w:type="dxa"/>
            <w:vAlign w:val="center"/>
          </w:tcPr>
          <w:p w14:paraId="57C28987">
            <w:pPr>
              <w:pStyle w:val="15"/>
              <w:jc w:val="center"/>
              <w:rPr>
                <w:rFonts w:hint="eastAsia" w:ascii="仿宋_GB2312" w:hAnsi="仿宋_GB2312" w:eastAsia="仿宋_GB2312" w:cs="仿宋_GB2312"/>
                <w:sz w:val="21"/>
                <w:szCs w:val="21"/>
                <w:vertAlign w:val="baseline"/>
                <w:lang w:val="en-US" w:eastAsia="zh-CN"/>
              </w:rPr>
            </w:pPr>
          </w:p>
        </w:tc>
        <w:tc>
          <w:tcPr>
            <w:tcW w:w="705" w:type="dxa"/>
            <w:vAlign w:val="center"/>
          </w:tcPr>
          <w:p w14:paraId="196FCEAC">
            <w:pPr>
              <w:pStyle w:val="15"/>
              <w:jc w:val="center"/>
              <w:rPr>
                <w:rFonts w:hint="eastAsia" w:ascii="仿宋_GB2312" w:hAnsi="仿宋_GB2312" w:eastAsia="仿宋_GB2312" w:cs="仿宋_GB2312"/>
                <w:sz w:val="21"/>
                <w:szCs w:val="21"/>
                <w:vertAlign w:val="baseline"/>
                <w:lang w:val="en-US" w:eastAsia="zh-CN"/>
              </w:rPr>
            </w:pPr>
          </w:p>
        </w:tc>
        <w:tc>
          <w:tcPr>
            <w:tcW w:w="942" w:type="dxa"/>
            <w:vAlign w:val="center"/>
          </w:tcPr>
          <w:p w14:paraId="47D85B71">
            <w:pPr>
              <w:pStyle w:val="15"/>
              <w:jc w:val="center"/>
              <w:rPr>
                <w:rFonts w:hint="eastAsia" w:ascii="仿宋_GB2312" w:hAnsi="仿宋_GB2312" w:eastAsia="仿宋_GB2312" w:cs="仿宋_GB2312"/>
                <w:sz w:val="21"/>
                <w:szCs w:val="21"/>
                <w:vertAlign w:val="baseline"/>
                <w:lang w:val="en-US" w:eastAsia="zh-CN"/>
              </w:rPr>
            </w:pPr>
          </w:p>
        </w:tc>
        <w:tc>
          <w:tcPr>
            <w:tcW w:w="835" w:type="dxa"/>
            <w:vAlign w:val="center"/>
          </w:tcPr>
          <w:p w14:paraId="2558A871">
            <w:pPr>
              <w:pStyle w:val="15"/>
              <w:jc w:val="center"/>
              <w:rPr>
                <w:rFonts w:hint="eastAsia" w:ascii="仿宋_GB2312" w:hAnsi="仿宋_GB2312" w:eastAsia="仿宋_GB2312" w:cs="仿宋_GB2312"/>
                <w:sz w:val="21"/>
                <w:szCs w:val="21"/>
                <w:vertAlign w:val="baseline"/>
                <w:lang w:val="en-US" w:eastAsia="zh-CN"/>
              </w:rPr>
            </w:pPr>
          </w:p>
        </w:tc>
        <w:tc>
          <w:tcPr>
            <w:tcW w:w="828" w:type="dxa"/>
            <w:vAlign w:val="center"/>
          </w:tcPr>
          <w:p w14:paraId="5279D1EF">
            <w:pPr>
              <w:pStyle w:val="15"/>
              <w:jc w:val="center"/>
              <w:rPr>
                <w:rFonts w:hint="eastAsia" w:ascii="仿宋_GB2312" w:hAnsi="仿宋_GB2312" w:eastAsia="仿宋_GB2312" w:cs="仿宋_GB2312"/>
                <w:sz w:val="21"/>
                <w:szCs w:val="21"/>
                <w:vertAlign w:val="baseline"/>
                <w:lang w:val="en-US" w:eastAsia="zh-CN"/>
              </w:rPr>
            </w:pPr>
          </w:p>
        </w:tc>
        <w:tc>
          <w:tcPr>
            <w:tcW w:w="1257" w:type="dxa"/>
            <w:vAlign w:val="center"/>
          </w:tcPr>
          <w:p w14:paraId="3E125F2C">
            <w:pPr>
              <w:pStyle w:val="15"/>
              <w:jc w:val="center"/>
              <w:rPr>
                <w:rFonts w:hint="eastAsia" w:ascii="仿宋_GB2312" w:hAnsi="仿宋_GB2312" w:eastAsia="仿宋_GB2312" w:cs="仿宋_GB2312"/>
                <w:sz w:val="21"/>
                <w:szCs w:val="21"/>
                <w:vertAlign w:val="baseline"/>
                <w:lang w:val="en-US" w:eastAsia="zh-CN"/>
              </w:rPr>
            </w:pPr>
          </w:p>
        </w:tc>
        <w:tc>
          <w:tcPr>
            <w:tcW w:w="1075" w:type="dxa"/>
            <w:vAlign w:val="center"/>
          </w:tcPr>
          <w:p w14:paraId="5E22B5FA">
            <w:pPr>
              <w:pStyle w:val="15"/>
              <w:jc w:val="center"/>
              <w:rPr>
                <w:rFonts w:hint="eastAsia" w:ascii="仿宋_GB2312" w:hAnsi="仿宋_GB2312" w:eastAsia="仿宋_GB2312" w:cs="仿宋_GB2312"/>
                <w:sz w:val="21"/>
                <w:szCs w:val="21"/>
                <w:vertAlign w:val="baseline"/>
                <w:lang w:val="en-US" w:eastAsia="zh-CN"/>
              </w:rPr>
            </w:pPr>
          </w:p>
        </w:tc>
        <w:tc>
          <w:tcPr>
            <w:tcW w:w="1417" w:type="dxa"/>
            <w:vAlign w:val="center"/>
          </w:tcPr>
          <w:p w14:paraId="613C1BD5">
            <w:pPr>
              <w:pStyle w:val="15"/>
              <w:jc w:val="center"/>
              <w:rPr>
                <w:rFonts w:hint="eastAsia" w:ascii="仿宋_GB2312" w:hAnsi="仿宋_GB2312" w:eastAsia="仿宋_GB2312" w:cs="仿宋_GB2312"/>
                <w:sz w:val="21"/>
                <w:szCs w:val="21"/>
                <w:vertAlign w:val="baseline"/>
                <w:lang w:val="en-US" w:eastAsia="zh-CN"/>
              </w:rPr>
            </w:pPr>
          </w:p>
        </w:tc>
      </w:tr>
      <w:tr w14:paraId="589FA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14" w:type="dxa"/>
            <w:vAlign w:val="center"/>
          </w:tcPr>
          <w:p w14:paraId="7341241E">
            <w:pPr>
              <w:pStyle w:val="15"/>
              <w:jc w:val="center"/>
              <w:rPr>
                <w:rFonts w:hint="eastAsia" w:ascii="仿宋_GB2312" w:hAnsi="仿宋_GB2312" w:eastAsia="仿宋_GB2312" w:cs="仿宋_GB2312"/>
                <w:sz w:val="21"/>
                <w:szCs w:val="21"/>
                <w:vertAlign w:val="baseline"/>
                <w:lang w:val="en-US" w:eastAsia="zh-CN"/>
              </w:rPr>
            </w:pPr>
          </w:p>
        </w:tc>
        <w:tc>
          <w:tcPr>
            <w:tcW w:w="1171" w:type="dxa"/>
            <w:vAlign w:val="center"/>
          </w:tcPr>
          <w:p w14:paraId="42B9A103">
            <w:pPr>
              <w:pStyle w:val="15"/>
              <w:jc w:val="center"/>
              <w:rPr>
                <w:rFonts w:hint="eastAsia" w:ascii="仿宋_GB2312" w:hAnsi="仿宋_GB2312" w:eastAsia="仿宋_GB2312" w:cs="仿宋_GB2312"/>
                <w:sz w:val="21"/>
                <w:szCs w:val="21"/>
                <w:vertAlign w:val="baseline"/>
                <w:lang w:val="en-US" w:eastAsia="zh-CN"/>
              </w:rPr>
            </w:pPr>
          </w:p>
        </w:tc>
        <w:tc>
          <w:tcPr>
            <w:tcW w:w="992" w:type="dxa"/>
            <w:vAlign w:val="center"/>
          </w:tcPr>
          <w:p w14:paraId="421E661E">
            <w:pPr>
              <w:pStyle w:val="15"/>
              <w:jc w:val="center"/>
              <w:rPr>
                <w:rFonts w:hint="eastAsia" w:ascii="仿宋_GB2312" w:hAnsi="仿宋_GB2312" w:eastAsia="仿宋_GB2312" w:cs="仿宋_GB2312"/>
                <w:sz w:val="21"/>
                <w:szCs w:val="21"/>
                <w:vertAlign w:val="baseline"/>
                <w:lang w:val="en-US" w:eastAsia="zh-CN"/>
              </w:rPr>
            </w:pPr>
          </w:p>
        </w:tc>
        <w:tc>
          <w:tcPr>
            <w:tcW w:w="705" w:type="dxa"/>
            <w:vAlign w:val="center"/>
          </w:tcPr>
          <w:p w14:paraId="78536E02">
            <w:pPr>
              <w:pStyle w:val="15"/>
              <w:jc w:val="center"/>
              <w:rPr>
                <w:rFonts w:hint="eastAsia" w:ascii="仿宋_GB2312" w:hAnsi="仿宋_GB2312" w:eastAsia="仿宋_GB2312" w:cs="仿宋_GB2312"/>
                <w:sz w:val="21"/>
                <w:szCs w:val="21"/>
                <w:vertAlign w:val="baseline"/>
                <w:lang w:val="en-US" w:eastAsia="zh-CN"/>
              </w:rPr>
            </w:pPr>
          </w:p>
        </w:tc>
        <w:tc>
          <w:tcPr>
            <w:tcW w:w="942" w:type="dxa"/>
            <w:vAlign w:val="center"/>
          </w:tcPr>
          <w:p w14:paraId="237E3C2B">
            <w:pPr>
              <w:pStyle w:val="15"/>
              <w:jc w:val="center"/>
              <w:rPr>
                <w:rFonts w:hint="eastAsia" w:ascii="仿宋_GB2312" w:hAnsi="仿宋_GB2312" w:eastAsia="仿宋_GB2312" w:cs="仿宋_GB2312"/>
                <w:sz w:val="21"/>
                <w:szCs w:val="21"/>
                <w:vertAlign w:val="baseline"/>
                <w:lang w:val="en-US" w:eastAsia="zh-CN"/>
              </w:rPr>
            </w:pPr>
          </w:p>
        </w:tc>
        <w:tc>
          <w:tcPr>
            <w:tcW w:w="835" w:type="dxa"/>
            <w:vAlign w:val="center"/>
          </w:tcPr>
          <w:p w14:paraId="2BFF749A">
            <w:pPr>
              <w:pStyle w:val="15"/>
              <w:jc w:val="center"/>
              <w:rPr>
                <w:rFonts w:hint="eastAsia" w:ascii="仿宋_GB2312" w:hAnsi="仿宋_GB2312" w:eastAsia="仿宋_GB2312" w:cs="仿宋_GB2312"/>
                <w:sz w:val="21"/>
                <w:szCs w:val="21"/>
                <w:vertAlign w:val="baseline"/>
                <w:lang w:val="en-US" w:eastAsia="zh-CN"/>
              </w:rPr>
            </w:pPr>
          </w:p>
        </w:tc>
        <w:tc>
          <w:tcPr>
            <w:tcW w:w="828" w:type="dxa"/>
            <w:vAlign w:val="center"/>
          </w:tcPr>
          <w:p w14:paraId="0A0D76AB">
            <w:pPr>
              <w:pStyle w:val="15"/>
              <w:jc w:val="center"/>
              <w:rPr>
                <w:rFonts w:hint="eastAsia" w:ascii="仿宋_GB2312" w:hAnsi="仿宋_GB2312" w:eastAsia="仿宋_GB2312" w:cs="仿宋_GB2312"/>
                <w:sz w:val="21"/>
                <w:szCs w:val="21"/>
                <w:vertAlign w:val="baseline"/>
                <w:lang w:val="en-US" w:eastAsia="zh-CN"/>
              </w:rPr>
            </w:pPr>
          </w:p>
        </w:tc>
        <w:tc>
          <w:tcPr>
            <w:tcW w:w="1257" w:type="dxa"/>
            <w:vAlign w:val="center"/>
          </w:tcPr>
          <w:p w14:paraId="3EE9D408">
            <w:pPr>
              <w:pStyle w:val="15"/>
              <w:jc w:val="center"/>
              <w:rPr>
                <w:rFonts w:hint="eastAsia" w:ascii="仿宋_GB2312" w:hAnsi="仿宋_GB2312" w:eastAsia="仿宋_GB2312" w:cs="仿宋_GB2312"/>
                <w:sz w:val="21"/>
                <w:szCs w:val="21"/>
                <w:vertAlign w:val="baseline"/>
                <w:lang w:val="en-US" w:eastAsia="zh-CN"/>
              </w:rPr>
            </w:pPr>
          </w:p>
        </w:tc>
        <w:tc>
          <w:tcPr>
            <w:tcW w:w="1075" w:type="dxa"/>
            <w:vAlign w:val="center"/>
          </w:tcPr>
          <w:p w14:paraId="67B287A5">
            <w:pPr>
              <w:pStyle w:val="15"/>
              <w:jc w:val="center"/>
              <w:rPr>
                <w:rFonts w:hint="eastAsia" w:ascii="仿宋_GB2312" w:hAnsi="仿宋_GB2312" w:eastAsia="仿宋_GB2312" w:cs="仿宋_GB2312"/>
                <w:sz w:val="21"/>
                <w:szCs w:val="21"/>
                <w:vertAlign w:val="baseline"/>
                <w:lang w:val="en-US" w:eastAsia="zh-CN"/>
              </w:rPr>
            </w:pPr>
          </w:p>
        </w:tc>
        <w:tc>
          <w:tcPr>
            <w:tcW w:w="1417" w:type="dxa"/>
            <w:vAlign w:val="center"/>
          </w:tcPr>
          <w:p w14:paraId="285D9E08">
            <w:pPr>
              <w:pStyle w:val="15"/>
              <w:jc w:val="center"/>
              <w:rPr>
                <w:rFonts w:hint="eastAsia" w:ascii="仿宋_GB2312" w:hAnsi="仿宋_GB2312" w:eastAsia="仿宋_GB2312" w:cs="仿宋_GB2312"/>
                <w:sz w:val="21"/>
                <w:szCs w:val="21"/>
                <w:vertAlign w:val="baseline"/>
                <w:lang w:val="en-US" w:eastAsia="zh-CN"/>
              </w:rPr>
            </w:pPr>
          </w:p>
        </w:tc>
      </w:tr>
      <w:tr w14:paraId="13397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14" w:type="dxa"/>
            <w:vAlign w:val="center"/>
          </w:tcPr>
          <w:p w14:paraId="44136F9C">
            <w:pPr>
              <w:pStyle w:val="15"/>
              <w:jc w:val="center"/>
              <w:rPr>
                <w:rFonts w:hint="eastAsia" w:ascii="仿宋_GB2312" w:hAnsi="仿宋_GB2312" w:eastAsia="仿宋_GB2312" w:cs="仿宋_GB2312"/>
                <w:sz w:val="21"/>
                <w:szCs w:val="21"/>
                <w:vertAlign w:val="baseline"/>
                <w:lang w:val="en-US" w:eastAsia="zh-CN"/>
              </w:rPr>
            </w:pPr>
          </w:p>
        </w:tc>
        <w:tc>
          <w:tcPr>
            <w:tcW w:w="1171" w:type="dxa"/>
            <w:vAlign w:val="center"/>
          </w:tcPr>
          <w:p w14:paraId="6EDF5915">
            <w:pPr>
              <w:pStyle w:val="15"/>
              <w:jc w:val="center"/>
              <w:rPr>
                <w:rFonts w:hint="eastAsia" w:ascii="仿宋_GB2312" w:hAnsi="仿宋_GB2312" w:eastAsia="仿宋_GB2312" w:cs="仿宋_GB2312"/>
                <w:sz w:val="21"/>
                <w:szCs w:val="21"/>
                <w:vertAlign w:val="baseline"/>
                <w:lang w:val="en-US" w:eastAsia="zh-CN"/>
              </w:rPr>
            </w:pPr>
          </w:p>
        </w:tc>
        <w:tc>
          <w:tcPr>
            <w:tcW w:w="992" w:type="dxa"/>
            <w:vAlign w:val="center"/>
          </w:tcPr>
          <w:p w14:paraId="33CF171A">
            <w:pPr>
              <w:pStyle w:val="15"/>
              <w:jc w:val="center"/>
              <w:rPr>
                <w:rFonts w:hint="eastAsia" w:ascii="仿宋_GB2312" w:hAnsi="仿宋_GB2312" w:eastAsia="仿宋_GB2312" w:cs="仿宋_GB2312"/>
                <w:sz w:val="21"/>
                <w:szCs w:val="21"/>
                <w:vertAlign w:val="baseline"/>
                <w:lang w:val="en-US" w:eastAsia="zh-CN"/>
              </w:rPr>
            </w:pPr>
          </w:p>
        </w:tc>
        <w:tc>
          <w:tcPr>
            <w:tcW w:w="705" w:type="dxa"/>
            <w:vAlign w:val="center"/>
          </w:tcPr>
          <w:p w14:paraId="1C6C5B89">
            <w:pPr>
              <w:pStyle w:val="15"/>
              <w:jc w:val="center"/>
              <w:rPr>
                <w:rFonts w:hint="eastAsia" w:ascii="仿宋_GB2312" w:hAnsi="仿宋_GB2312" w:eastAsia="仿宋_GB2312" w:cs="仿宋_GB2312"/>
                <w:sz w:val="21"/>
                <w:szCs w:val="21"/>
                <w:vertAlign w:val="baseline"/>
                <w:lang w:val="en-US" w:eastAsia="zh-CN"/>
              </w:rPr>
            </w:pPr>
          </w:p>
        </w:tc>
        <w:tc>
          <w:tcPr>
            <w:tcW w:w="942" w:type="dxa"/>
            <w:vAlign w:val="center"/>
          </w:tcPr>
          <w:p w14:paraId="4ABF1512">
            <w:pPr>
              <w:pStyle w:val="15"/>
              <w:jc w:val="center"/>
              <w:rPr>
                <w:rFonts w:hint="eastAsia" w:ascii="仿宋_GB2312" w:hAnsi="仿宋_GB2312" w:eastAsia="仿宋_GB2312" w:cs="仿宋_GB2312"/>
                <w:sz w:val="21"/>
                <w:szCs w:val="21"/>
                <w:vertAlign w:val="baseline"/>
                <w:lang w:val="en-US" w:eastAsia="zh-CN"/>
              </w:rPr>
            </w:pPr>
          </w:p>
        </w:tc>
        <w:tc>
          <w:tcPr>
            <w:tcW w:w="835" w:type="dxa"/>
            <w:vAlign w:val="center"/>
          </w:tcPr>
          <w:p w14:paraId="7E682771">
            <w:pPr>
              <w:pStyle w:val="15"/>
              <w:jc w:val="center"/>
              <w:rPr>
                <w:rFonts w:hint="eastAsia" w:ascii="仿宋_GB2312" w:hAnsi="仿宋_GB2312" w:eastAsia="仿宋_GB2312" w:cs="仿宋_GB2312"/>
                <w:sz w:val="21"/>
                <w:szCs w:val="21"/>
                <w:vertAlign w:val="baseline"/>
                <w:lang w:val="en-US" w:eastAsia="zh-CN"/>
              </w:rPr>
            </w:pPr>
          </w:p>
        </w:tc>
        <w:tc>
          <w:tcPr>
            <w:tcW w:w="828" w:type="dxa"/>
            <w:vAlign w:val="center"/>
          </w:tcPr>
          <w:p w14:paraId="401BC50A">
            <w:pPr>
              <w:pStyle w:val="15"/>
              <w:jc w:val="center"/>
              <w:rPr>
                <w:rFonts w:hint="eastAsia" w:ascii="仿宋_GB2312" w:hAnsi="仿宋_GB2312" w:eastAsia="仿宋_GB2312" w:cs="仿宋_GB2312"/>
                <w:sz w:val="21"/>
                <w:szCs w:val="21"/>
                <w:vertAlign w:val="baseline"/>
                <w:lang w:val="en-US" w:eastAsia="zh-CN"/>
              </w:rPr>
            </w:pPr>
          </w:p>
        </w:tc>
        <w:tc>
          <w:tcPr>
            <w:tcW w:w="1257" w:type="dxa"/>
            <w:vAlign w:val="center"/>
          </w:tcPr>
          <w:p w14:paraId="04D5EDEF">
            <w:pPr>
              <w:pStyle w:val="15"/>
              <w:jc w:val="center"/>
              <w:rPr>
                <w:rFonts w:hint="eastAsia" w:ascii="仿宋_GB2312" w:hAnsi="仿宋_GB2312" w:eastAsia="仿宋_GB2312" w:cs="仿宋_GB2312"/>
                <w:sz w:val="21"/>
                <w:szCs w:val="21"/>
                <w:vertAlign w:val="baseline"/>
                <w:lang w:val="en-US" w:eastAsia="zh-CN"/>
              </w:rPr>
            </w:pPr>
          </w:p>
        </w:tc>
        <w:tc>
          <w:tcPr>
            <w:tcW w:w="1075" w:type="dxa"/>
            <w:vAlign w:val="center"/>
          </w:tcPr>
          <w:p w14:paraId="27D44AA1">
            <w:pPr>
              <w:pStyle w:val="15"/>
              <w:jc w:val="center"/>
              <w:rPr>
                <w:rFonts w:hint="eastAsia" w:ascii="仿宋_GB2312" w:hAnsi="仿宋_GB2312" w:eastAsia="仿宋_GB2312" w:cs="仿宋_GB2312"/>
                <w:sz w:val="21"/>
                <w:szCs w:val="21"/>
                <w:vertAlign w:val="baseline"/>
                <w:lang w:val="en-US" w:eastAsia="zh-CN"/>
              </w:rPr>
            </w:pPr>
          </w:p>
        </w:tc>
        <w:tc>
          <w:tcPr>
            <w:tcW w:w="1417" w:type="dxa"/>
            <w:vAlign w:val="center"/>
          </w:tcPr>
          <w:p w14:paraId="15C96200">
            <w:pPr>
              <w:pStyle w:val="15"/>
              <w:jc w:val="center"/>
              <w:rPr>
                <w:rFonts w:hint="eastAsia" w:ascii="仿宋_GB2312" w:hAnsi="仿宋_GB2312" w:eastAsia="仿宋_GB2312" w:cs="仿宋_GB2312"/>
                <w:sz w:val="21"/>
                <w:szCs w:val="21"/>
                <w:vertAlign w:val="baseline"/>
                <w:lang w:val="en-US" w:eastAsia="zh-CN"/>
              </w:rPr>
            </w:pPr>
          </w:p>
        </w:tc>
      </w:tr>
      <w:tr w14:paraId="626F7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14" w:type="dxa"/>
            <w:vAlign w:val="center"/>
          </w:tcPr>
          <w:p w14:paraId="54B7DC10">
            <w:pPr>
              <w:pStyle w:val="15"/>
              <w:jc w:val="center"/>
              <w:rPr>
                <w:rFonts w:hint="eastAsia" w:ascii="仿宋_GB2312" w:hAnsi="仿宋_GB2312" w:eastAsia="仿宋_GB2312" w:cs="仿宋_GB2312"/>
                <w:sz w:val="21"/>
                <w:szCs w:val="21"/>
                <w:vertAlign w:val="baseline"/>
                <w:lang w:val="en-US" w:eastAsia="zh-CN"/>
              </w:rPr>
            </w:pPr>
          </w:p>
        </w:tc>
        <w:tc>
          <w:tcPr>
            <w:tcW w:w="1171" w:type="dxa"/>
            <w:vAlign w:val="center"/>
          </w:tcPr>
          <w:p w14:paraId="6370E2C6">
            <w:pPr>
              <w:pStyle w:val="15"/>
              <w:jc w:val="center"/>
              <w:rPr>
                <w:rFonts w:hint="eastAsia" w:ascii="仿宋_GB2312" w:hAnsi="仿宋_GB2312" w:eastAsia="仿宋_GB2312" w:cs="仿宋_GB2312"/>
                <w:sz w:val="21"/>
                <w:szCs w:val="21"/>
                <w:vertAlign w:val="baseline"/>
                <w:lang w:val="en-US" w:eastAsia="zh-CN"/>
              </w:rPr>
            </w:pPr>
          </w:p>
        </w:tc>
        <w:tc>
          <w:tcPr>
            <w:tcW w:w="992" w:type="dxa"/>
            <w:vAlign w:val="center"/>
          </w:tcPr>
          <w:p w14:paraId="1ACD3372">
            <w:pPr>
              <w:pStyle w:val="15"/>
              <w:jc w:val="center"/>
              <w:rPr>
                <w:rFonts w:hint="eastAsia" w:ascii="仿宋_GB2312" w:hAnsi="仿宋_GB2312" w:eastAsia="仿宋_GB2312" w:cs="仿宋_GB2312"/>
                <w:sz w:val="21"/>
                <w:szCs w:val="21"/>
                <w:vertAlign w:val="baseline"/>
                <w:lang w:val="en-US" w:eastAsia="zh-CN"/>
              </w:rPr>
            </w:pPr>
          </w:p>
        </w:tc>
        <w:tc>
          <w:tcPr>
            <w:tcW w:w="705" w:type="dxa"/>
            <w:vAlign w:val="center"/>
          </w:tcPr>
          <w:p w14:paraId="0179BA55">
            <w:pPr>
              <w:pStyle w:val="15"/>
              <w:jc w:val="center"/>
              <w:rPr>
                <w:rFonts w:hint="eastAsia" w:ascii="仿宋_GB2312" w:hAnsi="仿宋_GB2312" w:eastAsia="仿宋_GB2312" w:cs="仿宋_GB2312"/>
                <w:sz w:val="21"/>
                <w:szCs w:val="21"/>
                <w:vertAlign w:val="baseline"/>
                <w:lang w:val="en-US" w:eastAsia="zh-CN"/>
              </w:rPr>
            </w:pPr>
          </w:p>
        </w:tc>
        <w:tc>
          <w:tcPr>
            <w:tcW w:w="942" w:type="dxa"/>
            <w:vAlign w:val="center"/>
          </w:tcPr>
          <w:p w14:paraId="17705C92">
            <w:pPr>
              <w:pStyle w:val="15"/>
              <w:jc w:val="center"/>
              <w:rPr>
                <w:rFonts w:hint="eastAsia" w:ascii="仿宋_GB2312" w:hAnsi="仿宋_GB2312" w:eastAsia="仿宋_GB2312" w:cs="仿宋_GB2312"/>
                <w:sz w:val="21"/>
                <w:szCs w:val="21"/>
                <w:vertAlign w:val="baseline"/>
                <w:lang w:val="en-US" w:eastAsia="zh-CN"/>
              </w:rPr>
            </w:pPr>
          </w:p>
        </w:tc>
        <w:tc>
          <w:tcPr>
            <w:tcW w:w="835" w:type="dxa"/>
            <w:vAlign w:val="center"/>
          </w:tcPr>
          <w:p w14:paraId="4D505B6C">
            <w:pPr>
              <w:pStyle w:val="15"/>
              <w:jc w:val="center"/>
              <w:rPr>
                <w:rFonts w:hint="eastAsia" w:ascii="仿宋_GB2312" w:hAnsi="仿宋_GB2312" w:eastAsia="仿宋_GB2312" w:cs="仿宋_GB2312"/>
                <w:sz w:val="21"/>
                <w:szCs w:val="21"/>
                <w:vertAlign w:val="baseline"/>
                <w:lang w:val="en-US" w:eastAsia="zh-CN"/>
              </w:rPr>
            </w:pPr>
          </w:p>
        </w:tc>
        <w:tc>
          <w:tcPr>
            <w:tcW w:w="828" w:type="dxa"/>
            <w:vAlign w:val="center"/>
          </w:tcPr>
          <w:p w14:paraId="4CF0AE80">
            <w:pPr>
              <w:pStyle w:val="15"/>
              <w:jc w:val="center"/>
              <w:rPr>
                <w:rFonts w:hint="eastAsia" w:ascii="仿宋_GB2312" w:hAnsi="仿宋_GB2312" w:eastAsia="仿宋_GB2312" w:cs="仿宋_GB2312"/>
                <w:sz w:val="21"/>
                <w:szCs w:val="21"/>
                <w:vertAlign w:val="baseline"/>
                <w:lang w:val="en-US" w:eastAsia="zh-CN"/>
              </w:rPr>
            </w:pPr>
          </w:p>
        </w:tc>
        <w:tc>
          <w:tcPr>
            <w:tcW w:w="1257" w:type="dxa"/>
            <w:vAlign w:val="center"/>
          </w:tcPr>
          <w:p w14:paraId="4822FC1D">
            <w:pPr>
              <w:pStyle w:val="15"/>
              <w:jc w:val="center"/>
              <w:rPr>
                <w:rFonts w:hint="eastAsia" w:ascii="仿宋_GB2312" w:hAnsi="仿宋_GB2312" w:eastAsia="仿宋_GB2312" w:cs="仿宋_GB2312"/>
                <w:sz w:val="21"/>
                <w:szCs w:val="21"/>
                <w:vertAlign w:val="baseline"/>
                <w:lang w:val="en-US" w:eastAsia="zh-CN"/>
              </w:rPr>
            </w:pPr>
          </w:p>
        </w:tc>
        <w:tc>
          <w:tcPr>
            <w:tcW w:w="1075" w:type="dxa"/>
            <w:vAlign w:val="center"/>
          </w:tcPr>
          <w:p w14:paraId="4D9B2C23">
            <w:pPr>
              <w:pStyle w:val="15"/>
              <w:jc w:val="center"/>
              <w:rPr>
                <w:rFonts w:hint="eastAsia" w:ascii="仿宋_GB2312" w:hAnsi="仿宋_GB2312" w:eastAsia="仿宋_GB2312" w:cs="仿宋_GB2312"/>
                <w:sz w:val="21"/>
                <w:szCs w:val="21"/>
                <w:vertAlign w:val="baseline"/>
                <w:lang w:val="en-US" w:eastAsia="zh-CN"/>
              </w:rPr>
            </w:pPr>
          </w:p>
        </w:tc>
        <w:tc>
          <w:tcPr>
            <w:tcW w:w="1417" w:type="dxa"/>
            <w:vAlign w:val="center"/>
          </w:tcPr>
          <w:p w14:paraId="0C3F6AA7">
            <w:pPr>
              <w:pStyle w:val="15"/>
              <w:jc w:val="center"/>
              <w:rPr>
                <w:rFonts w:hint="eastAsia" w:ascii="仿宋_GB2312" w:hAnsi="仿宋_GB2312" w:eastAsia="仿宋_GB2312" w:cs="仿宋_GB2312"/>
                <w:sz w:val="21"/>
                <w:szCs w:val="21"/>
                <w:vertAlign w:val="baseline"/>
                <w:lang w:val="en-US" w:eastAsia="zh-CN"/>
              </w:rPr>
            </w:pPr>
          </w:p>
        </w:tc>
      </w:tr>
      <w:tr w14:paraId="6888B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44" w:type="dxa"/>
            <w:gridSpan w:val="8"/>
            <w:vAlign w:val="center"/>
          </w:tcPr>
          <w:p w14:paraId="5D344E49">
            <w:pPr>
              <w:pStyle w:val="15"/>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总价（元）</w:t>
            </w:r>
          </w:p>
        </w:tc>
        <w:tc>
          <w:tcPr>
            <w:tcW w:w="1075" w:type="dxa"/>
            <w:vAlign w:val="center"/>
          </w:tcPr>
          <w:p w14:paraId="192B5FB1">
            <w:pPr>
              <w:pStyle w:val="15"/>
              <w:jc w:val="center"/>
              <w:rPr>
                <w:rFonts w:hint="eastAsia" w:ascii="仿宋_GB2312" w:hAnsi="仿宋_GB2312" w:eastAsia="仿宋_GB2312" w:cs="仿宋_GB2312"/>
                <w:sz w:val="21"/>
                <w:szCs w:val="21"/>
                <w:vertAlign w:val="baseline"/>
                <w:lang w:val="en-US" w:eastAsia="zh-CN"/>
              </w:rPr>
            </w:pPr>
          </w:p>
        </w:tc>
        <w:tc>
          <w:tcPr>
            <w:tcW w:w="1417" w:type="dxa"/>
            <w:vAlign w:val="center"/>
          </w:tcPr>
          <w:p w14:paraId="3D7F63C0">
            <w:pPr>
              <w:pStyle w:val="15"/>
              <w:jc w:val="center"/>
              <w:rPr>
                <w:rFonts w:hint="eastAsia" w:ascii="仿宋_GB2312" w:hAnsi="仿宋_GB2312" w:eastAsia="仿宋_GB2312" w:cs="仿宋_GB2312"/>
                <w:sz w:val="21"/>
                <w:szCs w:val="21"/>
                <w:vertAlign w:val="baseline"/>
                <w:lang w:val="en-US" w:eastAsia="zh-CN"/>
              </w:rPr>
            </w:pPr>
          </w:p>
        </w:tc>
      </w:tr>
    </w:tbl>
    <w:p w14:paraId="17B34251">
      <w:pPr>
        <w:pStyle w:val="15"/>
        <w:ind w:left="0" w:leftChars="0" w:firstLine="0" w:firstLineChars="0"/>
        <w:rPr>
          <w:rFonts w:hint="eastAsia" w:ascii="仿宋_GB2312" w:hAnsi="仿宋_GB2312" w:eastAsia="仿宋_GB2312" w:cs="仿宋_GB2312"/>
          <w:lang w:val="en-US" w:eastAsia="zh-CN"/>
        </w:rPr>
      </w:pPr>
    </w:p>
    <w:p w14:paraId="7F9D8558">
      <w:pPr>
        <w:pStyle w:val="13"/>
        <w:rPr>
          <w:rFonts w:hint="eastAsia" w:ascii="仿宋_GB2312" w:hAnsi="仿宋_GB2312" w:eastAsia="仿宋_GB2312" w:cs="仿宋_GB2312"/>
          <w:lang w:val="en-US" w:eastAsia="zh-CN"/>
        </w:rPr>
      </w:pPr>
    </w:p>
    <w:p w14:paraId="63420442">
      <w:p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注：1.本表应按包分别填写。</w:t>
      </w:r>
    </w:p>
    <w:p w14:paraId="62D0656B">
      <w:p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2.如果不提供分项报价将视为没有实质性响应招标文件。</w:t>
      </w:r>
    </w:p>
    <w:p w14:paraId="0810ADD4">
      <w:p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3.上述各项的详细规格（如有），可另页描述。</w:t>
      </w:r>
    </w:p>
    <w:p w14:paraId="03B83AAD">
      <w:pPr>
        <w:spacing w:line="360" w:lineRule="auto"/>
        <w:rPr>
          <w:rFonts w:hint="eastAsia" w:ascii="仿宋_GB2312" w:hAnsi="仿宋_GB2312" w:eastAsia="仿宋_GB2312" w:cs="仿宋_GB2312"/>
          <w:sz w:val="24"/>
          <w:szCs w:val="24"/>
          <w:lang w:val="en-US" w:eastAsia="zh-CN"/>
        </w:rPr>
      </w:pPr>
    </w:p>
    <w:p w14:paraId="4E203336">
      <w:pPr>
        <w:spacing w:line="360" w:lineRule="auto"/>
        <w:rPr>
          <w:rFonts w:hint="eastAsia" w:ascii="仿宋_GB2312" w:hAnsi="仿宋_GB2312" w:eastAsia="仿宋_GB2312" w:cs="仿宋_GB2312"/>
          <w:sz w:val="24"/>
          <w:szCs w:val="24"/>
          <w:lang w:val="en-US" w:eastAsia="zh-CN"/>
        </w:rPr>
      </w:pPr>
    </w:p>
    <w:p w14:paraId="281CF734">
      <w:p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投标人名称（加盖公章）：____________</w:t>
      </w:r>
    </w:p>
    <w:p w14:paraId="5B310665">
      <w:p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日期：_____年______月______日</w:t>
      </w:r>
    </w:p>
    <w:p w14:paraId="42907017">
      <w:pPr>
        <w:pStyle w:val="16"/>
        <w:rPr>
          <w:rFonts w:hint="eastAsia" w:ascii="仿宋_GB2312" w:hAnsi="仿宋_GB2312" w:eastAsia="仿宋_GB2312" w:cs="仿宋_GB2312"/>
          <w:sz w:val="24"/>
          <w:szCs w:val="24"/>
          <w:lang w:val="en-US" w:eastAsia="zh-CN"/>
        </w:rPr>
      </w:pPr>
    </w:p>
    <w:p w14:paraId="77274BCD">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br w:type="page"/>
      </w:r>
    </w:p>
    <w:p w14:paraId="59525C0C">
      <w:pPr>
        <w:pStyle w:val="13"/>
        <w:ind w:left="0" w:leftChars="0" w:firstLine="0" w:firstLineChars="0"/>
        <w:jc w:val="left"/>
        <w:outlineLvl w:val="1"/>
        <w:rPr>
          <w:rFonts w:hint="eastAsia" w:ascii="仿宋_GB2312" w:hAnsi="仿宋_GB2312" w:eastAsia="仿宋_GB2312" w:cs="仿宋_GB2312"/>
          <w:sz w:val="24"/>
          <w:szCs w:val="24"/>
          <w:lang w:val="en-US" w:eastAsia="zh-CN"/>
        </w:rPr>
      </w:pPr>
      <w:bookmarkStart w:id="45" w:name="_Toc6119"/>
      <w:r>
        <w:rPr>
          <w:rFonts w:hint="eastAsia" w:ascii="仿宋_GB2312" w:hAnsi="仿宋_GB2312" w:eastAsia="仿宋_GB2312" w:cs="仿宋_GB2312"/>
          <w:sz w:val="24"/>
          <w:szCs w:val="24"/>
          <w:lang w:val="en-US" w:eastAsia="zh-CN"/>
        </w:rPr>
        <w:t>8  合同条款偏离表</w:t>
      </w:r>
      <w:bookmarkEnd w:id="45"/>
    </w:p>
    <w:p w14:paraId="79C944CA">
      <w:pPr>
        <w:pStyle w:val="13"/>
        <w:ind w:left="0" w:leftChars="0" w:firstLine="0" w:firstLineChars="0"/>
        <w:jc w:val="center"/>
        <w:rPr>
          <w:rFonts w:hint="eastAsia" w:ascii="仿宋_GB2312" w:hAnsi="仿宋_GB2312" w:eastAsia="仿宋_GB2312" w:cs="仿宋_GB2312"/>
          <w:sz w:val="32"/>
          <w:szCs w:val="32"/>
          <w:lang w:val="en-US" w:eastAsia="zh-CN"/>
        </w:rPr>
      </w:pPr>
    </w:p>
    <w:p w14:paraId="66D05901">
      <w:pPr>
        <w:jc w:val="center"/>
        <w:rPr>
          <w:rFonts w:hint="eastAsia" w:ascii="仿宋_GB2312" w:hAnsi="仿宋_GB2312" w:eastAsia="仿宋_GB2312" w:cs="仿宋_GB2312"/>
          <w:b/>
          <w:bCs/>
          <w:i w:val="0"/>
          <w:iCs w:val="0"/>
          <w:sz w:val="32"/>
          <w:szCs w:val="32"/>
          <w:lang w:val="en-US" w:eastAsia="zh-CN"/>
        </w:rPr>
      </w:pPr>
      <w:r>
        <w:rPr>
          <w:rFonts w:hint="eastAsia" w:ascii="仿宋_GB2312" w:hAnsi="仿宋_GB2312" w:eastAsia="仿宋_GB2312" w:cs="仿宋_GB2312"/>
          <w:b/>
          <w:bCs/>
          <w:i w:val="0"/>
          <w:iCs w:val="0"/>
          <w:sz w:val="32"/>
          <w:szCs w:val="32"/>
          <w:lang w:val="en-US" w:eastAsia="zh-CN"/>
        </w:rPr>
        <w:t>合同条款偏离表</w:t>
      </w:r>
    </w:p>
    <w:p w14:paraId="5ED3B3B4">
      <w:pPr>
        <w:pStyle w:val="16"/>
        <w:ind w:left="0" w:leftChars="0" w:firstLine="0" w:firstLineChars="0"/>
        <w:rPr>
          <w:rFonts w:hint="eastAsia"/>
          <w:lang w:val="en-US" w:eastAsia="zh-CN"/>
        </w:rPr>
      </w:pPr>
    </w:p>
    <w:p w14:paraId="10CB3041">
      <w:pPr>
        <w:pStyle w:val="13"/>
        <w:ind w:left="0" w:leftChars="0" w:firstLine="0" w:firstLineChars="0"/>
        <w:jc w:val="left"/>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项目编号/包号：</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lang w:val="en-US" w:eastAsia="zh-CN"/>
        </w:rPr>
        <w:t xml:space="preserve">            项目名称：</w:t>
      </w:r>
      <w:r>
        <w:rPr>
          <w:rFonts w:hint="eastAsia" w:ascii="仿宋_GB2312" w:hAnsi="仿宋_GB2312" w:eastAsia="仿宋_GB2312" w:cs="仿宋_GB2312"/>
          <w:u w:val="single"/>
          <w:lang w:val="en-US" w:eastAsia="zh-CN"/>
        </w:rPr>
        <w:t xml:space="preserve">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421"/>
        <w:gridCol w:w="1901"/>
        <w:gridCol w:w="1753"/>
        <w:gridCol w:w="1561"/>
        <w:gridCol w:w="1052"/>
      </w:tblGrid>
      <w:tr w14:paraId="5A366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8522" w:type="dxa"/>
            <w:gridSpan w:val="6"/>
          </w:tcPr>
          <w:p w14:paraId="5B6DD1BE">
            <w:pPr>
              <w:spacing w:line="360" w:lineRule="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对本项目合同条款的偏离情况（请进行勾选）：</w:t>
            </w:r>
          </w:p>
          <w:p w14:paraId="7A04BFFF">
            <w:pPr>
              <w:spacing w:line="360" w:lineRule="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r>
              <w:rPr>
                <w:rFonts w:hint="eastAsia" w:ascii="仿宋_GB2312" w:hAnsi="仿宋_GB2312" w:eastAsia="仿宋_GB2312" w:cs="仿宋_GB2312"/>
                <w:b/>
                <w:bCs/>
                <w:sz w:val="24"/>
                <w:szCs w:val="24"/>
                <w:vertAlign w:val="baseline"/>
                <w:lang w:val="en-US" w:eastAsia="zh-CN"/>
              </w:rPr>
              <w:t>无偏离</w:t>
            </w:r>
            <w:r>
              <w:rPr>
                <w:rFonts w:hint="eastAsia" w:ascii="仿宋_GB2312" w:hAnsi="仿宋_GB2312" w:eastAsia="仿宋_GB2312" w:cs="仿宋_GB2312"/>
                <w:sz w:val="24"/>
                <w:szCs w:val="24"/>
                <w:vertAlign w:val="baseline"/>
                <w:lang w:val="en-US" w:eastAsia="zh-CN"/>
              </w:rPr>
              <w:t>（如无偏离，仅选择无偏离即可；无偏离即为对合同条款中的所有要求，均视作供应商已对之理解和响应。）</w:t>
            </w:r>
          </w:p>
          <w:p w14:paraId="761FE90B">
            <w:pPr>
              <w:spacing w:line="360" w:lineRule="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r>
              <w:rPr>
                <w:rFonts w:hint="eastAsia" w:ascii="仿宋_GB2312" w:hAnsi="仿宋_GB2312" w:eastAsia="仿宋_GB2312" w:cs="仿宋_GB2312"/>
                <w:b/>
                <w:bCs/>
                <w:sz w:val="24"/>
                <w:szCs w:val="24"/>
                <w:vertAlign w:val="baseline"/>
                <w:lang w:val="en-US" w:eastAsia="zh-CN"/>
              </w:rPr>
              <w:t>有偏离</w:t>
            </w:r>
            <w:r>
              <w:rPr>
                <w:rFonts w:hint="eastAsia" w:ascii="仿宋_GB2312" w:hAnsi="仿宋_GB2312" w:eastAsia="仿宋_GB2312" w:cs="仿宋_GB2312"/>
                <w:sz w:val="24"/>
                <w:szCs w:val="24"/>
                <w:vertAlign w:val="baseline"/>
                <w:lang w:val="en-US" w:eastAsia="zh-CN"/>
              </w:rPr>
              <w:t>（如有偏离，则应在本表中对偏离项逐一列明，否则投标无效；对合同条款中的所有要求，除本表列明的偏离外，均视作供应商已对之理解和响应。）</w:t>
            </w:r>
          </w:p>
        </w:tc>
      </w:tr>
      <w:tr w14:paraId="47267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2D1789B2">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序号</w:t>
            </w:r>
          </w:p>
        </w:tc>
        <w:tc>
          <w:tcPr>
            <w:tcW w:w="1421" w:type="dxa"/>
            <w:vAlign w:val="center"/>
          </w:tcPr>
          <w:p w14:paraId="446A89E9">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招标文件</w:t>
            </w:r>
          </w:p>
          <w:p w14:paraId="08291FF3">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条目号</w:t>
            </w:r>
          </w:p>
          <w:p w14:paraId="67F888CC">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（页码）</w:t>
            </w:r>
          </w:p>
        </w:tc>
        <w:tc>
          <w:tcPr>
            <w:tcW w:w="1901" w:type="dxa"/>
            <w:vAlign w:val="center"/>
          </w:tcPr>
          <w:p w14:paraId="559B715C">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招标文件要求</w:t>
            </w:r>
          </w:p>
        </w:tc>
        <w:tc>
          <w:tcPr>
            <w:tcW w:w="1753" w:type="dxa"/>
            <w:vAlign w:val="center"/>
          </w:tcPr>
          <w:p w14:paraId="40680A02">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投标文件内容</w:t>
            </w:r>
          </w:p>
        </w:tc>
        <w:tc>
          <w:tcPr>
            <w:tcW w:w="1561" w:type="dxa"/>
            <w:vAlign w:val="center"/>
          </w:tcPr>
          <w:p w14:paraId="55D2106C">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偏离情况</w:t>
            </w:r>
          </w:p>
        </w:tc>
        <w:tc>
          <w:tcPr>
            <w:tcW w:w="1052" w:type="dxa"/>
            <w:vAlign w:val="center"/>
          </w:tcPr>
          <w:p w14:paraId="5BC84273">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说明</w:t>
            </w:r>
          </w:p>
        </w:tc>
      </w:tr>
      <w:tr w14:paraId="42F30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34" w:type="dxa"/>
          </w:tcPr>
          <w:p w14:paraId="1C68DA8D">
            <w:pPr>
              <w:rPr>
                <w:rFonts w:hint="eastAsia" w:ascii="仿宋_GB2312" w:hAnsi="仿宋_GB2312" w:eastAsia="仿宋_GB2312" w:cs="仿宋_GB2312"/>
                <w:sz w:val="24"/>
                <w:szCs w:val="24"/>
                <w:vertAlign w:val="baseline"/>
                <w:lang w:val="en-US" w:eastAsia="zh-CN"/>
              </w:rPr>
            </w:pPr>
          </w:p>
        </w:tc>
        <w:tc>
          <w:tcPr>
            <w:tcW w:w="1421" w:type="dxa"/>
          </w:tcPr>
          <w:p w14:paraId="71510325">
            <w:pPr>
              <w:rPr>
                <w:rFonts w:hint="eastAsia" w:ascii="仿宋_GB2312" w:hAnsi="仿宋_GB2312" w:eastAsia="仿宋_GB2312" w:cs="仿宋_GB2312"/>
                <w:sz w:val="24"/>
                <w:szCs w:val="24"/>
                <w:vertAlign w:val="baseline"/>
                <w:lang w:val="en-US" w:eastAsia="zh-CN"/>
              </w:rPr>
            </w:pPr>
          </w:p>
        </w:tc>
        <w:tc>
          <w:tcPr>
            <w:tcW w:w="1901" w:type="dxa"/>
          </w:tcPr>
          <w:p w14:paraId="2A7E19BC">
            <w:pPr>
              <w:rPr>
                <w:rFonts w:hint="eastAsia" w:ascii="仿宋_GB2312" w:hAnsi="仿宋_GB2312" w:eastAsia="仿宋_GB2312" w:cs="仿宋_GB2312"/>
                <w:sz w:val="24"/>
                <w:szCs w:val="24"/>
                <w:vertAlign w:val="baseline"/>
                <w:lang w:val="en-US" w:eastAsia="zh-CN"/>
              </w:rPr>
            </w:pPr>
          </w:p>
        </w:tc>
        <w:tc>
          <w:tcPr>
            <w:tcW w:w="1753" w:type="dxa"/>
          </w:tcPr>
          <w:p w14:paraId="6667F79E">
            <w:pPr>
              <w:rPr>
                <w:rFonts w:hint="eastAsia" w:ascii="仿宋_GB2312" w:hAnsi="仿宋_GB2312" w:eastAsia="仿宋_GB2312" w:cs="仿宋_GB2312"/>
                <w:sz w:val="24"/>
                <w:szCs w:val="24"/>
                <w:vertAlign w:val="baseline"/>
                <w:lang w:val="en-US" w:eastAsia="zh-CN"/>
              </w:rPr>
            </w:pPr>
          </w:p>
        </w:tc>
        <w:tc>
          <w:tcPr>
            <w:tcW w:w="1561" w:type="dxa"/>
          </w:tcPr>
          <w:p w14:paraId="265E7A2D">
            <w:pPr>
              <w:rPr>
                <w:rFonts w:hint="eastAsia" w:ascii="仿宋_GB2312" w:hAnsi="仿宋_GB2312" w:eastAsia="仿宋_GB2312" w:cs="仿宋_GB2312"/>
                <w:sz w:val="24"/>
                <w:szCs w:val="24"/>
                <w:vertAlign w:val="baseline"/>
                <w:lang w:val="en-US" w:eastAsia="zh-CN"/>
              </w:rPr>
            </w:pPr>
          </w:p>
        </w:tc>
        <w:tc>
          <w:tcPr>
            <w:tcW w:w="1052" w:type="dxa"/>
          </w:tcPr>
          <w:p w14:paraId="4281193A">
            <w:pPr>
              <w:rPr>
                <w:rFonts w:hint="eastAsia" w:ascii="仿宋_GB2312" w:hAnsi="仿宋_GB2312" w:eastAsia="仿宋_GB2312" w:cs="仿宋_GB2312"/>
                <w:sz w:val="24"/>
                <w:szCs w:val="24"/>
                <w:vertAlign w:val="baseline"/>
                <w:lang w:val="en-US" w:eastAsia="zh-CN"/>
              </w:rPr>
            </w:pPr>
          </w:p>
        </w:tc>
      </w:tr>
      <w:tr w14:paraId="63C44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4" w:type="dxa"/>
          </w:tcPr>
          <w:p w14:paraId="3FBC007C">
            <w:pPr>
              <w:rPr>
                <w:rFonts w:hint="eastAsia" w:ascii="仿宋_GB2312" w:hAnsi="仿宋_GB2312" w:eastAsia="仿宋_GB2312" w:cs="仿宋_GB2312"/>
                <w:sz w:val="24"/>
                <w:szCs w:val="24"/>
                <w:vertAlign w:val="baseline"/>
                <w:lang w:val="en-US" w:eastAsia="zh-CN"/>
              </w:rPr>
            </w:pPr>
          </w:p>
        </w:tc>
        <w:tc>
          <w:tcPr>
            <w:tcW w:w="1421" w:type="dxa"/>
          </w:tcPr>
          <w:p w14:paraId="0F15DDA1">
            <w:pPr>
              <w:rPr>
                <w:rFonts w:hint="eastAsia" w:ascii="仿宋_GB2312" w:hAnsi="仿宋_GB2312" w:eastAsia="仿宋_GB2312" w:cs="仿宋_GB2312"/>
                <w:sz w:val="24"/>
                <w:szCs w:val="24"/>
                <w:vertAlign w:val="baseline"/>
                <w:lang w:val="en-US" w:eastAsia="zh-CN"/>
              </w:rPr>
            </w:pPr>
          </w:p>
        </w:tc>
        <w:tc>
          <w:tcPr>
            <w:tcW w:w="1901" w:type="dxa"/>
          </w:tcPr>
          <w:p w14:paraId="68011AB1">
            <w:pPr>
              <w:rPr>
                <w:rFonts w:hint="eastAsia" w:ascii="仿宋_GB2312" w:hAnsi="仿宋_GB2312" w:eastAsia="仿宋_GB2312" w:cs="仿宋_GB2312"/>
                <w:sz w:val="24"/>
                <w:szCs w:val="24"/>
                <w:vertAlign w:val="baseline"/>
                <w:lang w:val="en-US" w:eastAsia="zh-CN"/>
              </w:rPr>
            </w:pPr>
          </w:p>
        </w:tc>
        <w:tc>
          <w:tcPr>
            <w:tcW w:w="1753" w:type="dxa"/>
          </w:tcPr>
          <w:p w14:paraId="2DC71EF2">
            <w:pPr>
              <w:rPr>
                <w:rFonts w:hint="eastAsia" w:ascii="仿宋_GB2312" w:hAnsi="仿宋_GB2312" w:eastAsia="仿宋_GB2312" w:cs="仿宋_GB2312"/>
                <w:sz w:val="24"/>
                <w:szCs w:val="24"/>
                <w:vertAlign w:val="baseline"/>
                <w:lang w:val="en-US" w:eastAsia="zh-CN"/>
              </w:rPr>
            </w:pPr>
          </w:p>
        </w:tc>
        <w:tc>
          <w:tcPr>
            <w:tcW w:w="1561" w:type="dxa"/>
          </w:tcPr>
          <w:p w14:paraId="7958F49E">
            <w:pPr>
              <w:rPr>
                <w:rFonts w:hint="eastAsia" w:ascii="仿宋_GB2312" w:hAnsi="仿宋_GB2312" w:eastAsia="仿宋_GB2312" w:cs="仿宋_GB2312"/>
                <w:sz w:val="24"/>
                <w:szCs w:val="24"/>
                <w:vertAlign w:val="baseline"/>
                <w:lang w:val="en-US" w:eastAsia="zh-CN"/>
              </w:rPr>
            </w:pPr>
          </w:p>
        </w:tc>
        <w:tc>
          <w:tcPr>
            <w:tcW w:w="1052" w:type="dxa"/>
          </w:tcPr>
          <w:p w14:paraId="1AD48850">
            <w:pPr>
              <w:rPr>
                <w:rFonts w:hint="eastAsia" w:ascii="仿宋_GB2312" w:hAnsi="仿宋_GB2312" w:eastAsia="仿宋_GB2312" w:cs="仿宋_GB2312"/>
                <w:sz w:val="24"/>
                <w:szCs w:val="24"/>
                <w:vertAlign w:val="baseline"/>
                <w:lang w:val="en-US" w:eastAsia="zh-CN"/>
              </w:rPr>
            </w:pPr>
          </w:p>
        </w:tc>
      </w:tr>
      <w:tr w14:paraId="4F407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34" w:type="dxa"/>
          </w:tcPr>
          <w:p w14:paraId="5A182C15">
            <w:pPr>
              <w:rPr>
                <w:rFonts w:hint="eastAsia" w:ascii="仿宋_GB2312" w:hAnsi="仿宋_GB2312" w:eastAsia="仿宋_GB2312" w:cs="仿宋_GB2312"/>
                <w:sz w:val="24"/>
                <w:szCs w:val="24"/>
                <w:vertAlign w:val="baseline"/>
                <w:lang w:val="en-US" w:eastAsia="zh-CN"/>
              </w:rPr>
            </w:pPr>
          </w:p>
        </w:tc>
        <w:tc>
          <w:tcPr>
            <w:tcW w:w="1421" w:type="dxa"/>
          </w:tcPr>
          <w:p w14:paraId="461E3C88">
            <w:pPr>
              <w:rPr>
                <w:rFonts w:hint="eastAsia" w:ascii="仿宋_GB2312" w:hAnsi="仿宋_GB2312" w:eastAsia="仿宋_GB2312" w:cs="仿宋_GB2312"/>
                <w:sz w:val="24"/>
                <w:szCs w:val="24"/>
                <w:vertAlign w:val="baseline"/>
                <w:lang w:val="en-US" w:eastAsia="zh-CN"/>
              </w:rPr>
            </w:pPr>
          </w:p>
        </w:tc>
        <w:tc>
          <w:tcPr>
            <w:tcW w:w="1901" w:type="dxa"/>
          </w:tcPr>
          <w:p w14:paraId="10AEC831">
            <w:pPr>
              <w:rPr>
                <w:rFonts w:hint="eastAsia" w:ascii="仿宋_GB2312" w:hAnsi="仿宋_GB2312" w:eastAsia="仿宋_GB2312" w:cs="仿宋_GB2312"/>
                <w:sz w:val="24"/>
                <w:szCs w:val="24"/>
                <w:vertAlign w:val="baseline"/>
                <w:lang w:val="en-US" w:eastAsia="zh-CN"/>
              </w:rPr>
            </w:pPr>
          </w:p>
        </w:tc>
        <w:tc>
          <w:tcPr>
            <w:tcW w:w="1753" w:type="dxa"/>
          </w:tcPr>
          <w:p w14:paraId="6D936F5C">
            <w:pPr>
              <w:rPr>
                <w:rFonts w:hint="eastAsia" w:ascii="仿宋_GB2312" w:hAnsi="仿宋_GB2312" w:eastAsia="仿宋_GB2312" w:cs="仿宋_GB2312"/>
                <w:sz w:val="24"/>
                <w:szCs w:val="24"/>
                <w:vertAlign w:val="baseline"/>
                <w:lang w:val="en-US" w:eastAsia="zh-CN"/>
              </w:rPr>
            </w:pPr>
          </w:p>
        </w:tc>
        <w:tc>
          <w:tcPr>
            <w:tcW w:w="1561" w:type="dxa"/>
          </w:tcPr>
          <w:p w14:paraId="013BFB7C">
            <w:pPr>
              <w:rPr>
                <w:rFonts w:hint="eastAsia" w:ascii="仿宋_GB2312" w:hAnsi="仿宋_GB2312" w:eastAsia="仿宋_GB2312" w:cs="仿宋_GB2312"/>
                <w:sz w:val="24"/>
                <w:szCs w:val="24"/>
                <w:vertAlign w:val="baseline"/>
                <w:lang w:val="en-US" w:eastAsia="zh-CN"/>
              </w:rPr>
            </w:pPr>
          </w:p>
        </w:tc>
        <w:tc>
          <w:tcPr>
            <w:tcW w:w="1052" w:type="dxa"/>
          </w:tcPr>
          <w:p w14:paraId="61D87199">
            <w:pPr>
              <w:rPr>
                <w:rFonts w:hint="eastAsia" w:ascii="仿宋_GB2312" w:hAnsi="仿宋_GB2312" w:eastAsia="仿宋_GB2312" w:cs="仿宋_GB2312"/>
                <w:sz w:val="24"/>
                <w:szCs w:val="24"/>
                <w:vertAlign w:val="baseline"/>
                <w:lang w:val="en-US" w:eastAsia="zh-CN"/>
              </w:rPr>
            </w:pPr>
          </w:p>
        </w:tc>
      </w:tr>
      <w:tr w14:paraId="49F51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34" w:type="dxa"/>
          </w:tcPr>
          <w:p w14:paraId="472C71A4">
            <w:pPr>
              <w:rPr>
                <w:rFonts w:hint="eastAsia" w:ascii="仿宋_GB2312" w:hAnsi="仿宋_GB2312" w:eastAsia="仿宋_GB2312" w:cs="仿宋_GB2312"/>
                <w:sz w:val="24"/>
                <w:szCs w:val="24"/>
                <w:vertAlign w:val="baseline"/>
                <w:lang w:val="en-US" w:eastAsia="zh-CN"/>
              </w:rPr>
            </w:pPr>
          </w:p>
        </w:tc>
        <w:tc>
          <w:tcPr>
            <w:tcW w:w="1421" w:type="dxa"/>
          </w:tcPr>
          <w:p w14:paraId="173AD64B">
            <w:pPr>
              <w:rPr>
                <w:rFonts w:hint="eastAsia" w:ascii="仿宋_GB2312" w:hAnsi="仿宋_GB2312" w:eastAsia="仿宋_GB2312" w:cs="仿宋_GB2312"/>
                <w:sz w:val="24"/>
                <w:szCs w:val="24"/>
                <w:vertAlign w:val="baseline"/>
                <w:lang w:val="en-US" w:eastAsia="zh-CN"/>
              </w:rPr>
            </w:pPr>
          </w:p>
        </w:tc>
        <w:tc>
          <w:tcPr>
            <w:tcW w:w="1901" w:type="dxa"/>
          </w:tcPr>
          <w:p w14:paraId="481BC029">
            <w:pPr>
              <w:rPr>
                <w:rFonts w:hint="eastAsia" w:ascii="仿宋_GB2312" w:hAnsi="仿宋_GB2312" w:eastAsia="仿宋_GB2312" w:cs="仿宋_GB2312"/>
                <w:sz w:val="24"/>
                <w:szCs w:val="24"/>
                <w:vertAlign w:val="baseline"/>
                <w:lang w:val="en-US" w:eastAsia="zh-CN"/>
              </w:rPr>
            </w:pPr>
          </w:p>
        </w:tc>
        <w:tc>
          <w:tcPr>
            <w:tcW w:w="1753" w:type="dxa"/>
          </w:tcPr>
          <w:p w14:paraId="2C92EE44">
            <w:pPr>
              <w:rPr>
                <w:rFonts w:hint="eastAsia" w:ascii="仿宋_GB2312" w:hAnsi="仿宋_GB2312" w:eastAsia="仿宋_GB2312" w:cs="仿宋_GB2312"/>
                <w:sz w:val="24"/>
                <w:szCs w:val="24"/>
                <w:vertAlign w:val="baseline"/>
                <w:lang w:val="en-US" w:eastAsia="zh-CN"/>
              </w:rPr>
            </w:pPr>
          </w:p>
        </w:tc>
        <w:tc>
          <w:tcPr>
            <w:tcW w:w="1561" w:type="dxa"/>
          </w:tcPr>
          <w:p w14:paraId="73444AB4">
            <w:pPr>
              <w:rPr>
                <w:rFonts w:hint="eastAsia" w:ascii="仿宋_GB2312" w:hAnsi="仿宋_GB2312" w:eastAsia="仿宋_GB2312" w:cs="仿宋_GB2312"/>
                <w:sz w:val="24"/>
                <w:szCs w:val="24"/>
                <w:vertAlign w:val="baseline"/>
                <w:lang w:val="en-US" w:eastAsia="zh-CN"/>
              </w:rPr>
            </w:pPr>
          </w:p>
        </w:tc>
        <w:tc>
          <w:tcPr>
            <w:tcW w:w="1052" w:type="dxa"/>
          </w:tcPr>
          <w:p w14:paraId="3429AA56">
            <w:pPr>
              <w:rPr>
                <w:rFonts w:hint="eastAsia" w:ascii="仿宋_GB2312" w:hAnsi="仿宋_GB2312" w:eastAsia="仿宋_GB2312" w:cs="仿宋_GB2312"/>
                <w:sz w:val="24"/>
                <w:szCs w:val="24"/>
                <w:vertAlign w:val="baseline"/>
                <w:lang w:val="en-US" w:eastAsia="zh-CN"/>
              </w:rPr>
            </w:pPr>
          </w:p>
        </w:tc>
      </w:tr>
      <w:tr w14:paraId="1ACB6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34" w:type="dxa"/>
          </w:tcPr>
          <w:p w14:paraId="56CA7468">
            <w:pPr>
              <w:rPr>
                <w:rFonts w:hint="eastAsia" w:ascii="仿宋_GB2312" w:hAnsi="仿宋_GB2312" w:eastAsia="仿宋_GB2312" w:cs="仿宋_GB2312"/>
                <w:sz w:val="24"/>
                <w:szCs w:val="24"/>
                <w:vertAlign w:val="baseline"/>
                <w:lang w:val="en-US" w:eastAsia="zh-CN"/>
              </w:rPr>
            </w:pPr>
          </w:p>
        </w:tc>
        <w:tc>
          <w:tcPr>
            <w:tcW w:w="1421" w:type="dxa"/>
          </w:tcPr>
          <w:p w14:paraId="3F22D53C">
            <w:pPr>
              <w:rPr>
                <w:rFonts w:hint="eastAsia" w:ascii="仿宋_GB2312" w:hAnsi="仿宋_GB2312" w:eastAsia="仿宋_GB2312" w:cs="仿宋_GB2312"/>
                <w:sz w:val="24"/>
                <w:szCs w:val="24"/>
                <w:vertAlign w:val="baseline"/>
                <w:lang w:val="en-US" w:eastAsia="zh-CN"/>
              </w:rPr>
            </w:pPr>
          </w:p>
        </w:tc>
        <w:tc>
          <w:tcPr>
            <w:tcW w:w="1901" w:type="dxa"/>
          </w:tcPr>
          <w:p w14:paraId="5BDB8EA2">
            <w:pPr>
              <w:rPr>
                <w:rFonts w:hint="eastAsia" w:ascii="仿宋_GB2312" w:hAnsi="仿宋_GB2312" w:eastAsia="仿宋_GB2312" w:cs="仿宋_GB2312"/>
                <w:sz w:val="24"/>
                <w:szCs w:val="24"/>
                <w:vertAlign w:val="baseline"/>
                <w:lang w:val="en-US" w:eastAsia="zh-CN"/>
              </w:rPr>
            </w:pPr>
          </w:p>
        </w:tc>
        <w:tc>
          <w:tcPr>
            <w:tcW w:w="1753" w:type="dxa"/>
          </w:tcPr>
          <w:p w14:paraId="57DF6391">
            <w:pPr>
              <w:rPr>
                <w:rFonts w:hint="eastAsia" w:ascii="仿宋_GB2312" w:hAnsi="仿宋_GB2312" w:eastAsia="仿宋_GB2312" w:cs="仿宋_GB2312"/>
                <w:sz w:val="24"/>
                <w:szCs w:val="24"/>
                <w:vertAlign w:val="baseline"/>
                <w:lang w:val="en-US" w:eastAsia="zh-CN"/>
              </w:rPr>
            </w:pPr>
          </w:p>
        </w:tc>
        <w:tc>
          <w:tcPr>
            <w:tcW w:w="1561" w:type="dxa"/>
          </w:tcPr>
          <w:p w14:paraId="7BDB1293">
            <w:pPr>
              <w:rPr>
                <w:rFonts w:hint="eastAsia" w:ascii="仿宋_GB2312" w:hAnsi="仿宋_GB2312" w:eastAsia="仿宋_GB2312" w:cs="仿宋_GB2312"/>
                <w:sz w:val="24"/>
                <w:szCs w:val="24"/>
                <w:vertAlign w:val="baseline"/>
                <w:lang w:val="en-US" w:eastAsia="zh-CN"/>
              </w:rPr>
            </w:pPr>
          </w:p>
        </w:tc>
        <w:tc>
          <w:tcPr>
            <w:tcW w:w="1052" w:type="dxa"/>
          </w:tcPr>
          <w:p w14:paraId="4D1BFCF4">
            <w:pPr>
              <w:rPr>
                <w:rFonts w:hint="eastAsia" w:ascii="仿宋_GB2312" w:hAnsi="仿宋_GB2312" w:eastAsia="仿宋_GB2312" w:cs="仿宋_GB2312"/>
                <w:sz w:val="24"/>
                <w:szCs w:val="24"/>
                <w:vertAlign w:val="baseline"/>
                <w:lang w:val="en-US" w:eastAsia="zh-CN"/>
              </w:rPr>
            </w:pPr>
          </w:p>
        </w:tc>
      </w:tr>
    </w:tbl>
    <w:p w14:paraId="1E128E0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注：</w:t>
      </w:r>
    </w:p>
    <w:p w14:paraId="6C6145E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 对合同条款中的所有要求，除本表所列明的所有偏离外，均视作供应商已对之理解和响应。</w:t>
      </w:r>
    </w:p>
    <w:p w14:paraId="62822CE2">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_GB2312" w:hAnsi="仿宋_GB2312" w:eastAsia="仿宋_GB2312" w:cs="仿宋_GB2312"/>
          <w:sz w:val="24"/>
          <w:szCs w:val="24"/>
          <w:lang w:val="en-US" w:eastAsia="zh-CN"/>
        </w:rPr>
      </w:pPr>
      <w:bookmarkStart w:id="46" w:name="_Toc6441"/>
      <w:r>
        <w:rPr>
          <w:rFonts w:hint="eastAsia" w:ascii="仿宋_GB2312" w:hAnsi="仿宋_GB2312" w:eastAsia="仿宋_GB2312" w:cs="仿宋_GB2312"/>
          <w:sz w:val="24"/>
          <w:szCs w:val="24"/>
          <w:lang w:val="en-US" w:eastAsia="zh-CN"/>
        </w:rPr>
        <w:t>2. “偏离情况”列应据实填写“正偏离”或“负偏离”。</w:t>
      </w:r>
      <w:bookmarkEnd w:id="46"/>
    </w:p>
    <w:p w14:paraId="07738F4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lang w:val="en-US" w:eastAsia="zh-CN"/>
        </w:rPr>
      </w:pPr>
    </w:p>
    <w:p w14:paraId="74E7FC8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lang w:val="en-US" w:eastAsia="zh-CN"/>
        </w:rPr>
      </w:pPr>
    </w:p>
    <w:p w14:paraId="3700215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投标人名称（加盖公章）： </w:t>
      </w:r>
    </w:p>
    <w:p w14:paraId="48D6E6D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日期：    年   月   日</w:t>
      </w:r>
    </w:p>
    <w:p w14:paraId="3E5F7EC1">
      <w:pPr>
        <w:pStyle w:val="16"/>
        <w:rPr>
          <w:rFonts w:hint="eastAsia" w:ascii="仿宋_GB2312" w:hAnsi="仿宋_GB2312" w:eastAsia="仿宋_GB2312" w:cs="仿宋_GB2312"/>
          <w:sz w:val="24"/>
          <w:szCs w:val="24"/>
          <w:lang w:val="en-US" w:eastAsia="zh-CN"/>
        </w:rPr>
      </w:pPr>
    </w:p>
    <w:p w14:paraId="302868F5">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br w:type="page"/>
      </w:r>
    </w:p>
    <w:p w14:paraId="295605CA">
      <w:pPr>
        <w:pStyle w:val="13"/>
        <w:ind w:left="0" w:leftChars="0" w:firstLine="0" w:firstLineChars="0"/>
        <w:outlineLvl w:val="1"/>
        <w:rPr>
          <w:rFonts w:hint="eastAsia" w:ascii="仿宋_GB2312" w:hAnsi="仿宋_GB2312" w:eastAsia="仿宋_GB2312" w:cs="仿宋_GB2312"/>
          <w:sz w:val="24"/>
          <w:szCs w:val="24"/>
          <w:lang w:val="en-US" w:eastAsia="zh-CN"/>
        </w:rPr>
      </w:pPr>
      <w:bookmarkStart w:id="47" w:name="_Toc7042"/>
      <w:r>
        <w:rPr>
          <w:rFonts w:hint="eastAsia" w:ascii="仿宋_GB2312" w:hAnsi="仿宋_GB2312" w:eastAsia="仿宋_GB2312" w:cs="仿宋_GB2312"/>
          <w:sz w:val="24"/>
          <w:szCs w:val="24"/>
          <w:lang w:val="en-US" w:eastAsia="zh-CN"/>
        </w:rPr>
        <w:t xml:space="preserve">9  </w:t>
      </w:r>
      <w:bookmarkEnd w:id="47"/>
      <w:r>
        <w:rPr>
          <w:rFonts w:hint="eastAsia" w:ascii="仿宋_GB2312" w:hAnsi="仿宋_GB2312" w:eastAsia="仿宋_GB2312" w:cs="仿宋_GB2312"/>
          <w:sz w:val="24"/>
          <w:szCs w:val="24"/>
          <w:lang w:val="en-US" w:eastAsia="zh-CN"/>
        </w:rPr>
        <w:t>采购需求偏离表</w:t>
      </w:r>
    </w:p>
    <w:p w14:paraId="13FD61CA">
      <w:pPr>
        <w:pStyle w:val="13"/>
        <w:ind w:left="0" w:leftChars="0" w:firstLine="0" w:firstLineChars="0"/>
        <w:rPr>
          <w:rFonts w:hint="eastAsia" w:ascii="仿宋_GB2312" w:hAnsi="仿宋_GB2312" w:eastAsia="仿宋_GB2312" w:cs="仿宋_GB2312"/>
          <w:sz w:val="24"/>
          <w:szCs w:val="24"/>
          <w:lang w:val="en-US" w:eastAsia="zh-CN"/>
        </w:rPr>
      </w:pPr>
    </w:p>
    <w:p w14:paraId="49E32208">
      <w:pPr>
        <w:pStyle w:val="13"/>
        <w:ind w:left="0" w:leftChars="0" w:firstLine="0" w:firstLineChars="0"/>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采购需求偏离表</w:t>
      </w:r>
    </w:p>
    <w:p w14:paraId="2A771FC1">
      <w:pPr>
        <w:pStyle w:val="13"/>
        <w:ind w:left="0" w:leftChars="0" w:firstLine="0" w:firstLineChars="0"/>
        <w:rPr>
          <w:rFonts w:hint="eastAsia" w:ascii="仿宋_GB2312" w:hAnsi="仿宋_GB2312" w:eastAsia="仿宋_GB2312" w:cs="仿宋_GB2312"/>
          <w:sz w:val="24"/>
          <w:szCs w:val="24"/>
          <w:lang w:val="en-US" w:eastAsia="zh-CN"/>
        </w:rPr>
      </w:pPr>
    </w:p>
    <w:p w14:paraId="4BCEFC7E">
      <w:pPr>
        <w:pStyle w:val="13"/>
        <w:ind w:left="0" w:leftChars="0" w:firstLine="0" w:firstLineChars="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项目编号/包号：                 项目名称：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1422"/>
        <w:gridCol w:w="1805"/>
        <w:gridCol w:w="1672"/>
        <w:gridCol w:w="1421"/>
        <w:gridCol w:w="1421"/>
      </w:tblGrid>
      <w:tr w14:paraId="1CEFC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42D6F13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序号</w:t>
            </w:r>
          </w:p>
        </w:tc>
        <w:tc>
          <w:tcPr>
            <w:tcW w:w="1422" w:type="dxa"/>
            <w:vAlign w:val="center"/>
          </w:tcPr>
          <w:p w14:paraId="06FDFEF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招标文件条</w:t>
            </w:r>
          </w:p>
          <w:p w14:paraId="6047587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目号(页码)</w:t>
            </w:r>
          </w:p>
        </w:tc>
        <w:tc>
          <w:tcPr>
            <w:tcW w:w="1805" w:type="dxa"/>
            <w:vAlign w:val="center"/>
          </w:tcPr>
          <w:p w14:paraId="77DCE5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招标文件要求</w:t>
            </w:r>
          </w:p>
        </w:tc>
        <w:tc>
          <w:tcPr>
            <w:tcW w:w="1672" w:type="dxa"/>
            <w:vAlign w:val="center"/>
          </w:tcPr>
          <w:p w14:paraId="3CAAD98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投标响应内容</w:t>
            </w:r>
          </w:p>
        </w:tc>
        <w:tc>
          <w:tcPr>
            <w:tcW w:w="1421" w:type="dxa"/>
            <w:vAlign w:val="center"/>
          </w:tcPr>
          <w:p w14:paraId="5769D61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偏离情况</w:t>
            </w:r>
          </w:p>
        </w:tc>
        <w:tc>
          <w:tcPr>
            <w:tcW w:w="1421" w:type="dxa"/>
            <w:vAlign w:val="center"/>
          </w:tcPr>
          <w:p w14:paraId="22F9557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说明（证明材料请注明页码）</w:t>
            </w:r>
          </w:p>
        </w:tc>
      </w:tr>
      <w:tr w14:paraId="5F16A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28E17AB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vertAlign w:val="baseline"/>
                <w:lang w:val="en-US" w:eastAsia="zh-CN"/>
              </w:rPr>
            </w:pPr>
          </w:p>
        </w:tc>
        <w:tc>
          <w:tcPr>
            <w:tcW w:w="1422" w:type="dxa"/>
          </w:tcPr>
          <w:p w14:paraId="530F7CC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vertAlign w:val="baseline"/>
                <w:lang w:val="en-US" w:eastAsia="zh-CN"/>
              </w:rPr>
            </w:pPr>
          </w:p>
        </w:tc>
        <w:tc>
          <w:tcPr>
            <w:tcW w:w="1805" w:type="dxa"/>
          </w:tcPr>
          <w:p w14:paraId="5DAC726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vertAlign w:val="baseline"/>
                <w:lang w:val="en-US" w:eastAsia="zh-CN"/>
              </w:rPr>
            </w:pPr>
          </w:p>
        </w:tc>
        <w:tc>
          <w:tcPr>
            <w:tcW w:w="1672" w:type="dxa"/>
          </w:tcPr>
          <w:p w14:paraId="62FB8AE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vertAlign w:val="baseline"/>
                <w:lang w:val="en-US" w:eastAsia="zh-CN"/>
              </w:rPr>
            </w:pPr>
          </w:p>
        </w:tc>
        <w:tc>
          <w:tcPr>
            <w:tcW w:w="1421" w:type="dxa"/>
          </w:tcPr>
          <w:p w14:paraId="45F631C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vertAlign w:val="baseline"/>
                <w:lang w:val="en-US" w:eastAsia="zh-CN"/>
              </w:rPr>
            </w:pPr>
          </w:p>
        </w:tc>
        <w:tc>
          <w:tcPr>
            <w:tcW w:w="1421" w:type="dxa"/>
          </w:tcPr>
          <w:p w14:paraId="1DDB249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vertAlign w:val="baseline"/>
                <w:lang w:val="en-US" w:eastAsia="zh-CN"/>
              </w:rPr>
            </w:pPr>
          </w:p>
        </w:tc>
      </w:tr>
      <w:tr w14:paraId="54AED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07E9D95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vertAlign w:val="baseline"/>
                <w:lang w:val="en-US" w:eastAsia="zh-CN"/>
              </w:rPr>
            </w:pPr>
          </w:p>
        </w:tc>
        <w:tc>
          <w:tcPr>
            <w:tcW w:w="1422" w:type="dxa"/>
          </w:tcPr>
          <w:p w14:paraId="07265E4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vertAlign w:val="baseline"/>
                <w:lang w:val="en-US" w:eastAsia="zh-CN"/>
              </w:rPr>
            </w:pPr>
          </w:p>
        </w:tc>
        <w:tc>
          <w:tcPr>
            <w:tcW w:w="1805" w:type="dxa"/>
          </w:tcPr>
          <w:p w14:paraId="2DB2B43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vertAlign w:val="baseline"/>
                <w:lang w:val="en-US" w:eastAsia="zh-CN"/>
              </w:rPr>
            </w:pPr>
          </w:p>
        </w:tc>
        <w:tc>
          <w:tcPr>
            <w:tcW w:w="1672" w:type="dxa"/>
          </w:tcPr>
          <w:p w14:paraId="4065B69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vertAlign w:val="baseline"/>
                <w:lang w:val="en-US" w:eastAsia="zh-CN"/>
              </w:rPr>
            </w:pPr>
          </w:p>
        </w:tc>
        <w:tc>
          <w:tcPr>
            <w:tcW w:w="1421" w:type="dxa"/>
          </w:tcPr>
          <w:p w14:paraId="5A329FB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vertAlign w:val="baseline"/>
                <w:lang w:val="en-US" w:eastAsia="zh-CN"/>
              </w:rPr>
            </w:pPr>
          </w:p>
        </w:tc>
        <w:tc>
          <w:tcPr>
            <w:tcW w:w="1421" w:type="dxa"/>
          </w:tcPr>
          <w:p w14:paraId="113C4C2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vertAlign w:val="baseline"/>
                <w:lang w:val="en-US" w:eastAsia="zh-CN"/>
              </w:rPr>
            </w:pPr>
          </w:p>
        </w:tc>
      </w:tr>
      <w:tr w14:paraId="33891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1091AC8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vertAlign w:val="baseline"/>
                <w:lang w:val="en-US" w:eastAsia="zh-CN"/>
              </w:rPr>
            </w:pPr>
          </w:p>
        </w:tc>
        <w:tc>
          <w:tcPr>
            <w:tcW w:w="1422" w:type="dxa"/>
          </w:tcPr>
          <w:p w14:paraId="09E370C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vertAlign w:val="baseline"/>
                <w:lang w:val="en-US" w:eastAsia="zh-CN"/>
              </w:rPr>
            </w:pPr>
          </w:p>
        </w:tc>
        <w:tc>
          <w:tcPr>
            <w:tcW w:w="1805" w:type="dxa"/>
          </w:tcPr>
          <w:p w14:paraId="06BA5B0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vertAlign w:val="baseline"/>
                <w:lang w:val="en-US" w:eastAsia="zh-CN"/>
              </w:rPr>
            </w:pPr>
          </w:p>
        </w:tc>
        <w:tc>
          <w:tcPr>
            <w:tcW w:w="1672" w:type="dxa"/>
          </w:tcPr>
          <w:p w14:paraId="51AE722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vertAlign w:val="baseline"/>
                <w:lang w:val="en-US" w:eastAsia="zh-CN"/>
              </w:rPr>
            </w:pPr>
          </w:p>
        </w:tc>
        <w:tc>
          <w:tcPr>
            <w:tcW w:w="1421" w:type="dxa"/>
          </w:tcPr>
          <w:p w14:paraId="05390DD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vertAlign w:val="baseline"/>
                <w:lang w:val="en-US" w:eastAsia="zh-CN"/>
              </w:rPr>
            </w:pPr>
          </w:p>
        </w:tc>
        <w:tc>
          <w:tcPr>
            <w:tcW w:w="1421" w:type="dxa"/>
          </w:tcPr>
          <w:p w14:paraId="4DE70BB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vertAlign w:val="baseline"/>
                <w:lang w:val="en-US" w:eastAsia="zh-CN"/>
              </w:rPr>
            </w:pPr>
          </w:p>
        </w:tc>
      </w:tr>
      <w:tr w14:paraId="4B31A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05900E6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vertAlign w:val="baseline"/>
                <w:lang w:val="en-US" w:eastAsia="zh-CN"/>
              </w:rPr>
            </w:pPr>
          </w:p>
        </w:tc>
        <w:tc>
          <w:tcPr>
            <w:tcW w:w="1422" w:type="dxa"/>
          </w:tcPr>
          <w:p w14:paraId="0AA462F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vertAlign w:val="baseline"/>
                <w:lang w:val="en-US" w:eastAsia="zh-CN"/>
              </w:rPr>
            </w:pPr>
          </w:p>
        </w:tc>
        <w:tc>
          <w:tcPr>
            <w:tcW w:w="1805" w:type="dxa"/>
          </w:tcPr>
          <w:p w14:paraId="4634C2E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vertAlign w:val="baseline"/>
                <w:lang w:val="en-US" w:eastAsia="zh-CN"/>
              </w:rPr>
            </w:pPr>
          </w:p>
        </w:tc>
        <w:tc>
          <w:tcPr>
            <w:tcW w:w="1672" w:type="dxa"/>
          </w:tcPr>
          <w:p w14:paraId="4954075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vertAlign w:val="baseline"/>
                <w:lang w:val="en-US" w:eastAsia="zh-CN"/>
              </w:rPr>
            </w:pPr>
          </w:p>
        </w:tc>
        <w:tc>
          <w:tcPr>
            <w:tcW w:w="1421" w:type="dxa"/>
          </w:tcPr>
          <w:p w14:paraId="7D86431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vertAlign w:val="baseline"/>
                <w:lang w:val="en-US" w:eastAsia="zh-CN"/>
              </w:rPr>
            </w:pPr>
          </w:p>
        </w:tc>
        <w:tc>
          <w:tcPr>
            <w:tcW w:w="1421" w:type="dxa"/>
          </w:tcPr>
          <w:p w14:paraId="5E01308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vertAlign w:val="baseline"/>
                <w:lang w:val="en-US" w:eastAsia="zh-CN"/>
              </w:rPr>
            </w:pPr>
          </w:p>
        </w:tc>
      </w:tr>
    </w:tbl>
    <w:p w14:paraId="12841CD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注：</w:t>
      </w:r>
    </w:p>
    <w:p w14:paraId="0D5A9861">
      <w:pPr>
        <w:keepNext w:val="0"/>
        <w:keepLines w:val="0"/>
        <w:pageBreakBefore w:val="0"/>
        <w:widowControl w:val="0"/>
        <w:numPr>
          <w:ilvl w:val="0"/>
          <w:numId w:val="17"/>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投标人应对招标文件第五章采购需求中的所有商务要求（交货期或服务期等）、技术要求的内容给予逐条响应，以投标产品和服务所能达到的内容予以填写，而不得复制招标的技术要求作为响应内容，有具体参数的应填写具体参数。应明确回答</w:t>
      </w:r>
      <w:r>
        <w:rPr>
          <w:rFonts w:hint="eastAsia" w:ascii="仿宋_GB2312" w:hAnsi="仿宋_GB2312" w:eastAsia="仿宋_GB2312" w:cs="仿宋_GB2312"/>
          <w:sz w:val="24"/>
          <w:szCs w:val="24"/>
          <w:u w:val="single"/>
          <w:lang w:val="en-US" w:eastAsia="zh-CN"/>
        </w:rPr>
        <w:t>“完全响应”或“负偏离”或“正偏离”</w:t>
      </w:r>
      <w:r>
        <w:rPr>
          <w:rFonts w:hint="eastAsia" w:ascii="仿宋_GB2312" w:hAnsi="仿宋_GB2312" w:eastAsia="仿宋_GB2312" w:cs="仿宋_GB2312"/>
          <w:sz w:val="24"/>
          <w:szCs w:val="24"/>
          <w:lang w:val="en-US" w:eastAsia="zh-CN"/>
        </w:rPr>
        <w:t>。</w:t>
      </w:r>
    </w:p>
    <w:p w14:paraId="113B02A2">
      <w:pPr>
        <w:keepNext w:val="0"/>
        <w:keepLines w:val="0"/>
        <w:pageBreakBefore w:val="0"/>
        <w:widowControl w:val="0"/>
        <w:numPr>
          <w:ilvl w:val="0"/>
          <w:numId w:val="17"/>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在本表中未对招标文件第五章采购需求中的所有商务要求（交货期或服务期等）、技术要求的内容给予逐条响应的视为没有实质上响应招标文件的要求，投标无效。 此表中仅标注“全部满足”、“全部响应”等，无法体现投标人实质性响应或者偏离技术要求的；或无任何文字说明，内容为空白的，其投标无效。</w:t>
      </w:r>
    </w:p>
    <w:p w14:paraId="3EFD6D8F">
      <w:pPr>
        <w:keepNext w:val="0"/>
        <w:keepLines w:val="0"/>
        <w:pageBreakBefore w:val="0"/>
        <w:widowControl w:val="0"/>
        <w:numPr>
          <w:ilvl w:val="0"/>
          <w:numId w:val="17"/>
        </w:numPr>
        <w:kinsoku/>
        <w:wordWrap/>
        <w:overflowPunct/>
        <w:topLinePunct w:val="0"/>
        <w:autoSpaceDE/>
        <w:autoSpaceDN/>
        <w:bidi w:val="0"/>
        <w:adjustRightInd/>
        <w:snapToGrid/>
        <w:spacing w:line="500" w:lineRule="exact"/>
        <w:textAlignment w:val="auto"/>
        <w:rPr>
          <w:rFonts w:hint="eastAsia"/>
          <w:lang w:val="en-US" w:eastAsia="zh-CN"/>
        </w:rPr>
      </w:pPr>
      <w:r>
        <w:rPr>
          <w:rFonts w:hint="eastAsia" w:ascii="仿宋_GB2312" w:hAnsi="仿宋_GB2312" w:eastAsia="仿宋_GB2312" w:cs="仿宋_GB2312"/>
          <w:sz w:val="24"/>
          <w:szCs w:val="24"/>
          <w:lang w:val="en-US" w:eastAsia="zh-CN"/>
        </w:rPr>
        <w:t>投标人应按照招标文件第五章采购需求中要求提供投标产品技术支持资料（或证明材料），并在采购需求响应及偏离表中给予文件名称、所处投标文件页码或位置等必要说明。</w:t>
      </w:r>
    </w:p>
    <w:p w14:paraId="613B8574">
      <w:pPr>
        <w:keepNext w:val="0"/>
        <w:keepLines w:val="0"/>
        <w:pageBreakBefore w:val="0"/>
        <w:widowControl w:val="0"/>
        <w:numPr>
          <w:ilvl w:val="0"/>
          <w:numId w:val="17"/>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具体指标有证明材料要求的需提供，否则将不被认可。建议在说明中注明证明材料页码方便评审，此表响应内容与证明材料不一致的，以证明材料为准。</w:t>
      </w:r>
    </w:p>
    <w:p w14:paraId="723C35E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lang w:val="en-US" w:eastAsia="zh-CN"/>
        </w:rPr>
      </w:pPr>
    </w:p>
    <w:p w14:paraId="0B98682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投标人名称（加盖公章）： ____________</w:t>
      </w:r>
    </w:p>
    <w:p w14:paraId="495FB7E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日期：_____年______月______日</w:t>
      </w:r>
    </w:p>
    <w:p w14:paraId="5D2DC8C6">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br w:type="page"/>
      </w:r>
    </w:p>
    <w:p w14:paraId="5F8226AA">
      <w:pPr>
        <w:pStyle w:val="15"/>
        <w:numPr>
          <w:ilvl w:val="0"/>
          <w:numId w:val="0"/>
        </w:numPr>
        <w:ind w:left="0" w:leftChars="0" w:firstLine="0" w:firstLine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2"/>
          <w:sz w:val="24"/>
          <w:szCs w:val="24"/>
          <w:lang w:val="en-US" w:eastAsia="zh-CN" w:bidi="zh-CN"/>
        </w:rPr>
        <w:t>10、</w:t>
      </w:r>
      <w:r>
        <w:rPr>
          <w:rFonts w:hint="eastAsia" w:ascii="仿宋_GB2312" w:hAnsi="仿宋_GB2312" w:eastAsia="仿宋_GB2312" w:cs="仿宋_GB2312"/>
          <w:sz w:val="24"/>
          <w:szCs w:val="24"/>
          <w:lang w:val="en-US" w:eastAsia="zh-CN"/>
        </w:rPr>
        <w:t>业绩一览表（格式）</w:t>
      </w:r>
    </w:p>
    <w:p w14:paraId="44C9C318">
      <w:pPr>
        <w:pStyle w:val="15"/>
        <w:numPr>
          <w:ilvl w:val="0"/>
          <w:numId w:val="0"/>
        </w:numPr>
        <w:ind w:leftChars="0"/>
        <w:rPr>
          <w:rFonts w:hint="eastAsia" w:ascii="仿宋_GB2312" w:hAnsi="仿宋_GB2312" w:eastAsia="仿宋_GB2312" w:cs="仿宋_GB2312"/>
          <w:sz w:val="24"/>
          <w:szCs w:val="24"/>
          <w:vertAlign w:val="baseline"/>
          <w:lang w:val="en-US"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1115"/>
        <w:gridCol w:w="1414"/>
        <w:gridCol w:w="1062"/>
        <w:gridCol w:w="1062"/>
        <w:gridCol w:w="1062"/>
        <w:gridCol w:w="1063"/>
        <w:gridCol w:w="1063"/>
      </w:tblGrid>
      <w:tr w14:paraId="4B530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657" w:type="dxa"/>
          </w:tcPr>
          <w:p w14:paraId="47F386DD">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序号</w:t>
            </w:r>
          </w:p>
        </w:tc>
        <w:tc>
          <w:tcPr>
            <w:tcW w:w="1115" w:type="dxa"/>
          </w:tcPr>
          <w:p w14:paraId="35503AF6">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订货时间</w:t>
            </w:r>
          </w:p>
        </w:tc>
        <w:tc>
          <w:tcPr>
            <w:tcW w:w="1414" w:type="dxa"/>
          </w:tcPr>
          <w:p w14:paraId="52FD3924">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型号（规格）</w:t>
            </w:r>
          </w:p>
        </w:tc>
        <w:tc>
          <w:tcPr>
            <w:tcW w:w="1062" w:type="dxa"/>
          </w:tcPr>
          <w:p w14:paraId="627AB27F">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数量（台/套）</w:t>
            </w:r>
          </w:p>
        </w:tc>
        <w:tc>
          <w:tcPr>
            <w:tcW w:w="1062" w:type="dxa"/>
          </w:tcPr>
          <w:p w14:paraId="2F6D24D2">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合同签订时间</w:t>
            </w:r>
          </w:p>
        </w:tc>
        <w:tc>
          <w:tcPr>
            <w:tcW w:w="1062" w:type="dxa"/>
          </w:tcPr>
          <w:p w14:paraId="6467EBA8">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采购单位</w:t>
            </w:r>
          </w:p>
        </w:tc>
        <w:tc>
          <w:tcPr>
            <w:tcW w:w="1063" w:type="dxa"/>
          </w:tcPr>
          <w:p w14:paraId="17DD252B">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联系人及</w:t>
            </w:r>
          </w:p>
          <w:p w14:paraId="475A4952">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电话</w:t>
            </w:r>
          </w:p>
        </w:tc>
        <w:tc>
          <w:tcPr>
            <w:tcW w:w="1063" w:type="dxa"/>
          </w:tcPr>
          <w:p w14:paraId="5EBEE564">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履约情况</w:t>
            </w:r>
          </w:p>
        </w:tc>
      </w:tr>
      <w:tr w14:paraId="1967E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57" w:type="dxa"/>
          </w:tcPr>
          <w:p w14:paraId="5E7AF5C2">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vertAlign w:val="baseline"/>
                <w:lang w:val="en-US" w:eastAsia="zh-CN"/>
              </w:rPr>
            </w:pPr>
          </w:p>
        </w:tc>
        <w:tc>
          <w:tcPr>
            <w:tcW w:w="1115" w:type="dxa"/>
          </w:tcPr>
          <w:p w14:paraId="413996C0">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vertAlign w:val="baseline"/>
                <w:lang w:val="en-US" w:eastAsia="zh-CN"/>
              </w:rPr>
            </w:pPr>
          </w:p>
        </w:tc>
        <w:tc>
          <w:tcPr>
            <w:tcW w:w="1414" w:type="dxa"/>
          </w:tcPr>
          <w:p w14:paraId="6AE8F531">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vertAlign w:val="baseline"/>
                <w:lang w:val="en-US" w:eastAsia="zh-CN"/>
              </w:rPr>
            </w:pPr>
          </w:p>
        </w:tc>
        <w:tc>
          <w:tcPr>
            <w:tcW w:w="1062" w:type="dxa"/>
          </w:tcPr>
          <w:p w14:paraId="604E4607">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vertAlign w:val="baseline"/>
                <w:lang w:val="en-US" w:eastAsia="zh-CN"/>
              </w:rPr>
            </w:pPr>
          </w:p>
        </w:tc>
        <w:tc>
          <w:tcPr>
            <w:tcW w:w="1062" w:type="dxa"/>
          </w:tcPr>
          <w:p w14:paraId="79D37109">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vertAlign w:val="baseline"/>
                <w:lang w:val="en-US" w:eastAsia="zh-CN"/>
              </w:rPr>
            </w:pPr>
          </w:p>
        </w:tc>
        <w:tc>
          <w:tcPr>
            <w:tcW w:w="1062" w:type="dxa"/>
          </w:tcPr>
          <w:p w14:paraId="060E46ED">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vertAlign w:val="baseline"/>
                <w:lang w:val="en-US" w:eastAsia="zh-CN"/>
              </w:rPr>
            </w:pPr>
          </w:p>
        </w:tc>
        <w:tc>
          <w:tcPr>
            <w:tcW w:w="1063" w:type="dxa"/>
          </w:tcPr>
          <w:p w14:paraId="4CE2439B">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vertAlign w:val="baseline"/>
                <w:lang w:val="en-US" w:eastAsia="zh-CN"/>
              </w:rPr>
            </w:pPr>
          </w:p>
        </w:tc>
        <w:tc>
          <w:tcPr>
            <w:tcW w:w="1063" w:type="dxa"/>
          </w:tcPr>
          <w:p w14:paraId="10DC3099">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vertAlign w:val="baseline"/>
                <w:lang w:val="en-US" w:eastAsia="zh-CN"/>
              </w:rPr>
            </w:pPr>
          </w:p>
        </w:tc>
      </w:tr>
      <w:tr w14:paraId="73B57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57" w:type="dxa"/>
          </w:tcPr>
          <w:p w14:paraId="6B0C80C5">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vertAlign w:val="baseline"/>
                <w:lang w:val="en-US" w:eastAsia="zh-CN"/>
              </w:rPr>
            </w:pPr>
          </w:p>
        </w:tc>
        <w:tc>
          <w:tcPr>
            <w:tcW w:w="1115" w:type="dxa"/>
          </w:tcPr>
          <w:p w14:paraId="245FBA9B">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vertAlign w:val="baseline"/>
                <w:lang w:val="en-US" w:eastAsia="zh-CN"/>
              </w:rPr>
            </w:pPr>
          </w:p>
        </w:tc>
        <w:tc>
          <w:tcPr>
            <w:tcW w:w="1414" w:type="dxa"/>
          </w:tcPr>
          <w:p w14:paraId="64686D4A">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vertAlign w:val="baseline"/>
                <w:lang w:val="en-US" w:eastAsia="zh-CN"/>
              </w:rPr>
            </w:pPr>
          </w:p>
        </w:tc>
        <w:tc>
          <w:tcPr>
            <w:tcW w:w="1062" w:type="dxa"/>
          </w:tcPr>
          <w:p w14:paraId="43C12B3F">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vertAlign w:val="baseline"/>
                <w:lang w:val="en-US" w:eastAsia="zh-CN"/>
              </w:rPr>
            </w:pPr>
          </w:p>
        </w:tc>
        <w:tc>
          <w:tcPr>
            <w:tcW w:w="1062" w:type="dxa"/>
          </w:tcPr>
          <w:p w14:paraId="26D623D0">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vertAlign w:val="baseline"/>
                <w:lang w:val="en-US" w:eastAsia="zh-CN"/>
              </w:rPr>
            </w:pPr>
          </w:p>
        </w:tc>
        <w:tc>
          <w:tcPr>
            <w:tcW w:w="1062" w:type="dxa"/>
          </w:tcPr>
          <w:p w14:paraId="60F0C3DE">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vertAlign w:val="baseline"/>
                <w:lang w:val="en-US" w:eastAsia="zh-CN"/>
              </w:rPr>
            </w:pPr>
          </w:p>
        </w:tc>
        <w:tc>
          <w:tcPr>
            <w:tcW w:w="1063" w:type="dxa"/>
          </w:tcPr>
          <w:p w14:paraId="684A816A">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vertAlign w:val="baseline"/>
                <w:lang w:val="en-US" w:eastAsia="zh-CN"/>
              </w:rPr>
            </w:pPr>
          </w:p>
        </w:tc>
        <w:tc>
          <w:tcPr>
            <w:tcW w:w="1063" w:type="dxa"/>
          </w:tcPr>
          <w:p w14:paraId="3FDFFF04">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vertAlign w:val="baseline"/>
                <w:lang w:val="en-US" w:eastAsia="zh-CN"/>
              </w:rPr>
            </w:pPr>
          </w:p>
        </w:tc>
      </w:tr>
      <w:tr w14:paraId="16AD7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57" w:type="dxa"/>
          </w:tcPr>
          <w:p w14:paraId="72C20741">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vertAlign w:val="baseline"/>
                <w:lang w:val="en-US" w:eastAsia="zh-CN"/>
              </w:rPr>
            </w:pPr>
          </w:p>
        </w:tc>
        <w:tc>
          <w:tcPr>
            <w:tcW w:w="1115" w:type="dxa"/>
          </w:tcPr>
          <w:p w14:paraId="0BB4B9A8">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vertAlign w:val="baseline"/>
                <w:lang w:val="en-US" w:eastAsia="zh-CN"/>
              </w:rPr>
            </w:pPr>
          </w:p>
        </w:tc>
        <w:tc>
          <w:tcPr>
            <w:tcW w:w="1414" w:type="dxa"/>
          </w:tcPr>
          <w:p w14:paraId="434C6787">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vertAlign w:val="baseline"/>
                <w:lang w:val="en-US" w:eastAsia="zh-CN"/>
              </w:rPr>
            </w:pPr>
          </w:p>
        </w:tc>
        <w:tc>
          <w:tcPr>
            <w:tcW w:w="1062" w:type="dxa"/>
          </w:tcPr>
          <w:p w14:paraId="22BF518B">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vertAlign w:val="baseline"/>
                <w:lang w:val="en-US" w:eastAsia="zh-CN"/>
              </w:rPr>
            </w:pPr>
          </w:p>
        </w:tc>
        <w:tc>
          <w:tcPr>
            <w:tcW w:w="1062" w:type="dxa"/>
          </w:tcPr>
          <w:p w14:paraId="7692F673">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vertAlign w:val="baseline"/>
                <w:lang w:val="en-US" w:eastAsia="zh-CN"/>
              </w:rPr>
            </w:pPr>
          </w:p>
        </w:tc>
        <w:tc>
          <w:tcPr>
            <w:tcW w:w="1062" w:type="dxa"/>
          </w:tcPr>
          <w:p w14:paraId="6DE5B735">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vertAlign w:val="baseline"/>
                <w:lang w:val="en-US" w:eastAsia="zh-CN"/>
              </w:rPr>
            </w:pPr>
          </w:p>
        </w:tc>
        <w:tc>
          <w:tcPr>
            <w:tcW w:w="1063" w:type="dxa"/>
          </w:tcPr>
          <w:p w14:paraId="6DA70D23">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vertAlign w:val="baseline"/>
                <w:lang w:val="en-US" w:eastAsia="zh-CN"/>
              </w:rPr>
            </w:pPr>
          </w:p>
        </w:tc>
        <w:tc>
          <w:tcPr>
            <w:tcW w:w="1063" w:type="dxa"/>
          </w:tcPr>
          <w:p w14:paraId="42D5ED56">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vertAlign w:val="baseline"/>
                <w:lang w:val="en-US" w:eastAsia="zh-CN"/>
              </w:rPr>
            </w:pPr>
          </w:p>
        </w:tc>
      </w:tr>
    </w:tbl>
    <w:p w14:paraId="05F6FF6F">
      <w:pPr>
        <w:pStyle w:val="15"/>
        <w:numPr>
          <w:ilvl w:val="0"/>
          <w:numId w:val="0"/>
        </w:numPr>
        <w:ind w:left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p>
    <w:p w14:paraId="4BD457A9">
      <w:pPr>
        <w:pStyle w:val="15"/>
        <w:ind w:left="0" w:leftChars="0" w:firstLine="0" w:firstLineChars="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注： </w:t>
      </w:r>
    </w:p>
    <w:p w14:paraId="0079B945">
      <w:pPr>
        <w:pStyle w:val="15"/>
        <w:ind w:left="0" w:leftChars="0" w:firstLine="0" w:firstLineChars="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1.投标人应如实列出以上情况，如有虚假，一经查实将导致其</w:t>
      </w:r>
      <w:r>
        <w:rPr>
          <w:rFonts w:hint="eastAsia" w:ascii="仿宋_GB2312" w:hAnsi="仿宋_GB2312" w:eastAsia="仿宋_GB2312" w:cs="仿宋_GB2312"/>
          <w:b/>
          <w:bCs/>
          <w:kern w:val="2"/>
          <w:sz w:val="24"/>
          <w:szCs w:val="24"/>
          <w:lang w:val="en-US" w:eastAsia="zh-CN" w:bidi="ar-SA"/>
        </w:rPr>
        <w:t>投标无效</w:t>
      </w:r>
      <w:r>
        <w:rPr>
          <w:rFonts w:hint="eastAsia" w:ascii="仿宋_GB2312" w:hAnsi="仿宋_GB2312" w:eastAsia="仿宋_GB2312" w:cs="仿宋_GB2312"/>
          <w:kern w:val="2"/>
          <w:sz w:val="24"/>
          <w:szCs w:val="24"/>
          <w:lang w:val="en-US" w:eastAsia="zh-CN" w:bidi="ar-SA"/>
        </w:rPr>
        <w:t>并被拒绝。 2.投标人应按照招标文件第六章评标程序、评标方法和评标标准中的要求提供业绩证明材料。</w:t>
      </w:r>
    </w:p>
    <w:p w14:paraId="2FFA81F1">
      <w:pPr>
        <w:pStyle w:val="15"/>
        <w:ind w:left="0" w:leftChars="0" w:firstLine="0" w:firstLineChars="0"/>
        <w:rPr>
          <w:rFonts w:hint="eastAsia" w:ascii="仿宋_GB2312" w:hAnsi="仿宋_GB2312" w:eastAsia="仿宋_GB2312" w:cs="仿宋_GB2312"/>
          <w:sz w:val="24"/>
          <w:szCs w:val="24"/>
          <w:lang w:val="en-US" w:eastAsia="zh-CN"/>
        </w:rPr>
      </w:pPr>
    </w:p>
    <w:p w14:paraId="0E90FC33">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投标人名称</w:t>
      </w:r>
      <w:r>
        <w:rPr>
          <w:rFonts w:hint="eastAsia" w:ascii="仿宋_GB2312" w:hAnsi="仿宋_GB2312" w:eastAsia="仿宋_GB2312" w:cs="仿宋_GB2312"/>
          <w:sz w:val="24"/>
          <w:szCs w:val="24"/>
          <w:u w:val="none"/>
          <w:lang w:val="en-US" w:eastAsia="zh-CN"/>
        </w:rPr>
        <w:t>：</w:t>
      </w:r>
      <w:r>
        <w:rPr>
          <w:rFonts w:hint="eastAsia" w:ascii="仿宋_GB2312" w:hAnsi="仿宋_GB2312" w:eastAsia="仿宋_GB2312" w:cs="仿宋_GB2312"/>
          <w:sz w:val="24"/>
          <w:szCs w:val="24"/>
          <w:u w:val="single"/>
          <w:lang w:val="en-US" w:eastAsia="zh-CN"/>
        </w:rPr>
        <w:t xml:space="preserve">                    （加盖单位公章）</w:t>
      </w:r>
    </w:p>
    <w:p w14:paraId="448C924A">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法定代表人或授权代表：</w:t>
      </w:r>
      <w:r>
        <w:rPr>
          <w:rFonts w:hint="eastAsia" w:ascii="仿宋_GB2312" w:hAnsi="仿宋_GB2312" w:eastAsia="仿宋_GB2312" w:cs="仿宋_GB2312"/>
          <w:sz w:val="24"/>
          <w:szCs w:val="24"/>
          <w:u w:val="single"/>
          <w:lang w:val="en-US" w:eastAsia="zh-CN"/>
        </w:rPr>
        <w:t xml:space="preserve">           （签字或签章）</w:t>
      </w:r>
    </w:p>
    <w:p w14:paraId="3385B5D0">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lang w:val="en-US" w:eastAsia="zh-CN"/>
        </w:rPr>
        <w:t>日期：</w:t>
      </w:r>
      <w:r>
        <w:rPr>
          <w:rFonts w:hint="eastAsia" w:ascii="仿宋_GB2312" w:hAnsi="仿宋_GB2312" w:eastAsia="仿宋_GB2312" w:cs="仿宋_GB2312"/>
          <w:sz w:val="24"/>
          <w:szCs w:val="24"/>
          <w:u w:val="single"/>
          <w:lang w:val="en-US" w:eastAsia="zh-CN"/>
        </w:rPr>
        <w:t xml:space="preserve">                                         </w:t>
      </w:r>
    </w:p>
    <w:p w14:paraId="1CE4B262">
      <w:pPr>
        <w:pStyle w:val="16"/>
        <w:rPr>
          <w:rFonts w:hint="eastAsia"/>
          <w:lang w:val="en-US" w:eastAsia="zh-CN"/>
        </w:rPr>
      </w:pPr>
    </w:p>
    <w:p w14:paraId="4B7DBE15">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br w:type="page"/>
      </w:r>
    </w:p>
    <w:p w14:paraId="57746A76">
      <w:pPr>
        <w:pStyle w:val="15"/>
        <w:ind w:left="0" w:leftChars="0" w:firstLine="0" w:firstLine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11、招标文件要求提供或投标人认为应附的其他材料</w:t>
      </w:r>
    </w:p>
    <w:p w14:paraId="74EC9DAD">
      <w:pPr>
        <w:pStyle w:val="13"/>
        <w:rPr>
          <w:rFonts w:hint="eastAsia" w:ascii="仿宋_GB2312" w:hAnsi="仿宋_GB2312" w:eastAsia="仿宋_GB2312" w:cs="仿宋_GB2312"/>
          <w:lang w:val="en-US" w:eastAsia="zh-CN"/>
        </w:rPr>
      </w:pPr>
    </w:p>
    <w:p w14:paraId="4902779E">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br w:type="page"/>
      </w:r>
    </w:p>
    <w:p w14:paraId="160BFBFE">
      <w:pPr>
        <w:keepNext/>
        <w:keepLines/>
        <w:widowControl w:val="0"/>
        <w:spacing w:before="0" w:after="260" w:line="240" w:lineRule="atLeast"/>
        <w:jc w:val="both"/>
        <w:outlineLvl w:val="1"/>
        <w:rPr>
          <w:rFonts w:hint="eastAsia" w:ascii="仿宋_GB2312" w:hAnsi="仿宋_GB2312" w:eastAsia="仿宋_GB2312" w:cs="仿宋_GB2312"/>
          <w:b w:val="0"/>
          <w:bCs/>
          <w:kern w:val="2"/>
          <w:sz w:val="24"/>
          <w:szCs w:val="32"/>
          <w:lang w:val="en-US" w:eastAsia="zh-CN" w:bidi="ar-SA"/>
        </w:rPr>
      </w:pPr>
      <w:bookmarkStart w:id="48" w:name="_Toc520356224"/>
      <w:bookmarkStart w:id="49" w:name="_Ref467988543"/>
      <w:bookmarkStart w:id="50" w:name="_Toc216582819"/>
      <w:bookmarkStart w:id="51" w:name="_Toc480942355"/>
      <w:bookmarkStart w:id="52" w:name="_Toc507399535"/>
      <w:bookmarkStart w:id="53" w:name="_Toc522"/>
      <w:bookmarkStart w:id="54" w:name="_Toc17143"/>
      <w:bookmarkStart w:id="55" w:name="_Toc15963"/>
      <w:bookmarkStart w:id="56" w:name="_Toc20238"/>
      <w:bookmarkStart w:id="57" w:name="_Toc9592"/>
      <w:bookmarkStart w:id="58" w:name="_Toc21320"/>
      <w:bookmarkStart w:id="59" w:name="_Toc4183"/>
      <w:bookmarkStart w:id="60" w:name="_Toc8281"/>
      <w:bookmarkStart w:id="61" w:name="_Toc3420"/>
      <w:r>
        <w:rPr>
          <w:rFonts w:hint="eastAsia" w:ascii="仿宋_GB2312" w:hAnsi="仿宋_GB2312" w:eastAsia="仿宋_GB2312" w:cs="仿宋_GB2312"/>
          <w:b/>
          <w:bCs/>
          <w:kern w:val="2"/>
          <w:sz w:val="24"/>
          <w:szCs w:val="32"/>
          <w:lang w:val="en-US" w:eastAsia="zh-CN" w:bidi="ar-SA"/>
        </w:rPr>
        <w:t xml:space="preserve">11   </w:t>
      </w:r>
      <w:bookmarkEnd w:id="48"/>
      <w:bookmarkEnd w:id="49"/>
      <w:bookmarkEnd w:id="50"/>
      <w:bookmarkEnd w:id="51"/>
      <w:bookmarkStart w:id="62" w:name="_Hlt520350918"/>
      <w:bookmarkEnd w:id="62"/>
      <w:bookmarkStart w:id="63" w:name="_Hlt520271212"/>
      <w:bookmarkEnd w:id="63"/>
      <w:bookmarkStart w:id="64" w:name="_Hlt520274911"/>
      <w:bookmarkEnd w:id="64"/>
      <w:bookmarkStart w:id="65" w:name="_Hlt520343392"/>
      <w:bookmarkEnd w:id="65"/>
      <w:bookmarkStart w:id="66" w:name="_Hlt520274065"/>
      <w:bookmarkEnd w:id="66"/>
      <w:bookmarkStart w:id="67" w:name="_Hlt520273973"/>
      <w:bookmarkEnd w:id="67"/>
      <w:bookmarkStart w:id="68" w:name="_Hlt520350957"/>
      <w:bookmarkEnd w:id="68"/>
      <w:bookmarkStart w:id="69" w:name="_Hlt520274407"/>
      <w:bookmarkEnd w:id="69"/>
      <w:bookmarkStart w:id="70" w:name="_Hlt520343000"/>
      <w:bookmarkEnd w:id="70"/>
      <w:bookmarkStart w:id="71" w:name="_Hlt520274393"/>
      <w:bookmarkEnd w:id="71"/>
      <w:bookmarkStart w:id="72" w:name="_Hlt520273711"/>
      <w:bookmarkEnd w:id="72"/>
      <w:bookmarkStart w:id="73" w:name="_Toc216582821"/>
      <w:bookmarkStart w:id="74" w:name="_Toc216513801"/>
      <w:r>
        <w:rPr>
          <w:rFonts w:hint="eastAsia" w:ascii="仿宋_GB2312" w:hAnsi="仿宋_GB2312" w:eastAsia="仿宋_GB2312" w:cs="仿宋_GB2312"/>
          <w:b/>
          <w:bCs/>
          <w:kern w:val="2"/>
          <w:sz w:val="24"/>
          <w:szCs w:val="32"/>
          <w:lang w:val="en-US" w:eastAsia="zh-CN" w:bidi="ar-SA"/>
        </w:rPr>
        <w:t>中标服务费承诺书</w:t>
      </w:r>
      <w:bookmarkEnd w:id="52"/>
      <w:bookmarkEnd w:id="53"/>
      <w:bookmarkEnd w:id="54"/>
      <w:bookmarkEnd w:id="55"/>
      <w:bookmarkEnd w:id="56"/>
      <w:bookmarkEnd w:id="57"/>
      <w:bookmarkEnd w:id="58"/>
      <w:bookmarkEnd w:id="59"/>
    </w:p>
    <w:p w14:paraId="4E67CB56">
      <w:pPr>
        <w:spacing w:line="240" w:lineRule="atLeast"/>
        <w:ind w:left="1080" w:leftChars="257" w:hanging="540"/>
        <w:rPr>
          <w:rFonts w:hint="eastAsia" w:ascii="仿宋_GB2312" w:hAnsi="仿宋_GB2312" w:eastAsia="仿宋_GB2312" w:cs="仿宋_GB2312"/>
          <w:b/>
          <w:sz w:val="24"/>
        </w:rPr>
      </w:pPr>
    </w:p>
    <w:p w14:paraId="51D19976">
      <w:pPr>
        <w:spacing w:line="240" w:lineRule="atLeast"/>
        <w:ind w:left="1080" w:leftChars="257" w:hanging="540"/>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中标服务费承诺书</w:t>
      </w:r>
    </w:p>
    <w:p w14:paraId="71DA6760">
      <w:pPr>
        <w:spacing w:line="440" w:lineRule="exact"/>
        <w:ind w:left="1080" w:hanging="1080"/>
        <w:rPr>
          <w:rFonts w:hint="eastAsia" w:ascii="仿宋_GB2312" w:hAnsi="仿宋_GB2312" w:eastAsia="仿宋_GB2312" w:cs="仿宋_GB2312"/>
          <w:sz w:val="24"/>
        </w:rPr>
      </w:pPr>
    </w:p>
    <w:p w14:paraId="7B0F7B95">
      <w:pPr>
        <w:spacing w:line="440" w:lineRule="exact"/>
        <w:ind w:left="1080" w:hanging="1080"/>
        <w:rPr>
          <w:rFonts w:hint="eastAsia" w:ascii="仿宋_GB2312" w:hAnsi="仿宋_GB2312" w:eastAsia="仿宋_GB2312" w:cs="仿宋_GB2312"/>
          <w:sz w:val="24"/>
          <w:u w:val="single"/>
          <w:lang w:val="en-US" w:eastAsia="zh-CN"/>
        </w:rPr>
      </w:pPr>
      <w:r>
        <w:rPr>
          <w:rFonts w:hint="eastAsia" w:ascii="仿宋_GB2312" w:hAnsi="仿宋_GB2312" w:eastAsia="仿宋_GB2312" w:cs="仿宋_GB2312"/>
          <w:sz w:val="24"/>
        </w:rPr>
        <w:t>致：</w:t>
      </w:r>
      <w:r>
        <w:rPr>
          <w:rFonts w:hint="eastAsia" w:ascii="仿宋_GB2312" w:hAnsi="仿宋_GB2312" w:eastAsia="仿宋_GB2312" w:cs="仿宋_GB2312"/>
          <w:sz w:val="24"/>
          <w:lang w:val="en-US" w:eastAsia="zh-CN"/>
        </w:rPr>
        <w:t>新疆世纪星工程咨询有限公司</w:t>
      </w:r>
    </w:p>
    <w:p w14:paraId="484D36FD">
      <w:pPr>
        <w:spacing w:line="440" w:lineRule="exact"/>
        <w:ind w:left="1080" w:leftChars="257" w:hanging="540"/>
        <w:rPr>
          <w:rFonts w:hint="eastAsia" w:ascii="仿宋_GB2312" w:hAnsi="仿宋_GB2312" w:eastAsia="仿宋_GB2312" w:cs="仿宋_GB2312"/>
          <w:sz w:val="24"/>
        </w:rPr>
      </w:pPr>
    </w:p>
    <w:p w14:paraId="03435E33">
      <w:pPr>
        <w:spacing w:line="440" w:lineRule="exact"/>
        <w:rPr>
          <w:rFonts w:hint="eastAsia" w:ascii="仿宋_GB2312" w:hAnsi="仿宋_GB2312" w:eastAsia="仿宋_GB2312" w:cs="仿宋_GB2312"/>
          <w:sz w:val="24"/>
        </w:rPr>
      </w:pPr>
      <w:r>
        <w:rPr>
          <w:rFonts w:hint="eastAsia" w:ascii="仿宋_GB2312" w:hAnsi="仿宋_GB2312" w:eastAsia="仿宋_GB2312" w:cs="仿宋_GB2312"/>
          <w:sz w:val="24"/>
        </w:rPr>
        <w:tab/>
      </w:r>
      <w:r>
        <w:rPr>
          <w:rFonts w:hint="eastAsia" w:ascii="仿宋_GB2312" w:hAnsi="仿宋_GB2312" w:eastAsia="仿宋_GB2312" w:cs="仿宋_GB2312"/>
          <w:sz w:val="24"/>
        </w:rPr>
        <w:t xml:space="preserve"> 我们在贵公司组织的</w:t>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lang w:eastAsia="zh-CN"/>
        </w:rPr>
        <w:t>（</w:t>
      </w:r>
      <w:r>
        <w:rPr>
          <w:rFonts w:hint="eastAsia" w:ascii="仿宋_GB2312" w:hAnsi="仿宋_GB2312" w:eastAsia="仿宋_GB2312" w:cs="仿宋_GB2312"/>
          <w:sz w:val="24"/>
          <w:u w:val="single"/>
          <w:lang w:val="en-US" w:eastAsia="zh-CN"/>
        </w:rPr>
        <w:t>项目名称、项目编号</w:t>
      </w:r>
      <w:r>
        <w:rPr>
          <w:rFonts w:hint="eastAsia" w:ascii="仿宋_GB2312" w:hAnsi="仿宋_GB2312" w:eastAsia="仿宋_GB2312" w:cs="仿宋_GB2312"/>
          <w:sz w:val="24"/>
          <w:u w:val="single"/>
          <w:lang w:eastAsia="zh-CN"/>
        </w:rPr>
        <w:t>）</w:t>
      </w:r>
      <w:r>
        <w:rPr>
          <w:rFonts w:hint="eastAsia" w:ascii="仿宋_GB2312" w:hAnsi="仿宋_GB2312" w:eastAsia="仿宋_GB2312" w:cs="仿宋_GB2312"/>
          <w:sz w:val="24"/>
          <w:u w:val="single"/>
        </w:rPr>
        <w:tab/>
      </w:r>
      <w:r>
        <w:rPr>
          <w:rFonts w:hint="eastAsia" w:ascii="仿宋_GB2312" w:hAnsi="仿宋_GB2312" w:eastAsia="仿宋_GB2312" w:cs="仿宋_GB2312"/>
          <w:sz w:val="24"/>
        </w:rPr>
        <w:t>项目招标中若获得中标资格，我们保证在领取中标通知书的同时按招标文件的规定，以支票、电汇等形式，向贵公司一次性支付应由我们交纳的中标服务费用。</w:t>
      </w:r>
    </w:p>
    <w:p w14:paraId="329C986F">
      <w:pPr>
        <w:spacing w:line="440" w:lineRule="exact"/>
        <w:ind w:left="1080" w:leftChars="257" w:hanging="540"/>
        <w:rPr>
          <w:rFonts w:hint="eastAsia" w:ascii="仿宋_GB2312" w:hAnsi="仿宋_GB2312" w:eastAsia="仿宋_GB2312" w:cs="仿宋_GB2312"/>
          <w:sz w:val="24"/>
        </w:rPr>
      </w:pPr>
      <w:r>
        <w:rPr>
          <w:rFonts w:hint="eastAsia" w:ascii="仿宋_GB2312" w:hAnsi="仿宋_GB2312" w:eastAsia="仿宋_GB2312" w:cs="仿宋_GB2312"/>
          <w:sz w:val="24"/>
        </w:rPr>
        <w:t>特此承诺！</w:t>
      </w:r>
    </w:p>
    <w:p w14:paraId="69FCE403">
      <w:pPr>
        <w:spacing w:line="440" w:lineRule="exact"/>
        <w:ind w:left="1080" w:leftChars="257" w:hanging="540"/>
        <w:rPr>
          <w:rFonts w:hint="eastAsia" w:ascii="仿宋_GB2312" w:hAnsi="仿宋_GB2312" w:eastAsia="仿宋_GB2312" w:cs="仿宋_GB2312"/>
          <w:sz w:val="24"/>
        </w:rPr>
      </w:pPr>
    </w:p>
    <w:p w14:paraId="58630916">
      <w:pPr>
        <w:spacing w:line="440" w:lineRule="exact"/>
        <w:ind w:left="1080" w:leftChars="257" w:hanging="540"/>
        <w:rPr>
          <w:rFonts w:hint="eastAsia" w:ascii="仿宋_GB2312" w:hAnsi="仿宋_GB2312" w:eastAsia="仿宋_GB2312" w:cs="仿宋_GB2312"/>
          <w:sz w:val="24"/>
        </w:rPr>
      </w:pPr>
    </w:p>
    <w:p w14:paraId="436BA01B">
      <w:pPr>
        <w:spacing w:line="440" w:lineRule="exact"/>
        <w:ind w:left="1080" w:leftChars="257" w:hanging="540"/>
        <w:rPr>
          <w:rFonts w:hint="eastAsia" w:ascii="仿宋_GB2312" w:hAnsi="仿宋_GB2312" w:eastAsia="仿宋_GB2312" w:cs="仿宋_GB2312"/>
          <w:sz w:val="24"/>
        </w:rPr>
      </w:pPr>
    </w:p>
    <w:p w14:paraId="574B7AFD">
      <w:pPr>
        <w:spacing w:line="440" w:lineRule="exact"/>
        <w:ind w:left="1080" w:leftChars="257" w:hanging="540"/>
        <w:rPr>
          <w:rFonts w:hint="eastAsia" w:ascii="仿宋_GB2312" w:hAnsi="仿宋_GB2312" w:eastAsia="仿宋_GB2312" w:cs="仿宋_GB2312"/>
          <w:sz w:val="24"/>
        </w:rPr>
      </w:pPr>
    </w:p>
    <w:p w14:paraId="0921CCAD">
      <w:pPr>
        <w:spacing w:line="440" w:lineRule="exact"/>
        <w:ind w:left="1080" w:hanging="1080"/>
        <w:rPr>
          <w:rFonts w:hint="eastAsia" w:ascii="仿宋_GB2312" w:hAnsi="仿宋_GB2312" w:eastAsia="仿宋_GB2312" w:cs="仿宋_GB2312"/>
          <w:sz w:val="24"/>
        </w:rPr>
      </w:pPr>
    </w:p>
    <w:p w14:paraId="3852A371">
      <w:pPr>
        <w:spacing w:line="440" w:lineRule="exact"/>
        <w:ind w:left="1413" w:leftChars="273" w:hanging="840" w:hangingChars="350"/>
        <w:rPr>
          <w:rFonts w:hint="eastAsia" w:ascii="仿宋_GB2312" w:hAnsi="仿宋_GB2312" w:eastAsia="仿宋_GB2312" w:cs="仿宋_GB2312"/>
          <w:sz w:val="24"/>
        </w:rPr>
      </w:pPr>
      <w:r>
        <w:rPr>
          <w:rFonts w:hint="eastAsia" w:ascii="仿宋_GB2312" w:hAnsi="仿宋_GB2312" w:eastAsia="仿宋_GB2312" w:cs="仿宋_GB2312"/>
          <w:sz w:val="24"/>
        </w:rPr>
        <w:t>承诺方法定名称：</w:t>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p>
    <w:p w14:paraId="0C95BCDD">
      <w:pPr>
        <w:spacing w:line="440" w:lineRule="exact"/>
        <w:ind w:left="1620" w:leftChars="257" w:hanging="1080"/>
        <w:rPr>
          <w:rFonts w:hint="eastAsia" w:ascii="仿宋_GB2312" w:hAnsi="仿宋_GB2312" w:eastAsia="仿宋_GB2312" w:cs="仿宋_GB2312"/>
          <w:sz w:val="24"/>
        </w:rPr>
      </w:pPr>
      <w:r>
        <w:rPr>
          <w:rFonts w:hint="eastAsia" w:ascii="仿宋_GB2312" w:hAnsi="仿宋_GB2312" w:eastAsia="仿宋_GB2312" w:cs="仿宋_GB2312"/>
          <w:sz w:val="24"/>
        </w:rPr>
        <w:t>地址：</w:t>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p>
    <w:p w14:paraId="1F41CF89">
      <w:pPr>
        <w:spacing w:line="440" w:lineRule="exact"/>
        <w:ind w:left="1620" w:leftChars="257" w:hanging="1080"/>
        <w:rPr>
          <w:rFonts w:hint="eastAsia" w:ascii="仿宋_GB2312" w:hAnsi="仿宋_GB2312" w:eastAsia="仿宋_GB2312" w:cs="仿宋_GB2312"/>
          <w:sz w:val="24"/>
        </w:rPr>
      </w:pPr>
      <w:r>
        <w:rPr>
          <w:rFonts w:hint="eastAsia" w:ascii="仿宋_GB2312" w:hAnsi="仿宋_GB2312" w:eastAsia="仿宋_GB2312" w:cs="仿宋_GB2312"/>
          <w:sz w:val="24"/>
        </w:rPr>
        <w:t>电话：</w:t>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rPr>
        <w:tab/>
      </w:r>
      <w:r>
        <w:rPr>
          <w:rFonts w:hint="eastAsia" w:ascii="仿宋_GB2312" w:hAnsi="仿宋_GB2312" w:eastAsia="仿宋_GB2312" w:cs="仿宋_GB2312"/>
          <w:sz w:val="24"/>
        </w:rPr>
        <w:tab/>
      </w:r>
      <w:r>
        <w:rPr>
          <w:rFonts w:hint="eastAsia" w:ascii="仿宋_GB2312" w:hAnsi="仿宋_GB2312" w:eastAsia="仿宋_GB2312" w:cs="仿宋_GB2312"/>
          <w:sz w:val="24"/>
        </w:rPr>
        <w:t>传真：</w:t>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p>
    <w:p w14:paraId="3EDB604C">
      <w:pPr>
        <w:spacing w:line="440" w:lineRule="exact"/>
        <w:ind w:left="1620" w:leftChars="257" w:hanging="1080"/>
        <w:rPr>
          <w:rFonts w:hint="eastAsia" w:ascii="仿宋_GB2312" w:hAnsi="仿宋_GB2312" w:eastAsia="仿宋_GB2312" w:cs="仿宋_GB2312"/>
          <w:sz w:val="24"/>
        </w:rPr>
      </w:pPr>
      <w:r>
        <w:rPr>
          <w:rFonts w:hint="eastAsia" w:ascii="仿宋_GB2312" w:hAnsi="仿宋_GB2312" w:eastAsia="仿宋_GB2312" w:cs="仿宋_GB2312"/>
          <w:sz w:val="24"/>
        </w:rPr>
        <w:t>电传：</w:t>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rPr>
        <w:tab/>
      </w:r>
      <w:r>
        <w:rPr>
          <w:rFonts w:hint="eastAsia" w:ascii="仿宋_GB2312" w:hAnsi="仿宋_GB2312" w:eastAsia="仿宋_GB2312" w:cs="仿宋_GB2312"/>
          <w:sz w:val="24"/>
        </w:rPr>
        <w:tab/>
      </w:r>
      <w:r>
        <w:rPr>
          <w:rFonts w:hint="eastAsia" w:ascii="仿宋_GB2312" w:hAnsi="仿宋_GB2312" w:eastAsia="仿宋_GB2312" w:cs="仿宋_GB2312"/>
          <w:sz w:val="24"/>
        </w:rPr>
        <w:t>邮编：</w:t>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p>
    <w:p w14:paraId="742151BC">
      <w:pPr>
        <w:spacing w:line="440" w:lineRule="exact"/>
        <w:ind w:left="1620" w:leftChars="257" w:hanging="1080"/>
        <w:rPr>
          <w:rFonts w:hint="eastAsia" w:ascii="仿宋_GB2312" w:hAnsi="仿宋_GB2312" w:eastAsia="仿宋_GB2312" w:cs="仿宋_GB2312"/>
          <w:sz w:val="24"/>
        </w:rPr>
      </w:pPr>
      <w:r>
        <w:rPr>
          <w:rFonts w:hint="eastAsia" w:ascii="仿宋_GB2312" w:hAnsi="仿宋_GB2312" w:eastAsia="仿宋_GB2312" w:cs="仿宋_GB2312"/>
          <w:sz w:val="24"/>
        </w:rPr>
        <w:t>承诺方授权代表签字：</w:t>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（承诺方盖章）</w:t>
      </w:r>
    </w:p>
    <w:p w14:paraId="5434612C">
      <w:pPr>
        <w:spacing w:line="440" w:lineRule="exact"/>
        <w:ind w:left="1620" w:leftChars="257" w:hanging="1080"/>
        <w:rPr>
          <w:rFonts w:hint="eastAsia" w:ascii="仿宋_GB2312" w:hAnsi="仿宋_GB2312" w:eastAsia="仿宋_GB2312" w:cs="仿宋_GB2312"/>
          <w:sz w:val="24"/>
          <w:u w:val="single"/>
        </w:rPr>
      </w:pPr>
      <w:r>
        <w:rPr>
          <w:rFonts w:hint="eastAsia" w:ascii="仿宋_GB2312" w:hAnsi="仿宋_GB2312" w:eastAsia="仿宋_GB2312" w:cs="仿宋_GB2312"/>
          <w:sz w:val="24"/>
        </w:rPr>
        <w:t>承诺日期：</w:t>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 xml:space="preserve">                      </w:t>
      </w:r>
      <w:bookmarkEnd w:id="73"/>
      <w:bookmarkEnd w:id="74"/>
    </w:p>
    <w:p w14:paraId="39E1A31E">
      <w:pPr>
        <w:rPr>
          <w:rFonts w:hint="eastAsia" w:ascii="仿宋_GB2312" w:hAnsi="仿宋_GB2312" w:eastAsia="仿宋_GB2312" w:cs="仿宋_GB2312"/>
          <w:b w:val="0"/>
          <w:bCs w:val="0"/>
          <w:kern w:val="2"/>
          <w:sz w:val="24"/>
          <w:szCs w:val="24"/>
          <w:lang w:val="en-US" w:eastAsia="zh-CN" w:bidi="zh-CN"/>
        </w:rPr>
      </w:pPr>
      <w:r>
        <w:rPr>
          <w:rFonts w:hint="eastAsia" w:ascii="仿宋_GB2312" w:hAnsi="仿宋_GB2312" w:eastAsia="仿宋_GB2312" w:cs="仿宋_GB2312"/>
          <w:b w:val="0"/>
          <w:bCs w:val="0"/>
          <w:kern w:val="2"/>
          <w:sz w:val="24"/>
          <w:szCs w:val="24"/>
          <w:lang w:val="en-US" w:eastAsia="zh-CN" w:bidi="zh-CN"/>
        </w:rPr>
        <w:br w:type="page"/>
      </w:r>
    </w:p>
    <w:p w14:paraId="2366774B">
      <w:pPr>
        <w:widowControl w:val="0"/>
        <w:spacing w:before="1"/>
        <w:jc w:val="both"/>
        <w:outlineLvl w:val="1"/>
        <w:rPr>
          <w:rFonts w:hint="eastAsia" w:ascii="仿宋_GB2312" w:hAnsi="仿宋_GB2312" w:eastAsia="仿宋_GB2312" w:cs="仿宋_GB2312"/>
          <w:b w:val="0"/>
          <w:bCs w:val="0"/>
          <w:kern w:val="2"/>
          <w:sz w:val="24"/>
          <w:szCs w:val="24"/>
          <w:lang w:val="zh-CN" w:eastAsia="zh-CN" w:bidi="zh-CN"/>
        </w:rPr>
      </w:pPr>
      <w:bookmarkStart w:id="75" w:name="_Toc15106"/>
      <w:bookmarkStart w:id="76" w:name="_Toc17899"/>
      <w:bookmarkStart w:id="77" w:name="_Toc24678"/>
      <w:bookmarkStart w:id="78" w:name="_Toc8649"/>
      <w:bookmarkStart w:id="79" w:name="_Toc20782"/>
      <w:r>
        <w:rPr>
          <w:rFonts w:hint="eastAsia" w:ascii="仿宋_GB2312" w:hAnsi="仿宋_GB2312" w:eastAsia="仿宋_GB2312" w:cs="仿宋_GB2312"/>
          <w:b w:val="0"/>
          <w:bCs w:val="0"/>
          <w:kern w:val="2"/>
          <w:sz w:val="24"/>
          <w:szCs w:val="24"/>
          <w:lang w:val="en-US" w:eastAsia="zh-CN" w:bidi="zh-CN"/>
        </w:rPr>
        <w:t xml:space="preserve">12   </w:t>
      </w:r>
      <w:r>
        <w:rPr>
          <w:rFonts w:hint="eastAsia" w:ascii="仿宋_GB2312" w:hAnsi="仿宋_GB2312" w:eastAsia="仿宋_GB2312" w:cs="仿宋_GB2312"/>
          <w:b w:val="0"/>
          <w:bCs w:val="0"/>
          <w:kern w:val="2"/>
          <w:sz w:val="24"/>
          <w:szCs w:val="24"/>
          <w:lang w:val="zh-CN" w:eastAsia="zh-CN" w:bidi="zh-CN"/>
        </w:rPr>
        <w:t>保证金信息表</w:t>
      </w:r>
      <w:bookmarkEnd w:id="60"/>
      <w:bookmarkEnd w:id="61"/>
      <w:r>
        <w:rPr>
          <w:rFonts w:hint="eastAsia" w:ascii="仿宋_GB2312" w:hAnsi="仿宋_GB2312" w:eastAsia="仿宋_GB2312" w:cs="仿宋_GB2312"/>
          <w:b w:val="0"/>
          <w:bCs w:val="0"/>
          <w:kern w:val="2"/>
          <w:sz w:val="24"/>
          <w:szCs w:val="24"/>
          <w:lang w:val="zh-CN" w:eastAsia="zh-CN" w:bidi="zh-CN"/>
        </w:rPr>
        <w:t>（</w:t>
      </w:r>
      <w:r>
        <w:rPr>
          <w:rFonts w:hint="eastAsia" w:ascii="仿宋_GB2312" w:hAnsi="仿宋_GB2312" w:eastAsia="仿宋_GB2312" w:cs="仿宋_GB2312"/>
          <w:b w:val="0"/>
          <w:bCs w:val="0"/>
          <w:kern w:val="2"/>
          <w:sz w:val="24"/>
          <w:szCs w:val="24"/>
          <w:lang w:val="en-US" w:eastAsia="zh-CN" w:bidi="zh-CN"/>
        </w:rPr>
        <w:t>保函方式提交的无需提供</w:t>
      </w:r>
      <w:r>
        <w:rPr>
          <w:rFonts w:hint="eastAsia" w:ascii="仿宋_GB2312" w:hAnsi="仿宋_GB2312" w:eastAsia="仿宋_GB2312" w:cs="仿宋_GB2312"/>
          <w:b w:val="0"/>
          <w:bCs w:val="0"/>
          <w:kern w:val="2"/>
          <w:sz w:val="24"/>
          <w:szCs w:val="24"/>
          <w:lang w:val="zh-CN" w:eastAsia="zh-CN" w:bidi="zh-CN"/>
        </w:rPr>
        <w:t>）</w:t>
      </w:r>
      <w:bookmarkEnd w:id="75"/>
      <w:bookmarkEnd w:id="76"/>
      <w:bookmarkEnd w:id="77"/>
      <w:bookmarkEnd w:id="78"/>
      <w:bookmarkEnd w:id="79"/>
    </w:p>
    <w:p w14:paraId="0ECF6647">
      <w:pPr>
        <w:pStyle w:val="11"/>
        <w:spacing w:line="440" w:lineRule="exact"/>
        <w:jc w:val="center"/>
        <w:outlineLvl w:val="9"/>
        <w:rPr>
          <w:rFonts w:hint="eastAsia" w:ascii="仿宋_GB2312" w:hAnsi="仿宋_GB2312" w:eastAsia="仿宋_GB2312" w:cs="仿宋_GB2312"/>
          <w:b/>
          <w:sz w:val="32"/>
          <w:szCs w:val="32"/>
        </w:rPr>
      </w:pPr>
    </w:p>
    <w:p w14:paraId="698AB2CC">
      <w:pPr>
        <w:pStyle w:val="11"/>
        <w:spacing w:line="440" w:lineRule="exact"/>
        <w:jc w:val="center"/>
        <w:outlineLvl w:val="0"/>
        <w:rPr>
          <w:rFonts w:hint="eastAsia" w:ascii="仿宋_GB2312" w:hAnsi="仿宋_GB2312" w:eastAsia="仿宋_GB2312" w:cs="仿宋_GB2312"/>
          <w:b/>
          <w:sz w:val="32"/>
          <w:szCs w:val="32"/>
        </w:rPr>
      </w:pPr>
      <w:bookmarkStart w:id="80" w:name="_Toc14307"/>
      <w:bookmarkStart w:id="81" w:name="_Toc25967"/>
      <w:bookmarkStart w:id="82" w:name="_Toc31463"/>
      <w:bookmarkStart w:id="83" w:name="_Toc4940"/>
      <w:bookmarkStart w:id="84" w:name="_Toc16938"/>
      <w:bookmarkStart w:id="85" w:name="_Toc28181"/>
      <w:bookmarkStart w:id="86" w:name="_Toc27316"/>
      <w:r>
        <w:rPr>
          <w:rFonts w:hint="eastAsia" w:ascii="仿宋_GB2312" w:hAnsi="仿宋_GB2312" w:eastAsia="仿宋_GB2312" w:cs="仿宋_GB2312"/>
          <w:b/>
          <w:sz w:val="24"/>
          <w:szCs w:val="24"/>
        </w:rPr>
        <w:t>退还保证金申请函</w:t>
      </w:r>
      <w:bookmarkEnd w:id="80"/>
      <w:bookmarkEnd w:id="81"/>
      <w:bookmarkEnd w:id="82"/>
      <w:bookmarkEnd w:id="83"/>
      <w:bookmarkEnd w:id="84"/>
      <w:bookmarkEnd w:id="85"/>
      <w:bookmarkEnd w:id="86"/>
    </w:p>
    <w:p w14:paraId="1993E3DA">
      <w:pPr>
        <w:spacing w:line="360" w:lineRule="auto"/>
        <w:rPr>
          <w:rFonts w:hint="eastAsia" w:ascii="仿宋_GB2312" w:hAnsi="仿宋_GB2312" w:eastAsia="仿宋_GB2312" w:cs="仿宋_GB2312"/>
          <w:color w:val="000000"/>
          <w:sz w:val="21"/>
          <w:szCs w:val="21"/>
          <w:u w:val="single"/>
          <w:lang w:eastAsia="zh-CN"/>
        </w:rPr>
      </w:pPr>
      <w:r>
        <w:rPr>
          <w:rFonts w:hint="eastAsia" w:ascii="仿宋_GB2312" w:hAnsi="仿宋_GB2312" w:eastAsia="仿宋_GB2312" w:cs="仿宋_GB2312"/>
          <w:color w:val="000000"/>
          <w:sz w:val="21"/>
          <w:szCs w:val="21"/>
        </w:rPr>
        <w:t>致：</w:t>
      </w:r>
      <w:r>
        <w:rPr>
          <w:rFonts w:hint="eastAsia" w:ascii="仿宋_GB2312" w:hAnsi="仿宋_GB2312" w:eastAsia="仿宋_GB2312" w:cs="仿宋_GB2312"/>
          <w:color w:val="000000"/>
          <w:sz w:val="21"/>
          <w:szCs w:val="21"/>
          <w:u w:val="single"/>
          <w:lang w:eastAsia="zh-CN"/>
        </w:rPr>
        <w:t>新疆世纪星工程咨询有限公司</w:t>
      </w:r>
    </w:p>
    <w:p w14:paraId="54301236">
      <w:pPr>
        <w:spacing w:line="360" w:lineRule="auto"/>
        <w:ind w:firstLine="420"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u w:val="single"/>
        </w:rPr>
        <w:t>（</w:t>
      </w:r>
      <w:r>
        <w:rPr>
          <w:rFonts w:hint="eastAsia" w:ascii="仿宋_GB2312" w:hAnsi="仿宋_GB2312" w:eastAsia="仿宋_GB2312" w:cs="仿宋_GB2312"/>
          <w:color w:val="000000"/>
          <w:sz w:val="21"/>
          <w:szCs w:val="21"/>
          <w:u w:val="single"/>
          <w:lang w:val="en-US" w:eastAsia="zh-CN"/>
        </w:rPr>
        <w:t>投标人</w:t>
      </w:r>
      <w:r>
        <w:rPr>
          <w:rFonts w:hint="eastAsia" w:ascii="仿宋_GB2312" w:hAnsi="仿宋_GB2312" w:eastAsia="仿宋_GB2312" w:cs="仿宋_GB2312"/>
          <w:color w:val="000000"/>
          <w:sz w:val="21"/>
          <w:szCs w:val="21"/>
          <w:u w:val="single"/>
        </w:rPr>
        <w:t xml:space="preserve">全称) </w:t>
      </w:r>
      <w:r>
        <w:rPr>
          <w:rFonts w:hint="eastAsia" w:ascii="仿宋_GB2312" w:hAnsi="仿宋_GB2312" w:eastAsia="仿宋_GB2312" w:cs="仿宋_GB2312"/>
          <w:color w:val="000000"/>
          <w:sz w:val="21"/>
          <w:szCs w:val="21"/>
        </w:rPr>
        <w:t>参加贵方组织的，</w:t>
      </w:r>
      <w:r>
        <w:rPr>
          <w:rFonts w:hint="eastAsia" w:ascii="仿宋_GB2312" w:hAnsi="仿宋_GB2312" w:eastAsia="仿宋_GB2312" w:cs="仿宋_GB2312"/>
          <w:b w:val="0"/>
          <w:bCs w:val="0"/>
          <w:sz w:val="21"/>
          <w:szCs w:val="21"/>
          <w:u w:val="single"/>
          <w:lang w:val="en-US" w:eastAsia="zh-CN"/>
        </w:rPr>
        <w:t>（项目名称）（项目编号）</w:t>
      </w:r>
      <w:r>
        <w:rPr>
          <w:rFonts w:hint="eastAsia" w:ascii="仿宋_GB2312" w:hAnsi="仿宋_GB2312" w:eastAsia="仿宋_GB2312" w:cs="仿宋_GB2312"/>
          <w:color w:val="000000"/>
          <w:sz w:val="21"/>
          <w:szCs w:val="21"/>
        </w:rPr>
        <w:t>的</w:t>
      </w:r>
      <w:r>
        <w:rPr>
          <w:rFonts w:hint="eastAsia" w:ascii="仿宋_GB2312" w:hAnsi="仿宋_GB2312" w:eastAsia="仿宋_GB2312" w:cs="仿宋_GB2312"/>
          <w:color w:val="000000"/>
          <w:sz w:val="21"/>
          <w:szCs w:val="21"/>
          <w:lang w:val="en-US" w:eastAsia="zh-CN"/>
        </w:rPr>
        <w:t>招标</w:t>
      </w:r>
      <w:r>
        <w:rPr>
          <w:rFonts w:hint="eastAsia" w:ascii="仿宋_GB2312" w:hAnsi="仿宋_GB2312" w:eastAsia="仿宋_GB2312" w:cs="仿宋_GB2312"/>
          <w:color w:val="000000"/>
          <w:sz w:val="21"/>
          <w:szCs w:val="21"/>
        </w:rPr>
        <w:t>采购活动。按</w:t>
      </w:r>
      <w:r>
        <w:rPr>
          <w:rFonts w:hint="eastAsia" w:ascii="仿宋_GB2312" w:hAnsi="仿宋_GB2312" w:eastAsia="仿宋_GB2312" w:cs="仿宋_GB2312"/>
          <w:color w:val="000000"/>
          <w:sz w:val="21"/>
          <w:szCs w:val="21"/>
          <w:lang w:val="en-US" w:eastAsia="zh-CN"/>
        </w:rPr>
        <w:t>招标</w:t>
      </w:r>
      <w:r>
        <w:rPr>
          <w:rFonts w:hint="eastAsia" w:ascii="仿宋_GB2312" w:hAnsi="仿宋_GB2312" w:eastAsia="仿宋_GB2312" w:cs="仿宋_GB2312"/>
          <w:color w:val="000000"/>
          <w:sz w:val="21"/>
          <w:szCs w:val="21"/>
        </w:rPr>
        <w:t>文件的规定，已通过</w:t>
      </w:r>
      <w:r>
        <w:rPr>
          <w:rFonts w:hint="eastAsia" w:ascii="仿宋_GB2312" w:hAnsi="仿宋_GB2312" w:eastAsia="仿宋_GB2312" w:cs="仿宋_GB2312"/>
          <w:color w:val="000000"/>
          <w:sz w:val="21"/>
          <w:szCs w:val="21"/>
          <w:u w:val="single"/>
        </w:rPr>
        <w:t>银行转帐/银行汇款</w:t>
      </w:r>
      <w:r>
        <w:rPr>
          <w:rFonts w:hint="eastAsia" w:ascii="仿宋_GB2312" w:hAnsi="仿宋_GB2312" w:eastAsia="仿宋_GB2312" w:cs="仿宋_GB2312"/>
          <w:color w:val="000000"/>
          <w:sz w:val="21"/>
          <w:szCs w:val="21"/>
        </w:rPr>
        <w:t>形式缴纳人民币</w:t>
      </w:r>
      <w:r>
        <w:rPr>
          <w:rFonts w:hint="eastAsia" w:ascii="仿宋_GB2312" w:hAnsi="仿宋_GB2312" w:eastAsia="仿宋_GB2312" w:cs="仿宋_GB2312"/>
          <w:color w:val="000000"/>
          <w:sz w:val="21"/>
          <w:szCs w:val="21"/>
          <w:u w:val="single"/>
        </w:rPr>
        <w:t xml:space="preserve">（大写）  　　  </w:t>
      </w:r>
      <w:r>
        <w:rPr>
          <w:rFonts w:hint="eastAsia" w:ascii="仿宋_GB2312" w:hAnsi="仿宋_GB2312" w:eastAsia="仿宋_GB2312" w:cs="仿宋_GB2312"/>
          <w:color w:val="000000"/>
          <w:sz w:val="21"/>
          <w:szCs w:val="21"/>
        </w:rPr>
        <w:t>元的保证金。</w:t>
      </w:r>
    </w:p>
    <w:p w14:paraId="1BB5F3F4">
      <w:pPr>
        <w:autoSpaceDE w:val="0"/>
        <w:autoSpaceDN w:val="0"/>
        <w:spacing w:line="360" w:lineRule="auto"/>
        <w:ind w:firstLine="420"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退还保证金时请按以下内容划入我方帐户。若因内容不全、错误、字迹潦草模糊导致该项目保证金未能及时退还或退还过程中发生错误，我方将承担全部责任和损失。</w:t>
      </w:r>
    </w:p>
    <w:p w14:paraId="12B203BE">
      <w:pPr>
        <w:spacing w:line="360" w:lineRule="auto"/>
        <w:ind w:firstLine="420"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投标人</w:t>
      </w:r>
      <w:r>
        <w:rPr>
          <w:rFonts w:hint="eastAsia" w:ascii="仿宋_GB2312" w:hAnsi="仿宋_GB2312" w:eastAsia="仿宋_GB2312" w:cs="仿宋_GB2312"/>
          <w:color w:val="000000"/>
          <w:sz w:val="21"/>
          <w:szCs w:val="21"/>
        </w:rPr>
        <w:t>名称：</w:t>
      </w:r>
      <w:r>
        <w:rPr>
          <w:rFonts w:hint="eastAsia" w:ascii="仿宋_GB2312" w:hAnsi="仿宋_GB2312" w:eastAsia="仿宋_GB2312" w:cs="仿宋_GB2312"/>
          <w:i/>
          <w:iCs/>
          <w:color w:val="000000"/>
          <w:sz w:val="21"/>
          <w:szCs w:val="21"/>
          <w:u w:val="single"/>
        </w:rPr>
        <w:t xml:space="preserve">                                 </w:t>
      </w:r>
      <w:r>
        <w:rPr>
          <w:rFonts w:hint="eastAsia" w:ascii="仿宋_GB2312" w:hAnsi="仿宋_GB2312" w:eastAsia="仿宋_GB2312" w:cs="仿宋_GB2312"/>
          <w:color w:val="000000"/>
          <w:sz w:val="21"/>
          <w:szCs w:val="21"/>
        </w:rPr>
        <w:t xml:space="preserve"> </w:t>
      </w:r>
    </w:p>
    <w:p w14:paraId="081EDB7E">
      <w:pPr>
        <w:spacing w:line="360" w:lineRule="auto"/>
        <w:ind w:firstLine="420"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投标人</w:t>
      </w:r>
      <w:r>
        <w:rPr>
          <w:rFonts w:hint="eastAsia" w:ascii="仿宋_GB2312" w:hAnsi="仿宋_GB2312" w:eastAsia="仿宋_GB2312" w:cs="仿宋_GB2312"/>
          <w:color w:val="000000"/>
          <w:sz w:val="21"/>
          <w:szCs w:val="21"/>
        </w:rPr>
        <w:t>开户银行：</w:t>
      </w:r>
      <w:r>
        <w:rPr>
          <w:rFonts w:hint="eastAsia" w:ascii="仿宋_GB2312" w:hAnsi="仿宋_GB2312" w:eastAsia="仿宋_GB2312" w:cs="仿宋_GB2312"/>
          <w:color w:val="000000"/>
          <w:sz w:val="21"/>
          <w:szCs w:val="21"/>
          <w:u w:val="single"/>
        </w:rPr>
        <w:t xml:space="preserve">                             </w:t>
      </w:r>
    </w:p>
    <w:p w14:paraId="0159D5E5">
      <w:pPr>
        <w:spacing w:line="360" w:lineRule="auto"/>
        <w:ind w:firstLine="420"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投标人</w:t>
      </w:r>
      <w:r>
        <w:rPr>
          <w:rFonts w:hint="eastAsia" w:ascii="仿宋_GB2312" w:hAnsi="仿宋_GB2312" w:eastAsia="仿宋_GB2312" w:cs="仿宋_GB2312"/>
          <w:color w:val="000000"/>
          <w:sz w:val="21"/>
          <w:szCs w:val="21"/>
        </w:rPr>
        <w:t>开户银行行号：</w:t>
      </w:r>
      <w:r>
        <w:rPr>
          <w:rFonts w:hint="eastAsia" w:ascii="仿宋_GB2312" w:hAnsi="仿宋_GB2312" w:eastAsia="仿宋_GB2312" w:cs="仿宋_GB2312"/>
          <w:color w:val="000000"/>
          <w:sz w:val="21"/>
          <w:szCs w:val="21"/>
          <w:u w:val="single"/>
        </w:rPr>
        <w:t xml:space="preserve">                         </w:t>
      </w:r>
    </w:p>
    <w:p w14:paraId="19EE6DF4">
      <w:pPr>
        <w:spacing w:line="360" w:lineRule="auto"/>
        <w:ind w:firstLine="420" w:firstLineChars="200"/>
        <w:rPr>
          <w:rFonts w:hint="eastAsia" w:ascii="仿宋_GB2312" w:hAnsi="仿宋_GB2312" w:eastAsia="仿宋_GB2312" w:cs="仿宋_GB2312"/>
          <w:color w:val="000000"/>
          <w:sz w:val="21"/>
          <w:szCs w:val="21"/>
          <w:u w:val="single"/>
        </w:rPr>
      </w:pPr>
      <w:r>
        <w:rPr>
          <w:rFonts w:hint="eastAsia" w:ascii="仿宋_GB2312" w:hAnsi="仿宋_GB2312" w:eastAsia="仿宋_GB2312" w:cs="仿宋_GB2312"/>
          <w:color w:val="000000"/>
          <w:sz w:val="21"/>
          <w:szCs w:val="21"/>
          <w:lang w:val="en-US" w:eastAsia="zh-CN"/>
        </w:rPr>
        <w:t>投标人</w:t>
      </w:r>
      <w:r>
        <w:rPr>
          <w:rFonts w:hint="eastAsia" w:ascii="仿宋_GB2312" w:hAnsi="仿宋_GB2312" w:eastAsia="仿宋_GB2312" w:cs="仿宋_GB2312"/>
          <w:color w:val="000000"/>
          <w:sz w:val="21"/>
          <w:szCs w:val="21"/>
        </w:rPr>
        <w:t>银行帐号：</w:t>
      </w:r>
      <w:r>
        <w:rPr>
          <w:rFonts w:hint="eastAsia" w:ascii="仿宋_GB2312" w:hAnsi="仿宋_GB2312" w:eastAsia="仿宋_GB2312" w:cs="仿宋_GB2312"/>
          <w:color w:val="000000"/>
          <w:sz w:val="21"/>
          <w:szCs w:val="21"/>
          <w:u w:val="single"/>
        </w:rPr>
        <w:t xml:space="preserve">                             </w:t>
      </w:r>
    </w:p>
    <w:p w14:paraId="1457975D">
      <w:pPr>
        <w:adjustRightInd w:val="0"/>
        <w:snapToGrid w:val="0"/>
        <w:spacing w:line="360" w:lineRule="auto"/>
        <w:rPr>
          <w:rFonts w:hint="eastAsia" w:ascii="仿宋_GB2312" w:hAnsi="仿宋_GB2312" w:eastAsia="仿宋_GB2312" w:cs="仿宋_GB2312"/>
          <w:color w:val="000000"/>
          <w:sz w:val="21"/>
          <w:szCs w:val="21"/>
        </w:rPr>
      </w:pPr>
    </w:p>
    <w:p w14:paraId="2E135554">
      <w:pPr>
        <w:adjustRightInd w:val="0"/>
        <w:snapToGrid w:val="0"/>
        <w:spacing w:line="360" w:lineRule="auto"/>
        <w:rPr>
          <w:rFonts w:hint="eastAsia" w:ascii="仿宋_GB2312" w:hAnsi="仿宋_GB2312" w:eastAsia="仿宋_GB2312" w:cs="仿宋_GB2312"/>
          <w:color w:val="000000"/>
          <w:sz w:val="21"/>
          <w:szCs w:val="21"/>
          <w:u w:val="single"/>
        </w:rPr>
      </w:pPr>
      <w:r>
        <w:rPr>
          <w:rFonts w:hint="eastAsia" w:ascii="仿宋_GB2312" w:hAnsi="仿宋_GB2312" w:eastAsia="仿宋_GB2312" w:cs="仿宋_GB2312"/>
          <w:color w:val="000000"/>
          <w:sz w:val="21"/>
          <w:szCs w:val="21"/>
          <w:lang w:val="en-US" w:eastAsia="zh-CN"/>
        </w:rPr>
        <w:t>投标人</w:t>
      </w:r>
      <w:r>
        <w:rPr>
          <w:rFonts w:hint="eastAsia" w:ascii="仿宋_GB2312" w:hAnsi="仿宋_GB2312" w:eastAsia="仿宋_GB2312" w:cs="仿宋_GB2312"/>
          <w:color w:val="000000"/>
          <w:sz w:val="21"/>
          <w:szCs w:val="21"/>
        </w:rPr>
        <w:t>法定代表人（或法定代表人授权代表）签字：</w:t>
      </w:r>
    </w:p>
    <w:p w14:paraId="06B0E045">
      <w:pPr>
        <w:adjustRightInd w:val="0"/>
        <w:snapToGrid w:val="0"/>
        <w:spacing w:line="360" w:lineRule="auto"/>
        <w:rPr>
          <w:rFonts w:hint="eastAsia" w:ascii="仿宋_GB2312" w:hAnsi="仿宋_GB2312" w:eastAsia="仿宋_GB2312" w:cs="仿宋_GB2312"/>
          <w:color w:val="000000"/>
          <w:sz w:val="21"/>
          <w:szCs w:val="21"/>
          <w:u w:val="single"/>
        </w:rPr>
      </w:pPr>
      <w:r>
        <w:rPr>
          <w:rFonts w:hint="eastAsia" w:ascii="仿宋_GB2312" w:hAnsi="仿宋_GB2312" w:eastAsia="仿宋_GB2312" w:cs="仿宋_GB2312"/>
          <w:color w:val="000000"/>
          <w:sz w:val="21"/>
          <w:szCs w:val="21"/>
          <w:lang w:val="en-US" w:eastAsia="zh-CN"/>
        </w:rPr>
        <w:t>投标人</w:t>
      </w:r>
      <w:r>
        <w:rPr>
          <w:rFonts w:hint="eastAsia" w:ascii="仿宋_GB2312" w:hAnsi="仿宋_GB2312" w:eastAsia="仿宋_GB2312" w:cs="仿宋_GB2312"/>
          <w:color w:val="000000"/>
          <w:sz w:val="21"/>
          <w:szCs w:val="21"/>
        </w:rPr>
        <w:t>名称（加盖公章）：</w:t>
      </w:r>
    </w:p>
    <w:p w14:paraId="286D2ECF">
      <w:pPr>
        <w:adjustRightInd w:val="0"/>
        <w:snapToGrid w:val="0"/>
        <w:spacing w:line="360" w:lineRule="auto"/>
        <w:rPr>
          <w:rFonts w:hint="eastAsia" w:ascii="仿宋_GB2312" w:hAnsi="仿宋_GB2312" w:eastAsia="仿宋_GB2312" w:cs="仿宋_GB2312"/>
          <w:color w:val="000000"/>
          <w:sz w:val="21"/>
          <w:szCs w:val="21"/>
          <w:u w:val="single"/>
        </w:rPr>
      </w:pPr>
      <w:r>
        <w:rPr>
          <w:rFonts w:hint="eastAsia" w:ascii="仿宋_GB2312" w:hAnsi="仿宋_GB2312" w:eastAsia="仿宋_GB2312" w:cs="仿宋_GB2312"/>
          <w:color w:val="000000"/>
          <w:sz w:val="21"/>
          <w:szCs w:val="21"/>
        </w:rPr>
        <w:t>日期：   年   月   日</w:t>
      </w:r>
    </w:p>
    <w:p w14:paraId="06395E46">
      <w:pPr>
        <w:pStyle w:val="11"/>
        <w:spacing w:line="440" w:lineRule="exact"/>
        <w:jc w:val="both"/>
        <w:rPr>
          <w:rFonts w:hint="eastAsia" w:ascii="仿宋_GB2312" w:hAnsi="仿宋_GB2312" w:eastAsia="仿宋_GB2312" w:cs="仿宋_GB2312"/>
          <w:bCs/>
          <w:sz w:val="21"/>
          <w:szCs w:val="21"/>
        </w:rPr>
      </w:pPr>
    </w:p>
    <w:p w14:paraId="6DC1A283">
      <w:pPr>
        <w:pStyle w:val="11"/>
        <w:spacing w:line="440" w:lineRule="exact"/>
        <w:jc w:val="both"/>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注：为方便代理机构后续退款事宜，请</w:t>
      </w:r>
      <w:r>
        <w:rPr>
          <w:rFonts w:hint="eastAsia" w:ascii="仿宋_GB2312" w:hAnsi="仿宋_GB2312" w:eastAsia="仿宋_GB2312" w:cs="仿宋_GB2312"/>
          <w:b/>
          <w:sz w:val="21"/>
          <w:szCs w:val="21"/>
          <w:lang w:val="en-US" w:eastAsia="zh-CN"/>
        </w:rPr>
        <w:t>投标人</w:t>
      </w:r>
      <w:r>
        <w:rPr>
          <w:rFonts w:hint="eastAsia" w:ascii="仿宋_GB2312" w:hAnsi="仿宋_GB2312" w:eastAsia="仿宋_GB2312" w:cs="仿宋_GB2312"/>
          <w:b/>
          <w:sz w:val="21"/>
          <w:szCs w:val="21"/>
        </w:rPr>
        <w:t>认真填写此函信息，并后附转帐或汇款的银行凭证复印件。</w:t>
      </w:r>
    </w:p>
    <w:tbl>
      <w:tblPr>
        <w:tblStyle w:val="17"/>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0"/>
      </w:tblGrid>
      <w:tr w14:paraId="3C7AF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220" w:type="dxa"/>
            <w:vAlign w:val="center"/>
          </w:tcPr>
          <w:p w14:paraId="50A5D692">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（粘贴转帐或汇款的银行凭证复印件）</w:t>
            </w:r>
          </w:p>
        </w:tc>
      </w:tr>
    </w:tbl>
    <w:p w14:paraId="76AD99FB">
      <w:pPr>
        <w:pStyle w:val="7"/>
        <w:keepNext w:val="0"/>
        <w:keepLines w:val="0"/>
        <w:pageBreakBefore w:val="0"/>
        <w:widowControl w:val="0"/>
        <w:tabs>
          <w:tab w:val="left" w:pos="1560"/>
          <w:tab w:val="left" w:pos="2040"/>
        </w:tabs>
        <w:kinsoku/>
        <w:wordWrap/>
        <w:overflowPunct/>
        <w:topLinePunct w:val="0"/>
        <w:autoSpaceDE w:val="0"/>
        <w:autoSpaceDN w:val="0"/>
        <w:bidi w:val="0"/>
        <w:adjustRightInd w:val="0"/>
        <w:snapToGrid w:val="0"/>
        <w:spacing w:before="0" w:line="360" w:lineRule="auto"/>
        <w:textAlignment w:val="auto"/>
        <w:rPr>
          <w:rFonts w:hint="eastAsia" w:ascii="仿宋_GB2312" w:hAnsi="仿宋_GB2312" w:eastAsia="仿宋_GB2312" w:cs="仿宋_GB2312"/>
          <w:sz w:val="21"/>
          <w:szCs w:val="21"/>
        </w:rPr>
      </w:pPr>
    </w:p>
    <w:p w14:paraId="0986BAD9">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br w:type="page"/>
      </w:r>
    </w:p>
    <w:p w14:paraId="2B3C3CC1">
      <w:pPr>
        <w:widowControl w:val="0"/>
        <w:tabs>
          <w:tab w:val="left" w:pos="1325"/>
        </w:tabs>
        <w:spacing w:before="90"/>
        <w:jc w:val="both"/>
        <w:outlineLvl w:val="1"/>
        <w:rPr>
          <w:rFonts w:hint="eastAsia" w:ascii="仿宋_GB2312" w:hAnsi="仿宋_GB2312" w:eastAsia="仿宋_GB2312" w:cs="仿宋_GB2312"/>
          <w:b w:val="0"/>
          <w:bCs w:val="0"/>
          <w:kern w:val="2"/>
          <w:sz w:val="24"/>
          <w:szCs w:val="24"/>
          <w:lang w:val="zh-CN" w:eastAsia="zh-CN" w:bidi="zh-CN"/>
        </w:rPr>
      </w:pPr>
      <w:bookmarkStart w:id="87" w:name="_Toc21100"/>
      <w:bookmarkStart w:id="88" w:name="_Toc8576"/>
      <w:bookmarkStart w:id="89" w:name="_Toc8651"/>
      <w:bookmarkStart w:id="90" w:name="_Toc28409"/>
      <w:bookmarkStart w:id="91" w:name="_Toc19434"/>
      <w:bookmarkStart w:id="92" w:name="_Toc17857"/>
      <w:bookmarkStart w:id="93" w:name="_Toc2994"/>
      <w:r>
        <w:rPr>
          <w:rFonts w:hint="eastAsia" w:ascii="仿宋_GB2312" w:hAnsi="仿宋_GB2312" w:eastAsia="仿宋_GB2312" w:cs="仿宋_GB2312"/>
          <w:b w:val="0"/>
          <w:bCs w:val="0"/>
          <w:kern w:val="2"/>
          <w:sz w:val="24"/>
          <w:szCs w:val="24"/>
          <w:lang w:val="en-US" w:eastAsia="zh-CN" w:bidi="zh-CN"/>
        </w:rPr>
        <w:t>13   开票信息</w:t>
      </w:r>
      <w:r>
        <w:rPr>
          <w:rFonts w:hint="eastAsia" w:ascii="仿宋_GB2312" w:hAnsi="仿宋_GB2312" w:eastAsia="仿宋_GB2312" w:cs="仿宋_GB2312"/>
          <w:b w:val="0"/>
          <w:bCs w:val="0"/>
          <w:kern w:val="2"/>
          <w:sz w:val="24"/>
          <w:szCs w:val="24"/>
          <w:lang w:val="zh-CN" w:eastAsia="zh-CN" w:bidi="zh-CN"/>
        </w:rPr>
        <w:t>（统一格式）</w:t>
      </w:r>
      <w:bookmarkEnd w:id="87"/>
      <w:bookmarkEnd w:id="88"/>
      <w:bookmarkEnd w:id="89"/>
      <w:bookmarkEnd w:id="90"/>
      <w:bookmarkEnd w:id="91"/>
      <w:bookmarkEnd w:id="92"/>
      <w:bookmarkEnd w:id="93"/>
    </w:p>
    <w:p w14:paraId="5F0C0585">
      <w:pPr>
        <w:pStyle w:val="11"/>
        <w:spacing w:line="440" w:lineRule="exact"/>
        <w:ind w:firstLine="480" w:firstLineChars="200"/>
        <w:jc w:val="both"/>
        <w:rPr>
          <w:rFonts w:hint="eastAsia" w:ascii="仿宋_GB2312" w:hAnsi="仿宋_GB2312" w:eastAsia="仿宋_GB2312" w:cs="仿宋_GB2312"/>
          <w:bCs/>
          <w:sz w:val="24"/>
        </w:rPr>
      </w:pPr>
    </w:p>
    <w:p w14:paraId="0ACC0124">
      <w:pPr>
        <w:pStyle w:val="11"/>
        <w:spacing w:line="440" w:lineRule="exact"/>
        <w:jc w:val="both"/>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lang w:eastAsia="zh-CN"/>
        </w:rPr>
        <w:t>新疆世纪星工程咨询有限公司</w:t>
      </w:r>
      <w:r>
        <w:rPr>
          <w:rFonts w:hint="eastAsia" w:ascii="仿宋_GB2312" w:hAnsi="仿宋_GB2312" w:eastAsia="仿宋_GB2312" w:cs="仿宋_GB2312"/>
          <w:bCs/>
          <w:sz w:val="21"/>
          <w:szCs w:val="21"/>
        </w:rPr>
        <w:t>：</w:t>
      </w:r>
    </w:p>
    <w:p w14:paraId="6AE96904">
      <w:pPr>
        <w:pStyle w:val="11"/>
        <w:spacing w:line="440" w:lineRule="exact"/>
        <w:ind w:firstLine="420" w:firstLineChars="200"/>
        <w:jc w:val="both"/>
        <w:rPr>
          <w:rFonts w:hint="eastAsia" w:ascii="仿宋_GB2312" w:hAnsi="仿宋_GB2312" w:eastAsia="仿宋_GB2312" w:cs="仿宋_GB2312"/>
          <w:sz w:val="21"/>
          <w:szCs w:val="21"/>
        </w:rPr>
      </w:pPr>
      <w:r>
        <w:rPr>
          <w:rFonts w:hint="eastAsia" w:ascii="仿宋_GB2312" w:hAnsi="仿宋_GB2312" w:eastAsia="仿宋_GB2312" w:cs="仿宋_GB2312"/>
          <w:bCs/>
          <w:sz w:val="21"/>
          <w:szCs w:val="21"/>
        </w:rPr>
        <w:t xml:space="preserve">    </w:t>
      </w:r>
      <w:r>
        <w:rPr>
          <w:rFonts w:hint="eastAsia" w:ascii="仿宋_GB2312" w:hAnsi="仿宋_GB2312" w:eastAsia="仿宋_GB2312" w:cs="仿宋_GB2312"/>
          <w:sz w:val="21"/>
          <w:szCs w:val="21"/>
        </w:rPr>
        <w:t>本</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u w:val="single"/>
          <w:lang w:eastAsia="zh-CN"/>
        </w:rPr>
        <w:t>投标人</w:t>
      </w:r>
      <w:r>
        <w:rPr>
          <w:rFonts w:hint="eastAsia" w:ascii="仿宋_GB2312" w:hAnsi="仿宋_GB2312" w:eastAsia="仿宋_GB2312" w:cs="仿宋_GB2312"/>
          <w:sz w:val="21"/>
          <w:szCs w:val="21"/>
          <w:u w:val="single"/>
        </w:rPr>
        <w:t xml:space="preserve">名称）   </w:t>
      </w:r>
      <w:r>
        <w:rPr>
          <w:rFonts w:hint="eastAsia" w:ascii="仿宋_GB2312" w:hAnsi="仿宋_GB2312" w:eastAsia="仿宋_GB2312" w:cs="仿宋_GB2312"/>
          <w:sz w:val="21"/>
          <w:szCs w:val="21"/>
        </w:rPr>
        <w:t>公司在参加在贵司进行的</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b w:val="0"/>
          <w:bCs w:val="0"/>
          <w:sz w:val="21"/>
          <w:szCs w:val="21"/>
          <w:u w:val="single"/>
          <w:lang w:val="en-US" w:eastAsia="zh-CN"/>
        </w:rPr>
        <w:t>（项目名称）（项目编号）</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 xml:space="preserve">招标，我司缴纳标书费和代理服务费后开具发票的事宜，我司声明如下： </w:t>
      </w:r>
    </w:p>
    <w:p w14:paraId="6A2F479B">
      <w:pPr>
        <w:pStyle w:val="11"/>
        <w:spacing w:line="440" w:lineRule="exact"/>
        <w:ind w:firstLine="420" w:firstLineChars="200"/>
        <w:jc w:val="both"/>
        <w:rPr>
          <w:rFonts w:hint="eastAsia" w:ascii="仿宋_GB2312" w:hAnsi="仿宋_GB2312" w:eastAsia="仿宋_GB2312" w:cs="仿宋_GB2312"/>
          <w:sz w:val="21"/>
          <w:szCs w:val="21"/>
        </w:rPr>
      </w:pPr>
    </w:p>
    <w:tbl>
      <w:tblPr>
        <w:tblStyle w:val="18"/>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3576"/>
        <w:gridCol w:w="1791"/>
        <w:gridCol w:w="2105"/>
      </w:tblGrid>
      <w:tr w14:paraId="2B397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2" w:type="dxa"/>
            <w:gridSpan w:val="4"/>
            <w:vAlign w:val="center"/>
          </w:tcPr>
          <w:p w14:paraId="735CCA5B">
            <w:pPr>
              <w:pStyle w:val="11"/>
              <w:spacing w:line="440" w:lineRule="exact"/>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增值税发票开票信息</w:t>
            </w:r>
          </w:p>
        </w:tc>
      </w:tr>
      <w:tr w14:paraId="3B2F0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063E0998">
            <w:pPr>
              <w:pStyle w:val="11"/>
              <w:spacing w:line="440" w:lineRule="exact"/>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增值税发票开票种类</w:t>
            </w:r>
          </w:p>
        </w:tc>
        <w:tc>
          <w:tcPr>
            <w:tcW w:w="7472" w:type="dxa"/>
            <w:gridSpan w:val="3"/>
            <w:vAlign w:val="center"/>
          </w:tcPr>
          <w:p w14:paraId="2AD5B226">
            <w:pPr>
              <w:pStyle w:val="11"/>
              <w:spacing w:line="440" w:lineRule="exact"/>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（请在此处注明增值税专用发票或增值税普通发票）</w:t>
            </w:r>
          </w:p>
        </w:tc>
      </w:tr>
      <w:tr w14:paraId="3BD71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001F0C7A">
            <w:pPr>
              <w:pStyle w:val="11"/>
              <w:spacing w:line="440" w:lineRule="exact"/>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单位名称</w:t>
            </w:r>
          </w:p>
        </w:tc>
        <w:tc>
          <w:tcPr>
            <w:tcW w:w="7472" w:type="dxa"/>
            <w:gridSpan w:val="3"/>
            <w:vAlign w:val="center"/>
          </w:tcPr>
          <w:p w14:paraId="43D82D25">
            <w:pPr>
              <w:pStyle w:val="11"/>
              <w:spacing w:line="440" w:lineRule="exact"/>
              <w:jc w:val="center"/>
              <w:rPr>
                <w:rFonts w:hint="eastAsia" w:ascii="仿宋_GB2312" w:hAnsi="仿宋_GB2312" w:eastAsia="仿宋_GB2312" w:cs="仿宋_GB2312"/>
                <w:bCs/>
                <w:sz w:val="21"/>
                <w:szCs w:val="21"/>
              </w:rPr>
            </w:pPr>
          </w:p>
        </w:tc>
      </w:tr>
      <w:tr w14:paraId="340E3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1BD4A0F9">
            <w:pPr>
              <w:pStyle w:val="11"/>
              <w:spacing w:line="440" w:lineRule="exact"/>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单位地址</w:t>
            </w:r>
          </w:p>
        </w:tc>
        <w:tc>
          <w:tcPr>
            <w:tcW w:w="7472" w:type="dxa"/>
            <w:gridSpan w:val="3"/>
            <w:vAlign w:val="center"/>
          </w:tcPr>
          <w:p w14:paraId="362ADBC0">
            <w:pPr>
              <w:pStyle w:val="11"/>
              <w:spacing w:line="440" w:lineRule="exact"/>
              <w:jc w:val="center"/>
              <w:rPr>
                <w:rFonts w:hint="eastAsia" w:ascii="仿宋_GB2312" w:hAnsi="仿宋_GB2312" w:eastAsia="仿宋_GB2312" w:cs="仿宋_GB2312"/>
                <w:bCs/>
                <w:sz w:val="21"/>
                <w:szCs w:val="21"/>
              </w:rPr>
            </w:pPr>
          </w:p>
        </w:tc>
      </w:tr>
      <w:tr w14:paraId="4FD6D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69956BB3">
            <w:pPr>
              <w:pStyle w:val="11"/>
              <w:spacing w:line="440" w:lineRule="exact"/>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纳税人识别号</w:t>
            </w:r>
          </w:p>
        </w:tc>
        <w:tc>
          <w:tcPr>
            <w:tcW w:w="3576" w:type="dxa"/>
            <w:vAlign w:val="center"/>
          </w:tcPr>
          <w:p w14:paraId="4A6C0084">
            <w:pPr>
              <w:pStyle w:val="11"/>
              <w:spacing w:line="440" w:lineRule="exact"/>
              <w:jc w:val="center"/>
              <w:rPr>
                <w:rFonts w:hint="eastAsia" w:ascii="仿宋_GB2312" w:hAnsi="仿宋_GB2312" w:eastAsia="仿宋_GB2312" w:cs="仿宋_GB2312"/>
                <w:bCs/>
                <w:sz w:val="21"/>
                <w:szCs w:val="21"/>
              </w:rPr>
            </w:pPr>
          </w:p>
        </w:tc>
        <w:tc>
          <w:tcPr>
            <w:tcW w:w="1791" w:type="dxa"/>
            <w:vAlign w:val="center"/>
          </w:tcPr>
          <w:p w14:paraId="4B6A8AEF">
            <w:pPr>
              <w:pStyle w:val="11"/>
              <w:spacing w:line="440" w:lineRule="exact"/>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固定电话</w:t>
            </w:r>
          </w:p>
        </w:tc>
        <w:tc>
          <w:tcPr>
            <w:tcW w:w="2105" w:type="dxa"/>
            <w:vAlign w:val="center"/>
          </w:tcPr>
          <w:p w14:paraId="1DBC3752">
            <w:pPr>
              <w:pStyle w:val="11"/>
              <w:spacing w:line="440" w:lineRule="exact"/>
              <w:jc w:val="center"/>
              <w:rPr>
                <w:rFonts w:hint="eastAsia" w:ascii="仿宋_GB2312" w:hAnsi="仿宋_GB2312" w:eastAsia="仿宋_GB2312" w:cs="仿宋_GB2312"/>
                <w:bCs/>
                <w:sz w:val="21"/>
                <w:szCs w:val="21"/>
              </w:rPr>
            </w:pPr>
          </w:p>
        </w:tc>
      </w:tr>
      <w:tr w14:paraId="40A09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76CCA668">
            <w:pPr>
              <w:pStyle w:val="11"/>
              <w:spacing w:line="440" w:lineRule="exact"/>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开户银行名称</w:t>
            </w:r>
          </w:p>
        </w:tc>
        <w:tc>
          <w:tcPr>
            <w:tcW w:w="3576" w:type="dxa"/>
            <w:vAlign w:val="center"/>
          </w:tcPr>
          <w:p w14:paraId="42229FB8">
            <w:pPr>
              <w:pStyle w:val="11"/>
              <w:spacing w:line="440" w:lineRule="exact"/>
              <w:jc w:val="center"/>
              <w:rPr>
                <w:rFonts w:hint="eastAsia" w:ascii="仿宋_GB2312" w:hAnsi="仿宋_GB2312" w:eastAsia="仿宋_GB2312" w:cs="仿宋_GB2312"/>
                <w:bCs/>
                <w:sz w:val="21"/>
                <w:szCs w:val="21"/>
              </w:rPr>
            </w:pPr>
          </w:p>
        </w:tc>
        <w:tc>
          <w:tcPr>
            <w:tcW w:w="1791" w:type="dxa"/>
            <w:vAlign w:val="center"/>
          </w:tcPr>
          <w:p w14:paraId="02CDD83C">
            <w:pPr>
              <w:pStyle w:val="11"/>
              <w:spacing w:line="440" w:lineRule="exact"/>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联系人姓名</w:t>
            </w:r>
          </w:p>
        </w:tc>
        <w:tc>
          <w:tcPr>
            <w:tcW w:w="2105" w:type="dxa"/>
            <w:vAlign w:val="center"/>
          </w:tcPr>
          <w:p w14:paraId="130E3606">
            <w:pPr>
              <w:pStyle w:val="11"/>
              <w:spacing w:line="440" w:lineRule="exact"/>
              <w:jc w:val="center"/>
              <w:rPr>
                <w:rFonts w:hint="eastAsia" w:ascii="仿宋_GB2312" w:hAnsi="仿宋_GB2312" w:eastAsia="仿宋_GB2312" w:cs="仿宋_GB2312"/>
                <w:bCs/>
                <w:sz w:val="21"/>
                <w:szCs w:val="21"/>
              </w:rPr>
            </w:pPr>
          </w:p>
        </w:tc>
      </w:tr>
      <w:tr w14:paraId="36E26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18AF6673">
            <w:pPr>
              <w:pStyle w:val="11"/>
              <w:spacing w:line="440" w:lineRule="exact"/>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开户银行账号</w:t>
            </w:r>
          </w:p>
        </w:tc>
        <w:tc>
          <w:tcPr>
            <w:tcW w:w="3576" w:type="dxa"/>
            <w:vAlign w:val="center"/>
          </w:tcPr>
          <w:p w14:paraId="24C34EFF">
            <w:pPr>
              <w:pStyle w:val="11"/>
              <w:spacing w:line="440" w:lineRule="exact"/>
              <w:jc w:val="center"/>
              <w:rPr>
                <w:rFonts w:hint="eastAsia" w:ascii="仿宋_GB2312" w:hAnsi="仿宋_GB2312" w:eastAsia="仿宋_GB2312" w:cs="仿宋_GB2312"/>
                <w:bCs/>
                <w:sz w:val="21"/>
                <w:szCs w:val="21"/>
              </w:rPr>
            </w:pPr>
          </w:p>
        </w:tc>
        <w:tc>
          <w:tcPr>
            <w:tcW w:w="1791" w:type="dxa"/>
            <w:vAlign w:val="center"/>
          </w:tcPr>
          <w:p w14:paraId="1035DD5D">
            <w:pPr>
              <w:pStyle w:val="11"/>
              <w:spacing w:line="440" w:lineRule="exact"/>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联系人电话</w:t>
            </w:r>
          </w:p>
        </w:tc>
        <w:tc>
          <w:tcPr>
            <w:tcW w:w="2105" w:type="dxa"/>
            <w:vAlign w:val="center"/>
          </w:tcPr>
          <w:p w14:paraId="274B42DB">
            <w:pPr>
              <w:pStyle w:val="11"/>
              <w:spacing w:line="440" w:lineRule="exact"/>
              <w:jc w:val="center"/>
              <w:rPr>
                <w:rFonts w:hint="eastAsia" w:ascii="仿宋_GB2312" w:hAnsi="仿宋_GB2312" w:eastAsia="仿宋_GB2312" w:cs="仿宋_GB2312"/>
                <w:bCs/>
                <w:sz w:val="21"/>
                <w:szCs w:val="21"/>
              </w:rPr>
            </w:pPr>
          </w:p>
        </w:tc>
      </w:tr>
      <w:tr w14:paraId="66C49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4B787D7E">
            <w:pPr>
              <w:pStyle w:val="11"/>
              <w:spacing w:line="440" w:lineRule="exact"/>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电子发票收件</w:t>
            </w:r>
          </w:p>
          <w:p w14:paraId="76B88039">
            <w:pPr>
              <w:pStyle w:val="11"/>
              <w:spacing w:line="440" w:lineRule="exact"/>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电子邮箱</w:t>
            </w:r>
          </w:p>
        </w:tc>
        <w:tc>
          <w:tcPr>
            <w:tcW w:w="7472" w:type="dxa"/>
            <w:gridSpan w:val="3"/>
            <w:vAlign w:val="center"/>
          </w:tcPr>
          <w:p w14:paraId="4ADC8962">
            <w:pPr>
              <w:pStyle w:val="11"/>
              <w:spacing w:line="440" w:lineRule="exact"/>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Email:</w:t>
            </w:r>
          </w:p>
        </w:tc>
      </w:tr>
      <w:tr w14:paraId="10C4D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2490" w:type="dxa"/>
            <w:vAlign w:val="center"/>
          </w:tcPr>
          <w:p w14:paraId="328019E1">
            <w:pPr>
              <w:pStyle w:val="11"/>
              <w:spacing w:line="440" w:lineRule="exact"/>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发票邮寄地址：</w:t>
            </w:r>
          </w:p>
        </w:tc>
        <w:tc>
          <w:tcPr>
            <w:tcW w:w="7472" w:type="dxa"/>
            <w:gridSpan w:val="3"/>
            <w:vAlign w:val="center"/>
          </w:tcPr>
          <w:p w14:paraId="31B9BDBC">
            <w:pPr>
              <w:pStyle w:val="11"/>
              <w:spacing w:line="440" w:lineRule="exact"/>
              <w:jc w:val="both"/>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地址：</w:t>
            </w:r>
          </w:p>
          <w:p w14:paraId="44BA9F34">
            <w:pPr>
              <w:pStyle w:val="11"/>
              <w:spacing w:line="440" w:lineRule="exact"/>
              <w:jc w:val="both"/>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收件人：                电话：</w:t>
            </w:r>
          </w:p>
        </w:tc>
      </w:tr>
    </w:tbl>
    <w:p w14:paraId="40CD49AA">
      <w:pPr>
        <w:pStyle w:val="11"/>
        <w:spacing w:line="440" w:lineRule="exact"/>
        <w:jc w:val="both"/>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 xml:space="preserve">    我公司提供的上述开票信息准确无误，如果因我公司提供上述信息错误，导致发票无效的，将由我公司承担相应后果。</w:t>
      </w:r>
    </w:p>
    <w:p w14:paraId="7477BEA9">
      <w:pPr>
        <w:pStyle w:val="11"/>
        <w:spacing w:line="440" w:lineRule="exact"/>
        <w:jc w:val="both"/>
        <w:rPr>
          <w:rFonts w:hint="eastAsia" w:ascii="仿宋_GB2312" w:hAnsi="仿宋_GB2312" w:eastAsia="仿宋_GB2312" w:cs="仿宋_GB2312"/>
          <w:bCs/>
          <w:sz w:val="21"/>
          <w:szCs w:val="21"/>
        </w:rPr>
      </w:pPr>
    </w:p>
    <w:p w14:paraId="2193D0BA">
      <w:pPr>
        <w:pStyle w:val="11"/>
        <w:spacing w:line="440" w:lineRule="exact"/>
        <w:ind w:firstLine="420" w:firstLineChars="200"/>
        <w:jc w:val="both"/>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注：</w:t>
      </w:r>
      <w:r>
        <w:rPr>
          <w:rFonts w:hint="eastAsia" w:ascii="仿宋_GB2312" w:hAnsi="仿宋_GB2312" w:eastAsia="仿宋_GB2312" w:cs="仿宋_GB2312"/>
          <w:bCs/>
          <w:sz w:val="21"/>
          <w:szCs w:val="21"/>
          <w:lang w:eastAsia="zh-CN"/>
        </w:rPr>
        <w:t>投标人</w:t>
      </w:r>
      <w:r>
        <w:rPr>
          <w:rFonts w:hint="eastAsia" w:ascii="仿宋_GB2312" w:hAnsi="仿宋_GB2312" w:eastAsia="仿宋_GB2312" w:cs="仿宋_GB2312"/>
          <w:bCs/>
          <w:sz w:val="21"/>
          <w:szCs w:val="21"/>
        </w:rPr>
        <w:t>需要采购代理机构开具增值税发票的，请在上表中填写相关信息，</w:t>
      </w:r>
      <w:r>
        <w:rPr>
          <w:rFonts w:hint="eastAsia" w:ascii="仿宋_GB2312" w:hAnsi="仿宋_GB2312" w:eastAsia="仿宋_GB2312" w:cs="仿宋_GB2312"/>
          <w:b/>
          <w:sz w:val="21"/>
          <w:szCs w:val="21"/>
        </w:rPr>
        <w:t>如</w:t>
      </w:r>
      <w:r>
        <w:rPr>
          <w:rFonts w:hint="eastAsia" w:ascii="仿宋_GB2312" w:hAnsi="仿宋_GB2312" w:eastAsia="仿宋_GB2312" w:cs="仿宋_GB2312"/>
          <w:b/>
          <w:sz w:val="21"/>
          <w:szCs w:val="21"/>
          <w:lang w:eastAsia="zh-CN"/>
        </w:rPr>
        <w:t>投标人</w:t>
      </w:r>
      <w:r>
        <w:rPr>
          <w:rFonts w:hint="eastAsia" w:ascii="仿宋_GB2312" w:hAnsi="仿宋_GB2312" w:eastAsia="仿宋_GB2312" w:cs="仿宋_GB2312"/>
          <w:b/>
          <w:sz w:val="21"/>
          <w:szCs w:val="21"/>
        </w:rPr>
        <w:t>需要开具增值税专用发票的须附</w:t>
      </w:r>
      <w:r>
        <w:rPr>
          <w:rFonts w:hint="eastAsia" w:ascii="仿宋_GB2312" w:hAnsi="仿宋_GB2312" w:eastAsia="仿宋_GB2312" w:cs="仿宋_GB2312"/>
          <w:b/>
          <w:sz w:val="21"/>
          <w:szCs w:val="21"/>
          <w:lang w:eastAsia="zh-CN"/>
        </w:rPr>
        <w:t>投标人</w:t>
      </w:r>
      <w:r>
        <w:rPr>
          <w:rFonts w:hint="eastAsia" w:ascii="仿宋_GB2312" w:hAnsi="仿宋_GB2312" w:eastAsia="仿宋_GB2312" w:cs="仿宋_GB2312"/>
          <w:b/>
          <w:sz w:val="21"/>
          <w:szCs w:val="21"/>
        </w:rPr>
        <w:t>开户许可证、一般纳税人认定文件的清晰复印件加盖公章，以及开票信息（见上表）。</w:t>
      </w:r>
      <w:r>
        <w:rPr>
          <w:rFonts w:hint="eastAsia" w:ascii="仿宋_GB2312" w:hAnsi="仿宋_GB2312" w:eastAsia="仿宋_GB2312" w:cs="仿宋_GB2312"/>
          <w:bCs/>
          <w:sz w:val="21"/>
          <w:szCs w:val="21"/>
        </w:rPr>
        <w:t>如</w:t>
      </w:r>
      <w:r>
        <w:rPr>
          <w:rFonts w:hint="eastAsia" w:ascii="仿宋_GB2312" w:hAnsi="仿宋_GB2312" w:eastAsia="仿宋_GB2312" w:cs="仿宋_GB2312"/>
          <w:bCs/>
          <w:sz w:val="21"/>
          <w:szCs w:val="21"/>
          <w:lang w:eastAsia="zh-CN"/>
        </w:rPr>
        <w:t>投标人</w:t>
      </w:r>
      <w:r>
        <w:rPr>
          <w:rFonts w:hint="eastAsia" w:ascii="仿宋_GB2312" w:hAnsi="仿宋_GB2312" w:eastAsia="仿宋_GB2312" w:cs="仿宋_GB2312"/>
          <w:bCs/>
          <w:sz w:val="21"/>
          <w:szCs w:val="21"/>
        </w:rPr>
        <w:t>在开票信息中未注明开具</w:t>
      </w:r>
      <w:r>
        <w:rPr>
          <w:rFonts w:hint="eastAsia" w:ascii="仿宋_GB2312" w:hAnsi="仿宋_GB2312" w:eastAsia="仿宋_GB2312" w:cs="仿宋_GB2312"/>
          <w:b/>
          <w:sz w:val="21"/>
          <w:szCs w:val="21"/>
        </w:rPr>
        <w:t>增值税专用发票</w:t>
      </w:r>
      <w:r>
        <w:rPr>
          <w:rFonts w:hint="eastAsia" w:ascii="仿宋_GB2312" w:hAnsi="仿宋_GB2312" w:eastAsia="仿宋_GB2312" w:cs="仿宋_GB2312"/>
          <w:bCs/>
          <w:sz w:val="21"/>
          <w:szCs w:val="21"/>
        </w:rPr>
        <w:t>且未提供上述材料，代理机构将默认开具增值税普通发票。</w:t>
      </w:r>
    </w:p>
    <w:p w14:paraId="6089258E">
      <w:pPr>
        <w:pStyle w:val="11"/>
        <w:spacing w:line="440" w:lineRule="exact"/>
        <w:jc w:val="both"/>
        <w:rPr>
          <w:rFonts w:hint="eastAsia" w:ascii="仿宋_GB2312" w:hAnsi="仿宋_GB2312" w:eastAsia="仿宋_GB2312" w:cs="仿宋_GB2312"/>
          <w:bCs/>
          <w:sz w:val="21"/>
          <w:szCs w:val="21"/>
        </w:rPr>
      </w:pPr>
    </w:p>
    <w:p w14:paraId="46A14076">
      <w:pPr>
        <w:adjustRightInd w:val="0"/>
        <w:snapToGrid w:val="0"/>
        <w:spacing w:line="440" w:lineRule="exact"/>
        <w:rPr>
          <w:rFonts w:hint="eastAsia" w:ascii="仿宋_GB2312" w:hAnsi="仿宋_GB2312" w:eastAsia="仿宋_GB2312" w:cs="仿宋_GB2312"/>
          <w:color w:val="000000"/>
          <w:sz w:val="21"/>
          <w:szCs w:val="21"/>
          <w:u w:val="single"/>
        </w:rPr>
      </w:pPr>
      <w:r>
        <w:rPr>
          <w:rFonts w:hint="eastAsia" w:ascii="仿宋_GB2312" w:hAnsi="仿宋_GB2312" w:eastAsia="仿宋_GB2312" w:cs="仿宋_GB2312"/>
          <w:color w:val="000000"/>
          <w:sz w:val="21"/>
          <w:szCs w:val="21"/>
          <w:lang w:val="en-US" w:eastAsia="zh-CN"/>
        </w:rPr>
        <w:t>投标人</w:t>
      </w:r>
      <w:r>
        <w:rPr>
          <w:rFonts w:hint="eastAsia" w:ascii="仿宋_GB2312" w:hAnsi="仿宋_GB2312" w:eastAsia="仿宋_GB2312" w:cs="仿宋_GB2312"/>
          <w:color w:val="000000"/>
          <w:sz w:val="21"/>
          <w:szCs w:val="21"/>
        </w:rPr>
        <w:t>法定代表人（或法定代表人授权代表）签字：</w:t>
      </w:r>
    </w:p>
    <w:p w14:paraId="67212C83">
      <w:pPr>
        <w:adjustRightInd w:val="0"/>
        <w:snapToGrid w:val="0"/>
        <w:spacing w:line="440" w:lineRule="exact"/>
        <w:rPr>
          <w:rFonts w:hint="eastAsia" w:ascii="仿宋_GB2312" w:hAnsi="仿宋_GB2312" w:eastAsia="仿宋_GB2312" w:cs="仿宋_GB2312"/>
          <w:color w:val="000000"/>
          <w:sz w:val="21"/>
          <w:szCs w:val="21"/>
          <w:u w:val="single"/>
        </w:rPr>
      </w:pPr>
      <w:r>
        <w:rPr>
          <w:rFonts w:hint="eastAsia" w:ascii="仿宋_GB2312" w:hAnsi="仿宋_GB2312" w:eastAsia="仿宋_GB2312" w:cs="仿宋_GB2312"/>
          <w:color w:val="000000"/>
          <w:sz w:val="21"/>
          <w:szCs w:val="21"/>
          <w:lang w:val="en-US" w:eastAsia="zh-CN"/>
        </w:rPr>
        <w:t>投标人</w:t>
      </w:r>
      <w:r>
        <w:rPr>
          <w:rFonts w:hint="eastAsia" w:ascii="仿宋_GB2312" w:hAnsi="仿宋_GB2312" w:eastAsia="仿宋_GB2312" w:cs="仿宋_GB2312"/>
          <w:color w:val="000000"/>
          <w:sz w:val="21"/>
          <w:szCs w:val="21"/>
        </w:rPr>
        <w:t>名称（加盖公章）：</w:t>
      </w:r>
    </w:p>
    <w:p w14:paraId="316B4A52">
      <w:pPr>
        <w:pStyle w:val="11"/>
        <w:spacing w:line="440" w:lineRule="exact"/>
        <w:jc w:val="both"/>
        <w:rPr>
          <w:rFonts w:hint="eastAsia" w:ascii="仿宋_GB2312" w:hAnsi="仿宋_GB2312" w:eastAsia="仿宋_GB2312" w:cs="仿宋_GB2312"/>
          <w:b/>
          <w:bCs/>
          <w:color w:val="000000"/>
          <w:sz w:val="21"/>
          <w:szCs w:val="21"/>
          <w:lang w:bidi="ar"/>
        </w:rPr>
      </w:pPr>
      <w:r>
        <w:rPr>
          <w:rFonts w:hint="eastAsia" w:ascii="仿宋_GB2312" w:hAnsi="仿宋_GB2312" w:eastAsia="仿宋_GB2312" w:cs="仿宋_GB2312"/>
          <w:color w:val="000000"/>
          <w:sz w:val="21"/>
          <w:szCs w:val="21"/>
        </w:rPr>
        <w:t>日期：   年   月   日</w:t>
      </w:r>
    </w:p>
    <w:p w14:paraId="0F5F0768">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color w:val="000000"/>
          <w:kern w:val="0"/>
          <w:sz w:val="24"/>
          <w:szCs w:val="24"/>
          <w:lang w:val="en-US" w:eastAsia="zh-CN" w:bidi="ar"/>
        </w:rPr>
      </w:pPr>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11DFB6F-3202-4257-9FDA-C0A9F76BD12B}"/>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4C587B2B-F27C-4900-8EA7-28769363DEC2}"/>
  </w:font>
  <w:font w:name="仿宋">
    <w:panose1 w:val="02010609060101010101"/>
    <w:charset w:val="86"/>
    <w:family w:val="auto"/>
    <w:pitch w:val="default"/>
    <w:sig w:usb0="800002BF" w:usb1="38CF7CFA" w:usb2="00000016" w:usb3="00000000" w:csb0="00040001" w:csb1="00000000"/>
    <w:embedRegular r:id="rId3" w:fontKey="{A92DAEED-E8A2-46C5-8716-662A8059EE13}"/>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4" w:fontKey="{BB95B168-BBF6-4571-9228-CA97E3391FC9}"/>
  </w:font>
  <w:font w:name="微软雅黑">
    <w:panose1 w:val="020B0503020204020204"/>
    <w:charset w:val="86"/>
    <w:family w:val="auto"/>
    <w:pitch w:val="default"/>
    <w:sig w:usb0="80000287" w:usb1="2ACF3C50" w:usb2="00000016" w:usb3="00000000" w:csb0="0004001F" w:csb1="00000000"/>
    <w:embedRegular r:id="rId5" w:fontKey="{501CCFA0-EA49-44D6-B462-27FF8CCBDB11}"/>
  </w:font>
  <w:font w:name="Microsoft JhengHei UI">
    <w:panose1 w:val="020B0604030504040204"/>
    <w:charset w:val="88"/>
    <w:family w:val="auto"/>
    <w:pitch w:val="default"/>
    <w:sig w:usb0="000002A7" w:usb1="28CF4400" w:usb2="00000016" w:usb3="00000000" w:csb0="00100009" w:csb1="00000000"/>
    <w:embedRegular r:id="rId6" w:fontKey="{3648CDB7-8135-47CE-B14E-091F26755C1B}"/>
  </w:font>
  <w:font w:name="Bookman Old Style">
    <w:panose1 w:val="02050604050505020204"/>
    <w:charset w:val="00"/>
    <w:family w:val="roman"/>
    <w:pitch w:val="default"/>
    <w:sig w:usb0="00000287" w:usb1="00000000" w:usb2="00000000" w:usb3="00000000" w:csb0="2000009F" w:csb1="DFD70000"/>
    <w:embedRegular r:id="rId7" w:fontKey="{299909AA-5879-4505-86D3-3352970591DC}"/>
  </w:font>
  <w:font w:name="方正仿宋_GB2312">
    <w:panose1 w:val="02000000000000000000"/>
    <w:charset w:val="86"/>
    <w:family w:val="auto"/>
    <w:pitch w:val="default"/>
    <w:sig w:usb0="A00002BF" w:usb1="184F6CFA" w:usb2="00000012" w:usb3="00000000" w:csb0="00040001" w:csb1="00000000"/>
    <w:embedRegular r:id="rId8" w:fontKey="{893BD03B-2079-4064-AAE1-25C5356B114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14D58">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013FD6">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E013FD6">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6AFBC">
    <w:pPr>
      <w:pStyle w:val="12"/>
      <w:pBdr>
        <w:bottom w:val="none" w:color="auto" w:sz="0" w:space="1"/>
      </w:pBdr>
      <w:ind w:firstLine="840" w:firstLineChars="300"/>
      <w:rPr>
        <w:rFonts w:hint="eastAsia"/>
      </w:rPr>
    </w:pPr>
    <w:r>
      <w:rPr>
        <w:rFonts w:hint="eastAsia" w:ascii="仿宋_GB2312" w:hAnsi="仿宋_GB2312" w:eastAsia="仿宋_GB2312" w:cs="仿宋_GB2312"/>
        <w:sz w:val="28"/>
        <w:szCs w:val="28"/>
        <w:lang w:eastAsia="zh-CN"/>
      </w:rPr>
      <w:drawing>
        <wp:anchor distT="0" distB="0" distL="114300" distR="114300" simplePos="0" relativeHeight="251659264" behindDoc="1" locked="0" layoutInCell="1" allowOverlap="1">
          <wp:simplePos x="0" y="0"/>
          <wp:positionH relativeFrom="column">
            <wp:posOffset>54610</wp:posOffset>
          </wp:positionH>
          <wp:positionV relativeFrom="paragraph">
            <wp:posOffset>-11430</wp:posOffset>
          </wp:positionV>
          <wp:extent cx="427355" cy="413385"/>
          <wp:effectExtent l="0" t="0" r="10795" b="5715"/>
          <wp:wrapTight wrapText="bothSides">
            <wp:wrapPolygon>
              <wp:start x="0" y="0"/>
              <wp:lineTo x="0" y="20903"/>
              <wp:lineTo x="20894" y="20903"/>
              <wp:lineTo x="20894" y="0"/>
              <wp:lineTo x="0" y="0"/>
            </wp:wrapPolygon>
          </wp:wrapTight>
          <wp:docPr id="1" name="图片 1" descr="1680841359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80841359666"/>
                  <pic:cNvPicPr>
                    <a:picLocks noChangeAspect="1"/>
                  </pic:cNvPicPr>
                </pic:nvPicPr>
                <pic:blipFill>
                  <a:blip r:embed="rId1"/>
                  <a:stretch>
                    <a:fillRect/>
                  </a:stretch>
                </pic:blipFill>
                <pic:spPr>
                  <a:xfrm>
                    <a:off x="0" y="0"/>
                    <a:ext cx="427355" cy="413385"/>
                  </a:xfrm>
                  <a:prstGeom prst="rect">
                    <a:avLst/>
                  </a:prstGeom>
                </pic:spPr>
              </pic:pic>
            </a:graphicData>
          </a:graphic>
        </wp:anchor>
      </w:drawing>
    </w:r>
    <w:r>
      <w:rPr>
        <w:rFonts w:hint="eastAsia" w:ascii="仿宋_GB2312" w:hAnsi="仿宋_GB2312" w:eastAsia="仿宋_GB2312" w:cs="仿宋_GB2312"/>
        <w:sz w:val="28"/>
        <w:szCs w:val="28"/>
      </w:rPr>
      <w:t xml:space="preserve">新疆世纪星工程咨询有限公司  </w:t>
    </w:r>
    <w:r>
      <w:rPr>
        <w:rFonts w:hint="eastAsia" w:ascii="仿宋_GB2312" w:hAnsi="仿宋_GB2312" w:eastAsia="仿宋_GB2312" w:cs="仿宋_GB2312"/>
        <w:sz w:val="21"/>
        <w:szCs w:val="21"/>
      </w:rPr>
      <w:t>新疆乌鲁木齐市黄山街德港大厦20层</w:t>
    </w:r>
  </w:p>
  <w:p w14:paraId="72035104">
    <w:pPr>
      <w:pStyle w:val="12"/>
      <w:pBdr>
        <w:bottom w:val="single" w:color="auto" w:sz="4" w:space="1"/>
      </w:pBdr>
      <w:ind w:firstLine="1040" w:firstLineChars="800"/>
    </w:pPr>
    <w:r>
      <w:rPr>
        <w:rFonts w:hint="eastAsia" w:ascii="Microsoft JhengHei UI" w:hAnsi="Microsoft JhengHei UI" w:eastAsia="Microsoft JhengHei UI" w:cs="Microsoft JhengHei UI"/>
        <w:sz w:val="13"/>
        <w:szCs w:val="20"/>
      </w:rPr>
      <w:t>Xinjiang Century Star Engineering Consulting Co., Ltd.</w:t>
    </w:r>
    <w:r>
      <w:rPr>
        <w:rFonts w:hint="eastAsia"/>
      </w:rPr>
      <w:t xml:space="preserve">     TEL：0991-3678303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0D1B5"/>
    <w:multiLevelType w:val="singleLevel"/>
    <w:tmpl w:val="82A0D1B5"/>
    <w:lvl w:ilvl="0" w:tentative="0">
      <w:start w:val="1"/>
      <w:numFmt w:val="decimal"/>
      <w:suff w:val="nothing"/>
      <w:lvlText w:val="（%1）"/>
      <w:lvlJc w:val="left"/>
    </w:lvl>
  </w:abstractNum>
  <w:abstractNum w:abstractNumId="1">
    <w:nsid w:val="84C3F883"/>
    <w:multiLevelType w:val="multilevel"/>
    <w:tmpl w:val="84C3F883"/>
    <w:lvl w:ilvl="0" w:tentative="0">
      <w:start w:val="2"/>
      <w:numFmt w:val="decimal"/>
      <w:suff w:val="space"/>
      <w:lvlText w:val="%1."/>
      <w:lvlJc w:val="left"/>
      <w:rPr>
        <w:rFonts w:hint="default"/>
        <w:b w:val="0"/>
        <w:bCs w:val="0"/>
      </w:rPr>
    </w:lvl>
    <w:lvl w:ilvl="1" w:tentative="0">
      <w:start w:val="1"/>
      <w:numFmt w:val="decimal"/>
      <w:suff w:val="space"/>
      <w:lvlText w:val="%1.%2"/>
      <w:lvlJc w:val="left"/>
      <w:pPr>
        <w:ind w:left="0" w:leftChars="0" w:firstLine="0" w:firstLineChars="0"/>
      </w:pPr>
      <w:rPr>
        <w:rFonts w:hint="default"/>
        <w:b w:val="0"/>
        <w:bCs w:val="0"/>
      </w:rPr>
    </w:lvl>
    <w:lvl w:ilvl="2" w:tentative="0">
      <w:start w:val="1"/>
      <w:numFmt w:val="decimal"/>
      <w:suff w:val="space"/>
      <w:lvlText w:val="%1.%2.%3"/>
      <w:lvlJc w:val="left"/>
      <w:pPr>
        <w:ind w:left="0" w:leftChars="0" w:firstLine="0" w:firstLineChars="0"/>
      </w:pPr>
      <w:rPr>
        <w:rFonts w:hint="default"/>
        <w:b w:val="0"/>
        <w:bCs w:val="0"/>
        <w:sz w:val="22"/>
        <w:szCs w:val="22"/>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
    <w:nsid w:val="8905224B"/>
    <w:multiLevelType w:val="singleLevel"/>
    <w:tmpl w:val="8905224B"/>
    <w:lvl w:ilvl="0" w:tentative="0">
      <w:start w:val="1"/>
      <w:numFmt w:val="chineseCounting"/>
      <w:suff w:val="nothing"/>
      <w:lvlText w:val="%1、"/>
      <w:lvlJc w:val="left"/>
      <w:rPr>
        <w:rFonts w:hint="eastAsia" w:ascii="仿宋" w:hAnsi="仿宋" w:eastAsia="仿宋" w:cs="仿宋"/>
      </w:rPr>
    </w:lvl>
  </w:abstractNum>
  <w:abstractNum w:abstractNumId="3">
    <w:nsid w:val="894F26C5"/>
    <w:multiLevelType w:val="singleLevel"/>
    <w:tmpl w:val="894F26C5"/>
    <w:lvl w:ilvl="0" w:tentative="0">
      <w:start w:val="1"/>
      <w:numFmt w:val="decimal"/>
      <w:suff w:val="space"/>
      <w:lvlText w:val="%1."/>
      <w:lvlJc w:val="left"/>
    </w:lvl>
  </w:abstractNum>
  <w:abstractNum w:abstractNumId="4">
    <w:nsid w:val="C2762E44"/>
    <w:multiLevelType w:val="singleLevel"/>
    <w:tmpl w:val="C2762E44"/>
    <w:lvl w:ilvl="0" w:tentative="0">
      <w:start w:val="2"/>
      <w:numFmt w:val="decimal"/>
      <w:suff w:val="nothing"/>
      <w:lvlText w:val="%1、"/>
      <w:lvlJc w:val="left"/>
    </w:lvl>
  </w:abstractNum>
  <w:abstractNum w:abstractNumId="5">
    <w:nsid w:val="CB60E306"/>
    <w:multiLevelType w:val="singleLevel"/>
    <w:tmpl w:val="CB60E306"/>
    <w:lvl w:ilvl="0" w:tentative="0">
      <w:start w:val="1"/>
      <w:numFmt w:val="decimal"/>
      <w:suff w:val="nothing"/>
      <w:lvlText w:val="（%1）"/>
      <w:lvlJc w:val="left"/>
    </w:lvl>
  </w:abstractNum>
  <w:abstractNum w:abstractNumId="6">
    <w:nsid w:val="05FE2DA7"/>
    <w:multiLevelType w:val="singleLevel"/>
    <w:tmpl w:val="05FE2DA7"/>
    <w:lvl w:ilvl="0" w:tentative="0">
      <w:start w:val="1"/>
      <w:numFmt w:val="chineseCounting"/>
      <w:suff w:val="space"/>
      <w:lvlText w:val="第%1章"/>
      <w:lvlJc w:val="left"/>
      <w:rPr>
        <w:rFonts w:hint="eastAsia"/>
      </w:rPr>
    </w:lvl>
  </w:abstractNum>
  <w:abstractNum w:abstractNumId="7">
    <w:nsid w:val="068BF1D4"/>
    <w:multiLevelType w:val="multilevel"/>
    <w:tmpl w:val="068BF1D4"/>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ascii="Times New Roman" w:hAnsi="Times New Roman" w:cs="Times New Roman"/>
        <w:sz w:val="22"/>
        <w:szCs w:val="22"/>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8">
    <w:nsid w:val="09E5A242"/>
    <w:multiLevelType w:val="singleLevel"/>
    <w:tmpl w:val="09E5A242"/>
    <w:lvl w:ilvl="0" w:tentative="0">
      <w:start w:val="2"/>
      <w:numFmt w:val="chineseCounting"/>
      <w:suff w:val="nothing"/>
      <w:lvlText w:val="%1、"/>
      <w:lvlJc w:val="left"/>
      <w:rPr>
        <w:rFonts w:hint="eastAsia"/>
      </w:rPr>
    </w:lvl>
  </w:abstractNum>
  <w:abstractNum w:abstractNumId="9">
    <w:nsid w:val="1A2FF95D"/>
    <w:multiLevelType w:val="singleLevel"/>
    <w:tmpl w:val="1A2FF95D"/>
    <w:lvl w:ilvl="0" w:tentative="0">
      <w:start w:val="1"/>
      <w:numFmt w:val="decimal"/>
      <w:suff w:val="nothing"/>
      <w:lvlText w:val="%1、"/>
      <w:lvlJc w:val="left"/>
    </w:lvl>
  </w:abstractNum>
  <w:abstractNum w:abstractNumId="10">
    <w:nsid w:val="3BC6F39C"/>
    <w:multiLevelType w:val="singleLevel"/>
    <w:tmpl w:val="3BC6F39C"/>
    <w:lvl w:ilvl="0" w:tentative="0">
      <w:start w:val="1"/>
      <w:numFmt w:val="decimal"/>
      <w:suff w:val="space"/>
      <w:lvlText w:val="%1."/>
      <w:lvlJc w:val="left"/>
    </w:lvl>
  </w:abstractNum>
  <w:abstractNum w:abstractNumId="11">
    <w:nsid w:val="47316DFC"/>
    <w:multiLevelType w:val="singleLevel"/>
    <w:tmpl w:val="47316DFC"/>
    <w:lvl w:ilvl="0" w:tentative="0">
      <w:start w:val="1"/>
      <w:numFmt w:val="decimal"/>
      <w:suff w:val="nothing"/>
      <w:lvlText w:val="%1、"/>
      <w:lvlJc w:val="left"/>
    </w:lvl>
  </w:abstractNum>
  <w:abstractNum w:abstractNumId="12">
    <w:nsid w:val="58A164D7"/>
    <w:multiLevelType w:val="multilevel"/>
    <w:tmpl w:val="58A164D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3862E25"/>
    <w:multiLevelType w:val="singleLevel"/>
    <w:tmpl w:val="63862E25"/>
    <w:lvl w:ilvl="0" w:tentative="0">
      <w:start w:val="1"/>
      <w:numFmt w:val="decimal"/>
      <w:suff w:val="space"/>
      <w:lvlText w:val="（%1）"/>
      <w:lvlJc w:val="left"/>
    </w:lvl>
  </w:abstractNum>
  <w:abstractNum w:abstractNumId="14">
    <w:nsid w:val="6D6AA095"/>
    <w:multiLevelType w:val="multilevel"/>
    <w:tmpl w:val="6D6AA095"/>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b w:val="0"/>
        <w:bCs w:val="0"/>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5">
    <w:nsid w:val="7354C3BC"/>
    <w:multiLevelType w:val="multilevel"/>
    <w:tmpl w:val="7354C3BC"/>
    <w:lvl w:ilvl="0" w:tentative="0">
      <w:start w:val="1"/>
      <w:numFmt w:val="decimal"/>
      <w:suff w:val="space"/>
      <w:lvlText w:val="%1"/>
      <w:lvlJc w:val="left"/>
      <w:pPr>
        <w:ind w:left="0" w:leftChars="0" w:firstLine="0" w:firstLineChars="0"/>
      </w:pPr>
      <w:rPr>
        <w:rFonts w:hint="eastAsia"/>
      </w:rPr>
    </w:lvl>
    <w:lvl w:ilvl="1" w:tentative="0">
      <w:start w:val="1"/>
      <w:numFmt w:val="decimalFullWidth"/>
      <w:suff w:val="space"/>
      <w:lvlText w:val="%1.%2"/>
      <w:lvlJc w:val="left"/>
      <w:pPr>
        <w:tabs>
          <w:tab w:val="left" w:pos="0"/>
        </w:tabs>
        <w:ind w:left="0" w:leftChars="0" w:firstLine="0" w:firstLineChars="0"/>
      </w:pPr>
      <w:rPr>
        <w:rFonts w:hint="eastAsia" w:ascii="宋体" w:hAnsi="宋体" w:eastAsia="宋体" w:cs="宋体"/>
      </w:rPr>
    </w:lvl>
    <w:lvl w:ilvl="2" w:tentative="0">
      <w:start w:val="1"/>
      <w:numFmt w:val="decimal"/>
      <w:suff w:val="space"/>
      <w:lvlText w:val="%1.%2.%3"/>
      <w:lvlJc w:val="left"/>
      <w:pPr>
        <w:ind w:left="0" w:leftChars="0" w:firstLine="0" w:firstLineChars="0"/>
      </w:pPr>
      <w:rPr>
        <w:rFonts w:hint="eastAsia"/>
      </w:rPr>
    </w:lvl>
    <w:lvl w:ilvl="3" w:tentative="0">
      <w:start w:val="1"/>
      <w:numFmt w:val="decimal"/>
      <w:suff w:val="space"/>
      <w:lvlText w:val="%1.%2.%3.%4"/>
      <w:lvlJc w:val="left"/>
      <w:pPr>
        <w:ind w:left="0" w:leftChars="0" w:firstLine="0" w:firstLineChars="0"/>
      </w:pPr>
      <w:rPr>
        <w:rFonts w:hint="eastAsia"/>
      </w:rPr>
    </w:lvl>
    <w:lvl w:ilvl="4" w:tentative="0">
      <w:start w:val="1"/>
      <w:numFmt w:val="decimal"/>
      <w:suff w:val="space"/>
      <w:lvlText w:val="%1.%2.%3.%4.%5"/>
      <w:lvlJc w:val="left"/>
      <w:pPr>
        <w:ind w:left="0" w:leftChars="0" w:firstLine="0" w:firstLineChars="0"/>
      </w:pPr>
      <w:rPr>
        <w:rFonts w:hint="eastAsia"/>
      </w:rPr>
    </w:lvl>
    <w:lvl w:ilvl="5" w:tentative="0">
      <w:start w:val="1"/>
      <w:numFmt w:val="decimal"/>
      <w:suff w:val="space"/>
      <w:lvlText w:val="%1.%2.%3.%4.%5.%6"/>
      <w:lvlJc w:val="left"/>
      <w:pPr>
        <w:ind w:left="0" w:leftChars="0" w:firstLine="0" w:firstLineChars="0"/>
      </w:pPr>
      <w:rPr>
        <w:rFonts w:hint="eastAsia"/>
      </w:rPr>
    </w:lvl>
    <w:lvl w:ilvl="6" w:tentative="0">
      <w:start w:val="1"/>
      <w:numFmt w:val="decimal"/>
      <w:suff w:val="space"/>
      <w:lvlText w:val="%1.%2.%3.%4.%5.%6.%7"/>
      <w:lvlJc w:val="left"/>
      <w:pPr>
        <w:ind w:left="0" w:leftChars="0" w:firstLine="0" w:firstLineChars="0"/>
      </w:pPr>
      <w:rPr>
        <w:rFonts w:hint="eastAsia"/>
      </w:rPr>
    </w:lvl>
    <w:lvl w:ilvl="7" w:tentative="0">
      <w:start w:val="1"/>
      <w:numFmt w:val="decimal"/>
      <w:suff w:val="space"/>
      <w:lvlText w:val="%1.%2.%3.%4.%5.%6.%7.%8"/>
      <w:lvlJc w:val="left"/>
      <w:pPr>
        <w:ind w:left="0" w:leftChars="0" w:firstLine="0" w:firstLineChars="0"/>
      </w:pPr>
      <w:rPr>
        <w:rFonts w:hint="eastAsia"/>
      </w:rPr>
    </w:lvl>
    <w:lvl w:ilvl="8" w:tentative="0">
      <w:start w:val="1"/>
      <w:numFmt w:val="decimal"/>
      <w:suff w:val="space"/>
      <w:lvlText w:val="%1.%2.%3.%4.%5.%6.%7.%8.%9"/>
      <w:lvlJc w:val="left"/>
      <w:pPr>
        <w:ind w:left="0" w:leftChars="0" w:firstLine="0" w:firstLineChars="0"/>
      </w:pPr>
      <w:rPr>
        <w:rFonts w:hint="eastAsia"/>
      </w:rPr>
    </w:lvl>
  </w:abstractNum>
  <w:abstractNum w:abstractNumId="16">
    <w:nsid w:val="78F60E4F"/>
    <w:multiLevelType w:val="singleLevel"/>
    <w:tmpl w:val="78F60E4F"/>
    <w:lvl w:ilvl="0" w:tentative="0">
      <w:start w:val="1"/>
      <w:numFmt w:val="chineseCounting"/>
      <w:suff w:val="nothing"/>
      <w:lvlText w:val="%1、"/>
      <w:lvlJc w:val="left"/>
      <w:rPr>
        <w:rFonts w:hint="eastAsia"/>
      </w:rPr>
    </w:lvl>
  </w:abstractNum>
  <w:num w:numId="1">
    <w:abstractNumId w:val="6"/>
  </w:num>
  <w:num w:numId="2">
    <w:abstractNumId w:val="16"/>
  </w:num>
  <w:num w:numId="3">
    <w:abstractNumId w:val="15"/>
  </w:num>
  <w:num w:numId="4">
    <w:abstractNumId w:val="7"/>
  </w:num>
  <w:num w:numId="5">
    <w:abstractNumId w:val="5"/>
  </w:num>
  <w:num w:numId="6">
    <w:abstractNumId w:val="13"/>
  </w:num>
  <w:num w:numId="7">
    <w:abstractNumId w:val="1"/>
  </w:num>
  <w:num w:numId="8">
    <w:abstractNumId w:val="8"/>
  </w:num>
  <w:num w:numId="9">
    <w:abstractNumId w:val="4"/>
  </w:num>
  <w:num w:numId="10">
    <w:abstractNumId w:val="2"/>
  </w:num>
  <w:num w:numId="11">
    <w:abstractNumId w:val="9"/>
  </w:num>
  <w:num w:numId="12">
    <w:abstractNumId w:val="11"/>
  </w:num>
  <w:num w:numId="13">
    <w:abstractNumId w:val="12"/>
  </w:num>
  <w:num w:numId="14">
    <w:abstractNumId w:val="14"/>
  </w:num>
  <w:num w:numId="15">
    <w:abstractNumId w:val="10"/>
  </w:num>
  <w:num w:numId="16">
    <w:abstractNumId w:val="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4OWU4Y2M4YzYxYjVjNTg1ZmZjZjViM2QwZmVlMjgifQ=="/>
  </w:docVars>
  <w:rsids>
    <w:rsidRoot w:val="00000000"/>
    <w:rsid w:val="0002117A"/>
    <w:rsid w:val="00633977"/>
    <w:rsid w:val="00EF7950"/>
    <w:rsid w:val="010827C0"/>
    <w:rsid w:val="0159126E"/>
    <w:rsid w:val="01616098"/>
    <w:rsid w:val="01B12E58"/>
    <w:rsid w:val="01B327A1"/>
    <w:rsid w:val="01D86637"/>
    <w:rsid w:val="01DD3C4D"/>
    <w:rsid w:val="02D36DFE"/>
    <w:rsid w:val="034C72DC"/>
    <w:rsid w:val="035E3ECC"/>
    <w:rsid w:val="040E43DE"/>
    <w:rsid w:val="041515B9"/>
    <w:rsid w:val="04A22F2C"/>
    <w:rsid w:val="04D836CC"/>
    <w:rsid w:val="04DF1A8A"/>
    <w:rsid w:val="052E656D"/>
    <w:rsid w:val="055F4854"/>
    <w:rsid w:val="05775429"/>
    <w:rsid w:val="063127B9"/>
    <w:rsid w:val="068C3E93"/>
    <w:rsid w:val="06A64F55"/>
    <w:rsid w:val="07A74594"/>
    <w:rsid w:val="07AF3996"/>
    <w:rsid w:val="083500E3"/>
    <w:rsid w:val="085D1644"/>
    <w:rsid w:val="08A06841"/>
    <w:rsid w:val="08B374B6"/>
    <w:rsid w:val="08FE75D7"/>
    <w:rsid w:val="09322AD0"/>
    <w:rsid w:val="096174F4"/>
    <w:rsid w:val="09EF36DF"/>
    <w:rsid w:val="09FE6BD3"/>
    <w:rsid w:val="0A7D5FCD"/>
    <w:rsid w:val="0B3A5C6C"/>
    <w:rsid w:val="0BA54947"/>
    <w:rsid w:val="0BBC2B25"/>
    <w:rsid w:val="0C774C9E"/>
    <w:rsid w:val="0CB97065"/>
    <w:rsid w:val="0D166265"/>
    <w:rsid w:val="0D240982"/>
    <w:rsid w:val="0D2F0B75"/>
    <w:rsid w:val="0D3861DB"/>
    <w:rsid w:val="0D5D1B80"/>
    <w:rsid w:val="0D774F56"/>
    <w:rsid w:val="0E340E7E"/>
    <w:rsid w:val="0E3D7B44"/>
    <w:rsid w:val="0F026AA1"/>
    <w:rsid w:val="0F33766C"/>
    <w:rsid w:val="0FAC4A5B"/>
    <w:rsid w:val="100827DD"/>
    <w:rsid w:val="108571AB"/>
    <w:rsid w:val="10BB15FD"/>
    <w:rsid w:val="10EC6CF5"/>
    <w:rsid w:val="110F36F7"/>
    <w:rsid w:val="11D75023"/>
    <w:rsid w:val="11ED63EA"/>
    <w:rsid w:val="12371157"/>
    <w:rsid w:val="12753A67"/>
    <w:rsid w:val="12986F2D"/>
    <w:rsid w:val="13517FF7"/>
    <w:rsid w:val="136F66CF"/>
    <w:rsid w:val="141352AC"/>
    <w:rsid w:val="145417B3"/>
    <w:rsid w:val="147C72F5"/>
    <w:rsid w:val="15673B02"/>
    <w:rsid w:val="15E348F4"/>
    <w:rsid w:val="16192669"/>
    <w:rsid w:val="16201F02"/>
    <w:rsid w:val="1658169C"/>
    <w:rsid w:val="16651E05"/>
    <w:rsid w:val="17011D34"/>
    <w:rsid w:val="179402C8"/>
    <w:rsid w:val="1890336F"/>
    <w:rsid w:val="197C38F4"/>
    <w:rsid w:val="1AB53523"/>
    <w:rsid w:val="1AB66A5D"/>
    <w:rsid w:val="1AC00AF1"/>
    <w:rsid w:val="1B011FED"/>
    <w:rsid w:val="1CD02907"/>
    <w:rsid w:val="1D331864"/>
    <w:rsid w:val="1D8B7ED2"/>
    <w:rsid w:val="1DE91501"/>
    <w:rsid w:val="1DFB74DD"/>
    <w:rsid w:val="1E4C7D38"/>
    <w:rsid w:val="1E88173F"/>
    <w:rsid w:val="1EA57449"/>
    <w:rsid w:val="20370574"/>
    <w:rsid w:val="207B66B3"/>
    <w:rsid w:val="20A526F6"/>
    <w:rsid w:val="20B15C43"/>
    <w:rsid w:val="20F85F56"/>
    <w:rsid w:val="21A8172A"/>
    <w:rsid w:val="21B53E47"/>
    <w:rsid w:val="22C96D6A"/>
    <w:rsid w:val="23AC4AA2"/>
    <w:rsid w:val="23FF75FB"/>
    <w:rsid w:val="256E67E6"/>
    <w:rsid w:val="26143832"/>
    <w:rsid w:val="262319BC"/>
    <w:rsid w:val="26B446CD"/>
    <w:rsid w:val="26DB2065"/>
    <w:rsid w:val="28003E99"/>
    <w:rsid w:val="28292E99"/>
    <w:rsid w:val="28560F12"/>
    <w:rsid w:val="28BE1833"/>
    <w:rsid w:val="29001E4B"/>
    <w:rsid w:val="29361D11"/>
    <w:rsid w:val="293715E5"/>
    <w:rsid w:val="29AE1D01"/>
    <w:rsid w:val="2A331DAD"/>
    <w:rsid w:val="2A9C76A8"/>
    <w:rsid w:val="2AF07C9E"/>
    <w:rsid w:val="2B1E1887"/>
    <w:rsid w:val="2B2D2CA0"/>
    <w:rsid w:val="2B6B130F"/>
    <w:rsid w:val="2CA80C47"/>
    <w:rsid w:val="2CA945A8"/>
    <w:rsid w:val="2E393998"/>
    <w:rsid w:val="2E4072A5"/>
    <w:rsid w:val="2EF12F5E"/>
    <w:rsid w:val="2F835584"/>
    <w:rsid w:val="2FD309CC"/>
    <w:rsid w:val="2FFD5337"/>
    <w:rsid w:val="30007685"/>
    <w:rsid w:val="30BC6FA0"/>
    <w:rsid w:val="313D6184"/>
    <w:rsid w:val="31D6783F"/>
    <w:rsid w:val="320A7897"/>
    <w:rsid w:val="32393423"/>
    <w:rsid w:val="329B7A40"/>
    <w:rsid w:val="33380434"/>
    <w:rsid w:val="337C0B48"/>
    <w:rsid w:val="33B01385"/>
    <w:rsid w:val="33C63C91"/>
    <w:rsid w:val="341A78AC"/>
    <w:rsid w:val="343926B5"/>
    <w:rsid w:val="3671332B"/>
    <w:rsid w:val="36BA5F23"/>
    <w:rsid w:val="375A4E1C"/>
    <w:rsid w:val="37BA3B0D"/>
    <w:rsid w:val="38C500B3"/>
    <w:rsid w:val="38C613AA"/>
    <w:rsid w:val="39317DFF"/>
    <w:rsid w:val="3A4678DA"/>
    <w:rsid w:val="3AE03859"/>
    <w:rsid w:val="3C2E6878"/>
    <w:rsid w:val="3CFB4C5D"/>
    <w:rsid w:val="3DC56D68"/>
    <w:rsid w:val="3E302F6A"/>
    <w:rsid w:val="3E491747"/>
    <w:rsid w:val="3E502AD5"/>
    <w:rsid w:val="3E895FE7"/>
    <w:rsid w:val="3F7647BE"/>
    <w:rsid w:val="3F942E96"/>
    <w:rsid w:val="3FC82EE3"/>
    <w:rsid w:val="3FC90D91"/>
    <w:rsid w:val="3FE07E89"/>
    <w:rsid w:val="40022408"/>
    <w:rsid w:val="40A435AC"/>
    <w:rsid w:val="41760AA5"/>
    <w:rsid w:val="41E910AE"/>
    <w:rsid w:val="4206121C"/>
    <w:rsid w:val="42187DAE"/>
    <w:rsid w:val="42AE426E"/>
    <w:rsid w:val="42DE0FF8"/>
    <w:rsid w:val="43064193"/>
    <w:rsid w:val="432F53AF"/>
    <w:rsid w:val="43FA3C0F"/>
    <w:rsid w:val="445D7CFA"/>
    <w:rsid w:val="44910D58"/>
    <w:rsid w:val="44F3065E"/>
    <w:rsid w:val="456F23DB"/>
    <w:rsid w:val="4597548E"/>
    <w:rsid w:val="459C4852"/>
    <w:rsid w:val="45CF4C28"/>
    <w:rsid w:val="475573AE"/>
    <w:rsid w:val="48181044"/>
    <w:rsid w:val="4867383D"/>
    <w:rsid w:val="49771967"/>
    <w:rsid w:val="49C5081B"/>
    <w:rsid w:val="4A3A6257"/>
    <w:rsid w:val="4BD71EB9"/>
    <w:rsid w:val="4BE9413D"/>
    <w:rsid w:val="4C0E2F1B"/>
    <w:rsid w:val="4E4547C0"/>
    <w:rsid w:val="4E6B74B7"/>
    <w:rsid w:val="4E74636C"/>
    <w:rsid w:val="4F0F18DD"/>
    <w:rsid w:val="501C315F"/>
    <w:rsid w:val="50EC48E0"/>
    <w:rsid w:val="5101103A"/>
    <w:rsid w:val="51085492"/>
    <w:rsid w:val="51F642DD"/>
    <w:rsid w:val="522400A9"/>
    <w:rsid w:val="5233653E"/>
    <w:rsid w:val="54143903"/>
    <w:rsid w:val="54E35FFA"/>
    <w:rsid w:val="550C692B"/>
    <w:rsid w:val="553A6FC3"/>
    <w:rsid w:val="553C5CE7"/>
    <w:rsid w:val="55625094"/>
    <w:rsid w:val="55A0038E"/>
    <w:rsid w:val="55D65293"/>
    <w:rsid w:val="56AD4B11"/>
    <w:rsid w:val="56BF4844"/>
    <w:rsid w:val="56C703BD"/>
    <w:rsid w:val="57807D09"/>
    <w:rsid w:val="57F86260"/>
    <w:rsid w:val="58A106A5"/>
    <w:rsid w:val="58F85DEC"/>
    <w:rsid w:val="594B23BF"/>
    <w:rsid w:val="596671F9"/>
    <w:rsid w:val="59A95F7B"/>
    <w:rsid w:val="5AB24360"/>
    <w:rsid w:val="5AD54636"/>
    <w:rsid w:val="5B0311A3"/>
    <w:rsid w:val="5B4D241F"/>
    <w:rsid w:val="5B9B762E"/>
    <w:rsid w:val="5C5A7F7F"/>
    <w:rsid w:val="5D5A2308"/>
    <w:rsid w:val="5F182D44"/>
    <w:rsid w:val="5F441D8B"/>
    <w:rsid w:val="5FF83899"/>
    <w:rsid w:val="607246D5"/>
    <w:rsid w:val="61170069"/>
    <w:rsid w:val="61F62764"/>
    <w:rsid w:val="62347F47"/>
    <w:rsid w:val="62774225"/>
    <w:rsid w:val="627C4C03"/>
    <w:rsid w:val="62CF5E0F"/>
    <w:rsid w:val="62F31AFE"/>
    <w:rsid w:val="63293771"/>
    <w:rsid w:val="635B76A3"/>
    <w:rsid w:val="638C5AAE"/>
    <w:rsid w:val="63911317"/>
    <w:rsid w:val="63C33BC6"/>
    <w:rsid w:val="63C96D02"/>
    <w:rsid w:val="64320204"/>
    <w:rsid w:val="64CD45D0"/>
    <w:rsid w:val="65085608"/>
    <w:rsid w:val="652341F0"/>
    <w:rsid w:val="65423A05"/>
    <w:rsid w:val="65536958"/>
    <w:rsid w:val="65907AD8"/>
    <w:rsid w:val="65A9656A"/>
    <w:rsid w:val="65E41BD1"/>
    <w:rsid w:val="661E1587"/>
    <w:rsid w:val="671E1113"/>
    <w:rsid w:val="672E75A8"/>
    <w:rsid w:val="67902011"/>
    <w:rsid w:val="67B65075"/>
    <w:rsid w:val="67BB4BB4"/>
    <w:rsid w:val="67ED07E2"/>
    <w:rsid w:val="68832A45"/>
    <w:rsid w:val="68E819D9"/>
    <w:rsid w:val="69FA10B6"/>
    <w:rsid w:val="69FF522C"/>
    <w:rsid w:val="6A07121D"/>
    <w:rsid w:val="6AA819B9"/>
    <w:rsid w:val="6B140CE2"/>
    <w:rsid w:val="6B7E03D2"/>
    <w:rsid w:val="6C163F72"/>
    <w:rsid w:val="6CFA1CDB"/>
    <w:rsid w:val="6DD30EA9"/>
    <w:rsid w:val="6DE704B1"/>
    <w:rsid w:val="6DFE57FA"/>
    <w:rsid w:val="6E1E5238"/>
    <w:rsid w:val="6E263628"/>
    <w:rsid w:val="6F1928EC"/>
    <w:rsid w:val="6FA40CFB"/>
    <w:rsid w:val="6FC54073"/>
    <w:rsid w:val="705E150A"/>
    <w:rsid w:val="7064403B"/>
    <w:rsid w:val="706B033D"/>
    <w:rsid w:val="70904E30"/>
    <w:rsid w:val="70F76C5D"/>
    <w:rsid w:val="71445C1A"/>
    <w:rsid w:val="71527F65"/>
    <w:rsid w:val="716A5681"/>
    <w:rsid w:val="71C51DA1"/>
    <w:rsid w:val="71DE7825"/>
    <w:rsid w:val="728118F5"/>
    <w:rsid w:val="73084FC0"/>
    <w:rsid w:val="73880040"/>
    <w:rsid w:val="73BC5F3C"/>
    <w:rsid w:val="746B40D6"/>
    <w:rsid w:val="74806F69"/>
    <w:rsid w:val="74BB2697"/>
    <w:rsid w:val="74E8308A"/>
    <w:rsid w:val="752B5127"/>
    <w:rsid w:val="753D151B"/>
    <w:rsid w:val="75F776FF"/>
    <w:rsid w:val="76742AFE"/>
    <w:rsid w:val="77E06D61"/>
    <w:rsid w:val="782B2DC7"/>
    <w:rsid w:val="782C7EC3"/>
    <w:rsid w:val="785E3A65"/>
    <w:rsid w:val="78684E86"/>
    <w:rsid w:val="788B1CC4"/>
    <w:rsid w:val="78EC1071"/>
    <w:rsid w:val="790A14F7"/>
    <w:rsid w:val="79490272"/>
    <w:rsid w:val="79747548"/>
    <w:rsid w:val="79A33E26"/>
    <w:rsid w:val="79A951B4"/>
    <w:rsid w:val="7A205DD8"/>
    <w:rsid w:val="7B2014A6"/>
    <w:rsid w:val="7B810197"/>
    <w:rsid w:val="7BD8369B"/>
    <w:rsid w:val="7BEB5610"/>
    <w:rsid w:val="7C21662D"/>
    <w:rsid w:val="7CB9284E"/>
    <w:rsid w:val="7D5D3E65"/>
    <w:rsid w:val="7E665422"/>
    <w:rsid w:val="7F0F5AB9"/>
    <w:rsid w:val="7F222F3F"/>
    <w:rsid w:val="7FCE732A"/>
    <w:rsid w:val="7FDE0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qFormat="1" w:uiPriority="39"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autoRedefine/>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6"/>
    <w:basedOn w:val="1"/>
    <w:next w:val="1"/>
    <w:autoRedefine/>
    <w:qFormat/>
    <w:uiPriority w:val="1"/>
    <w:pPr>
      <w:spacing w:before="61"/>
      <w:outlineLvl w:val="6"/>
    </w:pPr>
    <w:rPr>
      <w:rFonts w:ascii="仿宋" w:hAnsi="仿宋" w:eastAsia="仿宋" w:cs="仿宋"/>
      <w:sz w:val="28"/>
      <w:szCs w:val="28"/>
      <w:lang w:val="zh-CN" w:eastAsia="zh-CN" w:bidi="zh-CN"/>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6">
    <w:name w:val="annotation text"/>
    <w:basedOn w:val="1"/>
    <w:autoRedefine/>
    <w:qFormat/>
    <w:uiPriority w:val="0"/>
    <w:pPr>
      <w:jc w:val="left"/>
    </w:pPr>
  </w:style>
  <w:style w:type="paragraph" w:styleId="7">
    <w:name w:val="Body Text"/>
    <w:autoRedefine/>
    <w:qFormat/>
    <w:uiPriority w:val="1"/>
    <w:pPr>
      <w:widowControl w:val="0"/>
      <w:jc w:val="both"/>
    </w:pPr>
    <w:rPr>
      <w:rFonts w:ascii="楷体" w:hAnsi="楷体" w:eastAsia="楷体" w:cs="楷体"/>
      <w:kern w:val="2"/>
      <w:sz w:val="24"/>
      <w:szCs w:val="24"/>
      <w:lang w:val="zh-CN" w:eastAsia="zh-CN" w:bidi="zh-CN"/>
    </w:rPr>
  </w:style>
  <w:style w:type="paragraph" w:styleId="8">
    <w:name w:val="Body Text Indent"/>
    <w:next w:val="9"/>
    <w:autoRedefine/>
    <w:qFormat/>
    <w:uiPriority w:val="0"/>
    <w:pPr>
      <w:widowControl w:val="0"/>
      <w:spacing w:line="240" w:lineRule="auto"/>
      <w:ind w:left="-360" w:firstLine="360"/>
      <w:jc w:val="both"/>
    </w:pPr>
    <w:rPr>
      <w:rFonts w:ascii="Times New Roman" w:hAnsi="Times New Roman" w:eastAsiaTheme="minorEastAsia" w:cstheme="minorBidi"/>
      <w:kern w:val="0"/>
      <w:sz w:val="21"/>
      <w:szCs w:val="24"/>
      <w:lang w:val="en-US" w:eastAsia="zh-CN" w:bidi="ar-SA"/>
    </w:rPr>
  </w:style>
  <w:style w:type="paragraph" w:styleId="9">
    <w:name w:val="envelope return"/>
    <w:autoRedefine/>
    <w:qFormat/>
    <w:uiPriority w:val="0"/>
    <w:pPr>
      <w:widowControl w:val="0"/>
      <w:snapToGrid w:val="0"/>
      <w:jc w:val="both"/>
    </w:pPr>
    <w:rPr>
      <w:rFonts w:ascii="Arial" w:hAnsi="Arial" w:eastAsiaTheme="minorEastAsia" w:cstheme="minorBidi"/>
      <w:kern w:val="2"/>
      <w:sz w:val="21"/>
      <w:szCs w:val="24"/>
      <w:lang w:val="en-US" w:eastAsia="zh-CN" w:bidi="ar-SA"/>
    </w:rPr>
  </w:style>
  <w:style w:type="paragraph" w:styleId="10">
    <w:name w:val="toc 8"/>
    <w:next w:val="1"/>
    <w:autoRedefine/>
    <w:unhideWhenUsed/>
    <w:qFormat/>
    <w:uiPriority w:val="39"/>
    <w:pPr>
      <w:widowControl w:val="0"/>
      <w:spacing w:line="240" w:lineRule="auto"/>
      <w:ind w:left="2940" w:leftChars="1400"/>
      <w:jc w:val="both"/>
    </w:pPr>
    <w:rPr>
      <w:rFonts w:asciiTheme="minorHAnsi" w:hAnsiTheme="minorHAnsi" w:eastAsiaTheme="minorEastAsia" w:cstheme="minorBidi"/>
      <w:kern w:val="2"/>
      <w:sz w:val="21"/>
      <w:szCs w:val="22"/>
      <w:lang w:val="en-US" w:eastAsia="zh-CN" w:bidi="ar-SA"/>
    </w:rPr>
  </w:style>
  <w:style w:type="paragraph" w:styleId="11">
    <w:name w:val="footer"/>
    <w:autoRedefine/>
    <w:qFormat/>
    <w:uiPriority w:val="99"/>
    <w:pPr>
      <w:widowControl w:val="0"/>
      <w:tabs>
        <w:tab w:val="center" w:pos="4153"/>
        <w:tab w:val="right" w:pos="8306"/>
      </w:tabs>
      <w:snapToGrid w:val="0"/>
      <w:jc w:val="left"/>
    </w:pPr>
    <w:rPr>
      <w:rFonts w:asciiTheme="minorHAnsi" w:hAnsiTheme="minorHAnsi" w:eastAsiaTheme="minorEastAsia" w:cstheme="minorBidi"/>
      <w:kern w:val="2"/>
      <w:sz w:val="18"/>
      <w:szCs w:val="18"/>
      <w:lang w:val="en-US" w:eastAsia="zh-CN" w:bidi="ar-SA"/>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6"/>
    <w:next w:val="1"/>
    <w:autoRedefine/>
    <w:unhideWhenUsed/>
    <w:qFormat/>
    <w:uiPriority w:val="39"/>
    <w:pPr>
      <w:widowControl w:val="0"/>
      <w:spacing w:line="240" w:lineRule="auto"/>
      <w:ind w:left="2100" w:leftChars="1000"/>
      <w:jc w:val="both"/>
    </w:pPr>
    <w:rPr>
      <w:rFonts w:asciiTheme="minorHAnsi" w:hAnsiTheme="minorHAnsi" w:eastAsiaTheme="minorEastAsia" w:cstheme="minorBidi"/>
      <w:kern w:val="2"/>
      <w:sz w:val="21"/>
      <w:szCs w:val="22"/>
      <w:lang w:val="en-US" w:eastAsia="zh-CN" w:bidi="ar-SA"/>
    </w:rPr>
  </w:style>
  <w:style w:type="paragraph" w:styleId="1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5">
    <w:name w:val="Body Text First Indent"/>
    <w:next w:val="13"/>
    <w:autoRedefine/>
    <w:qFormat/>
    <w:uiPriority w:val="0"/>
    <w:pPr>
      <w:widowControl w:val="0"/>
      <w:spacing w:line="360" w:lineRule="auto"/>
      <w:ind w:firstLine="420" w:firstLineChars="100"/>
      <w:jc w:val="both"/>
    </w:pPr>
    <w:rPr>
      <w:rFonts w:ascii="楷体" w:hAnsi="楷体" w:eastAsia="楷体" w:cs="楷体"/>
      <w:kern w:val="2"/>
      <w:sz w:val="21"/>
      <w:szCs w:val="24"/>
      <w:lang w:val="zh-CN" w:eastAsia="zh-CN" w:bidi="zh-CN"/>
    </w:rPr>
  </w:style>
  <w:style w:type="paragraph" w:styleId="16">
    <w:name w:val="Body Text First Indent 2"/>
    <w:next w:val="15"/>
    <w:autoRedefine/>
    <w:unhideWhenUsed/>
    <w:qFormat/>
    <w:uiPriority w:val="99"/>
    <w:pPr>
      <w:widowControl w:val="0"/>
      <w:spacing w:after="120" w:line="360" w:lineRule="auto"/>
      <w:ind w:left="420" w:leftChars="200" w:firstLine="420" w:firstLineChars="200"/>
      <w:jc w:val="both"/>
    </w:pPr>
    <w:rPr>
      <w:rFonts w:ascii="Times New Roman" w:hAnsi="Times New Roman" w:eastAsiaTheme="minorEastAsia" w:cstheme="minorBidi"/>
      <w:kern w:val="0"/>
      <w:sz w:val="21"/>
      <w:szCs w:val="24"/>
      <w:lang w:val="en-US" w:eastAsia="zh-CN" w:bidi="ar-SA"/>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autoRedefine/>
    <w:qFormat/>
    <w:uiPriority w:val="0"/>
    <w:rPr>
      <w:b/>
    </w:rPr>
  </w:style>
  <w:style w:type="paragraph" w:customStyle="1" w:styleId="21">
    <w:name w:val="表格文字2"/>
    <w:basedOn w:val="22"/>
    <w:autoRedefine/>
    <w:qFormat/>
    <w:uiPriority w:val="99"/>
    <w:pPr>
      <w:spacing w:before="25" w:after="25"/>
      <w:jc w:val="left"/>
    </w:pPr>
    <w:rPr>
      <w:bCs/>
      <w:spacing w:val="10"/>
      <w:kern w:val="0"/>
    </w:rPr>
  </w:style>
  <w:style w:type="paragraph" w:customStyle="1" w:styleId="22">
    <w:name w:val="Normal"/>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23">
    <w:name w:val="Table Paragraph"/>
    <w:autoRedefine/>
    <w:qFormat/>
    <w:uiPriority w:val="1"/>
    <w:pPr>
      <w:widowControl w:val="0"/>
      <w:jc w:val="both"/>
    </w:pPr>
    <w:rPr>
      <w:rFonts w:ascii="楷体" w:hAnsi="楷体" w:eastAsia="楷体" w:cs="楷体"/>
      <w:kern w:val="2"/>
      <w:sz w:val="21"/>
      <w:szCs w:val="24"/>
      <w:lang w:val="zh-CN" w:eastAsia="zh-CN" w:bidi="zh-CN"/>
    </w:rPr>
  </w:style>
  <w:style w:type="paragraph" w:customStyle="1" w:styleId="24">
    <w:name w:val="WPSOffice手动目录 1"/>
    <w:autoRedefine/>
    <w:qFormat/>
    <w:uiPriority w:val="0"/>
    <w:pPr>
      <w:ind w:leftChars="0"/>
    </w:pPr>
    <w:rPr>
      <w:rFonts w:ascii="Times New Roman" w:hAnsi="Times New Roman" w:eastAsia="宋体" w:cs="Times New Roman"/>
      <w:sz w:val="20"/>
      <w:szCs w:val="20"/>
    </w:rPr>
  </w:style>
  <w:style w:type="paragraph" w:customStyle="1" w:styleId="25">
    <w:name w:val="WPSOffice手动目录 2"/>
    <w:autoRedefine/>
    <w:qFormat/>
    <w:uiPriority w:val="0"/>
    <w:pPr>
      <w:ind w:leftChars="200"/>
    </w:pPr>
    <w:rPr>
      <w:rFonts w:ascii="Times New Roman" w:hAnsi="Times New Roman" w:eastAsia="宋体" w:cs="Times New Roman"/>
      <w:sz w:val="20"/>
      <w:szCs w:val="20"/>
    </w:rPr>
  </w:style>
  <w:style w:type="paragraph" w:customStyle="1" w:styleId="26">
    <w:name w:val="缺省文本"/>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27">
    <w:name w:val="List Paragraph"/>
    <w:qFormat/>
    <w:uiPriority w:val="34"/>
    <w:pPr>
      <w:widowControl w:val="0"/>
      <w:ind w:firstLine="420" w:firstLineChars="20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94</Pages>
  <Words>1858</Words>
  <Characters>2159</Characters>
  <Lines>0</Lines>
  <Paragraphs>0</Paragraphs>
  <TotalTime>26</TotalTime>
  <ScaleCrop>false</ScaleCrop>
  <LinksUpToDate>false</LinksUpToDate>
  <CharactersWithSpaces>2297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2023-03-21T09:51:00Z</dcterms:created>
  <dc:creator>lihang</dc:creator>
  <cp:lastModifiedBy>啦啦啦小葡萄</cp:lastModifiedBy>
  <dcterms:modified xsi:type="dcterms:W3CDTF">2025-06-18T12:43:51Z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69B3EC6B31AA4EE38B7E67C22C65AAE8_13</vt:lpwstr>
  </property>
  <property fmtid="{D5CDD505-2E9C-101B-9397-08002B2CF9AE}" pid="4" name="KSOTemplateDocerSaveRecord">
    <vt:lpwstr>eyJoZGlkIjoiNWVjODczMWEyY2YxMDY4OWZmYjNlODYwNGM3NTBhMGQiLCJ1c2VySWQiOiI1MTk0NjIwNjIifQ==</vt:lpwstr>
  </property>
</Properties>
</file>