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 w:val="left" w:pos="3165"/>
          <w:tab w:val="center" w:pos="4153"/>
        </w:tabs>
        <w:autoSpaceDE w:val="0"/>
        <w:autoSpaceDN w:val="0"/>
        <w:adjustRightInd w:val="0"/>
        <w:spacing w:before="0" w:after="0" w:line="360" w:lineRule="auto"/>
        <w:jc w:val="center"/>
        <w:rPr>
          <w:rFonts w:hint="eastAsia" w:ascii="华文中宋" w:hAnsi="华文中宋" w:eastAsia="华文中宋" w:cs="Times New Roman"/>
          <w:sz w:val="32"/>
          <w:szCs w:val="32"/>
          <w:lang w:eastAsia="zh-CN"/>
        </w:rPr>
      </w:pPr>
      <w:bookmarkStart w:id="0" w:name="_Toc35393789"/>
      <w:bookmarkStart w:id="1" w:name="_Toc28359001"/>
      <w:r>
        <w:rPr>
          <w:rFonts w:hint="eastAsia" w:ascii="华文中宋" w:hAnsi="华文中宋" w:eastAsia="华文中宋" w:cs="Times New Roman"/>
          <w:sz w:val="32"/>
          <w:szCs w:val="32"/>
          <w:lang w:eastAsia="zh-CN"/>
        </w:rPr>
        <w:t>新源县财政局社保资金定期大额存款定点银行采购项目</w:t>
      </w: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szCs w:val="32"/>
        </w:rPr>
      </w:pPr>
      <w:r>
        <w:rPr>
          <w:rFonts w:hint="eastAsia" w:ascii="华文中宋" w:hAnsi="华文中宋" w:eastAsia="华文中宋"/>
          <w:sz w:val="32"/>
          <w:szCs w:val="32"/>
        </w:rPr>
        <w:t>招标公告</w:t>
      </w:r>
      <w:bookmarkEnd w:id="0"/>
      <w:bookmarkEnd w:id="1"/>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4"/>
          <w:szCs w:val="24"/>
          <w:highlight w:val="none"/>
        </w:rPr>
      </w:pPr>
      <w:r>
        <w:rPr>
          <w:rFonts w:hint="eastAsia" w:ascii="仿宋" w:hAnsi="仿宋" w:eastAsia="仿宋"/>
          <w:sz w:val="28"/>
          <w:szCs w:val="28"/>
          <w:u w:val="single"/>
        </w:rPr>
        <w:t>(</w:t>
      </w:r>
      <w:r>
        <w:rPr>
          <w:rFonts w:hint="eastAsia" w:ascii="仿宋" w:hAnsi="仿宋" w:eastAsia="仿宋" w:cs="Times New Roman"/>
          <w:sz w:val="28"/>
          <w:szCs w:val="28"/>
          <w:u w:val="single"/>
          <w:lang w:eastAsia="zh-CN"/>
        </w:rPr>
        <w:t>新源县财政局社保资金定期大额存款定点银行采购项目</w:t>
      </w:r>
      <w:r>
        <w:rPr>
          <w:rFonts w:ascii="仿宋" w:hAnsi="仿宋" w:eastAsia="仿宋"/>
          <w:sz w:val="28"/>
          <w:szCs w:val="28"/>
          <w:u w:val="single"/>
        </w:rPr>
        <w:t>)</w:t>
      </w:r>
      <w:r>
        <w:rPr>
          <w:rFonts w:hint="eastAsia" w:ascii="仿宋" w:hAnsi="仿宋" w:eastAsia="仿宋"/>
          <w:sz w:val="28"/>
          <w:szCs w:val="28"/>
        </w:rPr>
        <w:t>招标项目的潜在投标人应在</w:t>
      </w:r>
      <w:r>
        <w:rPr>
          <w:rFonts w:hint="eastAsia" w:ascii="仿宋" w:hAnsi="仿宋" w:eastAsia="仿宋"/>
          <w:sz w:val="28"/>
          <w:szCs w:val="28"/>
          <w:u w:val="single"/>
        </w:rPr>
        <w:t>（</w:t>
      </w:r>
      <w:r>
        <w:rPr>
          <w:rFonts w:hint="eastAsia" w:ascii="仿宋" w:hAnsi="仿宋" w:eastAsia="仿宋"/>
          <w:sz w:val="28"/>
          <w:szCs w:val="28"/>
          <w:u w:val="single"/>
          <w:lang w:eastAsia="zh-CN"/>
        </w:rPr>
        <w:t>新源县肖尔布拉克街海悦酒店斜对面007巷10号（二楼）</w:t>
      </w:r>
      <w:r>
        <w:rPr>
          <w:rFonts w:hint="eastAsia" w:ascii="仿宋" w:hAnsi="仿宋" w:eastAsia="仿宋"/>
          <w:sz w:val="28"/>
          <w:szCs w:val="28"/>
          <w:u w:val="single"/>
        </w:rPr>
        <w:t>）</w:t>
      </w:r>
      <w:r>
        <w:rPr>
          <w:rFonts w:hint="eastAsia" w:ascii="仿宋" w:hAnsi="仿宋" w:eastAsia="仿宋"/>
          <w:sz w:val="28"/>
          <w:szCs w:val="28"/>
        </w:rPr>
        <w:t>获取招标文件，并于</w:t>
      </w:r>
      <w:bookmarkStart w:id="41" w:name="_GoBack"/>
      <w:bookmarkEnd w:id="41"/>
      <w:r>
        <w:rPr>
          <w:rFonts w:hint="eastAsia" w:ascii="仿宋" w:hAnsi="仿宋" w:eastAsia="仿宋"/>
          <w:sz w:val="28"/>
          <w:szCs w:val="28"/>
          <w:highlight w:val="none"/>
          <w:u w:val="single"/>
          <w:lang w:val="en-US" w:eastAsia="zh-CN"/>
        </w:rPr>
        <w:t>2023年01月18日10点30分</w:t>
      </w:r>
      <w:r>
        <w:rPr>
          <w:rFonts w:hint="eastAsia" w:ascii="仿宋" w:hAnsi="仿宋" w:eastAsia="仿宋"/>
          <w:bCs/>
          <w:sz w:val="28"/>
          <w:szCs w:val="28"/>
          <w:highlight w:val="none"/>
          <w:u w:val="single"/>
        </w:rPr>
        <w:t>（北京时间）</w:t>
      </w:r>
      <w:r>
        <w:rPr>
          <w:rFonts w:hint="eastAsia" w:ascii="仿宋" w:hAnsi="仿宋" w:eastAsia="仿宋"/>
          <w:bCs/>
          <w:sz w:val="28"/>
          <w:szCs w:val="28"/>
          <w:highlight w:val="none"/>
        </w:rPr>
        <w:t>前递交投标</w:t>
      </w:r>
      <w:r>
        <w:rPr>
          <w:rFonts w:ascii="仿宋" w:hAnsi="仿宋" w:eastAsia="仿宋"/>
          <w:bCs/>
          <w:sz w:val="28"/>
          <w:szCs w:val="28"/>
          <w:highlight w:val="none"/>
        </w:rPr>
        <w:t>文件</w:t>
      </w:r>
      <w:r>
        <w:rPr>
          <w:rFonts w:hint="eastAsia" w:ascii="仿宋" w:hAnsi="仿宋" w:eastAsia="仿宋"/>
          <w:sz w:val="28"/>
          <w:szCs w:val="28"/>
          <w:highlight w:val="none"/>
        </w:rPr>
        <w:t>。</w:t>
      </w:r>
    </w:p>
    <w:p>
      <w:pPr>
        <w:rPr>
          <w:sz w:val="28"/>
          <w:szCs w:val="28"/>
          <w:highlight w:val="none"/>
        </w:rPr>
      </w:pPr>
    </w:p>
    <w:p>
      <w:pPr>
        <w:pStyle w:val="4"/>
        <w:spacing w:line="360" w:lineRule="auto"/>
        <w:rPr>
          <w:rFonts w:ascii="黑体" w:hAnsi="黑体" w:cs="宋体"/>
          <w:b w:val="0"/>
          <w:sz w:val="28"/>
          <w:szCs w:val="28"/>
          <w:highlight w:val="none"/>
        </w:rPr>
      </w:pPr>
      <w:bookmarkStart w:id="2" w:name="_Toc28359002"/>
      <w:bookmarkStart w:id="3" w:name="_Toc35393790"/>
      <w:bookmarkStart w:id="4" w:name="_Toc35393621"/>
      <w:bookmarkStart w:id="5" w:name="_Toc28359079"/>
      <w:bookmarkStart w:id="6" w:name="_Hlk24379207"/>
      <w:r>
        <w:rPr>
          <w:rFonts w:hint="eastAsia" w:ascii="黑体" w:hAnsi="黑体" w:cs="宋体"/>
          <w:b w:val="0"/>
          <w:sz w:val="28"/>
          <w:szCs w:val="28"/>
          <w:highlight w:val="none"/>
        </w:rPr>
        <w:t>一、项目基本情况</w:t>
      </w:r>
      <w:bookmarkEnd w:id="2"/>
      <w:bookmarkEnd w:id="3"/>
      <w:bookmarkEnd w:id="4"/>
      <w:bookmarkEnd w:id="5"/>
    </w:p>
    <w:p>
      <w:pPr>
        <w:spacing w:line="360" w:lineRule="auto"/>
        <w:rPr>
          <w:rFonts w:hint="default" w:ascii="仿宋" w:hAnsi="仿宋" w:eastAsia="仿宋" w:cs="Times New Roman"/>
          <w:kern w:val="2"/>
          <w:sz w:val="28"/>
          <w:szCs w:val="28"/>
          <w:highlight w:val="none"/>
          <w:lang w:val="en-US" w:eastAsia="zh-CN" w:bidi="ar-SA"/>
        </w:rPr>
      </w:pPr>
      <w:r>
        <w:rPr>
          <w:rFonts w:hint="eastAsia" w:ascii="仿宋" w:hAnsi="仿宋" w:eastAsia="仿宋"/>
          <w:sz w:val="28"/>
          <w:szCs w:val="28"/>
          <w:highlight w:val="none"/>
        </w:rPr>
        <w:t>项目编号</w:t>
      </w:r>
      <w:r>
        <w:rPr>
          <w:rFonts w:hint="eastAsia" w:ascii="仿宋" w:hAnsi="仿宋" w:eastAsia="仿宋"/>
          <w:sz w:val="28"/>
          <w:szCs w:val="28"/>
          <w:highlight w:val="none"/>
          <w:lang w:val="en-US" w:eastAsia="zh-CN"/>
        </w:rPr>
        <w:t>:</w:t>
      </w:r>
      <w:r>
        <w:rPr>
          <w:rFonts w:hint="eastAsia" w:ascii="仿宋" w:hAnsi="仿宋" w:eastAsia="仿宋" w:cs="Times New Roman"/>
          <w:kern w:val="2"/>
          <w:sz w:val="28"/>
          <w:szCs w:val="28"/>
          <w:highlight w:val="none"/>
          <w:lang w:val="en-US" w:eastAsia="zh-CN" w:bidi="ar-SA"/>
        </w:rPr>
        <w:t>ZFCG-XJJY-GK-20220049</w:t>
      </w:r>
    </w:p>
    <w:p>
      <w:pPr>
        <w:spacing w:line="360" w:lineRule="auto"/>
        <w:rPr>
          <w:rFonts w:hint="default" w:ascii="仿宋" w:hAnsi="仿宋" w:eastAsia="仿宋" w:cs="Times New Roman"/>
          <w:sz w:val="28"/>
          <w:szCs w:val="28"/>
          <w:highlight w:val="none"/>
          <w:lang w:val="en-US" w:eastAsia="zh-CN"/>
        </w:rPr>
      </w:pPr>
      <w:r>
        <w:rPr>
          <w:rFonts w:hint="eastAsia" w:ascii="仿宋" w:hAnsi="仿宋" w:eastAsia="仿宋"/>
          <w:sz w:val="28"/>
          <w:szCs w:val="28"/>
          <w:highlight w:val="none"/>
        </w:rPr>
        <w:t>项目名称：</w:t>
      </w:r>
      <w:bookmarkEnd w:id="6"/>
      <w:r>
        <w:rPr>
          <w:rFonts w:hint="eastAsia" w:ascii="仿宋" w:hAnsi="仿宋" w:eastAsia="仿宋" w:cs="Times New Roman"/>
          <w:sz w:val="28"/>
          <w:szCs w:val="28"/>
          <w:highlight w:val="none"/>
          <w:lang w:val="en-US" w:eastAsia="zh-CN"/>
        </w:rPr>
        <w:t>新源县财政局社保资金定期大额存款定点银行采购项目</w:t>
      </w:r>
    </w:p>
    <w:p>
      <w:pPr>
        <w:spacing w:line="360" w:lineRule="auto"/>
        <w:rPr>
          <w:rFonts w:hint="eastAsia" w:ascii="仿宋" w:hAnsi="仿宋" w:eastAsia="仿宋"/>
          <w:sz w:val="28"/>
          <w:szCs w:val="28"/>
          <w:highlight w:val="none"/>
          <w:lang w:val="en-US" w:eastAsia="zh-CN"/>
        </w:rPr>
      </w:pPr>
      <w:r>
        <w:rPr>
          <w:rFonts w:hint="eastAsia" w:ascii="仿宋" w:hAnsi="仿宋" w:eastAsia="仿宋"/>
          <w:sz w:val="28"/>
          <w:szCs w:val="28"/>
          <w:highlight w:val="none"/>
        </w:rPr>
        <w:t>预算金额：</w:t>
      </w:r>
      <w:r>
        <w:rPr>
          <w:rFonts w:hint="eastAsia" w:ascii="仿宋" w:hAnsi="仿宋" w:eastAsia="仿宋"/>
          <w:sz w:val="28"/>
          <w:szCs w:val="28"/>
          <w:highlight w:val="none"/>
          <w:lang w:val="en-US" w:eastAsia="zh-CN"/>
        </w:rPr>
        <w:t>1.1亿元</w:t>
      </w:r>
    </w:p>
    <w:p>
      <w:pPr>
        <w:spacing w:line="560" w:lineRule="exact"/>
        <w:rPr>
          <w:rFonts w:hint="eastAsia" w:ascii="仿宋" w:hAnsi="仿宋" w:eastAsia="仿宋"/>
          <w:sz w:val="28"/>
          <w:szCs w:val="28"/>
          <w:highlight w:val="none"/>
        </w:rPr>
      </w:pPr>
      <w:r>
        <w:rPr>
          <w:rFonts w:hint="eastAsia" w:ascii="仿宋" w:hAnsi="仿宋" w:eastAsia="仿宋"/>
          <w:sz w:val="28"/>
          <w:szCs w:val="28"/>
          <w:highlight w:val="none"/>
        </w:rPr>
        <w:t>最高限价：1.1亿元</w:t>
      </w:r>
    </w:p>
    <w:p>
      <w:pPr>
        <w:spacing w:line="560" w:lineRule="exact"/>
        <w:rPr>
          <w:rFonts w:hint="default" w:ascii="仿宋" w:hAnsi="仿宋" w:eastAsia="仿宋" w:cs="Times New Roman"/>
          <w:sz w:val="28"/>
          <w:szCs w:val="28"/>
          <w:highlight w:val="none"/>
          <w:lang w:val="en-US"/>
        </w:rPr>
      </w:pPr>
      <w:r>
        <w:rPr>
          <w:rFonts w:hint="eastAsia" w:ascii="仿宋" w:hAnsi="仿宋" w:eastAsia="仿宋"/>
          <w:sz w:val="28"/>
          <w:szCs w:val="28"/>
          <w:highlight w:val="none"/>
        </w:rPr>
        <w:t>采购需求：</w:t>
      </w:r>
    </w:p>
    <w:tbl>
      <w:tblPr>
        <w:tblStyle w:val="14"/>
        <w:tblpPr w:leftFromText="180" w:rightFromText="180" w:vertAnchor="text" w:horzAnchor="page" w:tblpX="1309" w:tblpY="316"/>
        <w:tblOverlap w:val="never"/>
        <w:tblW w:w="92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45"/>
        <w:gridCol w:w="1245"/>
        <w:gridCol w:w="885"/>
        <w:gridCol w:w="1228"/>
        <w:gridCol w:w="3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645" w:type="dxa"/>
            <w:vAlign w:val="center"/>
          </w:tcPr>
          <w:p>
            <w:pPr>
              <w:pStyle w:val="20"/>
              <w:pageBreakBefore w:val="0"/>
              <w:kinsoku/>
              <w:wordWrap/>
              <w:overflowPunct/>
              <w:topLinePunct w:val="0"/>
              <w:bidi w:val="0"/>
              <w:adjustRightInd/>
              <w:spacing w:before="0" w:after="0" w:line="440" w:lineRule="exact"/>
              <w:ind w:left="383" w:right="372"/>
              <w:jc w:val="center"/>
              <w:textAlignment w:val="auto"/>
              <w:rPr>
                <w:rFonts w:hint="eastAsia" w:ascii="宋体" w:hAnsi="宋体" w:eastAsia="宋体" w:cs="宋体"/>
                <w:b w:val="0"/>
                <w:bCs/>
                <w:sz w:val="22"/>
                <w:szCs w:val="22"/>
              </w:rPr>
            </w:pPr>
            <w:r>
              <w:rPr>
                <w:rFonts w:hint="eastAsia" w:ascii="仿宋" w:hAnsi="仿宋" w:eastAsia="仿宋" w:cs="Times New Roman"/>
                <w:kern w:val="2"/>
                <w:sz w:val="24"/>
                <w:szCs w:val="24"/>
                <w:highlight w:val="none"/>
                <w:lang w:val="en-US" w:eastAsia="zh-CN" w:bidi="ar-SA"/>
              </w:rPr>
              <w:t>项目内容</w:t>
            </w:r>
          </w:p>
        </w:tc>
        <w:tc>
          <w:tcPr>
            <w:tcW w:w="1245" w:type="dxa"/>
            <w:vAlign w:val="center"/>
          </w:tcPr>
          <w:p>
            <w:pPr>
              <w:pStyle w:val="20"/>
              <w:pageBreakBefore w:val="0"/>
              <w:kinsoku/>
              <w:wordWrap/>
              <w:overflowPunct/>
              <w:topLinePunct w:val="0"/>
              <w:bidi w:val="0"/>
              <w:adjustRightInd/>
              <w:spacing w:before="0" w:after="0" w:line="440" w:lineRule="exact"/>
              <w:ind w:right="237"/>
              <w:jc w:val="center"/>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存款</w:t>
            </w:r>
          </w:p>
          <w:p>
            <w:pPr>
              <w:pStyle w:val="20"/>
              <w:pageBreakBefore w:val="0"/>
              <w:kinsoku/>
              <w:wordWrap/>
              <w:overflowPunct/>
              <w:topLinePunct w:val="0"/>
              <w:bidi w:val="0"/>
              <w:adjustRightInd/>
              <w:spacing w:before="0" w:after="0" w:line="440" w:lineRule="exact"/>
              <w:ind w:right="237"/>
              <w:jc w:val="center"/>
              <w:textAlignment w:val="auto"/>
              <w:rPr>
                <w:rFonts w:hint="eastAsia" w:ascii="宋体" w:hAnsi="宋体" w:eastAsia="宋体" w:cs="宋体"/>
                <w:b w:val="0"/>
                <w:bCs/>
                <w:sz w:val="22"/>
                <w:szCs w:val="22"/>
              </w:rPr>
            </w:pPr>
            <w:r>
              <w:rPr>
                <w:rFonts w:hint="eastAsia" w:ascii="仿宋" w:hAnsi="仿宋" w:eastAsia="仿宋" w:cs="Times New Roman"/>
                <w:kern w:val="2"/>
                <w:sz w:val="24"/>
                <w:szCs w:val="24"/>
                <w:highlight w:val="none"/>
                <w:lang w:val="en-US" w:eastAsia="zh-CN" w:bidi="ar-SA"/>
              </w:rPr>
              <w:t>服务期</w:t>
            </w:r>
          </w:p>
        </w:tc>
        <w:tc>
          <w:tcPr>
            <w:tcW w:w="885" w:type="dxa"/>
            <w:vAlign w:val="center"/>
          </w:tcPr>
          <w:p>
            <w:pPr>
              <w:pStyle w:val="20"/>
              <w:pageBreakBefore w:val="0"/>
              <w:kinsoku/>
              <w:wordWrap/>
              <w:overflowPunct/>
              <w:topLinePunct w:val="0"/>
              <w:bidi w:val="0"/>
              <w:adjustRightInd/>
              <w:spacing w:before="0" w:after="0" w:line="440" w:lineRule="exact"/>
              <w:jc w:val="center"/>
              <w:textAlignment w:val="auto"/>
              <w:rPr>
                <w:rFonts w:hint="eastAsia" w:ascii="宋体" w:hAnsi="宋体" w:eastAsia="宋体" w:cs="宋体"/>
                <w:b w:val="0"/>
                <w:bCs/>
                <w:sz w:val="22"/>
                <w:szCs w:val="22"/>
              </w:rPr>
            </w:pPr>
            <w:r>
              <w:rPr>
                <w:rFonts w:hint="eastAsia" w:ascii="宋体" w:hAnsi="宋体" w:eastAsia="宋体" w:cs="宋体"/>
                <w:b w:val="0"/>
                <w:bCs/>
                <w:sz w:val="22"/>
                <w:szCs w:val="22"/>
              </w:rPr>
              <w:t>数量</w:t>
            </w:r>
          </w:p>
        </w:tc>
        <w:tc>
          <w:tcPr>
            <w:tcW w:w="1228" w:type="dxa"/>
            <w:vAlign w:val="center"/>
          </w:tcPr>
          <w:p>
            <w:pPr>
              <w:pStyle w:val="8"/>
              <w:bidi w:val="0"/>
              <w:rPr>
                <w:rFonts w:hint="eastAsia" w:ascii="宋体" w:hAnsi="宋体" w:eastAsia="宋体" w:cs="宋体"/>
                <w:b w:val="0"/>
                <w:bCs/>
                <w:sz w:val="22"/>
                <w:szCs w:val="22"/>
                <w:lang w:eastAsia="zh-CN"/>
              </w:rPr>
            </w:pPr>
            <w:r>
              <w:rPr>
                <w:rFonts w:hint="eastAsia" w:ascii="仿宋" w:hAnsi="仿宋" w:eastAsia="仿宋" w:cs="Times New Roman"/>
                <w:kern w:val="2"/>
                <w:sz w:val="24"/>
                <w:szCs w:val="24"/>
                <w:highlight w:val="none"/>
                <w:lang w:val="en-US" w:eastAsia="zh-CN" w:bidi="ar-SA"/>
              </w:rPr>
              <w:t>存款额度（亿元</w:t>
            </w:r>
            <w:r>
              <w:rPr>
                <w:rFonts w:hint="eastAsia" w:ascii="宋体" w:hAnsi="宋体" w:eastAsia="宋体" w:cs="宋体"/>
                <w:b w:val="0"/>
                <w:bCs/>
                <w:sz w:val="22"/>
                <w:szCs w:val="22"/>
                <w:lang w:eastAsia="zh-CN"/>
              </w:rPr>
              <w:t>）</w:t>
            </w:r>
          </w:p>
        </w:tc>
        <w:tc>
          <w:tcPr>
            <w:tcW w:w="3242" w:type="dxa"/>
            <w:vAlign w:val="center"/>
          </w:tcPr>
          <w:p>
            <w:pPr>
              <w:pStyle w:val="20"/>
              <w:pageBreakBefore w:val="0"/>
              <w:kinsoku/>
              <w:wordWrap/>
              <w:overflowPunct/>
              <w:topLinePunct w:val="0"/>
              <w:bidi w:val="0"/>
              <w:adjustRightInd/>
              <w:spacing w:before="0" w:after="0" w:line="440" w:lineRule="exact"/>
              <w:ind w:left="429" w:right="421"/>
              <w:jc w:val="center"/>
              <w:textAlignment w:val="auto"/>
              <w:rPr>
                <w:rFonts w:hint="eastAsia" w:ascii="宋体" w:hAnsi="宋体" w:eastAsia="宋体" w:cs="宋体"/>
                <w:b w:val="0"/>
                <w:bCs/>
                <w:sz w:val="22"/>
                <w:szCs w:val="22"/>
              </w:rPr>
            </w:pPr>
            <w:r>
              <w:rPr>
                <w:rFonts w:hint="eastAsia" w:ascii="仿宋" w:hAnsi="仿宋" w:eastAsia="仿宋" w:cs="Times New Roman"/>
                <w:kern w:val="2"/>
                <w:sz w:val="24"/>
                <w:szCs w:val="24"/>
                <w:highlight w:val="none"/>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45" w:type="dxa"/>
            <w:vAlign w:val="center"/>
          </w:tcPr>
          <w:p>
            <w:pPr>
              <w:pStyle w:val="20"/>
              <w:pageBreakBefore w:val="0"/>
              <w:kinsoku/>
              <w:wordWrap/>
              <w:overflowPunct/>
              <w:topLinePunct w:val="0"/>
              <w:bidi w:val="0"/>
              <w:adjustRightInd/>
              <w:spacing w:before="0" w:after="0" w:line="440" w:lineRule="exact"/>
              <w:ind w:left="383" w:right="380"/>
              <w:jc w:val="center"/>
              <w:textAlignment w:val="auto"/>
              <w:rPr>
                <w:rFonts w:hint="eastAsia" w:ascii="宋体" w:hAnsi="宋体" w:eastAsia="宋体" w:cs="宋体"/>
                <w:b w:val="0"/>
                <w:bCs/>
                <w:sz w:val="22"/>
                <w:szCs w:val="22"/>
                <w:lang w:eastAsia="zh-CN"/>
              </w:rPr>
            </w:pPr>
            <w:r>
              <w:rPr>
                <w:rFonts w:hint="eastAsia" w:ascii="仿宋" w:hAnsi="仿宋" w:eastAsia="仿宋" w:cs="Times New Roman"/>
                <w:kern w:val="2"/>
                <w:sz w:val="24"/>
                <w:szCs w:val="24"/>
                <w:highlight w:val="none"/>
                <w:lang w:val="en-US" w:eastAsia="zh-CN" w:bidi="ar-SA"/>
              </w:rPr>
              <w:t>新源县财政局社保资金定期大额存款定点银行采购项目</w:t>
            </w:r>
          </w:p>
        </w:tc>
        <w:tc>
          <w:tcPr>
            <w:tcW w:w="1245" w:type="dxa"/>
            <w:vAlign w:val="center"/>
          </w:tcPr>
          <w:p>
            <w:pPr>
              <w:pStyle w:val="20"/>
              <w:pageBreakBefore w:val="0"/>
              <w:kinsoku/>
              <w:wordWrap/>
              <w:overflowPunct/>
              <w:topLinePunct w:val="0"/>
              <w:bidi w:val="0"/>
              <w:adjustRightInd/>
              <w:spacing w:before="0" w:after="0" w:line="440" w:lineRule="exact"/>
              <w:ind w:left="242" w:right="237"/>
              <w:jc w:val="center"/>
              <w:textAlignment w:val="auto"/>
              <w:rPr>
                <w:rFonts w:hint="eastAsia" w:ascii="宋体" w:hAnsi="宋体" w:eastAsia="宋体" w:cs="宋体"/>
                <w:b w:val="0"/>
                <w:bCs/>
                <w:sz w:val="22"/>
                <w:szCs w:val="22"/>
                <w:lang w:val="en-US"/>
              </w:rPr>
            </w:pPr>
            <w:r>
              <w:rPr>
                <w:rFonts w:hint="eastAsia" w:ascii="仿宋" w:hAnsi="仿宋" w:eastAsia="仿宋" w:cs="Times New Roman"/>
                <w:kern w:val="2"/>
                <w:sz w:val="24"/>
                <w:szCs w:val="24"/>
                <w:highlight w:val="none"/>
                <w:lang w:val="en-US" w:eastAsia="zh-CN" w:bidi="ar-SA"/>
              </w:rPr>
              <w:t>1年</w:t>
            </w:r>
          </w:p>
        </w:tc>
        <w:tc>
          <w:tcPr>
            <w:tcW w:w="885" w:type="dxa"/>
            <w:vAlign w:val="center"/>
          </w:tcPr>
          <w:p>
            <w:pPr>
              <w:pStyle w:val="20"/>
              <w:pageBreakBefore w:val="0"/>
              <w:kinsoku/>
              <w:wordWrap/>
              <w:overflowPunct/>
              <w:topLinePunct w:val="0"/>
              <w:bidi w:val="0"/>
              <w:adjustRightInd/>
              <w:spacing w:before="0" w:after="0" w:line="440" w:lineRule="exact"/>
              <w:jc w:val="center"/>
              <w:textAlignment w:val="auto"/>
              <w:rPr>
                <w:rFonts w:hint="eastAsia" w:ascii="宋体" w:hAnsi="宋体" w:eastAsia="宋体" w:cs="宋体"/>
                <w:b w:val="0"/>
                <w:bCs/>
                <w:sz w:val="22"/>
                <w:szCs w:val="22"/>
              </w:rPr>
            </w:pPr>
            <w:r>
              <w:rPr>
                <w:rFonts w:hint="eastAsia" w:ascii="仿宋" w:hAnsi="仿宋" w:eastAsia="仿宋" w:cs="Times New Roman"/>
                <w:kern w:val="2"/>
                <w:sz w:val="24"/>
                <w:szCs w:val="24"/>
                <w:highlight w:val="none"/>
                <w:lang w:val="en-US" w:eastAsia="zh-CN" w:bidi="ar-SA"/>
              </w:rPr>
              <w:t>2家</w:t>
            </w:r>
          </w:p>
        </w:tc>
        <w:tc>
          <w:tcPr>
            <w:tcW w:w="1228" w:type="dxa"/>
            <w:vAlign w:val="center"/>
          </w:tcPr>
          <w:p>
            <w:pPr>
              <w:pStyle w:val="20"/>
              <w:pageBreakBefore w:val="0"/>
              <w:kinsoku/>
              <w:wordWrap/>
              <w:overflowPunct/>
              <w:topLinePunct w:val="0"/>
              <w:bidi w:val="0"/>
              <w:adjustRightInd/>
              <w:spacing w:before="0" w:after="0" w:line="440" w:lineRule="exact"/>
              <w:jc w:val="center"/>
              <w:textAlignment w:val="auto"/>
              <w:rPr>
                <w:rFonts w:hint="default" w:ascii="宋体" w:hAnsi="宋体" w:eastAsia="宋体" w:cs="宋体"/>
                <w:b w:val="0"/>
                <w:bCs/>
                <w:sz w:val="22"/>
                <w:szCs w:val="22"/>
                <w:lang w:val="en-US" w:eastAsia="zh-CN"/>
              </w:rPr>
            </w:pPr>
            <w:r>
              <w:rPr>
                <w:rFonts w:hint="eastAsia" w:cs="宋体"/>
                <w:b w:val="0"/>
                <w:bCs/>
                <w:sz w:val="22"/>
                <w:szCs w:val="22"/>
                <w:lang w:val="en-US" w:eastAsia="zh-CN"/>
              </w:rPr>
              <w:t>1.1</w:t>
            </w:r>
          </w:p>
        </w:tc>
        <w:tc>
          <w:tcPr>
            <w:tcW w:w="3242" w:type="dxa"/>
            <w:vAlign w:val="center"/>
          </w:tcPr>
          <w:p>
            <w:pPr>
              <w:spacing w:line="360" w:lineRule="auto"/>
              <w:rPr>
                <w:rFonts w:hint="eastAsia" w:ascii="仿宋" w:hAnsi="仿宋" w:eastAsia="仿宋" w:cs="Times New Roman"/>
                <w:sz w:val="24"/>
                <w:szCs w:val="24"/>
                <w:highlight w:val="none"/>
              </w:rPr>
            </w:pPr>
            <w:r>
              <w:rPr>
                <w:rFonts w:hint="eastAsia" w:ascii="宋体" w:hAnsi="宋体" w:eastAsia="宋体" w:cs="宋体"/>
                <w:sz w:val="21"/>
                <w:szCs w:val="21"/>
                <w:highlight w:val="none"/>
              </w:rPr>
              <w:t>招标项目简要说明：本次招标为</w:t>
            </w:r>
            <w:r>
              <w:rPr>
                <w:rFonts w:hint="eastAsia" w:ascii="宋体" w:hAnsi="宋体" w:eastAsia="宋体" w:cs="宋体"/>
                <w:sz w:val="21"/>
                <w:szCs w:val="21"/>
                <w:highlight w:val="none"/>
                <w:lang w:eastAsia="zh-CN"/>
              </w:rPr>
              <w:t>新源县财政局社保资金定期大额存款定点银行采购项目</w:t>
            </w:r>
            <w:r>
              <w:rPr>
                <w:rFonts w:hint="eastAsia" w:ascii="宋体" w:hAnsi="宋体" w:eastAsia="宋体" w:cs="宋体"/>
                <w:sz w:val="21"/>
                <w:szCs w:val="21"/>
                <w:highlight w:val="none"/>
              </w:rPr>
              <w:t>，综合得分前2名银行为中标人。</w:t>
            </w:r>
            <w:r>
              <w:rPr>
                <w:rFonts w:hint="eastAsia" w:cs="宋体"/>
                <w:sz w:val="21"/>
                <w:szCs w:val="21"/>
                <w:highlight w:val="none"/>
                <w:lang w:eastAsia="zh-CN"/>
              </w:rPr>
              <w:t>中标金额依次为：第一名</w:t>
            </w:r>
            <w:r>
              <w:rPr>
                <w:rFonts w:hint="eastAsia" w:cs="宋体"/>
                <w:sz w:val="21"/>
                <w:szCs w:val="21"/>
                <w:highlight w:val="none"/>
                <w:lang w:val="en-US" w:eastAsia="zh-CN"/>
              </w:rPr>
              <w:t>8000万元、第二名为3000万元。</w:t>
            </w:r>
          </w:p>
        </w:tc>
      </w:tr>
    </w:tbl>
    <w:p>
      <w:pPr>
        <w:spacing w:line="560" w:lineRule="exact"/>
        <w:ind w:firstLine="560"/>
        <w:rPr>
          <w:rFonts w:hint="default" w:ascii="仿宋" w:hAnsi="仿宋" w:eastAsia="仿宋" w:cs="Times New Roman"/>
          <w:sz w:val="28"/>
          <w:szCs w:val="28"/>
          <w:highlight w:val="none"/>
          <w:lang w:val="en-US"/>
        </w:rPr>
      </w:pPr>
    </w:p>
    <w:p>
      <w:pPr>
        <w:pStyle w:val="4"/>
        <w:spacing w:line="360" w:lineRule="auto"/>
        <w:rPr>
          <w:rFonts w:ascii="黑体" w:hAnsi="黑体" w:cs="宋体"/>
          <w:b w:val="0"/>
          <w:sz w:val="28"/>
          <w:szCs w:val="28"/>
          <w:highlight w:val="none"/>
        </w:rPr>
      </w:pPr>
      <w:bookmarkStart w:id="7" w:name="_Toc28359080"/>
      <w:bookmarkStart w:id="8" w:name="_Toc35393622"/>
      <w:bookmarkStart w:id="9" w:name="_Toc35393791"/>
      <w:bookmarkStart w:id="10" w:name="_Toc28359003"/>
      <w:r>
        <w:rPr>
          <w:rFonts w:hint="eastAsia" w:ascii="黑体" w:hAnsi="黑体" w:cs="宋体"/>
          <w:b w:val="0"/>
          <w:sz w:val="28"/>
          <w:szCs w:val="28"/>
          <w:highlight w:val="none"/>
        </w:rPr>
        <w:t>二、申请人的资格要求：</w:t>
      </w:r>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Times New Roman"/>
          <w:kern w:val="2"/>
          <w:sz w:val="28"/>
          <w:szCs w:val="28"/>
          <w:highlight w:val="none"/>
          <w:lang w:val="en-US" w:eastAsia="zh-CN" w:bidi="ar-SA"/>
        </w:rPr>
      </w:pPr>
      <w:bookmarkStart w:id="11" w:name="_Toc35393623"/>
      <w:bookmarkStart w:id="12" w:name="_Toc28359004"/>
      <w:bookmarkStart w:id="13" w:name="_Toc28359081"/>
      <w:bookmarkStart w:id="14" w:name="_Toc35393792"/>
      <w:r>
        <w:rPr>
          <w:rFonts w:hint="eastAsia" w:ascii="仿宋" w:hAnsi="仿宋" w:eastAsia="仿宋" w:cs="Times New Roman"/>
          <w:kern w:val="2"/>
          <w:sz w:val="28"/>
          <w:szCs w:val="28"/>
          <w:highlight w:val="none"/>
          <w:lang w:val="en-US" w:eastAsia="zh-CN" w:bidi="ar-SA"/>
        </w:rPr>
        <w:t>1、投标人应具备《中华人民共和国政府采购法》第二十二条规定的条件；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cs="Times New Roman"/>
          <w:sz w:val="28"/>
          <w:szCs w:val="28"/>
          <w:highlight w:val="none"/>
        </w:rPr>
        <w:t>2.落实政府采购政策需满足的资格要求：</w:t>
      </w:r>
      <w:r>
        <w:rPr>
          <w:rFonts w:hint="eastAsia" w:ascii="仿宋" w:hAnsi="仿宋" w:eastAsia="仿宋"/>
          <w:sz w:val="28"/>
          <w:szCs w:val="28"/>
          <w:highlight w:val="none"/>
        </w:rPr>
        <w:t>（1）根据财政部、工业和信息化部关于印发《政府采购促进中小企业发展管理办法》（财库﹝2020﹞46号），符合规定企业标准的，需提供《中小企业声明函》。</w:t>
      </w:r>
    </w:p>
    <w:p>
      <w:pPr>
        <w:pStyle w:val="7"/>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仿宋" w:hAnsi="仿宋" w:eastAsia="仿宋" w:cs="Times New Roman"/>
          <w:kern w:val="2"/>
          <w:sz w:val="28"/>
          <w:szCs w:val="28"/>
          <w:highlight w:val="none"/>
          <w:lang w:val="en-US" w:eastAsia="zh-CN" w:bidi="ar-SA"/>
        </w:rPr>
      </w:pPr>
      <w:r>
        <w:rPr>
          <w:rFonts w:hint="eastAsia" w:ascii="仿宋" w:hAnsi="仿宋" w:eastAsia="仿宋" w:cs="Times New Roman"/>
          <w:sz w:val="28"/>
          <w:szCs w:val="28"/>
          <w:highlight w:val="none"/>
          <w:lang w:val="en-US" w:eastAsia="zh-CN"/>
        </w:rPr>
        <w:t>3.本项目的特定资格要求：</w:t>
      </w:r>
    </w:p>
    <w:p>
      <w:pPr>
        <w:pStyle w:val="7"/>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仿宋" w:hAnsi="仿宋" w:eastAsia="仿宋" w:cs="Times New Roman"/>
          <w:kern w:val="2"/>
          <w:sz w:val="28"/>
          <w:szCs w:val="28"/>
          <w:highlight w:val="none"/>
          <w:lang w:val="en-US" w:eastAsia="zh-CN" w:bidi="ar-SA"/>
        </w:rPr>
      </w:pPr>
      <w:r>
        <w:rPr>
          <w:rFonts w:hint="eastAsia" w:ascii="仿宋" w:hAnsi="仿宋" w:eastAsia="仿宋" w:cs="Times New Roman"/>
          <w:kern w:val="2"/>
          <w:sz w:val="28"/>
          <w:szCs w:val="28"/>
          <w:highlight w:val="none"/>
          <w:lang w:val="en-US" w:eastAsia="zh-CN" w:bidi="ar-SA"/>
        </w:rPr>
        <w:t>1）具有独立承担民事责任的能力（提供法人或者其他组织的营业执照或三证合一等证明文件）；</w:t>
      </w:r>
    </w:p>
    <w:p>
      <w:pPr>
        <w:pStyle w:val="7"/>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仿宋" w:hAnsi="仿宋" w:eastAsia="仿宋" w:cs="Times New Roman"/>
          <w:kern w:val="2"/>
          <w:sz w:val="28"/>
          <w:szCs w:val="28"/>
          <w:highlight w:val="none"/>
          <w:lang w:val="en-US" w:eastAsia="zh-CN" w:bidi="ar-SA"/>
        </w:rPr>
      </w:pPr>
      <w:r>
        <w:rPr>
          <w:rFonts w:hint="eastAsia" w:ascii="仿宋" w:hAnsi="仿宋" w:eastAsia="仿宋" w:cs="Times New Roman"/>
          <w:kern w:val="2"/>
          <w:sz w:val="28"/>
          <w:szCs w:val="28"/>
          <w:highlight w:val="none"/>
          <w:lang w:val="en-US" w:eastAsia="zh-CN" w:bidi="ar-SA"/>
        </w:rPr>
        <w:t>2）具有履行合同所必需的设备和专业技术能力(提供具有履行合同所必需的设备和专业技术能力承诺函)；</w:t>
      </w:r>
    </w:p>
    <w:p>
      <w:pPr>
        <w:pStyle w:val="7"/>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仿宋" w:hAnsi="仿宋" w:eastAsia="仿宋" w:cs="Times New Roman"/>
          <w:kern w:val="2"/>
          <w:sz w:val="28"/>
          <w:szCs w:val="28"/>
          <w:highlight w:val="none"/>
          <w:lang w:val="en-US" w:eastAsia="zh-CN" w:bidi="ar-SA"/>
        </w:rPr>
      </w:pPr>
      <w:r>
        <w:rPr>
          <w:rFonts w:hint="eastAsia" w:ascii="仿宋" w:hAnsi="仿宋" w:eastAsia="仿宋" w:cs="Times New Roman"/>
          <w:kern w:val="2"/>
          <w:sz w:val="28"/>
          <w:szCs w:val="28"/>
          <w:highlight w:val="none"/>
          <w:lang w:val="en-US" w:eastAsia="zh-CN" w:bidi="ar-SA"/>
        </w:rPr>
        <w:t>3）有依法缴纳税收和社会保障资金的良好记录（提供 2022 年以来任意三月依法缴纳税收和社会保障资金的相关材料，如依法免税或不需要缴纳社会保障资金的，应提供相应文件证明）；</w:t>
      </w:r>
    </w:p>
    <w:p>
      <w:pPr>
        <w:pStyle w:val="7"/>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仿宋" w:hAnsi="仿宋" w:eastAsia="仿宋" w:cs="Times New Roman"/>
          <w:kern w:val="2"/>
          <w:sz w:val="28"/>
          <w:szCs w:val="28"/>
          <w:highlight w:val="none"/>
          <w:lang w:val="en-US" w:eastAsia="zh-CN" w:bidi="ar-SA"/>
        </w:rPr>
      </w:pPr>
      <w:r>
        <w:rPr>
          <w:rFonts w:hint="eastAsia" w:ascii="仿宋" w:hAnsi="仿宋" w:eastAsia="仿宋" w:cs="Times New Roman"/>
          <w:kern w:val="2"/>
          <w:sz w:val="28"/>
          <w:szCs w:val="28"/>
          <w:highlight w:val="none"/>
          <w:lang w:val="en-US" w:eastAsia="zh-CN" w:bidi="ar-SA"/>
        </w:rPr>
        <w:t>4）参加政府采购活动前三年内，在经营活动中没有重大违法记录（提供参加政府采购活动前三年内，在经营活动中没有重大违法记录的声明）；</w:t>
      </w:r>
    </w:p>
    <w:p>
      <w:pPr>
        <w:pStyle w:val="7"/>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仿宋" w:hAnsi="仿宋" w:eastAsia="仿宋" w:cs="Times New Roman"/>
          <w:kern w:val="2"/>
          <w:sz w:val="28"/>
          <w:szCs w:val="28"/>
          <w:highlight w:val="none"/>
          <w:lang w:val="en-US" w:eastAsia="zh-CN" w:bidi="ar-SA"/>
        </w:rPr>
      </w:pPr>
      <w:r>
        <w:rPr>
          <w:rFonts w:hint="eastAsia" w:ascii="仿宋" w:hAnsi="仿宋" w:eastAsia="仿宋" w:cs="Times New Roman"/>
          <w:kern w:val="2"/>
          <w:sz w:val="28"/>
          <w:szCs w:val="28"/>
          <w:highlight w:val="none"/>
          <w:lang w:val="en-US" w:eastAsia="zh-CN" w:bidi="ar-SA"/>
        </w:rPr>
        <w:t>5)内部管理机制健全，具有较强的风险控制能力，近3年内未发生金融风险及重大违约事件承诺书；</w:t>
      </w:r>
    </w:p>
    <w:p>
      <w:pPr>
        <w:pStyle w:val="7"/>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仿宋" w:hAnsi="仿宋" w:eastAsia="仿宋" w:cs="Times New Roman"/>
          <w:kern w:val="2"/>
          <w:sz w:val="28"/>
          <w:szCs w:val="28"/>
          <w:highlight w:val="none"/>
          <w:lang w:val="en-US" w:eastAsia="zh-CN" w:bidi="ar-SA"/>
        </w:rPr>
      </w:pPr>
      <w:r>
        <w:rPr>
          <w:rFonts w:hint="eastAsia" w:ascii="仿宋" w:hAnsi="仿宋" w:eastAsia="仿宋" w:cs="Times New Roman"/>
          <w:kern w:val="2"/>
          <w:sz w:val="28"/>
          <w:szCs w:val="28"/>
          <w:highlight w:val="none"/>
          <w:lang w:val="en-US" w:eastAsia="zh-CN" w:bidi="ar-SA"/>
        </w:rPr>
        <w:t>6）法律、行政法规规定的其他条件。</w:t>
      </w:r>
    </w:p>
    <w:p>
      <w:pPr>
        <w:pStyle w:val="7"/>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仿宋" w:hAnsi="仿宋" w:eastAsia="仿宋" w:cs="Times New Roman"/>
          <w:kern w:val="2"/>
          <w:sz w:val="28"/>
          <w:szCs w:val="28"/>
          <w:highlight w:val="none"/>
          <w:lang w:val="en-US" w:eastAsia="zh-CN" w:bidi="ar-SA"/>
        </w:rPr>
      </w:pPr>
      <w:r>
        <w:rPr>
          <w:rFonts w:hint="eastAsia" w:ascii="仿宋" w:hAnsi="仿宋" w:eastAsia="仿宋" w:cs="Times New Roman"/>
          <w:kern w:val="2"/>
          <w:sz w:val="28"/>
          <w:szCs w:val="28"/>
          <w:highlight w:val="none"/>
          <w:lang w:val="en-US" w:eastAsia="zh-CN" w:bidi="ar-SA"/>
        </w:rPr>
        <w:t>4、定期存款利率按中国人民银行公布的定期存款基准利率或以上。</w:t>
      </w:r>
    </w:p>
    <w:p>
      <w:pPr>
        <w:pStyle w:val="7"/>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仿宋" w:hAnsi="仿宋" w:eastAsia="仿宋" w:cs="Times New Roman"/>
          <w:kern w:val="2"/>
          <w:sz w:val="28"/>
          <w:szCs w:val="28"/>
          <w:highlight w:val="none"/>
          <w:lang w:val="en-US" w:eastAsia="zh-CN" w:bidi="ar-SA"/>
        </w:rPr>
      </w:pPr>
      <w:r>
        <w:rPr>
          <w:rFonts w:hint="eastAsia" w:ascii="仿宋" w:hAnsi="仿宋" w:eastAsia="仿宋" w:cs="Times New Roman"/>
          <w:kern w:val="2"/>
          <w:sz w:val="28"/>
          <w:szCs w:val="28"/>
          <w:highlight w:val="none"/>
          <w:lang w:val="en-US" w:eastAsia="zh-CN" w:bidi="ar-SA"/>
        </w:rPr>
        <w:t>5、投标人必须是在新源县设有银行分行机构，拥有独立开展业务的资格，正常运营一年以上，并承担相应的法律责任的国有或国有控股银行、股份制商业银行、农业银行、农村商业银行、邮政储蓄银行及政策性银行；</w:t>
      </w:r>
    </w:p>
    <w:p>
      <w:pPr>
        <w:pStyle w:val="7"/>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仿宋" w:hAnsi="仿宋" w:eastAsia="仿宋" w:cs="Times New Roman"/>
          <w:kern w:val="2"/>
          <w:sz w:val="28"/>
          <w:szCs w:val="28"/>
          <w:highlight w:val="none"/>
          <w:lang w:val="en-US" w:eastAsia="zh-CN" w:bidi="ar-SA"/>
        </w:rPr>
      </w:pPr>
      <w:r>
        <w:rPr>
          <w:rFonts w:hint="eastAsia" w:ascii="仿宋" w:hAnsi="仿宋" w:eastAsia="仿宋" w:cs="Times New Roman"/>
          <w:kern w:val="2"/>
          <w:sz w:val="28"/>
          <w:szCs w:val="28"/>
          <w:highlight w:val="none"/>
          <w:lang w:val="en-US" w:eastAsia="zh-CN" w:bidi="ar-SA"/>
        </w:rPr>
        <w:t>6、同一家银行只拥有一个评选席位，投标时应提交上级行及其法定代表人（或负责人）签署的授权书，同时满足以下条件：</w:t>
      </w:r>
    </w:p>
    <w:p>
      <w:pPr>
        <w:pStyle w:val="7"/>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仿宋" w:hAnsi="仿宋" w:eastAsia="仿宋" w:cs="Times New Roman"/>
          <w:kern w:val="2"/>
          <w:sz w:val="28"/>
          <w:szCs w:val="28"/>
          <w:highlight w:val="none"/>
          <w:lang w:val="en-US" w:eastAsia="zh-CN" w:bidi="ar-SA"/>
        </w:rPr>
      </w:pPr>
      <w:r>
        <w:rPr>
          <w:rFonts w:hint="eastAsia" w:ascii="仿宋" w:hAnsi="仿宋" w:eastAsia="仿宋" w:cs="Times New Roman"/>
          <w:kern w:val="2"/>
          <w:sz w:val="28"/>
          <w:szCs w:val="28"/>
          <w:highlight w:val="none"/>
          <w:lang w:val="en-US" w:eastAsia="zh-CN" w:bidi="ar-SA"/>
        </w:rPr>
        <w:t>6.1.投标人必须具有中国银行业监督管理委员会或其授权机构核发的《中华人民共和国金融许可证》；</w:t>
      </w:r>
    </w:p>
    <w:p>
      <w:pPr>
        <w:pStyle w:val="7"/>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ascii="仿宋" w:hAnsi="仿宋" w:eastAsia="仿宋" w:cs="Times New Roman"/>
          <w:kern w:val="2"/>
          <w:sz w:val="28"/>
          <w:szCs w:val="28"/>
          <w:highlight w:val="none"/>
          <w:lang w:val="en-US" w:eastAsia="zh-CN" w:bidi="ar-SA"/>
        </w:rPr>
      </w:pPr>
      <w:r>
        <w:rPr>
          <w:rFonts w:hint="eastAsia" w:ascii="仿宋" w:hAnsi="仿宋" w:eastAsia="仿宋" w:cs="Times New Roman"/>
          <w:kern w:val="2"/>
          <w:sz w:val="28"/>
          <w:szCs w:val="28"/>
          <w:highlight w:val="none"/>
          <w:lang w:val="en-US" w:eastAsia="zh-CN" w:bidi="ar-SA"/>
        </w:rPr>
        <w:t>6.2.符合财政账户管理要求的银行。</w:t>
      </w:r>
    </w:p>
    <w:p>
      <w:pPr>
        <w:pStyle w:val="6"/>
        <w:keepNext w:val="0"/>
        <w:keepLines w:val="0"/>
        <w:pageBreakBefore w:val="0"/>
        <w:kinsoku/>
        <w:wordWrap/>
        <w:overflowPunct/>
        <w:topLinePunct w:val="0"/>
        <w:bidi w:val="0"/>
        <w:adjustRightInd/>
        <w:spacing w:before="0" w:after="0" w:line="440" w:lineRule="exact"/>
        <w:ind w:firstLine="560" w:firstLineChars="200"/>
        <w:jc w:val="both"/>
        <w:textAlignment w:val="auto"/>
        <w:rPr>
          <w:rFonts w:hint="eastAsia" w:ascii="仿宋" w:hAnsi="仿宋" w:eastAsia="仿宋" w:cs="Times New Roman"/>
          <w:kern w:val="2"/>
          <w:sz w:val="28"/>
          <w:szCs w:val="28"/>
          <w:highlight w:val="none"/>
          <w:lang w:val="en-US" w:eastAsia="zh-CN" w:bidi="ar-SA"/>
        </w:rPr>
      </w:pPr>
      <w:r>
        <w:rPr>
          <w:rFonts w:hint="eastAsia" w:ascii="仿宋" w:hAnsi="仿宋" w:eastAsia="仿宋" w:cs="Times New Roman"/>
          <w:kern w:val="2"/>
          <w:sz w:val="28"/>
          <w:szCs w:val="28"/>
          <w:highlight w:val="none"/>
          <w:lang w:val="en-US" w:eastAsia="zh-CN" w:bidi="ar-SA"/>
        </w:rPr>
        <w:t>7、单位负责人为同一人或存在控股、管理关系的不同投标供应商，不得参加本项目同一合同项下的政府采购活动。否则，相关投标申请均将被拒绝。</w:t>
      </w:r>
    </w:p>
    <w:p>
      <w:pPr>
        <w:pStyle w:val="8"/>
        <w:keepNext w:val="0"/>
        <w:keepLines w:val="0"/>
        <w:pageBreakBefore w:val="0"/>
        <w:kinsoku/>
        <w:wordWrap/>
        <w:overflowPunct/>
        <w:topLinePunct w:val="0"/>
        <w:bidi w:val="0"/>
        <w:adjustRightInd/>
        <w:spacing w:before="0" w:after="0" w:line="440" w:lineRule="exact"/>
        <w:ind w:firstLine="560" w:firstLineChars="200"/>
        <w:textAlignment w:val="auto"/>
        <w:rPr>
          <w:rFonts w:hint="eastAsia" w:ascii="仿宋" w:hAnsi="仿宋" w:eastAsia="仿宋" w:cs="Times New Roman"/>
          <w:kern w:val="2"/>
          <w:sz w:val="28"/>
          <w:szCs w:val="28"/>
          <w:highlight w:val="none"/>
          <w:lang w:val="en-US" w:eastAsia="zh-CN" w:bidi="ar-SA"/>
        </w:rPr>
      </w:pPr>
      <w:r>
        <w:rPr>
          <w:rFonts w:hint="eastAsia" w:ascii="仿宋" w:hAnsi="仿宋" w:eastAsia="仿宋" w:cs="Times New Roman"/>
          <w:kern w:val="2"/>
          <w:sz w:val="28"/>
          <w:szCs w:val="28"/>
          <w:highlight w:val="none"/>
          <w:lang w:val="en-US" w:eastAsia="zh-CN" w:bidi="ar-SA"/>
        </w:rPr>
        <w:t>8、在“信用中国”网站（creditchina.gov.cn）、中国政府采购网（ ccgp.gov.cn）没有被列入失信被执行人、重大税收违法案件当事人名单、政府采购严重违法失信行为记录名单及其他不符合规定条件的投标人（请提供两个网站的信用记录查询结果页面打印件（查询时间必须在公告期内）,若查询结果为“没查到您要的信息” 视为符合规定条件的投标人）；</w:t>
      </w:r>
    </w:p>
    <w:p>
      <w:pPr>
        <w:pStyle w:val="9"/>
        <w:ind w:firstLine="560" w:firstLineChars="200"/>
        <w:rPr>
          <w:rFonts w:hint="eastAsia" w:ascii="仿宋" w:hAnsi="仿宋" w:eastAsia="仿宋" w:cs="Times New Roman"/>
          <w:kern w:val="2"/>
          <w:sz w:val="28"/>
          <w:szCs w:val="28"/>
          <w:highlight w:val="none"/>
          <w:lang w:val="en-US" w:eastAsia="zh-CN" w:bidi="ar-SA"/>
        </w:rPr>
      </w:pPr>
      <w:r>
        <w:rPr>
          <w:rFonts w:hint="eastAsia" w:ascii="仿宋" w:hAnsi="仿宋" w:eastAsia="仿宋" w:cs="Times New Roman"/>
          <w:kern w:val="2"/>
          <w:sz w:val="28"/>
          <w:szCs w:val="28"/>
          <w:highlight w:val="none"/>
          <w:lang w:val="en-US" w:eastAsia="zh-CN" w:bidi="ar-SA"/>
        </w:rPr>
        <w:t>9、本项目不接受联合体投标。</w:t>
      </w:r>
    </w:p>
    <w:p>
      <w:pPr>
        <w:pStyle w:val="4"/>
        <w:spacing w:line="360" w:lineRule="auto"/>
        <w:rPr>
          <w:rFonts w:ascii="黑体" w:hAnsi="黑体" w:cs="宋体"/>
          <w:b w:val="0"/>
          <w:sz w:val="28"/>
          <w:szCs w:val="28"/>
          <w:highlight w:val="none"/>
        </w:rPr>
      </w:pPr>
      <w:r>
        <w:rPr>
          <w:rFonts w:hint="eastAsia" w:ascii="黑体" w:hAnsi="黑体" w:cs="宋体"/>
          <w:b w:val="0"/>
          <w:sz w:val="28"/>
          <w:szCs w:val="28"/>
          <w:highlight w:val="none"/>
        </w:rPr>
        <w:t>三、获取招标文件</w:t>
      </w:r>
      <w:bookmarkEnd w:id="11"/>
      <w:bookmarkEnd w:id="12"/>
      <w:bookmarkEnd w:id="13"/>
      <w:bookmarkEnd w:id="14"/>
    </w:p>
    <w:p>
      <w:pPr>
        <w:spacing w:line="360" w:lineRule="auto"/>
        <w:ind w:firstLine="540"/>
        <w:rPr>
          <w:rFonts w:ascii="仿宋" w:hAnsi="仿宋" w:eastAsia="仿宋" w:cs="宋体"/>
          <w:sz w:val="28"/>
          <w:szCs w:val="28"/>
          <w:highlight w:val="none"/>
          <w:u w:val="single"/>
        </w:rPr>
      </w:pPr>
      <w:r>
        <w:rPr>
          <w:rFonts w:hint="eastAsia" w:ascii="仿宋" w:hAnsi="仿宋" w:eastAsia="仿宋" w:cs="宋体"/>
          <w:sz w:val="28"/>
          <w:szCs w:val="28"/>
          <w:highlight w:val="none"/>
        </w:rPr>
        <w:t>时间：</w:t>
      </w:r>
      <w:r>
        <w:rPr>
          <w:rFonts w:hint="eastAsia" w:ascii="宋体" w:hAnsi="宋体" w:eastAsia="宋体" w:cs="宋体"/>
          <w:color w:val="auto"/>
          <w:sz w:val="28"/>
          <w:szCs w:val="28"/>
          <w:highlight w:val="none"/>
          <w:u w:val="single"/>
          <w:lang w:val="en-US" w:eastAsia="zh-CN"/>
        </w:rPr>
        <w:t>2022</w:t>
      </w:r>
      <w:r>
        <w:rPr>
          <w:rFonts w:hint="eastAsia" w:ascii="宋体" w:hAnsi="宋体" w:eastAsia="宋体" w:cs="宋体"/>
          <w:color w:val="auto"/>
          <w:sz w:val="28"/>
          <w:szCs w:val="28"/>
          <w:highlight w:val="none"/>
          <w:u w:val="single"/>
        </w:rPr>
        <w:t>年</w:t>
      </w:r>
      <w:r>
        <w:rPr>
          <w:rFonts w:hint="eastAsia" w:ascii="宋体" w:hAnsi="宋体" w:eastAsia="宋体" w:cs="宋体"/>
          <w:color w:val="auto"/>
          <w:sz w:val="28"/>
          <w:szCs w:val="28"/>
          <w:highlight w:val="none"/>
          <w:u w:val="single"/>
          <w:lang w:val="en-US" w:eastAsia="zh-CN"/>
        </w:rPr>
        <w:t>1</w:t>
      </w:r>
      <w:r>
        <w:rPr>
          <w:rFonts w:hint="eastAsia" w:ascii="宋体" w:hAnsi="宋体" w:cs="宋体"/>
          <w:color w:val="auto"/>
          <w:sz w:val="28"/>
          <w:szCs w:val="28"/>
          <w:highlight w:val="none"/>
          <w:u w:val="single"/>
          <w:lang w:val="en-US" w:eastAsia="zh-CN"/>
        </w:rPr>
        <w:t>2</w:t>
      </w:r>
      <w:r>
        <w:rPr>
          <w:rFonts w:hint="eastAsia" w:ascii="宋体" w:hAnsi="宋体" w:eastAsia="宋体" w:cs="宋体"/>
          <w:color w:val="auto"/>
          <w:sz w:val="28"/>
          <w:szCs w:val="28"/>
          <w:highlight w:val="none"/>
          <w:u w:val="single"/>
        </w:rPr>
        <w:t>月</w:t>
      </w:r>
      <w:r>
        <w:rPr>
          <w:rFonts w:hint="eastAsia" w:ascii="宋体" w:hAnsi="宋体" w:cs="宋体"/>
          <w:color w:val="auto"/>
          <w:sz w:val="28"/>
          <w:szCs w:val="28"/>
          <w:highlight w:val="none"/>
          <w:u w:val="single"/>
          <w:lang w:val="en-US" w:eastAsia="zh-CN"/>
        </w:rPr>
        <w:t>2</w:t>
      </w:r>
      <w:r>
        <w:rPr>
          <w:rFonts w:hint="eastAsia" w:cs="宋体"/>
          <w:color w:val="auto"/>
          <w:sz w:val="28"/>
          <w:szCs w:val="28"/>
          <w:highlight w:val="none"/>
          <w:u w:val="single"/>
          <w:lang w:val="en-US" w:eastAsia="zh-CN"/>
        </w:rPr>
        <w:t>7</w:t>
      </w:r>
      <w:r>
        <w:rPr>
          <w:rFonts w:hint="eastAsia" w:ascii="宋体" w:hAnsi="宋体" w:eastAsia="宋体" w:cs="宋体"/>
          <w:color w:val="auto"/>
          <w:sz w:val="28"/>
          <w:szCs w:val="28"/>
          <w:highlight w:val="none"/>
          <w:u w:val="single"/>
        </w:rPr>
        <w:t>日</w:t>
      </w:r>
      <w:r>
        <w:rPr>
          <w:rFonts w:hint="eastAsia" w:ascii="宋体" w:hAnsi="宋体" w:eastAsia="宋体" w:cs="宋体"/>
          <w:color w:val="auto"/>
          <w:sz w:val="28"/>
          <w:szCs w:val="28"/>
          <w:highlight w:val="none"/>
        </w:rPr>
        <w:t>至</w:t>
      </w:r>
      <w:r>
        <w:rPr>
          <w:rFonts w:hint="eastAsia" w:ascii="宋体" w:hAnsi="宋体" w:eastAsia="宋体" w:cs="宋体"/>
          <w:color w:val="auto"/>
          <w:sz w:val="28"/>
          <w:szCs w:val="28"/>
          <w:highlight w:val="none"/>
          <w:u w:val="single"/>
          <w:lang w:val="en-US" w:eastAsia="zh-CN"/>
        </w:rPr>
        <w:t>202</w:t>
      </w:r>
      <w:r>
        <w:rPr>
          <w:rFonts w:hint="eastAsia" w:cs="宋体"/>
          <w:color w:val="auto"/>
          <w:sz w:val="28"/>
          <w:szCs w:val="28"/>
          <w:highlight w:val="none"/>
          <w:u w:val="single"/>
          <w:lang w:val="en-US" w:eastAsia="zh-CN"/>
        </w:rPr>
        <w:t>3</w:t>
      </w:r>
      <w:r>
        <w:rPr>
          <w:rFonts w:hint="eastAsia" w:ascii="宋体" w:hAnsi="宋体" w:eastAsia="宋体" w:cs="宋体"/>
          <w:color w:val="auto"/>
          <w:sz w:val="28"/>
          <w:szCs w:val="28"/>
          <w:highlight w:val="none"/>
          <w:u w:val="single"/>
        </w:rPr>
        <w:t>年</w:t>
      </w:r>
      <w:r>
        <w:rPr>
          <w:rFonts w:hint="eastAsia" w:cs="宋体"/>
          <w:color w:val="auto"/>
          <w:sz w:val="28"/>
          <w:szCs w:val="28"/>
          <w:highlight w:val="none"/>
          <w:u w:val="single"/>
          <w:lang w:val="en-US" w:eastAsia="zh-CN"/>
        </w:rPr>
        <w:t>01</w:t>
      </w:r>
      <w:r>
        <w:rPr>
          <w:rFonts w:hint="eastAsia" w:ascii="宋体" w:hAnsi="宋体" w:eastAsia="宋体" w:cs="宋体"/>
          <w:color w:val="auto"/>
          <w:sz w:val="28"/>
          <w:szCs w:val="28"/>
          <w:highlight w:val="none"/>
          <w:u w:val="single"/>
        </w:rPr>
        <w:t>月</w:t>
      </w:r>
      <w:r>
        <w:rPr>
          <w:rFonts w:hint="eastAsia" w:cs="宋体"/>
          <w:color w:val="auto"/>
          <w:sz w:val="28"/>
          <w:szCs w:val="28"/>
          <w:highlight w:val="none"/>
          <w:u w:val="single"/>
          <w:lang w:val="en-US" w:eastAsia="zh-CN"/>
        </w:rPr>
        <w:t>04</w:t>
      </w:r>
      <w:r>
        <w:rPr>
          <w:rFonts w:hint="eastAsia" w:ascii="宋体" w:hAnsi="宋体" w:eastAsia="宋体" w:cs="宋体"/>
          <w:color w:val="auto"/>
          <w:sz w:val="28"/>
          <w:szCs w:val="28"/>
          <w:highlight w:val="none"/>
          <w:u w:val="single"/>
        </w:rPr>
        <w:t>日</w:t>
      </w:r>
      <w:r>
        <w:rPr>
          <w:rFonts w:hint="eastAsia" w:ascii="宋体" w:hAnsi="宋体" w:eastAsia="宋体" w:cs="宋体"/>
          <w:color w:val="auto"/>
          <w:sz w:val="28"/>
          <w:szCs w:val="28"/>
          <w:highlight w:val="none"/>
        </w:rPr>
        <w:t>，每天上午</w:t>
      </w:r>
      <w:r>
        <w:rPr>
          <w:rFonts w:hint="eastAsia" w:ascii="宋体" w:hAnsi="宋体" w:eastAsia="宋体" w:cs="宋体"/>
          <w:color w:val="auto"/>
          <w:sz w:val="28"/>
          <w:szCs w:val="28"/>
          <w:highlight w:val="none"/>
          <w:u w:val="single"/>
          <w:lang w:val="en-US" w:eastAsia="zh-CN"/>
        </w:rPr>
        <w:t>10:00</w:t>
      </w:r>
      <w:r>
        <w:rPr>
          <w:rFonts w:hint="eastAsia" w:ascii="宋体" w:hAnsi="宋体" w:eastAsia="宋体" w:cs="宋体"/>
          <w:color w:val="auto"/>
          <w:sz w:val="28"/>
          <w:szCs w:val="28"/>
          <w:highlight w:val="none"/>
        </w:rPr>
        <w:t>至</w:t>
      </w:r>
      <w:r>
        <w:rPr>
          <w:rFonts w:hint="eastAsia" w:ascii="宋体" w:hAnsi="宋体" w:eastAsia="宋体" w:cs="宋体"/>
          <w:color w:val="auto"/>
          <w:sz w:val="28"/>
          <w:szCs w:val="28"/>
          <w:highlight w:val="none"/>
          <w:u w:val="single"/>
          <w:lang w:val="en-US" w:eastAsia="zh-CN"/>
        </w:rPr>
        <w:t>14:00</w:t>
      </w:r>
      <w:r>
        <w:rPr>
          <w:rFonts w:hint="eastAsia" w:ascii="宋体" w:hAnsi="宋体" w:eastAsia="宋体" w:cs="宋体"/>
          <w:color w:val="auto"/>
          <w:sz w:val="28"/>
          <w:szCs w:val="28"/>
          <w:highlight w:val="none"/>
        </w:rPr>
        <w:t>，下午</w:t>
      </w:r>
      <w:r>
        <w:rPr>
          <w:rFonts w:hint="eastAsia" w:ascii="宋体" w:hAnsi="宋体" w:eastAsia="宋体" w:cs="宋体"/>
          <w:color w:val="auto"/>
          <w:sz w:val="28"/>
          <w:szCs w:val="28"/>
          <w:highlight w:val="none"/>
          <w:u w:val="single"/>
          <w:lang w:val="en-US" w:eastAsia="zh-CN"/>
        </w:rPr>
        <w:t>15:30</w:t>
      </w:r>
      <w:r>
        <w:rPr>
          <w:rFonts w:hint="eastAsia" w:ascii="宋体" w:hAnsi="宋体" w:eastAsia="宋体" w:cs="宋体"/>
          <w:color w:val="auto"/>
          <w:sz w:val="28"/>
          <w:szCs w:val="28"/>
          <w:highlight w:val="none"/>
        </w:rPr>
        <w:t>至</w:t>
      </w:r>
      <w:r>
        <w:rPr>
          <w:rFonts w:hint="eastAsia" w:ascii="宋体" w:hAnsi="宋体" w:eastAsia="宋体" w:cs="宋体"/>
          <w:color w:val="auto"/>
          <w:sz w:val="28"/>
          <w:szCs w:val="28"/>
          <w:highlight w:val="none"/>
          <w:u w:val="single"/>
          <w:lang w:val="en-US" w:eastAsia="zh-CN"/>
        </w:rPr>
        <w:t>19:30</w:t>
      </w:r>
      <w:r>
        <w:rPr>
          <w:rFonts w:hint="eastAsia" w:ascii="仿宋" w:hAnsi="仿宋" w:eastAsia="仿宋" w:cs="宋体"/>
          <w:sz w:val="28"/>
          <w:szCs w:val="28"/>
          <w:highlight w:val="none"/>
          <w:u w:val="single"/>
          <w:lang w:val="en-US" w:eastAsia="zh-CN"/>
        </w:rPr>
        <w:t>（</w:t>
      </w:r>
      <w:r>
        <w:rPr>
          <w:rFonts w:hint="eastAsia" w:ascii="仿宋" w:hAnsi="仿宋" w:eastAsia="仿宋" w:cs="宋体"/>
          <w:sz w:val="28"/>
          <w:szCs w:val="28"/>
          <w:highlight w:val="none"/>
          <w:u w:val="single"/>
        </w:rPr>
        <w:t>北京时间，</w:t>
      </w:r>
      <w:r>
        <w:rPr>
          <w:rFonts w:ascii="仿宋" w:hAnsi="仿宋" w:eastAsia="仿宋" w:cs="宋体"/>
          <w:sz w:val="28"/>
          <w:szCs w:val="28"/>
          <w:highlight w:val="none"/>
          <w:u w:val="single"/>
        </w:rPr>
        <w:t>法定节假日</w:t>
      </w:r>
      <w:r>
        <w:rPr>
          <w:rFonts w:hint="eastAsia" w:ascii="仿宋" w:hAnsi="仿宋" w:eastAsia="仿宋" w:cs="宋体"/>
          <w:sz w:val="28"/>
          <w:szCs w:val="28"/>
          <w:highlight w:val="none"/>
          <w:u w:val="single"/>
        </w:rPr>
        <w:t>除外）</w:t>
      </w:r>
    </w:p>
    <w:p>
      <w:pPr>
        <w:spacing w:line="360" w:lineRule="auto"/>
        <w:ind w:firstLine="540"/>
        <w:rPr>
          <w:rFonts w:hint="eastAsia" w:ascii="仿宋" w:hAnsi="仿宋" w:eastAsia="仿宋" w:cs="宋体"/>
          <w:sz w:val="28"/>
          <w:szCs w:val="28"/>
          <w:highlight w:val="none"/>
        </w:rPr>
      </w:pPr>
      <w:r>
        <w:rPr>
          <w:rFonts w:hint="eastAsia" w:ascii="仿宋" w:hAnsi="仿宋" w:eastAsia="仿宋" w:cs="宋体"/>
          <w:sz w:val="28"/>
          <w:szCs w:val="28"/>
          <w:highlight w:val="none"/>
        </w:rPr>
        <w:t>地点：</w:t>
      </w:r>
      <w:r>
        <w:rPr>
          <w:rFonts w:hint="eastAsia" w:ascii="仿宋" w:hAnsi="仿宋" w:eastAsia="仿宋" w:cs="宋体"/>
          <w:sz w:val="28"/>
          <w:szCs w:val="28"/>
          <w:highlight w:val="none"/>
          <w:lang w:val="en-US" w:eastAsia="zh-CN"/>
        </w:rPr>
        <w:t>新源县肖尔布拉克街海悦酒店斜对面007巷10号（二楼）</w:t>
      </w:r>
    </w:p>
    <w:p>
      <w:pPr>
        <w:pStyle w:val="8"/>
        <w:keepNext w:val="0"/>
        <w:keepLines w:val="0"/>
        <w:pageBreakBefore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rPr>
        <w:t>方式：</w:t>
      </w:r>
      <w:r>
        <w:rPr>
          <w:rFonts w:hint="eastAsia" w:ascii="仿宋" w:hAnsi="仿宋" w:eastAsia="仿宋" w:cs="宋体"/>
          <w:sz w:val="28"/>
          <w:szCs w:val="28"/>
          <w:highlight w:val="none"/>
          <w:lang w:eastAsia="zh-CN"/>
        </w:rPr>
        <w:t>来人获取或</w:t>
      </w:r>
      <w:r>
        <w:rPr>
          <w:rFonts w:hint="eastAsia" w:ascii="仿宋" w:hAnsi="仿宋" w:eastAsia="仿宋" w:cs="宋体"/>
          <w:sz w:val="28"/>
          <w:szCs w:val="28"/>
          <w:highlight w:val="none"/>
        </w:rPr>
        <w:t>电子邮箱获取（采用电子邮箱获取，所需提供证件及资料的扫描件发至邮箱</w:t>
      </w:r>
      <w:r>
        <w:rPr>
          <w:rFonts w:hint="eastAsia" w:ascii="仿宋" w:hAnsi="仿宋" w:eastAsia="仿宋" w:cs="宋体"/>
          <w:sz w:val="28"/>
          <w:szCs w:val="28"/>
          <w:highlight w:val="none"/>
          <w:lang w:val="en-US" w:eastAsia="zh-CN"/>
        </w:rPr>
        <w:t>1934251035</w:t>
      </w:r>
      <w:r>
        <w:rPr>
          <w:rFonts w:hint="eastAsia" w:ascii="仿宋" w:hAnsi="仿宋" w:eastAsia="仿宋" w:cs="宋体"/>
          <w:sz w:val="28"/>
          <w:szCs w:val="28"/>
          <w:highlight w:val="none"/>
        </w:rPr>
        <w:t>@qq.com①资料为加盖公章的PDF格式，否则不予认可；邮件标题格式为“xx公司xx项目”；②联系代理机构确认资料是否合格；③代理机构对供应商信息进行登记后，以电子邮件的形式向供应商发送</w:t>
      </w:r>
      <w:r>
        <w:rPr>
          <w:rFonts w:hint="eastAsia" w:ascii="仿宋" w:hAnsi="仿宋" w:eastAsia="仿宋" w:cs="宋体"/>
          <w:sz w:val="28"/>
          <w:szCs w:val="28"/>
          <w:highlight w:val="none"/>
          <w:lang w:eastAsia="zh-CN"/>
        </w:rPr>
        <w:t>招标</w:t>
      </w:r>
      <w:r>
        <w:rPr>
          <w:rFonts w:hint="eastAsia" w:ascii="仿宋" w:hAnsi="仿宋" w:eastAsia="仿宋" w:cs="宋体"/>
          <w:sz w:val="28"/>
          <w:szCs w:val="28"/>
          <w:highlight w:val="none"/>
        </w:rPr>
        <w:t>文件）</w:t>
      </w:r>
      <w:r>
        <w:rPr>
          <w:rFonts w:hint="eastAsia" w:ascii="仿宋" w:hAnsi="仿宋" w:eastAsia="仿宋" w:cs="宋体"/>
          <w:sz w:val="28"/>
          <w:szCs w:val="28"/>
          <w:highlight w:val="none"/>
          <w:lang w:eastAsia="zh-CN"/>
        </w:rPr>
        <w:t>。</w:t>
      </w:r>
    </w:p>
    <w:p>
      <w:pPr>
        <w:pStyle w:val="18"/>
        <w:keepNext w:val="0"/>
        <w:keepLines w:val="0"/>
        <w:pageBreakBefore w:val="0"/>
        <w:numPr>
          <w:ilvl w:val="0"/>
          <w:numId w:val="0"/>
        </w:numPr>
        <w:tabs>
          <w:tab w:val="left" w:pos="1488"/>
        </w:tabs>
        <w:kinsoku/>
        <w:wordWrap/>
        <w:overflowPunct/>
        <w:topLinePunct w:val="0"/>
        <w:autoSpaceDE/>
        <w:autoSpaceDN/>
        <w:bidi w:val="0"/>
        <w:adjustRightInd/>
        <w:snapToGrid/>
        <w:spacing w:line="480" w:lineRule="exact"/>
        <w:ind w:right="0" w:rightChars="0" w:firstLine="560" w:firstLineChars="200"/>
        <w:jc w:val="both"/>
        <w:textAlignment w:val="auto"/>
        <w:rPr>
          <w:rFonts w:hint="default" w:ascii="仿宋" w:hAnsi="仿宋" w:eastAsia="仿宋" w:cs="宋体"/>
          <w:kern w:val="2"/>
          <w:sz w:val="28"/>
          <w:szCs w:val="28"/>
          <w:highlight w:val="none"/>
          <w:lang w:val="en-US" w:eastAsia="zh-CN" w:bidi="ar-SA"/>
        </w:rPr>
      </w:pPr>
      <w:r>
        <w:rPr>
          <w:rFonts w:hint="eastAsia" w:ascii="仿宋" w:hAnsi="仿宋" w:eastAsia="仿宋" w:cs="宋体"/>
          <w:kern w:val="2"/>
          <w:sz w:val="28"/>
          <w:szCs w:val="28"/>
          <w:highlight w:val="none"/>
          <w:lang w:val="en-US" w:eastAsia="zh-CN" w:bidi="ar-SA"/>
        </w:rPr>
        <w:t>售价：200元</w:t>
      </w:r>
    </w:p>
    <w:p>
      <w:pPr>
        <w:pStyle w:val="4"/>
        <w:spacing w:line="360" w:lineRule="auto"/>
        <w:rPr>
          <w:rFonts w:ascii="黑体" w:hAnsi="黑体" w:cs="宋体"/>
          <w:b w:val="0"/>
          <w:sz w:val="28"/>
          <w:szCs w:val="28"/>
          <w:highlight w:val="none"/>
        </w:rPr>
      </w:pPr>
      <w:bookmarkStart w:id="15" w:name="_Toc28359005"/>
      <w:bookmarkStart w:id="16" w:name="_Toc28359082"/>
      <w:bookmarkStart w:id="17" w:name="_Toc35393793"/>
      <w:bookmarkStart w:id="18" w:name="_Toc35393624"/>
      <w:r>
        <w:rPr>
          <w:rFonts w:hint="eastAsia" w:ascii="黑体" w:hAnsi="黑体" w:cs="宋体"/>
          <w:b w:val="0"/>
          <w:sz w:val="28"/>
          <w:szCs w:val="28"/>
          <w:highlight w:val="none"/>
        </w:rPr>
        <w:t>四、提交投标文件</w:t>
      </w:r>
      <w:bookmarkEnd w:id="15"/>
      <w:bookmarkEnd w:id="16"/>
      <w:r>
        <w:rPr>
          <w:rFonts w:hint="eastAsia" w:ascii="黑体" w:hAnsi="黑体" w:cs="宋体"/>
          <w:b w:val="0"/>
          <w:sz w:val="28"/>
          <w:szCs w:val="28"/>
          <w:highlight w:val="none"/>
        </w:rPr>
        <w:t>截止时间、开标时间和地点</w:t>
      </w:r>
      <w:bookmarkEnd w:id="17"/>
      <w:bookmarkEnd w:id="18"/>
    </w:p>
    <w:p>
      <w:pPr>
        <w:ind w:firstLine="560" w:firstLineChars="200"/>
        <w:rPr>
          <w:rFonts w:hint="eastAsia" w:ascii="仿宋" w:hAnsi="仿宋" w:eastAsia="仿宋" w:cs="宋体"/>
          <w:kern w:val="2"/>
          <w:sz w:val="28"/>
          <w:szCs w:val="28"/>
          <w:highlight w:val="none"/>
          <w:lang w:val="en-US" w:eastAsia="zh-CN" w:bidi="ar-SA"/>
        </w:rPr>
      </w:pPr>
      <w:r>
        <w:rPr>
          <w:rFonts w:hint="eastAsia" w:ascii="仿宋" w:hAnsi="仿宋" w:eastAsia="仿宋" w:cs="宋体"/>
          <w:kern w:val="2"/>
          <w:sz w:val="28"/>
          <w:szCs w:val="28"/>
          <w:highlight w:val="none"/>
          <w:u w:val="single"/>
          <w:lang w:val="en-US" w:eastAsia="zh-CN" w:bidi="ar-SA"/>
        </w:rPr>
        <w:t>2023年01月18日10点30分（北京时间</w:t>
      </w:r>
      <w:r>
        <w:rPr>
          <w:rFonts w:hint="eastAsia" w:ascii="仿宋" w:hAnsi="仿宋" w:eastAsia="仿宋" w:cs="宋体"/>
          <w:kern w:val="2"/>
          <w:sz w:val="28"/>
          <w:szCs w:val="28"/>
          <w:highlight w:val="none"/>
          <w:lang w:val="en-US" w:eastAsia="zh-CN" w:bidi="ar-SA"/>
        </w:rPr>
        <w:t>）</w:t>
      </w:r>
    </w:p>
    <w:p>
      <w:pPr>
        <w:spacing w:line="360" w:lineRule="auto"/>
        <w:ind w:firstLine="540"/>
        <w:rPr>
          <w:rFonts w:ascii="仿宋" w:hAnsi="仿宋" w:eastAsia="仿宋"/>
          <w:bCs/>
          <w:sz w:val="28"/>
          <w:szCs w:val="28"/>
          <w:highlight w:val="red"/>
          <w:u w:val="single"/>
        </w:rPr>
      </w:pPr>
      <w:r>
        <w:rPr>
          <w:rFonts w:hint="eastAsia" w:ascii="仿宋" w:hAnsi="仿宋" w:eastAsia="仿宋"/>
          <w:sz w:val="28"/>
          <w:szCs w:val="28"/>
          <w:highlight w:val="none"/>
        </w:rPr>
        <w:t>地点：</w:t>
      </w:r>
      <w:r>
        <w:rPr>
          <w:rFonts w:hint="eastAsia" w:ascii="仿宋" w:hAnsi="仿宋" w:eastAsia="仿宋" w:cs="宋体"/>
          <w:sz w:val="28"/>
          <w:szCs w:val="28"/>
          <w:highlight w:val="none"/>
          <w:u w:val="none"/>
          <w:lang w:eastAsia="zh-CN"/>
        </w:rPr>
        <w:t>新源县肖尔布拉克街海悦酒店斜对面007巷10号（二楼）</w:t>
      </w:r>
    </w:p>
    <w:p>
      <w:pPr>
        <w:pStyle w:val="4"/>
        <w:spacing w:line="360" w:lineRule="auto"/>
        <w:rPr>
          <w:rFonts w:ascii="黑体" w:hAnsi="黑体" w:cs="宋体"/>
          <w:b w:val="0"/>
          <w:sz w:val="28"/>
          <w:szCs w:val="28"/>
          <w:highlight w:val="none"/>
        </w:rPr>
      </w:pPr>
      <w:bookmarkStart w:id="19" w:name="_Toc28359084"/>
      <w:bookmarkStart w:id="20" w:name="_Toc35393625"/>
      <w:bookmarkStart w:id="21" w:name="_Toc35393794"/>
      <w:bookmarkStart w:id="22" w:name="_Toc28359007"/>
      <w:r>
        <w:rPr>
          <w:rFonts w:hint="eastAsia" w:ascii="黑体" w:hAnsi="黑体" w:cs="宋体"/>
          <w:b w:val="0"/>
          <w:sz w:val="28"/>
          <w:szCs w:val="28"/>
          <w:highlight w:val="none"/>
        </w:rPr>
        <w:t>五、公告期限</w:t>
      </w:r>
      <w:bookmarkEnd w:id="19"/>
      <w:bookmarkEnd w:id="20"/>
      <w:bookmarkEnd w:id="21"/>
      <w:bookmarkEnd w:id="22"/>
    </w:p>
    <w:p>
      <w:pPr>
        <w:ind w:firstLine="560" w:firstLineChars="200"/>
        <w:rPr>
          <w:rFonts w:ascii="仿宋" w:hAnsi="仿宋" w:eastAsia="仿宋" w:cs="宋体"/>
          <w:kern w:val="0"/>
          <w:sz w:val="24"/>
          <w:szCs w:val="24"/>
          <w:highlight w:val="none"/>
        </w:rPr>
      </w:pPr>
      <w:r>
        <w:rPr>
          <w:rFonts w:hint="eastAsia" w:ascii="仿宋" w:hAnsi="仿宋" w:eastAsia="仿宋" w:cs="宋体"/>
          <w:kern w:val="0"/>
          <w:sz w:val="28"/>
          <w:szCs w:val="28"/>
          <w:highlight w:val="none"/>
        </w:rPr>
        <w:t>自本公告发布之日起5个工作日。</w:t>
      </w:r>
    </w:p>
    <w:p>
      <w:pPr>
        <w:pStyle w:val="4"/>
        <w:spacing w:line="360" w:lineRule="auto"/>
        <w:rPr>
          <w:rFonts w:ascii="黑体" w:hAnsi="黑体" w:cs="宋体"/>
          <w:b w:val="0"/>
          <w:sz w:val="28"/>
          <w:szCs w:val="28"/>
          <w:highlight w:val="none"/>
        </w:rPr>
      </w:pPr>
      <w:bookmarkStart w:id="23" w:name="_Toc35393626"/>
      <w:bookmarkStart w:id="24" w:name="_Toc35393795"/>
      <w:r>
        <w:rPr>
          <w:rFonts w:hint="eastAsia" w:ascii="黑体" w:hAnsi="黑体" w:cs="宋体"/>
          <w:b w:val="0"/>
          <w:sz w:val="28"/>
          <w:szCs w:val="28"/>
          <w:highlight w:val="none"/>
        </w:rPr>
        <w:t>六、其他补充事宜</w:t>
      </w:r>
      <w:bookmarkEnd w:id="23"/>
      <w:bookmarkEnd w:id="24"/>
    </w:p>
    <w:p>
      <w:pPr>
        <w:pStyle w:val="7"/>
        <w:keepNext w:val="0"/>
        <w:keepLines w:val="0"/>
        <w:pageBreakBefore w:val="0"/>
        <w:widowControl w:val="0"/>
        <w:kinsoku/>
        <w:wordWrap/>
        <w:overflowPunct/>
        <w:topLinePunct w:val="0"/>
        <w:autoSpaceDE w:val="0"/>
        <w:autoSpaceDN w:val="0"/>
        <w:bidi w:val="0"/>
        <w:adjustRightInd/>
        <w:snapToGrid/>
        <w:spacing w:line="440" w:lineRule="exact"/>
        <w:ind w:firstLine="420"/>
        <w:textAlignment w:val="auto"/>
        <w:rPr>
          <w:rFonts w:hint="eastAsia" w:ascii="仿宋" w:hAnsi="仿宋" w:eastAsia="仿宋" w:cs="宋体"/>
          <w:kern w:val="2"/>
          <w:sz w:val="28"/>
          <w:szCs w:val="28"/>
          <w:highlight w:val="none"/>
          <w:u w:val="none"/>
          <w:lang w:val="en-US" w:eastAsia="zh-CN" w:bidi="ar-SA"/>
        </w:rPr>
      </w:pPr>
      <w:bookmarkStart w:id="25" w:name="_Toc35393796"/>
      <w:bookmarkStart w:id="26" w:name="_Toc28359085"/>
      <w:bookmarkStart w:id="27" w:name="_Toc28359008"/>
      <w:bookmarkStart w:id="28" w:name="_Toc35393627"/>
      <w:r>
        <w:rPr>
          <w:rFonts w:hint="eastAsia" w:ascii="仿宋" w:hAnsi="仿宋" w:eastAsia="仿宋" w:cs="宋体"/>
          <w:kern w:val="2"/>
          <w:sz w:val="28"/>
          <w:szCs w:val="28"/>
          <w:highlight w:val="none"/>
          <w:u w:val="none"/>
          <w:lang w:val="en-US" w:eastAsia="zh-CN" w:bidi="ar-SA"/>
        </w:rPr>
        <w:t>购买招标文件时，提供以下证明文件（复印件及打印件均需加盖投标人公章）：</w:t>
      </w:r>
    </w:p>
    <w:p>
      <w:pPr>
        <w:pStyle w:val="7"/>
        <w:keepNext w:val="0"/>
        <w:keepLines w:val="0"/>
        <w:pageBreakBefore w:val="0"/>
        <w:widowControl w:val="0"/>
        <w:kinsoku/>
        <w:wordWrap/>
        <w:overflowPunct/>
        <w:topLinePunct w:val="0"/>
        <w:autoSpaceDE w:val="0"/>
        <w:autoSpaceDN w:val="0"/>
        <w:bidi w:val="0"/>
        <w:adjustRightInd/>
        <w:snapToGrid/>
        <w:spacing w:line="440" w:lineRule="exact"/>
        <w:ind w:firstLine="420"/>
        <w:textAlignment w:val="auto"/>
        <w:rPr>
          <w:rFonts w:hint="eastAsia" w:ascii="仿宋" w:hAnsi="仿宋" w:eastAsia="仿宋" w:cs="宋体"/>
          <w:kern w:val="2"/>
          <w:sz w:val="28"/>
          <w:szCs w:val="28"/>
          <w:highlight w:val="none"/>
          <w:u w:val="none"/>
          <w:lang w:val="en-US" w:eastAsia="zh-CN" w:bidi="ar-SA"/>
        </w:rPr>
      </w:pPr>
      <w:r>
        <w:rPr>
          <w:rFonts w:hint="eastAsia" w:ascii="仿宋" w:hAnsi="仿宋" w:eastAsia="仿宋" w:cs="宋体"/>
          <w:kern w:val="2"/>
          <w:sz w:val="28"/>
          <w:szCs w:val="28"/>
          <w:highlight w:val="none"/>
          <w:u w:val="none"/>
          <w:lang w:val="en-US" w:eastAsia="zh-CN" w:bidi="ar-SA"/>
        </w:rPr>
        <w:t>（一）法定代表人/负责人资格证明书原件及其有效身份证复印件、法定代表人/负责人授权委托书原件及其有效身份证复印件（法定代表人/负责人参加则无需提供授权委托书）；</w:t>
      </w:r>
    </w:p>
    <w:p>
      <w:pPr>
        <w:pStyle w:val="7"/>
        <w:keepNext w:val="0"/>
        <w:keepLines w:val="0"/>
        <w:pageBreakBefore w:val="0"/>
        <w:widowControl w:val="0"/>
        <w:kinsoku/>
        <w:wordWrap/>
        <w:overflowPunct/>
        <w:topLinePunct w:val="0"/>
        <w:autoSpaceDE w:val="0"/>
        <w:autoSpaceDN w:val="0"/>
        <w:bidi w:val="0"/>
        <w:adjustRightInd/>
        <w:snapToGrid/>
        <w:spacing w:line="440" w:lineRule="exact"/>
        <w:ind w:firstLine="420"/>
        <w:textAlignment w:val="auto"/>
        <w:rPr>
          <w:rFonts w:hint="eastAsia" w:ascii="仿宋" w:hAnsi="仿宋" w:eastAsia="仿宋" w:cs="宋体"/>
          <w:kern w:val="2"/>
          <w:sz w:val="28"/>
          <w:szCs w:val="28"/>
          <w:highlight w:val="none"/>
          <w:u w:val="none"/>
          <w:lang w:val="en-US" w:eastAsia="zh-CN" w:bidi="ar-SA"/>
        </w:rPr>
      </w:pPr>
      <w:r>
        <w:rPr>
          <w:rFonts w:hint="eastAsia" w:ascii="仿宋" w:hAnsi="仿宋" w:eastAsia="仿宋" w:cs="宋体"/>
          <w:kern w:val="2"/>
          <w:sz w:val="28"/>
          <w:szCs w:val="28"/>
          <w:highlight w:val="none"/>
          <w:u w:val="none"/>
          <w:lang w:val="en-US" w:eastAsia="zh-CN" w:bidi="ar-SA"/>
        </w:rPr>
        <w:t>（二）投标人必须是在新源县设有银行分行机构，拥有独立开展业务的资格，正常运营一年以上，并承担相应的法律责任的国有或国有控股银行、股份制商业银行、农业银行、农村商业银行、邮政储蓄银行及政策性银行；证明材料（提供营业执照副本原件核对）；</w:t>
      </w:r>
    </w:p>
    <w:p>
      <w:pPr>
        <w:pStyle w:val="7"/>
        <w:keepNext w:val="0"/>
        <w:keepLines w:val="0"/>
        <w:pageBreakBefore w:val="0"/>
        <w:widowControl w:val="0"/>
        <w:kinsoku/>
        <w:wordWrap/>
        <w:overflowPunct/>
        <w:topLinePunct w:val="0"/>
        <w:autoSpaceDE w:val="0"/>
        <w:autoSpaceDN w:val="0"/>
        <w:bidi w:val="0"/>
        <w:adjustRightInd/>
        <w:snapToGrid/>
        <w:spacing w:line="440" w:lineRule="exact"/>
        <w:ind w:firstLine="420"/>
        <w:textAlignment w:val="auto"/>
        <w:rPr>
          <w:rFonts w:hint="eastAsia" w:ascii="仿宋" w:hAnsi="仿宋" w:eastAsia="仿宋" w:cs="宋体"/>
          <w:kern w:val="2"/>
          <w:sz w:val="28"/>
          <w:szCs w:val="28"/>
          <w:highlight w:val="none"/>
          <w:u w:val="none"/>
          <w:lang w:val="en-US" w:eastAsia="zh-CN" w:bidi="ar-SA"/>
        </w:rPr>
      </w:pPr>
      <w:r>
        <w:rPr>
          <w:rFonts w:hint="eastAsia" w:ascii="仿宋" w:hAnsi="仿宋" w:eastAsia="仿宋" w:cs="宋体"/>
          <w:kern w:val="2"/>
          <w:sz w:val="28"/>
          <w:szCs w:val="28"/>
          <w:highlight w:val="none"/>
          <w:u w:val="none"/>
          <w:lang w:val="en-US" w:eastAsia="zh-CN" w:bidi="ar-SA"/>
        </w:rPr>
        <w:t>（三）中国银行业监督管理委员会或其授权机构核发的《中华人民共和国金融许可证》（提供原件核对）；</w:t>
      </w:r>
    </w:p>
    <w:p>
      <w:pPr>
        <w:pStyle w:val="7"/>
        <w:keepNext w:val="0"/>
        <w:keepLines w:val="0"/>
        <w:pageBreakBefore w:val="0"/>
        <w:widowControl w:val="0"/>
        <w:kinsoku/>
        <w:wordWrap/>
        <w:overflowPunct/>
        <w:topLinePunct w:val="0"/>
        <w:autoSpaceDE w:val="0"/>
        <w:autoSpaceDN w:val="0"/>
        <w:bidi w:val="0"/>
        <w:adjustRightInd/>
        <w:snapToGrid/>
        <w:spacing w:line="440" w:lineRule="exact"/>
        <w:ind w:firstLine="420"/>
        <w:textAlignment w:val="auto"/>
        <w:rPr>
          <w:rFonts w:hint="eastAsia" w:ascii="仿宋" w:hAnsi="仿宋" w:eastAsia="仿宋" w:cs="宋体"/>
          <w:kern w:val="2"/>
          <w:sz w:val="28"/>
          <w:szCs w:val="28"/>
          <w:highlight w:val="none"/>
          <w:u w:val="none"/>
          <w:lang w:val="en-US" w:eastAsia="zh-CN" w:bidi="ar-SA"/>
        </w:rPr>
      </w:pPr>
      <w:r>
        <w:rPr>
          <w:rFonts w:hint="eastAsia" w:ascii="仿宋" w:hAnsi="仿宋" w:eastAsia="仿宋" w:cs="宋体"/>
          <w:kern w:val="2"/>
          <w:sz w:val="28"/>
          <w:szCs w:val="28"/>
          <w:highlight w:val="none"/>
          <w:u w:val="none"/>
          <w:lang w:val="en-US" w:eastAsia="zh-CN" w:bidi="ar-SA"/>
        </w:rPr>
        <w:t>（四）投标人应提交上级行及其法定代表人（或负责人）签署的授权书。</w:t>
      </w:r>
    </w:p>
    <w:p>
      <w:pPr>
        <w:pStyle w:val="7"/>
        <w:keepNext w:val="0"/>
        <w:keepLines w:val="0"/>
        <w:pageBreakBefore w:val="0"/>
        <w:widowControl w:val="0"/>
        <w:kinsoku/>
        <w:wordWrap/>
        <w:overflowPunct/>
        <w:topLinePunct w:val="0"/>
        <w:autoSpaceDE w:val="0"/>
        <w:autoSpaceDN w:val="0"/>
        <w:bidi w:val="0"/>
        <w:adjustRightInd/>
        <w:snapToGrid/>
        <w:spacing w:line="440" w:lineRule="exact"/>
        <w:ind w:firstLine="420"/>
        <w:textAlignment w:val="auto"/>
        <w:rPr>
          <w:rFonts w:hint="eastAsia" w:ascii="仿宋" w:hAnsi="仿宋" w:eastAsia="仿宋" w:cs="宋体"/>
          <w:kern w:val="2"/>
          <w:sz w:val="28"/>
          <w:szCs w:val="28"/>
          <w:highlight w:val="none"/>
          <w:u w:val="none"/>
          <w:lang w:val="en-US" w:eastAsia="zh-CN" w:bidi="ar-SA"/>
        </w:rPr>
      </w:pPr>
      <w:r>
        <w:rPr>
          <w:rFonts w:hint="eastAsia" w:ascii="仿宋" w:hAnsi="仿宋" w:eastAsia="仿宋" w:cs="宋体"/>
          <w:kern w:val="2"/>
          <w:sz w:val="28"/>
          <w:szCs w:val="28"/>
          <w:highlight w:val="none"/>
          <w:u w:val="none"/>
          <w:lang w:val="en-US" w:eastAsia="zh-CN" w:bidi="ar-SA"/>
        </w:rPr>
        <w:t>（五）在“信用中国”网站（creditchina.gov.cn）、中国政府采购网（ ccgp.gov.cn）没有被列入失信被执行人、重大税收违法案件当事人名单、政府采购严重违法失信行为记录名单及其他不符合规定条件的投标人（请提供两个网站的信用记录查询结果页面打印件（查询时间必须在公告期内）,若查询结果为“没查到您要的信息” 视为符合规定条件的投标人）；如有被列入失信被执行人、重大税收违法案件当事人名单、政府采购严重违法失信行为记录名单及其他不符合《中华人民共和国政府采购法》第二十二条件的投标供应商，不应参与本次采购活动，否则在查核后将被拒绝）。</w:t>
      </w:r>
    </w:p>
    <w:p>
      <w:pPr>
        <w:keepNext w:val="0"/>
        <w:keepLines w:val="0"/>
        <w:pageBreakBefore w:val="0"/>
        <w:kinsoku/>
        <w:overflowPunct/>
        <w:topLinePunct w:val="0"/>
        <w:autoSpaceDE/>
        <w:autoSpaceDN/>
        <w:bidi w:val="0"/>
        <w:adjustRightInd/>
        <w:snapToGrid/>
        <w:spacing w:line="440" w:lineRule="exact"/>
        <w:ind w:firstLine="548" w:firstLineChars="196"/>
        <w:jc w:val="both"/>
        <w:rPr>
          <w:rFonts w:hint="eastAsia" w:ascii="仿宋" w:hAnsi="仿宋" w:eastAsia="仿宋" w:cs="宋体"/>
          <w:kern w:val="2"/>
          <w:sz w:val="28"/>
          <w:szCs w:val="28"/>
          <w:highlight w:val="none"/>
          <w:u w:val="none"/>
          <w:lang w:val="en-US" w:eastAsia="zh-CN" w:bidi="ar-SA"/>
        </w:rPr>
      </w:pPr>
      <w:r>
        <w:rPr>
          <w:rFonts w:hint="eastAsia" w:ascii="仿宋" w:hAnsi="仿宋" w:eastAsia="仿宋" w:cs="宋体"/>
          <w:kern w:val="2"/>
          <w:sz w:val="28"/>
          <w:szCs w:val="28"/>
          <w:highlight w:val="none"/>
          <w:u w:val="none"/>
          <w:lang w:val="en-US" w:eastAsia="zh-CN" w:bidi="ar-SA"/>
        </w:rPr>
        <w:t>备注：1.以上全部投标证明资料用 A4 纸编制且证明资料一式三份复印件须加盖公章。获取招标文件时以上资料可携带原件或有二维码可供查询的电子证照查验，所有证件均需在有效期内，不接受公证件，缺一不可，且均在有效期内。</w:t>
      </w:r>
    </w:p>
    <w:p>
      <w:pPr>
        <w:pStyle w:val="7"/>
        <w:keepNext w:val="0"/>
        <w:keepLines w:val="0"/>
        <w:pageBreakBefore w:val="0"/>
        <w:widowControl w:val="0"/>
        <w:kinsoku/>
        <w:wordWrap/>
        <w:overflowPunct/>
        <w:topLinePunct w:val="0"/>
        <w:autoSpaceDE w:val="0"/>
        <w:autoSpaceDN w:val="0"/>
        <w:bidi w:val="0"/>
        <w:adjustRightInd/>
        <w:snapToGrid/>
        <w:spacing w:line="440" w:lineRule="exact"/>
        <w:ind w:left="0" w:leftChars="0" w:firstLine="0" w:firstLineChars="0"/>
        <w:textAlignment w:val="auto"/>
        <w:rPr>
          <w:rFonts w:hint="eastAsia" w:ascii="仿宋" w:hAnsi="仿宋" w:eastAsia="仿宋" w:cs="宋体"/>
          <w:kern w:val="2"/>
          <w:sz w:val="28"/>
          <w:szCs w:val="28"/>
          <w:highlight w:val="none"/>
          <w:u w:val="none"/>
          <w:lang w:val="en-US" w:eastAsia="zh-CN" w:bidi="ar-SA"/>
        </w:rPr>
      </w:pPr>
      <w:r>
        <w:rPr>
          <w:rFonts w:hint="eastAsia" w:ascii="仿宋" w:hAnsi="仿宋" w:eastAsia="仿宋" w:cs="宋体"/>
          <w:kern w:val="2"/>
          <w:sz w:val="28"/>
          <w:szCs w:val="28"/>
          <w:highlight w:val="none"/>
          <w:u w:val="none"/>
          <w:lang w:val="en-US" w:eastAsia="zh-CN" w:bidi="ar-SA"/>
        </w:rPr>
        <w:t>2.采购代理机构对投标人提交的证明资料核对，不代表其投标资格的确认，投标人的投标资格最终以资格审查小组根据其投标文件中提交的相关资料作出的评审结论为准。</w:t>
      </w:r>
    </w:p>
    <w:p>
      <w:pPr>
        <w:pStyle w:val="4"/>
        <w:spacing w:line="360" w:lineRule="auto"/>
        <w:rPr>
          <w:rFonts w:ascii="黑体" w:hAnsi="黑体" w:cs="宋体"/>
          <w:b w:val="0"/>
          <w:sz w:val="28"/>
          <w:szCs w:val="28"/>
          <w:highlight w:val="none"/>
        </w:rPr>
      </w:pPr>
      <w:r>
        <w:rPr>
          <w:rFonts w:hint="eastAsia" w:ascii="黑体" w:hAnsi="黑体" w:cs="宋体"/>
          <w:b w:val="0"/>
          <w:sz w:val="28"/>
          <w:szCs w:val="28"/>
          <w:highlight w:val="none"/>
        </w:rPr>
        <w:t>七、对本次招标提出询问，请按</w:t>
      </w:r>
      <w:r>
        <w:rPr>
          <w:rFonts w:ascii="黑体" w:hAnsi="黑体" w:cs="宋体"/>
          <w:b w:val="0"/>
          <w:sz w:val="28"/>
          <w:szCs w:val="28"/>
          <w:highlight w:val="none"/>
        </w:rPr>
        <w:t>以下方式</w:t>
      </w:r>
      <w:r>
        <w:rPr>
          <w:rFonts w:hint="eastAsia" w:ascii="黑体" w:hAnsi="黑体" w:cs="宋体"/>
          <w:b w:val="0"/>
          <w:sz w:val="28"/>
          <w:szCs w:val="28"/>
          <w:highlight w:val="none"/>
        </w:rPr>
        <w:t>联系。</w:t>
      </w:r>
      <w:bookmarkEnd w:id="25"/>
      <w:bookmarkEnd w:id="26"/>
      <w:bookmarkEnd w:id="27"/>
      <w:bookmarkEnd w:id="28"/>
    </w:p>
    <w:p>
      <w:pPr>
        <w:pStyle w:val="4"/>
        <w:pageBreakBefore w:val="0"/>
        <w:widowControl w:val="0"/>
        <w:kinsoku/>
        <w:wordWrap/>
        <w:overflowPunct/>
        <w:topLinePunct w:val="0"/>
        <w:autoSpaceDE/>
        <w:autoSpaceDN/>
        <w:bidi w:val="0"/>
        <w:adjustRightInd/>
        <w:snapToGrid/>
        <w:spacing w:line="540" w:lineRule="exact"/>
        <w:ind w:firstLine="840" w:firstLineChars="300"/>
        <w:textAlignment w:val="auto"/>
        <w:rPr>
          <w:rFonts w:ascii="仿宋" w:hAnsi="仿宋" w:eastAsia="仿宋" w:cs="宋体"/>
          <w:b w:val="0"/>
          <w:sz w:val="28"/>
          <w:szCs w:val="28"/>
          <w:highlight w:val="none"/>
        </w:rPr>
      </w:pPr>
      <w:bookmarkStart w:id="29" w:name="_Toc35393637"/>
      <w:bookmarkStart w:id="30" w:name="_Toc35393806"/>
      <w:bookmarkStart w:id="31" w:name="_Toc28359096"/>
      <w:bookmarkStart w:id="32" w:name="_Toc28359019"/>
      <w:r>
        <w:rPr>
          <w:rFonts w:hint="eastAsia" w:ascii="仿宋" w:hAnsi="仿宋" w:eastAsia="仿宋" w:cs="宋体"/>
          <w:b w:val="0"/>
          <w:sz w:val="28"/>
          <w:szCs w:val="28"/>
          <w:highlight w:val="none"/>
        </w:rPr>
        <w:t>1.采购人信息</w:t>
      </w:r>
      <w:bookmarkEnd w:id="29"/>
      <w:bookmarkEnd w:id="30"/>
      <w:bookmarkEnd w:id="31"/>
      <w:bookmarkEnd w:id="32"/>
    </w:p>
    <w:p>
      <w:pPr>
        <w:pageBreakBefore w:val="0"/>
        <w:widowControl w:val="0"/>
        <w:kinsoku/>
        <w:wordWrap/>
        <w:overflowPunct/>
        <w:topLinePunct w:val="0"/>
        <w:autoSpaceDE/>
        <w:autoSpaceDN/>
        <w:bidi w:val="0"/>
        <w:adjustRightInd/>
        <w:snapToGrid/>
        <w:spacing w:line="540" w:lineRule="exact"/>
        <w:ind w:left="1129" w:leftChars="371" w:hanging="350" w:hangingChars="125"/>
        <w:jc w:val="left"/>
        <w:textAlignment w:val="auto"/>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rPr>
        <w:t>名称：</w:t>
      </w:r>
      <w:r>
        <w:rPr>
          <w:rFonts w:hint="eastAsia" w:ascii="仿宋" w:hAnsi="仿宋" w:eastAsia="仿宋" w:cs="Times New Roman"/>
          <w:sz w:val="28"/>
          <w:szCs w:val="28"/>
          <w:highlight w:val="none"/>
          <w:u w:val="single"/>
          <w:lang w:eastAsia="zh-CN"/>
        </w:rPr>
        <w:t>新源县财政局</w:t>
      </w:r>
    </w:p>
    <w:p>
      <w:pPr>
        <w:pageBreakBefore w:val="0"/>
        <w:widowControl w:val="0"/>
        <w:kinsoku/>
        <w:wordWrap/>
        <w:overflowPunct/>
        <w:topLinePunct w:val="0"/>
        <w:autoSpaceDE/>
        <w:autoSpaceDN/>
        <w:bidi w:val="0"/>
        <w:adjustRightInd/>
        <w:snapToGrid/>
        <w:spacing w:line="540" w:lineRule="exact"/>
        <w:ind w:left="1129" w:leftChars="371" w:hanging="350" w:hangingChars="125"/>
        <w:jc w:val="left"/>
        <w:textAlignment w:val="auto"/>
        <w:rPr>
          <w:rFonts w:hint="eastAsia" w:ascii="仿宋" w:hAnsi="仿宋" w:eastAsia="仿宋"/>
          <w:sz w:val="28"/>
          <w:szCs w:val="28"/>
          <w:highlight w:val="none"/>
          <w:u w:val="single"/>
          <w:lang w:eastAsia="zh-CN"/>
        </w:rPr>
      </w:pPr>
      <w:r>
        <w:rPr>
          <w:rFonts w:hint="eastAsia" w:ascii="仿宋" w:hAnsi="仿宋" w:eastAsia="仿宋"/>
          <w:sz w:val="28"/>
          <w:szCs w:val="28"/>
          <w:highlight w:val="none"/>
        </w:rPr>
        <w:t>地址：</w:t>
      </w:r>
      <w:r>
        <w:rPr>
          <w:rFonts w:hint="eastAsia" w:ascii="仿宋" w:hAnsi="仿宋" w:eastAsia="仿宋"/>
          <w:sz w:val="28"/>
          <w:szCs w:val="28"/>
          <w:highlight w:val="none"/>
          <w:u w:val="single"/>
          <w:lang w:eastAsia="zh-CN"/>
        </w:rPr>
        <w:t>新源县</w:t>
      </w:r>
    </w:p>
    <w:p>
      <w:pPr>
        <w:pStyle w:val="7"/>
        <w:ind w:firstLine="840" w:firstLineChars="300"/>
        <w:rPr>
          <w:rFonts w:hint="default" w:ascii="仿宋" w:hAnsi="仿宋" w:eastAsia="仿宋" w:cs="Times New Roman"/>
          <w:kern w:val="2"/>
          <w:sz w:val="28"/>
          <w:szCs w:val="28"/>
          <w:highlight w:val="none"/>
          <w:u w:val="single"/>
          <w:lang w:val="en-US" w:eastAsia="zh-CN" w:bidi="ar-SA"/>
        </w:rPr>
      </w:pPr>
      <w:r>
        <w:rPr>
          <w:rFonts w:hint="eastAsia" w:ascii="仿宋" w:hAnsi="仿宋" w:eastAsia="仿宋" w:cs="Times New Roman"/>
          <w:kern w:val="2"/>
          <w:sz w:val="28"/>
          <w:szCs w:val="28"/>
          <w:highlight w:val="none"/>
          <w:lang w:val="en-US" w:eastAsia="zh-CN" w:bidi="ar-SA"/>
        </w:rPr>
        <w:t>联系人：</w:t>
      </w:r>
      <w:r>
        <w:rPr>
          <w:rFonts w:hint="eastAsia" w:ascii="仿宋" w:hAnsi="仿宋" w:eastAsia="仿宋" w:cs="Times New Roman"/>
          <w:kern w:val="2"/>
          <w:sz w:val="28"/>
          <w:szCs w:val="28"/>
          <w:highlight w:val="none"/>
          <w:u w:val="single"/>
          <w:lang w:val="en-US" w:eastAsia="zh-CN" w:bidi="ar-SA"/>
        </w:rPr>
        <w:t>李燕</w:t>
      </w:r>
    </w:p>
    <w:p>
      <w:pPr>
        <w:pageBreakBefore w:val="0"/>
        <w:widowControl w:val="0"/>
        <w:kinsoku/>
        <w:wordWrap/>
        <w:overflowPunct/>
        <w:topLinePunct w:val="0"/>
        <w:autoSpaceDE/>
        <w:autoSpaceDN/>
        <w:bidi w:val="0"/>
        <w:adjustRightInd/>
        <w:snapToGrid/>
        <w:spacing w:line="540" w:lineRule="exact"/>
        <w:ind w:left="1129" w:leftChars="371" w:hanging="350" w:hangingChars="125"/>
        <w:jc w:val="left"/>
        <w:textAlignment w:val="auto"/>
        <w:rPr>
          <w:rFonts w:hint="default" w:ascii="仿宋" w:hAnsi="仿宋" w:eastAsia="仿宋"/>
          <w:sz w:val="28"/>
          <w:szCs w:val="28"/>
          <w:highlight w:val="none"/>
          <w:lang w:val="en-US" w:eastAsia="zh-CN"/>
        </w:rPr>
      </w:pPr>
      <w:r>
        <w:rPr>
          <w:rFonts w:hint="eastAsia" w:ascii="仿宋" w:hAnsi="仿宋" w:eastAsia="仿宋"/>
          <w:sz w:val="28"/>
          <w:szCs w:val="28"/>
          <w:highlight w:val="none"/>
        </w:rPr>
        <w:t>联系方式：</w:t>
      </w:r>
      <w:r>
        <w:rPr>
          <w:rFonts w:hint="eastAsia" w:ascii="仿宋" w:hAnsi="仿宋" w:eastAsia="仿宋"/>
          <w:sz w:val="28"/>
          <w:szCs w:val="28"/>
          <w:highlight w:val="none"/>
          <w:u w:val="single"/>
          <w:lang w:val="en-US" w:eastAsia="zh-CN"/>
        </w:rPr>
        <w:t>15509991725</w:t>
      </w:r>
    </w:p>
    <w:p>
      <w:pPr>
        <w:pStyle w:val="4"/>
        <w:pageBreakBefore w:val="0"/>
        <w:widowControl w:val="0"/>
        <w:kinsoku/>
        <w:wordWrap/>
        <w:overflowPunct/>
        <w:topLinePunct w:val="0"/>
        <w:autoSpaceDE/>
        <w:autoSpaceDN/>
        <w:bidi w:val="0"/>
        <w:adjustRightInd/>
        <w:snapToGrid/>
        <w:spacing w:line="540" w:lineRule="exact"/>
        <w:ind w:firstLine="840" w:firstLineChars="300"/>
        <w:textAlignment w:val="auto"/>
        <w:rPr>
          <w:rFonts w:ascii="仿宋" w:hAnsi="仿宋" w:eastAsia="仿宋" w:cs="宋体"/>
          <w:b w:val="0"/>
          <w:sz w:val="28"/>
          <w:szCs w:val="28"/>
          <w:highlight w:val="none"/>
        </w:rPr>
      </w:pPr>
      <w:bookmarkStart w:id="33" w:name="_Toc35393807"/>
      <w:bookmarkStart w:id="34" w:name="_Toc28359020"/>
      <w:bookmarkStart w:id="35" w:name="_Toc28359097"/>
      <w:bookmarkStart w:id="36" w:name="_Toc35393638"/>
      <w:r>
        <w:rPr>
          <w:rFonts w:hint="eastAsia" w:ascii="仿宋" w:hAnsi="仿宋" w:eastAsia="仿宋" w:cs="宋体"/>
          <w:b w:val="0"/>
          <w:sz w:val="28"/>
          <w:szCs w:val="28"/>
          <w:highlight w:val="none"/>
        </w:rPr>
        <w:t>2.采购代理机构信息</w:t>
      </w:r>
      <w:bookmarkEnd w:id="33"/>
      <w:bookmarkEnd w:id="34"/>
      <w:bookmarkEnd w:id="35"/>
      <w:bookmarkEnd w:id="36"/>
    </w:p>
    <w:p>
      <w:pPr>
        <w:pageBreakBefore w:val="0"/>
        <w:widowControl w:val="0"/>
        <w:kinsoku/>
        <w:wordWrap/>
        <w:overflowPunct/>
        <w:topLinePunct w:val="0"/>
        <w:autoSpaceDE/>
        <w:autoSpaceDN/>
        <w:bidi w:val="0"/>
        <w:adjustRightInd/>
        <w:snapToGrid/>
        <w:spacing w:line="540" w:lineRule="exact"/>
        <w:ind w:firstLine="840" w:firstLineChars="300"/>
        <w:textAlignment w:val="auto"/>
        <w:rPr>
          <w:rFonts w:ascii="仿宋" w:hAnsi="仿宋" w:eastAsia="仿宋"/>
          <w:sz w:val="28"/>
          <w:szCs w:val="28"/>
          <w:highlight w:val="none"/>
        </w:rPr>
      </w:pPr>
      <w:r>
        <w:rPr>
          <w:rFonts w:hint="eastAsia" w:ascii="仿宋" w:hAnsi="仿宋" w:eastAsia="仿宋"/>
          <w:sz w:val="28"/>
          <w:szCs w:val="28"/>
          <w:highlight w:val="none"/>
        </w:rPr>
        <w:t>名称：</w:t>
      </w:r>
      <w:r>
        <w:rPr>
          <w:rFonts w:hint="eastAsia" w:ascii="仿宋" w:hAnsi="仿宋" w:eastAsia="仿宋"/>
          <w:sz w:val="28"/>
          <w:szCs w:val="28"/>
          <w:highlight w:val="none"/>
          <w:u w:val="single"/>
          <w:lang w:eastAsia="zh-CN"/>
        </w:rPr>
        <w:t>新疆玖一建设项目管理咨询有限公司</w:t>
      </w:r>
    </w:p>
    <w:p>
      <w:pPr>
        <w:pageBreakBefore w:val="0"/>
        <w:widowControl w:val="0"/>
        <w:kinsoku/>
        <w:wordWrap/>
        <w:overflowPunct/>
        <w:topLinePunct w:val="0"/>
        <w:autoSpaceDE/>
        <w:autoSpaceDN/>
        <w:bidi w:val="0"/>
        <w:adjustRightInd/>
        <w:snapToGrid/>
        <w:spacing w:line="540" w:lineRule="exact"/>
        <w:ind w:left="2238" w:leftChars="399" w:hanging="1400" w:hangingChars="500"/>
        <w:textAlignment w:val="auto"/>
        <w:rPr>
          <w:rFonts w:hint="eastAsia" w:ascii="仿宋" w:hAnsi="仿宋" w:eastAsia="仿宋" w:cs="Times New Roman"/>
          <w:sz w:val="28"/>
          <w:szCs w:val="28"/>
          <w:highlight w:val="none"/>
          <w:u w:val="single"/>
          <w:lang w:eastAsia="zh-CN"/>
        </w:rPr>
      </w:pPr>
      <w:r>
        <w:rPr>
          <w:rFonts w:hint="eastAsia" w:ascii="仿宋" w:hAnsi="仿宋" w:eastAsia="仿宋"/>
          <w:sz w:val="28"/>
          <w:szCs w:val="28"/>
          <w:highlight w:val="none"/>
        </w:rPr>
        <w:t>地址：</w:t>
      </w:r>
      <w:r>
        <w:rPr>
          <w:rFonts w:hint="eastAsia" w:ascii="仿宋" w:hAnsi="仿宋" w:eastAsia="仿宋" w:cs="宋体"/>
          <w:sz w:val="28"/>
          <w:szCs w:val="28"/>
          <w:highlight w:val="none"/>
          <w:u w:val="single"/>
          <w:lang w:eastAsia="zh-CN"/>
        </w:rPr>
        <w:t>新源县肖尔布拉克街海悦酒店斜对面007巷10号</w:t>
      </w:r>
    </w:p>
    <w:p>
      <w:pPr>
        <w:pageBreakBefore w:val="0"/>
        <w:widowControl w:val="0"/>
        <w:kinsoku/>
        <w:wordWrap/>
        <w:overflowPunct/>
        <w:topLinePunct w:val="0"/>
        <w:autoSpaceDE/>
        <w:autoSpaceDN/>
        <w:bidi w:val="0"/>
        <w:adjustRightInd/>
        <w:snapToGrid/>
        <w:spacing w:line="540" w:lineRule="exact"/>
        <w:ind w:firstLine="840" w:firstLineChars="300"/>
        <w:textAlignment w:val="auto"/>
        <w:rPr>
          <w:rFonts w:hint="default" w:ascii="仿宋" w:hAnsi="仿宋" w:eastAsia="仿宋"/>
          <w:sz w:val="28"/>
          <w:szCs w:val="28"/>
          <w:highlight w:val="none"/>
          <w:u w:val="single"/>
          <w:lang w:val="en-US" w:eastAsia="zh-CN"/>
        </w:rPr>
      </w:pPr>
      <w:r>
        <w:rPr>
          <w:rFonts w:hint="eastAsia" w:ascii="仿宋" w:hAnsi="仿宋" w:eastAsia="仿宋"/>
          <w:sz w:val="28"/>
          <w:szCs w:val="28"/>
          <w:highlight w:val="none"/>
        </w:rPr>
        <w:t>联系方式：</w:t>
      </w:r>
      <w:r>
        <w:rPr>
          <w:rFonts w:hint="eastAsia" w:ascii="仿宋" w:hAnsi="仿宋" w:eastAsia="仿宋"/>
          <w:sz w:val="28"/>
          <w:szCs w:val="28"/>
          <w:highlight w:val="none"/>
          <w:u w:val="single"/>
          <w:lang w:val="en-US" w:eastAsia="zh-CN"/>
        </w:rPr>
        <w:t>0999-5028756</w:t>
      </w:r>
    </w:p>
    <w:p>
      <w:pPr>
        <w:pStyle w:val="4"/>
        <w:pageBreakBefore w:val="0"/>
        <w:widowControl w:val="0"/>
        <w:kinsoku/>
        <w:wordWrap/>
        <w:overflowPunct/>
        <w:topLinePunct w:val="0"/>
        <w:autoSpaceDE/>
        <w:autoSpaceDN/>
        <w:bidi w:val="0"/>
        <w:adjustRightInd/>
        <w:snapToGrid/>
        <w:spacing w:line="540" w:lineRule="exact"/>
        <w:ind w:firstLine="840" w:firstLineChars="300"/>
        <w:textAlignment w:val="auto"/>
        <w:rPr>
          <w:rFonts w:ascii="仿宋" w:hAnsi="仿宋" w:eastAsia="仿宋" w:cs="宋体"/>
          <w:b w:val="0"/>
          <w:sz w:val="28"/>
          <w:szCs w:val="28"/>
          <w:highlight w:val="none"/>
        </w:rPr>
      </w:pPr>
      <w:bookmarkStart w:id="37" w:name="_Toc28359098"/>
      <w:bookmarkStart w:id="38" w:name="_Toc35393808"/>
      <w:bookmarkStart w:id="39" w:name="_Toc28359021"/>
      <w:bookmarkStart w:id="40" w:name="_Toc35393639"/>
      <w:r>
        <w:rPr>
          <w:rFonts w:hint="eastAsia" w:ascii="仿宋" w:hAnsi="仿宋" w:eastAsia="仿宋" w:cs="宋体"/>
          <w:b w:val="0"/>
          <w:sz w:val="28"/>
          <w:szCs w:val="28"/>
          <w:highlight w:val="none"/>
        </w:rPr>
        <w:t>3.项目联系</w:t>
      </w:r>
      <w:r>
        <w:rPr>
          <w:rFonts w:ascii="仿宋" w:hAnsi="仿宋" w:eastAsia="仿宋" w:cs="宋体"/>
          <w:b w:val="0"/>
          <w:sz w:val="28"/>
          <w:szCs w:val="28"/>
          <w:highlight w:val="none"/>
        </w:rPr>
        <w:t>方式</w:t>
      </w:r>
      <w:bookmarkEnd w:id="37"/>
      <w:bookmarkEnd w:id="38"/>
      <w:bookmarkEnd w:id="39"/>
      <w:bookmarkEnd w:id="40"/>
    </w:p>
    <w:p>
      <w:pPr>
        <w:pStyle w:val="11"/>
        <w:pageBreakBefore w:val="0"/>
        <w:widowControl w:val="0"/>
        <w:kinsoku/>
        <w:wordWrap/>
        <w:overflowPunct/>
        <w:topLinePunct w:val="0"/>
        <w:autoSpaceDE/>
        <w:autoSpaceDN/>
        <w:bidi w:val="0"/>
        <w:adjustRightInd/>
        <w:snapToGrid/>
        <w:spacing w:line="540" w:lineRule="exact"/>
        <w:ind w:firstLine="840" w:firstLineChars="300"/>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rPr>
        <w:t>项目联系人：</w:t>
      </w:r>
      <w:r>
        <w:rPr>
          <w:rFonts w:hint="eastAsia" w:ascii="仿宋" w:hAnsi="仿宋" w:eastAsia="仿宋"/>
          <w:sz w:val="28"/>
          <w:szCs w:val="28"/>
          <w:highlight w:val="none"/>
          <w:u w:val="single"/>
          <w:lang w:eastAsia="zh-CN"/>
        </w:rPr>
        <w:t>郭亚</w:t>
      </w:r>
    </w:p>
    <w:p>
      <w:pPr>
        <w:pageBreakBefore w:val="0"/>
        <w:widowControl w:val="0"/>
        <w:kinsoku/>
        <w:wordWrap/>
        <w:overflowPunct/>
        <w:topLinePunct w:val="0"/>
        <w:autoSpaceDE/>
        <w:autoSpaceDN/>
        <w:bidi w:val="0"/>
        <w:adjustRightInd/>
        <w:snapToGrid/>
        <w:spacing w:line="540" w:lineRule="exact"/>
        <w:ind w:firstLine="840" w:firstLineChars="300"/>
        <w:textAlignment w:val="auto"/>
        <w:rPr>
          <w:rFonts w:hint="default" w:ascii="仿宋" w:hAnsi="仿宋" w:eastAsia="仿宋"/>
          <w:sz w:val="28"/>
          <w:szCs w:val="28"/>
          <w:u w:val="single"/>
          <w:lang w:val="en-US" w:eastAsia="zh-CN"/>
        </w:rPr>
      </w:pPr>
      <w:r>
        <w:rPr>
          <w:rFonts w:hint="eastAsia" w:ascii="仿宋" w:hAnsi="仿宋" w:eastAsia="仿宋"/>
          <w:sz w:val="28"/>
          <w:szCs w:val="28"/>
        </w:rPr>
        <w:t>电　　话：</w:t>
      </w:r>
      <w:r>
        <w:rPr>
          <w:rFonts w:hint="eastAsia" w:ascii="仿宋" w:hAnsi="仿宋" w:eastAsia="仿宋"/>
          <w:sz w:val="28"/>
          <w:szCs w:val="28"/>
          <w:u w:val="single"/>
          <w:lang w:val="en-US" w:eastAsia="zh-CN"/>
        </w:rPr>
        <w:t>18040891008</w:t>
      </w:r>
    </w:p>
    <w:p>
      <w:pPr>
        <w:pageBreakBefore w:val="0"/>
        <w:widowControl w:val="0"/>
        <w:kinsoku/>
        <w:wordWrap/>
        <w:overflowPunct/>
        <w:topLinePunct w:val="0"/>
        <w:autoSpaceDE/>
        <w:autoSpaceDN/>
        <w:bidi w:val="0"/>
        <w:adjustRightInd/>
        <w:snapToGrid/>
        <w:spacing w:line="540" w:lineRule="exact"/>
        <w:ind w:firstLine="840" w:firstLineChars="300"/>
        <w:textAlignment w:val="auto"/>
        <w:rPr>
          <w:rFonts w:hint="default" w:ascii="仿宋" w:hAnsi="仿宋" w:eastAsia="仿宋"/>
          <w:sz w:val="28"/>
          <w:szCs w:val="28"/>
          <w:u w:val="single"/>
          <w:lang w:val="en-US" w:eastAsia="zh-CN"/>
        </w:rPr>
      </w:pPr>
    </w:p>
    <w:p>
      <w:pPr>
        <w:spacing w:line="360" w:lineRule="auto"/>
        <w:ind w:firstLine="720" w:firstLineChars="300"/>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DBC26D-E4C5-4A3B-9D11-87292148C81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embedRegular r:id="rId2" w:fontKey="{77506946-7A3C-4BC2-8AA5-A56A477FC944}"/>
  </w:font>
  <w:font w:name="仿宋">
    <w:panose1 w:val="02010609060101010101"/>
    <w:charset w:val="86"/>
    <w:family w:val="auto"/>
    <w:pitch w:val="default"/>
    <w:sig w:usb0="800002BF" w:usb1="38CF7CFA" w:usb2="00000016" w:usb3="00000000" w:csb0="00040001" w:csb1="00000000"/>
    <w:embedRegular r:id="rId3" w:fontKey="{CF8D3868-0130-4904-8CCA-C3DFDE715E3C}"/>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kN2M1OWUyZTVjZDViOTA2OTdhZDNhYTUyOTRhZGUifQ=="/>
  </w:docVars>
  <w:rsids>
    <w:rsidRoot w:val="098E0E1B"/>
    <w:rsid w:val="003F1716"/>
    <w:rsid w:val="010127FE"/>
    <w:rsid w:val="01505F15"/>
    <w:rsid w:val="02B34A1C"/>
    <w:rsid w:val="03E53BE7"/>
    <w:rsid w:val="069F7B7C"/>
    <w:rsid w:val="08400A92"/>
    <w:rsid w:val="098E0E1B"/>
    <w:rsid w:val="0C6F48C0"/>
    <w:rsid w:val="0C8F577A"/>
    <w:rsid w:val="0CF87B8D"/>
    <w:rsid w:val="0F516505"/>
    <w:rsid w:val="10B92224"/>
    <w:rsid w:val="120D40DA"/>
    <w:rsid w:val="134E1CE9"/>
    <w:rsid w:val="134E2759"/>
    <w:rsid w:val="13D82BB3"/>
    <w:rsid w:val="13DF1AA7"/>
    <w:rsid w:val="143771ED"/>
    <w:rsid w:val="15972F3B"/>
    <w:rsid w:val="16584EC7"/>
    <w:rsid w:val="17670573"/>
    <w:rsid w:val="18331A4D"/>
    <w:rsid w:val="18A67D91"/>
    <w:rsid w:val="197D6787"/>
    <w:rsid w:val="1A1743EA"/>
    <w:rsid w:val="1AE234E4"/>
    <w:rsid w:val="1B643F93"/>
    <w:rsid w:val="1BC40A83"/>
    <w:rsid w:val="1C57446D"/>
    <w:rsid w:val="1C70670D"/>
    <w:rsid w:val="1CBD66FD"/>
    <w:rsid w:val="1D7F5D40"/>
    <w:rsid w:val="1DE30501"/>
    <w:rsid w:val="1EFF48B3"/>
    <w:rsid w:val="21466CC1"/>
    <w:rsid w:val="26605096"/>
    <w:rsid w:val="26AE7C15"/>
    <w:rsid w:val="26AF0795"/>
    <w:rsid w:val="26F36F32"/>
    <w:rsid w:val="272C6534"/>
    <w:rsid w:val="27606603"/>
    <w:rsid w:val="27AC0A3D"/>
    <w:rsid w:val="27ED1A26"/>
    <w:rsid w:val="28013942"/>
    <w:rsid w:val="28881EBA"/>
    <w:rsid w:val="28AB1AFF"/>
    <w:rsid w:val="29A725C3"/>
    <w:rsid w:val="2D3622E0"/>
    <w:rsid w:val="2E360430"/>
    <w:rsid w:val="2E665917"/>
    <w:rsid w:val="3051470B"/>
    <w:rsid w:val="31D708B5"/>
    <w:rsid w:val="3213351A"/>
    <w:rsid w:val="327A52AE"/>
    <w:rsid w:val="32A15055"/>
    <w:rsid w:val="3372497A"/>
    <w:rsid w:val="35A10512"/>
    <w:rsid w:val="35C44201"/>
    <w:rsid w:val="367B74AA"/>
    <w:rsid w:val="384A6CA6"/>
    <w:rsid w:val="38723425"/>
    <w:rsid w:val="3BF375EE"/>
    <w:rsid w:val="3C567AE1"/>
    <w:rsid w:val="3CE23420"/>
    <w:rsid w:val="3D2C2930"/>
    <w:rsid w:val="4200146E"/>
    <w:rsid w:val="42623218"/>
    <w:rsid w:val="42980EEF"/>
    <w:rsid w:val="461D5993"/>
    <w:rsid w:val="47992BD2"/>
    <w:rsid w:val="4A775F03"/>
    <w:rsid w:val="4AC960E9"/>
    <w:rsid w:val="4B007729"/>
    <w:rsid w:val="4B0E22C2"/>
    <w:rsid w:val="4BC23DF2"/>
    <w:rsid w:val="4C675BBA"/>
    <w:rsid w:val="4CD60A61"/>
    <w:rsid w:val="501A382C"/>
    <w:rsid w:val="51AA7A74"/>
    <w:rsid w:val="52831274"/>
    <w:rsid w:val="52CD3523"/>
    <w:rsid w:val="571E156B"/>
    <w:rsid w:val="577B69BD"/>
    <w:rsid w:val="58E31FE2"/>
    <w:rsid w:val="5A157411"/>
    <w:rsid w:val="5D2F2193"/>
    <w:rsid w:val="5D7B1AA1"/>
    <w:rsid w:val="5FE377F5"/>
    <w:rsid w:val="60BA6C2B"/>
    <w:rsid w:val="62A212A2"/>
    <w:rsid w:val="631E1530"/>
    <w:rsid w:val="63A701C6"/>
    <w:rsid w:val="66C166AA"/>
    <w:rsid w:val="6837248C"/>
    <w:rsid w:val="68CA1553"/>
    <w:rsid w:val="69A04FD7"/>
    <w:rsid w:val="6A5421B2"/>
    <w:rsid w:val="6B25472C"/>
    <w:rsid w:val="6B3929BF"/>
    <w:rsid w:val="6BFA5ED4"/>
    <w:rsid w:val="6D9214B7"/>
    <w:rsid w:val="6F304401"/>
    <w:rsid w:val="6FB57E20"/>
    <w:rsid w:val="705E48CC"/>
    <w:rsid w:val="729D5CDE"/>
    <w:rsid w:val="731341EF"/>
    <w:rsid w:val="743A11E8"/>
    <w:rsid w:val="76126CD4"/>
    <w:rsid w:val="770C0F88"/>
    <w:rsid w:val="77A72C0A"/>
    <w:rsid w:val="794D51CF"/>
    <w:rsid w:val="79CE4C1B"/>
    <w:rsid w:val="79DF1386"/>
    <w:rsid w:val="79E7325F"/>
    <w:rsid w:val="7A8C55E2"/>
    <w:rsid w:val="7AFC51D8"/>
    <w:rsid w:val="7C1C3A1B"/>
    <w:rsid w:val="7DB80A64"/>
    <w:rsid w:val="7DB82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8"/>
    <w:basedOn w:val="1"/>
    <w:next w:val="1"/>
    <w:link w:val="21"/>
    <w:qFormat/>
    <w:uiPriority w:val="1"/>
    <w:pPr>
      <w:spacing w:before="151"/>
      <w:ind w:left="2" w:right="9"/>
      <w:jc w:val="center"/>
      <w:outlineLvl w:val="8"/>
    </w:pPr>
    <w:rPr>
      <w:rFonts w:ascii="宋体" w:hAnsi="宋体" w:eastAsia="宋体" w:cs="宋体"/>
      <w:sz w:val="23"/>
      <w:szCs w:val="23"/>
      <w:lang w:val="zh-CN" w:eastAsia="zh-CN" w:bidi="zh-CN"/>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7">
    <w:name w:val="Normal Indent"/>
    <w:basedOn w:val="1"/>
    <w:next w:val="1"/>
    <w:qFormat/>
    <w:uiPriority w:val="0"/>
    <w:pPr>
      <w:adjustRightInd w:val="0"/>
      <w:spacing w:line="360" w:lineRule="atLeast"/>
      <w:ind w:firstLine="420" w:firstLineChars="200"/>
      <w:jc w:val="left"/>
      <w:textAlignment w:val="baseline"/>
    </w:pPr>
    <w:rPr>
      <w:kern w:val="0"/>
      <w:sz w:val="24"/>
    </w:rPr>
  </w:style>
  <w:style w:type="paragraph" w:styleId="8">
    <w:name w:val="Body Text"/>
    <w:basedOn w:val="1"/>
    <w:next w:val="9"/>
    <w:unhideWhenUsed/>
    <w:qFormat/>
    <w:uiPriority w:val="99"/>
    <w:pPr>
      <w:spacing w:after="120"/>
    </w:pPr>
  </w:style>
  <w:style w:type="paragraph" w:styleId="9">
    <w:name w:val="Body Text First Indent"/>
    <w:basedOn w:val="8"/>
    <w:next w:val="10"/>
    <w:unhideWhenUsed/>
    <w:qFormat/>
    <w:uiPriority w:val="99"/>
    <w:pPr>
      <w:tabs>
        <w:tab w:val="left" w:pos="562"/>
        <w:tab w:val="left" w:pos="3372"/>
        <w:tab w:val="left" w:pos="3653"/>
      </w:tabs>
      <w:ind w:firstLine="420" w:firstLineChars="100"/>
    </w:pPr>
    <w:rPr>
      <w:sz w:val="21"/>
    </w:rPr>
  </w:style>
  <w:style w:type="paragraph" w:styleId="10">
    <w:name w:val="toc 6"/>
    <w:basedOn w:val="1"/>
    <w:next w:val="1"/>
    <w:unhideWhenUsed/>
    <w:qFormat/>
    <w:uiPriority w:val="39"/>
    <w:pPr>
      <w:ind w:left="2100" w:leftChars="1000"/>
    </w:pPr>
    <w:rPr>
      <w:rFonts w:ascii="Calibri" w:hAnsi="Calibri" w:eastAsia="宋体" w:cs="Times New Roman"/>
      <w:szCs w:val="22"/>
    </w:rPr>
  </w:style>
  <w:style w:type="paragraph" w:styleId="11">
    <w:name w:val="Plain Text"/>
    <w:basedOn w:val="1"/>
    <w:qFormat/>
    <w:uiPriority w:val="0"/>
    <w:rPr>
      <w:rFonts w:ascii="宋体" w:hAnsi="Courier New" w:eastAsiaTheme="minorEastAsia" w:cstheme="minorBidi"/>
      <w:szCs w:val="22"/>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13">
    <w:name w:val="Title"/>
    <w:basedOn w:val="1"/>
    <w:next w:val="11"/>
    <w:qFormat/>
    <w:uiPriority w:val="10"/>
    <w:pPr>
      <w:spacing w:before="240" w:beforeLines="0" w:beforeAutospacing="0" w:after="60" w:afterLines="0" w:afterAutospacing="0"/>
      <w:jc w:val="left"/>
      <w:outlineLvl w:val="0"/>
    </w:pPr>
    <w:rPr>
      <w:rFonts w:ascii="Arial" w:hAnsi="Arial"/>
      <w:sz w:val="28"/>
    </w:r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paragraph" w:styleId="18">
    <w:name w:val="List Paragraph"/>
    <w:basedOn w:val="1"/>
    <w:qFormat/>
    <w:uiPriority w:val="34"/>
    <w:pPr>
      <w:ind w:firstLine="420" w:firstLineChars="200"/>
    </w:pPr>
  </w:style>
  <w:style w:type="paragraph" w:customStyle="1" w:styleId="19">
    <w:name w:val="Char Char Char1 Char8"/>
    <w:basedOn w:val="1"/>
    <w:unhideWhenUsed/>
    <w:qFormat/>
    <w:uiPriority w:val="99"/>
    <w:pPr>
      <w:spacing w:line="360" w:lineRule="auto"/>
      <w:ind w:firstLine="200" w:firstLineChars="200"/>
    </w:pPr>
    <w:rPr>
      <w:rFonts w:hint="eastAsia" w:ascii="宋体" w:hAnsi="宋体"/>
      <w:sz w:val="24"/>
    </w:rPr>
  </w:style>
  <w:style w:type="paragraph" w:customStyle="1" w:styleId="20">
    <w:name w:val="Table Paragraph"/>
    <w:basedOn w:val="1"/>
    <w:qFormat/>
    <w:uiPriority w:val="1"/>
    <w:rPr>
      <w:rFonts w:ascii="宋体" w:hAnsi="宋体" w:eastAsia="宋体" w:cs="宋体"/>
      <w:lang w:val="zh-CN" w:eastAsia="zh-CN" w:bidi="zh-CN"/>
    </w:rPr>
  </w:style>
  <w:style w:type="character" w:customStyle="1" w:styleId="21">
    <w:name w:val="标题 8 Char"/>
    <w:link w:val="6"/>
    <w:qFormat/>
    <w:uiPriority w:val="1"/>
    <w:rPr>
      <w:rFonts w:ascii="宋体" w:hAnsi="宋体" w:eastAsia="宋体" w:cs="宋体"/>
      <w:sz w:val="23"/>
      <w:szCs w:val="23"/>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2397</Words>
  <Characters>2611</Characters>
  <Lines>0</Lines>
  <Paragraphs>0</Paragraphs>
  <TotalTime>3</TotalTime>
  <ScaleCrop>false</ScaleCrop>
  <LinksUpToDate>false</LinksUpToDate>
  <CharactersWithSpaces>2621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2022-03-08T09:43:00Z</dcterms:created>
  <dc:creator>楊Sir</dc:creator>
  <cp:lastModifiedBy>郭亚吖</cp:lastModifiedBy>
  <cp:lastPrinted>2022-07-19T08:19:00Z</cp:lastPrinted>
  <dcterms:modified xsi:type="dcterms:W3CDTF">2023-01-03T09:45:30Z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D5ABB86B77CF4F5FB7B078A5EBCC4BB7</vt:lpwstr>
  </property>
</Properties>
</file>