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cs="仿宋"/>
        </w:rPr>
      </w:pPr>
      <w:r>
        <w:rPr>
          <w:rFonts w:hint="eastAsia" w:ascii="仿宋" w:hAnsi="仿宋" w:eastAsia="仿宋" w:cs="仿宋"/>
        </w:rPr>
        <w:drawing>
          <wp:anchor distT="0" distB="0" distL="114300" distR="114300" simplePos="0" relativeHeight="251660288" behindDoc="1" locked="0" layoutInCell="1" allowOverlap="1">
            <wp:simplePos x="0" y="0"/>
            <wp:positionH relativeFrom="column">
              <wp:posOffset>-1170940</wp:posOffset>
            </wp:positionH>
            <wp:positionV relativeFrom="paragraph">
              <wp:posOffset>-966470</wp:posOffset>
            </wp:positionV>
            <wp:extent cx="7769225" cy="10739755"/>
            <wp:effectExtent l="0" t="0" r="3175" b="444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7769225" cy="10739755"/>
                    </a:xfrm>
                    <a:prstGeom prst="rect">
                      <a:avLst/>
                    </a:prstGeom>
                    <a:noFill/>
                    <a:ln>
                      <a:noFill/>
                    </a:ln>
                  </pic:spPr>
                </pic:pic>
              </a:graphicData>
            </a:graphic>
          </wp:anchor>
        </w:drawing>
      </w:r>
      <w:r>
        <w:rPr>
          <w:rFonts w:hint="eastAsia" w:ascii="仿宋" w:hAnsi="仿宋" w:eastAsia="仿宋" w:cs="仿宋"/>
          <w:sz w:val="21"/>
        </w:rPr>
        <mc:AlternateContent>
          <mc:Choice Requires="wps">
            <w:drawing>
              <wp:anchor distT="0" distB="0" distL="114300" distR="114300" simplePos="0" relativeHeight="251661312" behindDoc="0" locked="0" layoutInCell="1" allowOverlap="1">
                <wp:simplePos x="0" y="0"/>
                <wp:positionH relativeFrom="column">
                  <wp:posOffset>-1172845</wp:posOffset>
                </wp:positionH>
                <wp:positionV relativeFrom="paragraph">
                  <wp:posOffset>735330</wp:posOffset>
                </wp:positionV>
                <wp:extent cx="7621270" cy="1615440"/>
                <wp:effectExtent l="0" t="0" r="0" b="0"/>
                <wp:wrapNone/>
                <wp:docPr id="9" name="文本框 9"/>
                <wp:cNvGraphicFramePr/>
                <a:graphic xmlns:a="http://schemas.openxmlformats.org/drawingml/2006/main">
                  <a:graphicData uri="http://schemas.microsoft.com/office/word/2010/wordprocessingShape">
                    <wps:wsp>
                      <wps:cNvSpPr txBox="1"/>
                      <wps:spPr>
                        <a:xfrm>
                          <a:off x="0" y="0"/>
                          <a:ext cx="7621270" cy="1615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阿克苏地区阿瓦提县2023年城市垃圾分类建设项目</w:t>
                            </w:r>
                          </w:p>
                          <w:p>
                            <w:pPr>
                              <w:spacing w:line="360" w:lineRule="auto"/>
                              <w:jc w:val="center"/>
                              <w:rPr>
                                <w:rFonts w:hint="default"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施工服务（二次）</w:t>
                            </w:r>
                          </w:p>
                          <w:p>
                            <w:pPr>
                              <w:spacing w:line="360" w:lineRule="auto"/>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（项目编号：SJX-2023-509）</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35pt;margin-top:57.9pt;height:127.2pt;width:600.1pt;z-index:251661312;mso-width-relative:page;mso-height-relative:page;" filled="f" stroked="f" coordsize="21600,21600" o:gfxdata="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0egHmtwAAAANAQAADwAAAAAAAAABACAAAAAiAAAA&#10;ZHJzL2Rvd25yZXYueG1sUEsBAhQAFAAAAAgAh07iQKGzT388AgAAZwQAAA4AAAAAAAAAAQAgAAAA&#10;KwEAAGRycy9lMm9Eb2MueG1sUEsFBgAAAAAGAAYAWQEAANkFAAAAAA==&#10;">
                <v:fill on="f" focussize="0,0"/>
                <v:stroke on="f" weight="0.5pt"/>
                <v:imagedata o:title=""/>
                <o:lock v:ext="edit" aspectratio="f"/>
                <v:textbox>
                  <w:txbxContent>
                    <w:p>
                      <w:pPr>
                        <w:spacing w:line="360" w:lineRule="auto"/>
                        <w:jc w:val="center"/>
                        <w:rPr>
                          <w:rFonts w:hint="eastAsia"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阿克苏地区阿瓦提县2023年城市垃圾分类建设项目</w:t>
                      </w:r>
                    </w:p>
                    <w:p>
                      <w:pPr>
                        <w:spacing w:line="360" w:lineRule="auto"/>
                        <w:jc w:val="center"/>
                        <w:rPr>
                          <w:rFonts w:hint="default" w:ascii="微软雅黑" w:hAnsi="微软雅黑" w:eastAsia="微软雅黑" w:cs="微软雅黑"/>
                          <w:b/>
                          <w:bCs/>
                          <w:color w:val="237085"/>
                          <w:sz w:val="44"/>
                          <w:szCs w:val="44"/>
                          <w:lang w:val="en-US" w:eastAsia="zh-CN"/>
                        </w:rPr>
                      </w:pPr>
                      <w:r>
                        <w:rPr>
                          <w:rFonts w:hint="eastAsia" w:ascii="微软雅黑" w:hAnsi="微软雅黑" w:eastAsia="微软雅黑" w:cs="微软雅黑"/>
                          <w:b/>
                          <w:bCs/>
                          <w:color w:val="237085"/>
                          <w:sz w:val="44"/>
                          <w:szCs w:val="44"/>
                          <w:lang w:val="en-US" w:eastAsia="zh-CN"/>
                        </w:rPr>
                        <w:t>施工服务（二次）</w:t>
                      </w:r>
                    </w:p>
                    <w:p>
                      <w:pPr>
                        <w:spacing w:line="360" w:lineRule="auto"/>
                        <w:jc w:val="center"/>
                        <w:rPr>
                          <w:rFonts w:hint="default" w:ascii="微软雅黑" w:hAnsi="微软雅黑" w:eastAsia="微软雅黑" w:cs="微软雅黑"/>
                          <w:b/>
                          <w:bCs/>
                          <w:color w:val="237085"/>
                          <w:sz w:val="28"/>
                          <w:szCs w:val="28"/>
                          <w:lang w:val="en-US" w:eastAsia="zh-CN"/>
                        </w:rPr>
                      </w:pPr>
                      <w:r>
                        <w:rPr>
                          <w:rFonts w:hint="eastAsia" w:ascii="微软雅黑" w:hAnsi="微软雅黑" w:eastAsia="微软雅黑" w:cs="微软雅黑"/>
                          <w:b/>
                          <w:bCs/>
                          <w:color w:val="237085"/>
                          <w:sz w:val="28"/>
                          <w:szCs w:val="28"/>
                          <w:lang w:val="en-US" w:eastAsia="zh-CN"/>
                        </w:rPr>
                        <w:t>（项目编号：SJX-2023-509）</w:t>
                      </w:r>
                    </w:p>
                  </w:txbxContent>
                </v:textbox>
              </v:shape>
            </w:pict>
          </mc:Fallback>
        </mc:AlternateContent>
      </w:r>
    </w:p>
    <w:p>
      <w:pPr>
        <w:rPr>
          <w:rFonts w:hint="eastAsia" w:ascii="仿宋" w:hAnsi="仿宋" w:eastAsia="仿宋" w:cs="仿宋"/>
        </w:rPr>
      </w:pPr>
    </w:p>
    <w:p>
      <w:pPr>
        <w:jc w:val="center"/>
        <w:rPr>
          <w:rFonts w:hint="eastAsia" w:ascii="仿宋" w:hAnsi="仿宋" w:eastAsia="仿宋" w:cs="仿宋"/>
          <w:sz w:val="32"/>
          <w:szCs w:val="32"/>
        </w:rPr>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r>
        <w:rPr>
          <w:rFonts w:hint="eastAsia" w:ascii="仿宋" w:hAnsi="仿宋" w:eastAsia="仿宋" w:cs="仿宋"/>
          <w:sz w:val="21"/>
        </w:rPr>
        <mc:AlternateContent>
          <mc:Choice Requires="wps">
            <w:drawing>
              <wp:anchor distT="0" distB="0" distL="114300" distR="114300" simplePos="0" relativeHeight="251663360" behindDoc="0" locked="0" layoutInCell="1" allowOverlap="1">
                <wp:simplePos x="0" y="0"/>
                <wp:positionH relativeFrom="column">
                  <wp:posOffset>1325880</wp:posOffset>
                </wp:positionH>
                <wp:positionV relativeFrom="paragraph">
                  <wp:posOffset>3750310</wp:posOffset>
                </wp:positionV>
                <wp:extent cx="2648585" cy="99695"/>
                <wp:effectExtent l="0" t="0" r="18415" b="14605"/>
                <wp:wrapNone/>
                <wp:docPr id="3" name="矩形 3"/>
                <wp:cNvGraphicFramePr/>
                <a:graphic xmlns:a="http://schemas.openxmlformats.org/drawingml/2006/main">
                  <a:graphicData uri="http://schemas.microsoft.com/office/word/2010/wordprocessingShape">
                    <wps:wsp>
                      <wps:cNvSpPr/>
                      <wps:spPr>
                        <a:xfrm>
                          <a:off x="0" y="0"/>
                          <a:ext cx="2648585" cy="99695"/>
                        </a:xfrm>
                        <a:prstGeom prst="rect">
                          <a:avLst/>
                        </a:prstGeom>
                        <a:solidFill>
                          <a:srgbClr val="2E93B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4.4pt;margin-top:295.3pt;height:7.85pt;width:208.55pt;z-index:251663360;v-text-anchor:middle;mso-width-relative:page;mso-height-relative:page;" fillcolor="#2E93B0" filled="t" stroked="f" coordsize="21600,21600" o:gfxdata="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ulyDQNkAAAALAQAADwAAAAAAAAABACAAAAAiAAAAZHJzL2Rvd25y&#10;ZXYueG1sUEsBAhQAFAAAAAgAh07iQLWhYHFvAgAAygQAAA4AAAAAAAAAAQAgAAAAKAEAAGRycy9l&#10;Mm9Eb2MueG1sUEsFBgAAAAAGAAYAWQEAAAkGAAAAAA==&#10;">
                <v:fill on="t" focussize="0,0"/>
                <v:stroke on="f" weight="1pt" miterlimit="8" joinstyle="miter"/>
                <v:imagedata o:title=""/>
                <o:lock v:ext="edit" aspectratio="f"/>
              </v:rect>
            </w:pict>
          </mc:Fallback>
        </mc:AlternateContent>
      </w:r>
      <w:r>
        <w:rPr>
          <w:rFonts w:hint="eastAsia" w:ascii="仿宋" w:hAnsi="仿宋" w:eastAsia="仿宋" w:cs="仿宋"/>
          <w:sz w:val="21"/>
        </w:rPr>
        <mc:AlternateContent>
          <mc:Choice Requires="wps">
            <w:drawing>
              <wp:anchor distT="0" distB="0" distL="114300" distR="114300" simplePos="0" relativeHeight="251662336" behindDoc="0" locked="0" layoutInCell="1" allowOverlap="1">
                <wp:simplePos x="0" y="0"/>
                <wp:positionH relativeFrom="column">
                  <wp:posOffset>-889000</wp:posOffset>
                </wp:positionH>
                <wp:positionV relativeFrom="paragraph">
                  <wp:posOffset>2870835</wp:posOffset>
                </wp:positionV>
                <wp:extent cx="7130415" cy="88138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130415" cy="8813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公开招标采购文件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pt;margin-top:226.05pt;height:69.4pt;width:561.45pt;z-index:251662336;mso-width-relative:page;mso-height-relative:page;" filled="f" stroked="f" coordsize="21600,21600" o:gfxdata="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D521M33QAAAAwBAAAPAAAAAAAAAAEAIAAAACIA&#10;AABkcnMvZG93bnJldi54bWxQSwECFAAUAAAACACHTuJA867+AT0CAABoBAAADgAAAAAAAAABACAA&#10;AAAsAQAAZHJzL2Uyb0RvYy54bWxQSwUGAAAAAAYABgBZAQAA2wUAAAAA&#10;">
                <v:fill on="f" focussize="0,0"/>
                <v:stroke on="f" weight="0.5pt"/>
                <v:imagedata o:title=""/>
                <o:lock v:ext="edit" aspectratio="f"/>
                <v:textbox>
                  <w:txbxContent>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jc w:val="center"/>
                        <w:textAlignment w:val="auto"/>
                        <w:rPr>
                          <w:rFonts w:hint="eastAsia" w:ascii="微软雅黑" w:hAnsi="微软雅黑" w:eastAsia="微软雅黑" w:cs="微软雅黑"/>
                          <w:b/>
                          <w:bCs/>
                          <w:color w:val="2E93B0"/>
                          <w:sz w:val="72"/>
                          <w:szCs w:val="72"/>
                          <w:lang w:val="en-US" w:eastAsia="zh-CN"/>
                        </w:rPr>
                      </w:pPr>
                      <w:r>
                        <w:rPr>
                          <w:rFonts w:hint="eastAsia" w:ascii="微软雅黑" w:hAnsi="微软雅黑" w:eastAsia="微软雅黑" w:cs="微软雅黑"/>
                          <w:b/>
                          <w:bCs/>
                          <w:color w:val="2E93B0"/>
                          <w:sz w:val="72"/>
                          <w:szCs w:val="72"/>
                          <w:lang w:val="en-US" w:eastAsia="zh-CN"/>
                        </w:rPr>
                        <w:t>公开招标采购文件</w:t>
                      </w:r>
                    </w:p>
                  </w:txbxContent>
                </v:textbox>
              </v:shape>
            </w:pict>
          </mc:Fallback>
        </mc:AlternateContent>
      </w:r>
      <w:r>
        <w:rPr>
          <w:rFonts w:hint="eastAsia" w:ascii="仿宋" w:hAnsi="仿宋" w:eastAsia="仿宋" w:cs="仿宋"/>
          <w:lang w:eastAsia="zh-CN"/>
        </w:rPr>
        <w:drawing>
          <wp:anchor distT="0" distB="0" distL="114300" distR="114300" simplePos="0" relativeHeight="251665408" behindDoc="0" locked="0" layoutInCell="1" allowOverlap="1">
            <wp:simplePos x="0" y="0"/>
            <wp:positionH relativeFrom="column">
              <wp:posOffset>2974975</wp:posOffset>
            </wp:positionH>
            <wp:positionV relativeFrom="page">
              <wp:posOffset>7449185</wp:posOffset>
            </wp:positionV>
            <wp:extent cx="1417320" cy="1410970"/>
            <wp:effectExtent l="0" t="0" r="11430" b="17780"/>
            <wp:wrapNone/>
            <wp:docPr id="8" name="图片 8" descr="扫描全能王 2022-09-16 10.5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扫描全能王 2022-09-16 10.51_2"/>
                    <pic:cNvPicPr>
                      <a:picLocks noChangeAspect="1"/>
                    </pic:cNvPicPr>
                  </pic:nvPicPr>
                  <pic:blipFill>
                    <a:blip r:embed="rId7"/>
                    <a:srcRect l="22113" t="29394" r="21666" b="28715"/>
                    <a:stretch>
                      <a:fillRect/>
                    </a:stretch>
                  </pic:blipFill>
                  <pic:spPr>
                    <a:xfrm>
                      <a:off x="0" y="0"/>
                      <a:ext cx="1417320" cy="1410970"/>
                    </a:xfrm>
                    <a:prstGeom prst="rect">
                      <a:avLst/>
                    </a:prstGeom>
                  </pic:spPr>
                </pic:pic>
              </a:graphicData>
            </a:graphic>
          </wp:anchor>
        </w:drawing>
      </w:r>
      <w:r>
        <w:rPr>
          <w:rFonts w:hint="eastAsia" w:ascii="仿宋" w:hAnsi="仿宋" w:eastAsia="仿宋" w:cs="仿宋"/>
          <w:sz w:val="21"/>
        </w:rPr>
        <mc:AlternateContent>
          <mc:Choice Requires="wps">
            <w:drawing>
              <wp:anchor distT="0" distB="0" distL="114300" distR="114300" simplePos="0" relativeHeight="251664384" behindDoc="0" locked="0" layoutInCell="1" allowOverlap="1">
                <wp:simplePos x="0" y="0"/>
                <wp:positionH relativeFrom="column">
                  <wp:posOffset>-86360</wp:posOffset>
                </wp:positionH>
                <wp:positionV relativeFrom="paragraph">
                  <wp:posOffset>5794375</wp:posOffset>
                </wp:positionV>
                <wp:extent cx="5464175" cy="2486025"/>
                <wp:effectExtent l="0" t="0" r="0" b="0"/>
                <wp:wrapNone/>
                <wp:docPr id="6" name="文本框 6"/>
                <wp:cNvGraphicFramePr/>
                <a:graphic xmlns:a="http://schemas.openxmlformats.org/drawingml/2006/main">
                  <a:graphicData uri="http://schemas.microsoft.com/office/word/2010/wordprocessingShape">
                    <wps:wsp>
                      <wps:cNvSpPr txBox="1"/>
                      <wps:spPr>
                        <a:xfrm>
                          <a:off x="0" y="0"/>
                          <a:ext cx="5464175" cy="2486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采购人：阿瓦提县园林绿化环卫服务中心（盖章）</w:t>
                            </w:r>
                          </w:p>
                          <w:p>
                            <w:pPr>
                              <w:jc w:val="left"/>
                              <w:rPr>
                                <w:rFonts w:hint="eastAsia" w:ascii="微软雅黑" w:hAnsi="微软雅黑" w:eastAsia="微软雅黑" w:cs="微软雅黑"/>
                                <w:b/>
                                <w:bCs/>
                                <w:color w:val="237085"/>
                                <w:sz w:val="32"/>
                                <w:szCs w:val="32"/>
                                <w:lang w:val="en-US" w:eastAsia="zh-CN"/>
                              </w:rPr>
                            </w:pPr>
                          </w:p>
                          <w:p>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pPr>
                              <w:jc w:val="center"/>
                              <w:rPr>
                                <w:rFonts w:hint="eastAsia" w:ascii="微软雅黑" w:hAnsi="微软雅黑" w:eastAsia="微软雅黑" w:cs="微软雅黑"/>
                                <w:b/>
                                <w:bCs/>
                                <w:color w:val="237085"/>
                                <w:sz w:val="32"/>
                                <w:szCs w:val="32"/>
                                <w:lang w:val="en-US" w:eastAsia="zh-CN"/>
                              </w:rPr>
                            </w:pPr>
                          </w:p>
                          <w:p>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日期：2023年11月27日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pt;margin-top:456.25pt;height:195.75pt;width:430.25pt;z-index:251664384;mso-width-relative:page;mso-height-relative:page;" filled="f" stroked="f" coordsize="21600,21600" o:gfxdata="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Bw8aPbdAAAADAEAAA8AAAAAAAAAAQAgAAAAIgAA&#10;AGRycy9kb3ducmV2LnhtbFBLAQIUABQAAAAIAIdO4kC9B9GiPAIAAGcEAAAOAAAAAAAAAAEAIAAA&#10;ACwBAABkcnMvZTJvRG9jLnhtbFBLBQYAAAAABgAGAFkBAADaBQAAAAA=&#10;">
                <v:fill on="f" focussize="0,0"/>
                <v:stroke on="f" weight="0.5pt"/>
                <v:imagedata o:title=""/>
                <o:lock v:ext="edit" aspectratio="f"/>
                <v:textbox>
                  <w:txbxContent>
                    <w:p>
                      <w:pPr>
                        <w:jc w:val="left"/>
                        <w:rPr>
                          <w:rFonts w:hint="eastAsia"/>
                          <w:lang w:val="en-US" w:eastAsia="zh-CN"/>
                        </w:rPr>
                      </w:pPr>
                      <w:r>
                        <w:rPr>
                          <w:rFonts w:hint="eastAsia" w:ascii="微软雅黑" w:hAnsi="微软雅黑" w:eastAsia="微软雅黑" w:cs="微软雅黑"/>
                          <w:b/>
                          <w:bCs/>
                          <w:color w:val="237085"/>
                          <w:sz w:val="32"/>
                          <w:szCs w:val="32"/>
                          <w:lang w:val="en-US" w:eastAsia="zh-CN"/>
                        </w:rPr>
                        <w:t>采购人：阿瓦提县园林绿化环卫服务中心（盖章）</w:t>
                      </w:r>
                    </w:p>
                    <w:p>
                      <w:pPr>
                        <w:jc w:val="left"/>
                        <w:rPr>
                          <w:rFonts w:hint="eastAsia" w:ascii="微软雅黑" w:hAnsi="微软雅黑" w:eastAsia="微软雅黑" w:cs="微软雅黑"/>
                          <w:b/>
                          <w:bCs/>
                          <w:color w:val="237085"/>
                          <w:sz w:val="32"/>
                          <w:szCs w:val="32"/>
                          <w:lang w:val="en-US" w:eastAsia="zh-CN"/>
                        </w:rPr>
                      </w:pPr>
                    </w:p>
                    <w:p>
                      <w:pPr>
                        <w:jc w:val="left"/>
                        <w:rPr>
                          <w:rFonts w:hint="eastAsia" w:ascii="微软雅黑" w:hAnsi="微软雅黑" w:eastAsia="微软雅黑" w:cs="微软雅黑"/>
                          <w:b/>
                          <w:bCs/>
                          <w:color w:val="237085"/>
                          <w:sz w:val="32"/>
                          <w:szCs w:val="32"/>
                          <w:lang w:val="en-US" w:eastAsia="zh-CN"/>
                        </w:rPr>
                      </w:pPr>
                      <w:r>
                        <w:rPr>
                          <w:rFonts w:hint="eastAsia" w:ascii="微软雅黑" w:hAnsi="微软雅黑" w:eastAsia="微软雅黑" w:cs="微软雅黑"/>
                          <w:b/>
                          <w:bCs/>
                          <w:color w:val="237085"/>
                          <w:sz w:val="32"/>
                          <w:szCs w:val="32"/>
                          <w:lang w:val="en-US" w:eastAsia="zh-CN"/>
                        </w:rPr>
                        <w:t>采购代理机构：新疆世纪星工程咨询有限公司（盖章）</w:t>
                      </w:r>
                    </w:p>
                    <w:p>
                      <w:pPr>
                        <w:jc w:val="center"/>
                        <w:rPr>
                          <w:rFonts w:hint="eastAsia" w:ascii="微软雅黑" w:hAnsi="微软雅黑" w:eastAsia="微软雅黑" w:cs="微软雅黑"/>
                          <w:b/>
                          <w:bCs/>
                          <w:color w:val="237085"/>
                          <w:sz w:val="32"/>
                          <w:szCs w:val="32"/>
                          <w:lang w:val="en-US" w:eastAsia="zh-CN"/>
                        </w:rPr>
                      </w:pPr>
                    </w:p>
                    <w:p>
                      <w:pPr>
                        <w:jc w:val="center"/>
                        <w:rPr>
                          <w:rFonts w:hint="eastAsia" w:ascii="微软雅黑" w:hAnsi="微软雅黑" w:eastAsia="微软雅黑" w:cs="微软雅黑"/>
                          <w:b/>
                          <w:bCs/>
                          <w:color w:val="237085"/>
                          <w:sz w:val="32"/>
                          <w:szCs w:val="32"/>
                        </w:rPr>
                      </w:pPr>
                      <w:r>
                        <w:rPr>
                          <w:rFonts w:hint="eastAsia" w:ascii="微软雅黑" w:hAnsi="微软雅黑" w:eastAsia="微软雅黑" w:cs="微软雅黑"/>
                          <w:b/>
                          <w:bCs/>
                          <w:color w:val="237085"/>
                          <w:sz w:val="32"/>
                          <w:szCs w:val="32"/>
                          <w:lang w:val="en-US" w:eastAsia="zh-CN"/>
                        </w:rPr>
                        <w:t>日期：2023年11月27日</w:t>
                      </w:r>
                    </w:p>
                  </w:txbxContent>
                </v:textbox>
              </v:shape>
            </w:pict>
          </mc:Fallback>
        </mc:AlternateContent>
      </w:r>
    </w:p>
    <w:p>
      <w:pPr>
        <w:rPr>
          <w:rFonts w:hint="eastAsia" w:ascii="仿宋" w:hAnsi="仿宋" w:eastAsia="仿宋" w:cs="仿宋"/>
          <w:sz w:val="32"/>
          <w:szCs w:val="32"/>
        </w:rPr>
      </w:pPr>
      <w:r>
        <w:rPr>
          <w:rFonts w:hint="eastAsia" w:ascii="仿宋" w:hAnsi="仿宋" w:eastAsia="仿宋" w:cs="仿宋"/>
          <w:sz w:val="32"/>
          <w:szCs w:val="32"/>
        </w:rPr>
        <w:drawing>
          <wp:anchor distT="0" distB="0" distL="114300" distR="114300" simplePos="0" relativeHeight="251666432" behindDoc="0" locked="0" layoutInCell="1" allowOverlap="1">
            <wp:simplePos x="0" y="0"/>
            <wp:positionH relativeFrom="column">
              <wp:posOffset>-588645</wp:posOffset>
            </wp:positionH>
            <wp:positionV relativeFrom="paragraph">
              <wp:posOffset>0</wp:posOffset>
            </wp:positionV>
            <wp:extent cx="6548755" cy="8703310"/>
            <wp:effectExtent l="0" t="0" r="4445" b="13970"/>
            <wp:wrapNone/>
            <wp:docPr id="5" name="图片 5" descr="84c3c9b37247c1a0d0fdb65f99fcb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4c3c9b37247c1a0d0fdb65f99fcb54"/>
                    <pic:cNvPicPr>
                      <a:picLocks noChangeAspect="1"/>
                    </pic:cNvPicPr>
                  </pic:nvPicPr>
                  <pic:blipFill>
                    <a:blip r:embed="rId8"/>
                    <a:stretch>
                      <a:fillRect/>
                    </a:stretch>
                  </pic:blipFill>
                  <pic:spPr>
                    <a:xfrm>
                      <a:off x="0" y="0"/>
                      <a:ext cx="6548755" cy="8703310"/>
                    </a:xfrm>
                    <a:prstGeom prst="rect">
                      <a:avLst/>
                    </a:prstGeom>
                  </pic:spPr>
                </pic:pic>
              </a:graphicData>
            </a:graphic>
          </wp:anchor>
        </w:drawing>
      </w:r>
      <w:r>
        <w:rPr>
          <w:rFonts w:hint="eastAsia" w:ascii="仿宋" w:hAnsi="仿宋" w:eastAsia="仿宋" w:cs="仿宋"/>
          <w:sz w:val="32"/>
          <w:szCs w:val="32"/>
        </w:rPr>
        <w:br w:type="page"/>
      </w:r>
    </w:p>
    <w:p>
      <w:pPr>
        <w:pStyle w:val="2"/>
        <w:rPr>
          <w:rFonts w:hint="eastAsia"/>
        </w:rPr>
      </w:pPr>
    </w:p>
    <w:tbl>
      <w:tblPr>
        <w:tblStyle w:val="22"/>
        <w:tblW w:w="928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928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513" w:hRule="atLeast"/>
          <w:jc w:val="center"/>
        </w:trPr>
        <w:tc>
          <w:tcPr>
            <w:tcW w:w="9280" w:type="dxa"/>
            <w:tcBorders>
              <w:tl2br w:val="nil"/>
              <w:tr2bl w:val="nil"/>
            </w:tcBorders>
            <w:noWrap w:val="0"/>
            <w:vAlign w:val="top"/>
          </w:tcPr>
          <w:p>
            <w:pPr>
              <w:rPr>
                <w:rFonts w:hint="eastAsia" w:ascii="仿宋" w:hAnsi="仿宋" w:eastAsia="仿宋" w:cs="仿宋"/>
                <w:b/>
                <w:bCs/>
                <w:sz w:val="32"/>
                <w:szCs w:val="32"/>
              </w:rPr>
            </w:pPr>
            <w:r>
              <w:rPr>
                <w:rFonts w:hint="eastAsia" w:ascii="仿宋" w:hAnsi="仿宋" w:eastAsia="仿宋" w:cs="仿宋"/>
                <w:sz w:val="32"/>
                <w:szCs w:val="32"/>
              </w:rPr>
              <w:br w:type="page"/>
            </w:r>
          </w:p>
          <w:p>
            <w:pPr>
              <w:spacing w:line="360" w:lineRule="auto"/>
              <w:ind w:right="31" w:rightChars="15"/>
              <w:jc w:val="center"/>
              <w:rPr>
                <w:rFonts w:hint="eastAsia" w:ascii="仿宋" w:hAnsi="仿宋" w:eastAsia="仿宋" w:cs="仿宋"/>
                <w:b/>
                <w:bCs/>
                <w:sz w:val="32"/>
                <w:szCs w:val="32"/>
              </w:rPr>
            </w:pPr>
          </w:p>
          <w:p>
            <w:pPr>
              <w:spacing w:line="360" w:lineRule="auto"/>
              <w:ind w:right="31" w:rightChars="15"/>
              <w:jc w:val="center"/>
              <w:rPr>
                <w:rFonts w:hint="eastAsia" w:ascii="仿宋" w:hAnsi="仿宋" w:eastAsia="仿宋" w:cs="仿宋"/>
                <w:b/>
                <w:bCs/>
                <w:sz w:val="32"/>
                <w:szCs w:val="32"/>
              </w:rPr>
            </w:pPr>
            <w:r>
              <w:rPr>
                <w:rFonts w:hint="eastAsia" w:ascii="仿宋" w:hAnsi="仿宋" w:eastAsia="仿宋" w:cs="仿宋"/>
                <w:b/>
                <w:bCs/>
                <w:sz w:val="32"/>
                <w:szCs w:val="32"/>
              </w:rPr>
              <w:t>招标文件确认</w:t>
            </w:r>
            <w:r>
              <w:rPr>
                <w:rFonts w:hint="eastAsia" w:ascii="仿宋" w:hAnsi="仿宋" w:eastAsia="仿宋" w:cs="仿宋"/>
                <w:b/>
                <w:bCs/>
                <w:sz w:val="32"/>
                <w:szCs w:val="32"/>
                <w:lang w:val="en-US" w:eastAsia="zh-CN"/>
              </w:rPr>
              <w:t>表</w:t>
            </w:r>
          </w:p>
          <w:p>
            <w:pPr>
              <w:spacing w:line="360" w:lineRule="auto"/>
              <w:ind w:firstLine="720" w:firstLineChars="300"/>
              <w:jc w:val="both"/>
              <w:rPr>
                <w:rFonts w:hint="eastAsia" w:ascii="仿宋" w:hAnsi="仿宋" w:eastAsia="仿宋" w:cs="仿宋"/>
                <w:sz w:val="24"/>
                <w:szCs w:val="24"/>
                <w:lang w:val="en-US" w:eastAsia="zh-CN"/>
              </w:rPr>
            </w:pPr>
          </w:p>
          <w:p>
            <w:pPr>
              <w:spacing w:line="360" w:lineRule="auto"/>
              <w:jc w:val="both"/>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新疆世纪星工程咨询有限公司：</w:t>
            </w:r>
          </w:p>
          <w:p>
            <w:pPr>
              <w:spacing w:line="360" w:lineRule="auto"/>
              <w:ind w:firstLine="840" w:firstLineChars="300"/>
              <w:jc w:val="both"/>
              <w:rPr>
                <w:rFonts w:hint="eastAsia" w:ascii="仿宋" w:hAnsi="仿宋" w:eastAsia="仿宋" w:cs="仿宋"/>
                <w:sz w:val="28"/>
                <w:szCs w:val="28"/>
                <w:highlight w:val="none"/>
                <w:lang w:val="en-US" w:eastAsia="zh-CN"/>
              </w:rPr>
            </w:pPr>
            <w:r>
              <w:rPr>
                <w:rFonts w:hint="eastAsia" w:ascii="仿宋" w:hAnsi="仿宋" w:eastAsia="仿宋" w:cs="仿宋"/>
                <w:sz w:val="28"/>
                <w:szCs w:val="28"/>
                <w:highlight w:val="none"/>
                <w:u w:val="single"/>
                <w:lang w:val="en-US" w:eastAsia="zh-CN"/>
              </w:rPr>
              <w:t>阿克苏地区阿瓦提县2023年城市垃圾分类建设项目施工服务（二次）（项目编号:SJX-2023-509）</w:t>
            </w:r>
            <w:r>
              <w:rPr>
                <w:rFonts w:hint="eastAsia" w:ascii="仿宋" w:hAnsi="仿宋" w:eastAsia="仿宋" w:cs="仿宋"/>
                <w:sz w:val="28"/>
                <w:szCs w:val="28"/>
                <w:highlight w:val="none"/>
                <w:lang w:val="en-US" w:eastAsia="zh-CN"/>
              </w:rPr>
              <w:t>招标文件，经我单位审核符合我单位提出的招标要求，同意对外发布。</w:t>
            </w:r>
          </w:p>
          <w:p>
            <w:pPr>
              <w:spacing w:line="360" w:lineRule="auto"/>
              <w:jc w:val="both"/>
              <w:rPr>
                <w:rFonts w:hint="eastAsia" w:ascii="仿宋" w:hAnsi="仿宋" w:eastAsia="仿宋" w:cs="仿宋"/>
                <w:sz w:val="28"/>
                <w:szCs w:val="28"/>
              </w:rPr>
            </w:pPr>
          </w:p>
          <w:p>
            <w:pPr>
              <w:spacing w:line="360" w:lineRule="auto"/>
              <w:ind w:right="240"/>
              <w:jc w:val="both"/>
              <w:rPr>
                <w:rFonts w:hint="eastAsia" w:ascii="仿宋" w:hAnsi="仿宋" w:eastAsia="仿宋" w:cs="仿宋"/>
                <w:sz w:val="28"/>
                <w:szCs w:val="28"/>
              </w:rPr>
            </w:pPr>
          </w:p>
          <w:p>
            <w:pPr>
              <w:spacing w:line="360" w:lineRule="auto"/>
              <w:ind w:right="240"/>
              <w:jc w:val="both"/>
              <w:rPr>
                <w:rFonts w:hint="eastAsia" w:ascii="仿宋" w:hAnsi="仿宋" w:eastAsia="仿宋" w:cs="仿宋"/>
                <w:sz w:val="28"/>
                <w:szCs w:val="28"/>
              </w:rPr>
            </w:pPr>
          </w:p>
          <w:p>
            <w:pPr>
              <w:spacing w:line="360" w:lineRule="auto"/>
              <w:ind w:right="840"/>
              <w:jc w:val="both"/>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采购人</w:t>
            </w:r>
            <w:r>
              <w:rPr>
                <w:rFonts w:hint="eastAsia" w:ascii="仿宋" w:hAnsi="仿宋" w:eastAsia="仿宋" w:cs="仿宋"/>
                <w:sz w:val="28"/>
                <w:szCs w:val="28"/>
              </w:rPr>
              <w:t>（盖章）</w:t>
            </w:r>
            <w:r>
              <w:rPr>
                <w:rFonts w:hint="eastAsia" w:ascii="仿宋" w:hAnsi="仿宋" w:eastAsia="仿宋" w:cs="仿宋"/>
                <w:sz w:val="28"/>
                <w:szCs w:val="28"/>
                <w:lang w:val="en-US" w:eastAsia="zh-CN"/>
              </w:rPr>
              <w:t xml:space="preserve">：阿瓦提县园林绿化环卫服务中心  </w:t>
            </w:r>
          </w:p>
          <w:p>
            <w:pPr>
              <w:spacing w:line="360" w:lineRule="auto"/>
              <w:ind w:right="960"/>
              <w:jc w:val="both"/>
              <w:rPr>
                <w:rFonts w:hint="eastAsia" w:ascii="仿宋" w:hAnsi="仿宋" w:eastAsia="仿宋" w:cs="仿宋"/>
                <w:b/>
                <w:sz w:val="40"/>
                <w:szCs w:val="32"/>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2023</w:t>
            </w:r>
            <w:r>
              <w:rPr>
                <w:rFonts w:hint="eastAsia" w:ascii="仿宋" w:hAnsi="仿宋" w:eastAsia="仿宋" w:cs="仿宋"/>
                <w:sz w:val="28"/>
                <w:szCs w:val="28"/>
              </w:rPr>
              <w:t>年</w:t>
            </w:r>
            <w:r>
              <w:rPr>
                <w:rFonts w:hint="eastAsia" w:ascii="仿宋" w:hAnsi="仿宋" w:eastAsia="仿宋" w:cs="仿宋"/>
                <w:sz w:val="28"/>
                <w:szCs w:val="28"/>
                <w:lang w:val="en-US" w:eastAsia="zh-CN"/>
              </w:rPr>
              <w:t>12</w:t>
            </w:r>
            <w:r>
              <w:rPr>
                <w:rFonts w:hint="eastAsia" w:ascii="仿宋" w:hAnsi="仿宋" w:eastAsia="仿宋" w:cs="仿宋"/>
                <w:sz w:val="28"/>
                <w:szCs w:val="28"/>
              </w:rPr>
              <w:t>月</w:t>
            </w:r>
            <w:r>
              <w:rPr>
                <w:rFonts w:hint="eastAsia" w:ascii="仿宋" w:hAnsi="仿宋" w:eastAsia="仿宋" w:cs="仿宋"/>
                <w:sz w:val="28"/>
                <w:szCs w:val="28"/>
                <w:lang w:val="en-US" w:eastAsia="zh-CN"/>
              </w:rPr>
              <w:t>25</w:t>
            </w:r>
            <w:r>
              <w:rPr>
                <w:rFonts w:hint="eastAsia" w:ascii="仿宋" w:hAnsi="仿宋" w:eastAsia="仿宋" w:cs="仿宋"/>
                <w:sz w:val="28"/>
                <w:szCs w:val="28"/>
              </w:rPr>
              <w:t>日</w:t>
            </w:r>
          </w:p>
        </w:tc>
      </w:tr>
    </w:tbl>
    <w:p>
      <w:pPr>
        <w:rPr>
          <w:rFonts w:hint="eastAsia" w:ascii="仿宋" w:hAnsi="仿宋" w:eastAsia="仿宋" w:cs="仿宋"/>
          <w:sz w:val="32"/>
          <w:szCs w:val="32"/>
        </w:rPr>
      </w:pPr>
      <w:r>
        <w:rPr>
          <w:rFonts w:hint="eastAsia" w:ascii="仿宋" w:hAnsi="仿宋" w:eastAsia="仿宋" w:cs="仿宋"/>
          <w:sz w:val="32"/>
          <w:szCs w:val="32"/>
        </w:rPr>
        <w:br w:type="page"/>
      </w:r>
    </w:p>
    <w:p>
      <w:pPr>
        <w:jc w:val="center"/>
        <w:rPr>
          <w:rFonts w:hint="eastAsia" w:ascii="仿宋" w:hAnsi="仿宋" w:eastAsia="仿宋" w:cs="仿宋"/>
          <w:sz w:val="32"/>
          <w:szCs w:val="32"/>
        </w:rPr>
      </w:pPr>
      <w:r>
        <w:rPr>
          <w:rFonts w:hint="eastAsia" w:ascii="仿宋" w:hAnsi="仿宋" w:eastAsia="仿宋" w:cs="仿宋"/>
          <w:sz w:val="32"/>
          <w:szCs w:val="32"/>
        </w:rPr>
        <w:t>目  录</w:t>
      </w:r>
    </w:p>
    <w:sdt>
      <w:sdtPr>
        <w:rPr>
          <w:rFonts w:hint="eastAsia" w:ascii="仿宋" w:hAnsi="仿宋" w:eastAsia="仿宋" w:cs="仿宋"/>
          <w:kern w:val="2"/>
          <w:sz w:val="21"/>
          <w:szCs w:val="24"/>
          <w:lang w:val="en-US" w:eastAsia="zh-CN" w:bidi="ar-SA"/>
        </w:rPr>
        <w:id w:val="147457632"/>
        <w15:color w:val="DBDBDB"/>
        <w:docPartObj>
          <w:docPartGallery w:val="Table of Contents"/>
          <w:docPartUnique/>
        </w:docPartObj>
      </w:sdtPr>
      <w:sdtEndPr>
        <w:rPr>
          <w:rFonts w:hint="eastAsia" w:ascii="仿宋" w:hAnsi="仿宋" w:eastAsia="仿宋" w:cs="仿宋"/>
          <w:b/>
          <w:kern w:val="2"/>
          <w:sz w:val="21"/>
          <w:szCs w:val="32"/>
          <w:lang w:val="en-US" w:eastAsia="zh-CN" w:bidi="ar-SA"/>
        </w:rPr>
      </w:sdtEndPr>
      <w:sdtContent>
        <w:p>
          <w:pPr>
            <w:spacing w:before="0" w:beforeLines="0" w:after="0" w:afterLines="0" w:line="240" w:lineRule="auto"/>
            <w:ind w:left="0" w:leftChars="0" w:right="0" w:rightChars="0" w:firstLine="0" w:firstLineChars="0"/>
            <w:jc w:val="center"/>
            <w:rPr>
              <w:rFonts w:hint="eastAsia" w:ascii="仿宋" w:hAnsi="仿宋" w:eastAsia="仿宋" w:cs="仿宋"/>
            </w:rPr>
          </w:pPr>
        </w:p>
        <w:p>
          <w:pPr>
            <w:pStyle w:val="32"/>
            <w:tabs>
              <w:tab w:val="right" w:leader="dot" w:pos="8306"/>
            </w:tabs>
            <w:rPr>
              <w:rFonts w:hint="eastAsia" w:ascii="仿宋" w:hAnsi="仿宋" w:eastAsia="仿宋" w:cs="仿宋"/>
              <w:b/>
            </w:rPr>
          </w:pP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TOC \o "1-2" \h \u </w:instrText>
          </w:r>
          <w:r>
            <w:rPr>
              <w:rFonts w:hint="eastAsia" w:ascii="仿宋" w:hAnsi="仿宋" w:eastAsia="仿宋" w:cs="仿宋"/>
              <w:sz w:val="32"/>
              <w:szCs w:val="32"/>
            </w:rPr>
            <w:fldChar w:fldCharType="separate"/>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b/>
              <w:sz w:val="24"/>
              <w:szCs w:val="24"/>
            </w:rPr>
          </w:pP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HYPERLINK \l _Toc11868 </w:instrText>
          </w:r>
          <w:r>
            <w:rPr>
              <w:rFonts w:hint="eastAsia" w:ascii="仿宋" w:hAnsi="仿宋" w:eastAsia="仿宋" w:cs="仿宋"/>
              <w:b/>
              <w:sz w:val="24"/>
              <w:szCs w:val="24"/>
            </w:rPr>
            <w:fldChar w:fldCharType="separate"/>
          </w:r>
          <w:r>
            <w:rPr>
              <w:rFonts w:hint="eastAsia" w:ascii="仿宋" w:hAnsi="仿宋" w:eastAsia="仿宋" w:cs="仿宋"/>
              <w:b/>
              <w:sz w:val="24"/>
              <w:szCs w:val="24"/>
            </w:rPr>
            <w:t xml:space="preserve">第一章 </w:t>
          </w:r>
          <w:r>
            <w:rPr>
              <w:rFonts w:hint="eastAsia" w:ascii="仿宋" w:hAnsi="仿宋" w:eastAsia="仿宋" w:cs="仿宋"/>
              <w:b/>
              <w:sz w:val="24"/>
              <w:szCs w:val="24"/>
              <w:lang w:val="en-US" w:eastAsia="zh-CN"/>
            </w:rPr>
            <w:t>公开招标公告</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_Toc11868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1</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_Toc21739 </w:instrText>
          </w:r>
          <w:r>
            <w:rPr>
              <w:rFonts w:hint="eastAsia" w:ascii="仿宋" w:hAnsi="仿宋" w:eastAsia="仿宋" w:cs="仿宋"/>
              <w:sz w:val="24"/>
              <w:szCs w:val="24"/>
            </w:rPr>
            <w:fldChar w:fldCharType="separate"/>
          </w:r>
          <w:r>
            <w:rPr>
              <w:rFonts w:hint="eastAsia" w:ascii="仿宋" w:hAnsi="仿宋" w:eastAsia="仿宋" w:cs="仿宋"/>
              <w:bCs/>
              <w:sz w:val="24"/>
              <w:szCs w:val="24"/>
            </w:rPr>
            <w:t>一、项目基本情况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_Toc21739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_Toc15364 </w:instrText>
          </w:r>
          <w:r>
            <w:rPr>
              <w:rFonts w:hint="eastAsia" w:ascii="仿宋" w:hAnsi="仿宋" w:eastAsia="仿宋" w:cs="仿宋"/>
              <w:sz w:val="24"/>
              <w:szCs w:val="24"/>
            </w:rPr>
            <w:fldChar w:fldCharType="separate"/>
          </w:r>
          <w:r>
            <w:rPr>
              <w:rFonts w:hint="eastAsia" w:ascii="仿宋" w:hAnsi="仿宋" w:eastAsia="仿宋" w:cs="仿宋"/>
              <w:bCs/>
              <w:sz w:val="24"/>
              <w:szCs w:val="24"/>
            </w:rPr>
            <w:t>二、申请人的资格要求：</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_Toc15364 \h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_Toc29084 </w:instrText>
          </w:r>
          <w:r>
            <w:rPr>
              <w:rFonts w:hint="eastAsia" w:ascii="仿宋" w:hAnsi="仿宋" w:eastAsia="仿宋" w:cs="仿宋"/>
              <w:sz w:val="24"/>
              <w:szCs w:val="24"/>
            </w:rPr>
            <w:fldChar w:fldCharType="separate"/>
          </w:r>
          <w:r>
            <w:rPr>
              <w:rFonts w:hint="eastAsia" w:ascii="仿宋" w:hAnsi="仿宋" w:eastAsia="仿宋" w:cs="仿宋"/>
              <w:bCs/>
              <w:sz w:val="24"/>
              <w:szCs w:val="24"/>
            </w:rPr>
            <w:t>三、获取招标文件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_Toc29084 \h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_Toc24224 </w:instrText>
          </w:r>
          <w:r>
            <w:rPr>
              <w:rFonts w:hint="eastAsia" w:ascii="仿宋" w:hAnsi="仿宋" w:eastAsia="仿宋" w:cs="仿宋"/>
              <w:sz w:val="24"/>
              <w:szCs w:val="24"/>
            </w:rPr>
            <w:fldChar w:fldCharType="separate"/>
          </w:r>
          <w:r>
            <w:rPr>
              <w:rFonts w:hint="eastAsia" w:ascii="仿宋" w:hAnsi="仿宋" w:eastAsia="仿宋" w:cs="仿宋"/>
              <w:bCs/>
              <w:sz w:val="24"/>
              <w:szCs w:val="24"/>
              <w:highlight w:val="none"/>
            </w:rPr>
            <w:t>四、提交投标文件截止时间、开标时间和地点</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_Toc24224 \h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_Toc17115 </w:instrText>
          </w:r>
          <w:r>
            <w:rPr>
              <w:rFonts w:hint="eastAsia" w:ascii="仿宋" w:hAnsi="仿宋" w:eastAsia="仿宋" w:cs="仿宋"/>
              <w:sz w:val="24"/>
              <w:szCs w:val="24"/>
            </w:rPr>
            <w:fldChar w:fldCharType="separate"/>
          </w:r>
          <w:r>
            <w:rPr>
              <w:rFonts w:hint="eastAsia" w:ascii="仿宋" w:hAnsi="仿宋" w:eastAsia="仿宋" w:cs="仿宋"/>
              <w:bCs/>
              <w:sz w:val="24"/>
              <w:szCs w:val="24"/>
            </w:rPr>
            <w:t>五、公告期限</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_Toc17115 \h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_Toc22084 </w:instrText>
          </w:r>
          <w:r>
            <w:rPr>
              <w:rFonts w:hint="eastAsia" w:ascii="仿宋" w:hAnsi="仿宋" w:eastAsia="仿宋" w:cs="仿宋"/>
              <w:sz w:val="24"/>
              <w:szCs w:val="24"/>
            </w:rPr>
            <w:fldChar w:fldCharType="separate"/>
          </w:r>
          <w:r>
            <w:rPr>
              <w:rFonts w:hint="eastAsia" w:ascii="仿宋" w:hAnsi="仿宋" w:eastAsia="仿宋" w:cs="仿宋"/>
              <w:bCs/>
              <w:sz w:val="24"/>
              <w:szCs w:val="24"/>
            </w:rPr>
            <w:t>六、其他补充事宜</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_Toc22084 \h </w:instrText>
          </w:r>
          <w:r>
            <w:rPr>
              <w:rFonts w:hint="eastAsia" w:ascii="仿宋" w:hAnsi="仿宋" w:eastAsia="仿宋" w:cs="仿宋"/>
              <w:sz w:val="24"/>
              <w:szCs w:val="24"/>
            </w:rPr>
            <w:fldChar w:fldCharType="separate"/>
          </w:r>
          <w:r>
            <w:rPr>
              <w:rFonts w:hint="eastAsia" w:ascii="仿宋" w:hAnsi="仿宋" w:eastAsia="仿宋" w:cs="仿宋"/>
              <w:sz w:val="24"/>
              <w:szCs w:val="24"/>
            </w:rPr>
            <w:t>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_Toc21999 </w:instrText>
          </w:r>
          <w:r>
            <w:rPr>
              <w:rFonts w:hint="eastAsia" w:ascii="仿宋" w:hAnsi="仿宋" w:eastAsia="仿宋" w:cs="仿宋"/>
              <w:sz w:val="24"/>
              <w:szCs w:val="24"/>
            </w:rPr>
            <w:fldChar w:fldCharType="separate"/>
          </w:r>
          <w:r>
            <w:rPr>
              <w:rFonts w:hint="eastAsia" w:ascii="仿宋" w:hAnsi="仿宋" w:eastAsia="仿宋" w:cs="仿宋"/>
              <w:bCs/>
              <w:sz w:val="24"/>
              <w:szCs w:val="24"/>
            </w:rPr>
            <w:t>七、对本次采购提出询问，请按以下方式联系</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_Toc21999 \h </w:instrText>
          </w:r>
          <w:r>
            <w:rPr>
              <w:rFonts w:hint="eastAsia" w:ascii="仿宋" w:hAnsi="仿宋" w:eastAsia="仿宋" w:cs="仿宋"/>
              <w:sz w:val="24"/>
              <w:szCs w:val="24"/>
            </w:rPr>
            <w:fldChar w:fldCharType="separate"/>
          </w:r>
          <w:r>
            <w:rPr>
              <w:rFonts w:hint="eastAsia" w:ascii="仿宋" w:hAnsi="仿宋" w:eastAsia="仿宋" w:cs="仿宋"/>
              <w:sz w:val="24"/>
              <w:szCs w:val="24"/>
            </w:rPr>
            <w:t>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b/>
              <w:sz w:val="24"/>
              <w:szCs w:val="24"/>
            </w:rPr>
          </w:pP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HYPERLINK \l _Toc31403 </w:instrText>
          </w:r>
          <w:r>
            <w:rPr>
              <w:rFonts w:hint="eastAsia" w:ascii="仿宋" w:hAnsi="仿宋" w:eastAsia="仿宋" w:cs="仿宋"/>
              <w:b/>
              <w:sz w:val="24"/>
              <w:szCs w:val="24"/>
            </w:rPr>
            <w:fldChar w:fldCharType="separate"/>
          </w:r>
          <w:r>
            <w:rPr>
              <w:rFonts w:hint="eastAsia" w:ascii="仿宋" w:hAnsi="仿宋" w:eastAsia="仿宋" w:cs="仿宋"/>
              <w:b/>
              <w:sz w:val="24"/>
              <w:szCs w:val="24"/>
            </w:rPr>
            <w:t>第二章 投标须知前附表</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_Toc31403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4</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b/>
              <w:sz w:val="24"/>
              <w:szCs w:val="24"/>
            </w:rPr>
          </w:pP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HYPERLINK \l _Toc27881 </w:instrText>
          </w:r>
          <w:r>
            <w:rPr>
              <w:rFonts w:hint="eastAsia" w:ascii="仿宋" w:hAnsi="仿宋" w:eastAsia="仿宋" w:cs="仿宋"/>
              <w:b/>
              <w:sz w:val="24"/>
              <w:szCs w:val="24"/>
            </w:rPr>
            <w:fldChar w:fldCharType="separate"/>
          </w:r>
          <w:r>
            <w:rPr>
              <w:rFonts w:hint="eastAsia" w:ascii="仿宋" w:hAnsi="仿宋" w:eastAsia="仿宋" w:cs="仿宋"/>
              <w:b/>
              <w:sz w:val="24"/>
              <w:szCs w:val="24"/>
            </w:rPr>
            <w:t>第三章 投标人须知</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_Toc27881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9</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_Toc20936 </w:instrText>
          </w:r>
          <w:r>
            <w:rPr>
              <w:rFonts w:hint="eastAsia" w:ascii="仿宋" w:hAnsi="仿宋" w:eastAsia="仿宋" w:cs="仿宋"/>
              <w:sz w:val="24"/>
              <w:szCs w:val="24"/>
            </w:rPr>
            <w:fldChar w:fldCharType="separate"/>
          </w:r>
          <w:r>
            <w:rPr>
              <w:rFonts w:hint="eastAsia" w:ascii="仿宋" w:hAnsi="仿宋" w:eastAsia="仿宋" w:cs="仿宋"/>
              <w:bCs/>
              <w:sz w:val="24"/>
              <w:szCs w:val="24"/>
            </w:rPr>
            <w:t>一、 说 明</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_Toc20936 \h </w:instrText>
          </w:r>
          <w:r>
            <w:rPr>
              <w:rFonts w:hint="eastAsia" w:ascii="仿宋" w:hAnsi="仿宋" w:eastAsia="仿宋" w:cs="仿宋"/>
              <w:sz w:val="24"/>
              <w:szCs w:val="24"/>
            </w:rPr>
            <w:fldChar w:fldCharType="separate"/>
          </w:r>
          <w:r>
            <w:rPr>
              <w:rFonts w:hint="eastAsia" w:ascii="仿宋" w:hAnsi="仿宋" w:eastAsia="仿宋" w:cs="仿宋"/>
              <w:sz w:val="24"/>
              <w:szCs w:val="24"/>
            </w:rPr>
            <w:t>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_Toc6547 </w:instrText>
          </w:r>
          <w:r>
            <w:rPr>
              <w:rFonts w:hint="eastAsia" w:ascii="仿宋" w:hAnsi="仿宋" w:eastAsia="仿宋" w:cs="仿宋"/>
              <w:sz w:val="24"/>
              <w:szCs w:val="24"/>
            </w:rPr>
            <w:fldChar w:fldCharType="separate"/>
          </w:r>
          <w:r>
            <w:rPr>
              <w:rFonts w:hint="eastAsia" w:ascii="仿宋" w:hAnsi="仿宋" w:eastAsia="仿宋" w:cs="仿宋"/>
              <w:bCs/>
              <w:sz w:val="24"/>
              <w:szCs w:val="24"/>
              <w:lang w:val="en-US" w:eastAsia="zh-CN"/>
            </w:rPr>
            <w:t>二、 招标文件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_Toc6547 \h </w:instrText>
          </w:r>
          <w:r>
            <w:rPr>
              <w:rFonts w:hint="eastAsia" w:ascii="仿宋" w:hAnsi="仿宋" w:eastAsia="仿宋" w:cs="仿宋"/>
              <w:sz w:val="24"/>
              <w:szCs w:val="24"/>
            </w:rPr>
            <w:fldChar w:fldCharType="separate"/>
          </w:r>
          <w:r>
            <w:rPr>
              <w:rFonts w:hint="eastAsia" w:ascii="仿宋" w:hAnsi="仿宋" w:eastAsia="仿宋" w:cs="仿宋"/>
              <w:sz w:val="24"/>
              <w:szCs w:val="24"/>
            </w:rPr>
            <w:t>14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_Toc9070 </w:instrText>
          </w:r>
          <w:r>
            <w:rPr>
              <w:rFonts w:hint="eastAsia" w:ascii="仿宋" w:hAnsi="仿宋" w:eastAsia="仿宋" w:cs="仿宋"/>
              <w:sz w:val="24"/>
              <w:szCs w:val="24"/>
            </w:rPr>
            <w:fldChar w:fldCharType="separate"/>
          </w:r>
          <w:r>
            <w:rPr>
              <w:rFonts w:hint="eastAsia" w:ascii="仿宋" w:hAnsi="仿宋" w:eastAsia="仿宋" w:cs="仿宋"/>
              <w:bCs/>
              <w:sz w:val="24"/>
              <w:szCs w:val="24"/>
              <w:lang w:val="en-US" w:eastAsia="zh-CN"/>
            </w:rPr>
            <w:t>三、 投标文件的编制</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_Toc9070 \h </w:instrText>
          </w:r>
          <w:r>
            <w:rPr>
              <w:rFonts w:hint="eastAsia" w:ascii="仿宋" w:hAnsi="仿宋" w:eastAsia="仿宋" w:cs="仿宋"/>
              <w:sz w:val="24"/>
              <w:szCs w:val="24"/>
            </w:rPr>
            <w:fldChar w:fldCharType="separate"/>
          </w:r>
          <w:r>
            <w:rPr>
              <w:rFonts w:hint="eastAsia" w:ascii="仿宋" w:hAnsi="仿宋" w:eastAsia="仿宋" w:cs="仿宋"/>
              <w:sz w:val="24"/>
              <w:szCs w:val="24"/>
            </w:rPr>
            <w:t>16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_Toc21719 </w:instrText>
          </w:r>
          <w:r>
            <w:rPr>
              <w:rFonts w:hint="eastAsia" w:ascii="仿宋" w:hAnsi="仿宋" w:eastAsia="仿宋" w:cs="仿宋"/>
              <w:sz w:val="24"/>
              <w:szCs w:val="24"/>
            </w:rPr>
            <w:fldChar w:fldCharType="separate"/>
          </w:r>
          <w:r>
            <w:rPr>
              <w:rFonts w:hint="eastAsia" w:ascii="仿宋" w:hAnsi="仿宋" w:eastAsia="仿宋" w:cs="仿宋"/>
              <w:bCs/>
              <w:sz w:val="24"/>
              <w:szCs w:val="24"/>
              <w:lang w:val="en-US" w:eastAsia="zh-CN"/>
            </w:rPr>
            <w:t>四、 投标文件的提交</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_Toc21719 \h </w:instrText>
          </w:r>
          <w:r>
            <w:rPr>
              <w:rFonts w:hint="eastAsia" w:ascii="仿宋" w:hAnsi="仿宋" w:eastAsia="仿宋" w:cs="仿宋"/>
              <w:sz w:val="24"/>
              <w:szCs w:val="24"/>
            </w:rPr>
            <w:fldChar w:fldCharType="separate"/>
          </w:r>
          <w:r>
            <w:rPr>
              <w:rFonts w:hint="eastAsia" w:ascii="仿宋" w:hAnsi="仿宋" w:eastAsia="仿宋" w:cs="仿宋"/>
              <w:sz w:val="24"/>
              <w:szCs w:val="24"/>
            </w:rPr>
            <w:t>20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_Toc15263 </w:instrText>
          </w:r>
          <w:r>
            <w:rPr>
              <w:rFonts w:hint="eastAsia" w:ascii="仿宋" w:hAnsi="仿宋" w:eastAsia="仿宋" w:cs="仿宋"/>
              <w:sz w:val="24"/>
              <w:szCs w:val="24"/>
            </w:rPr>
            <w:fldChar w:fldCharType="separate"/>
          </w:r>
          <w:r>
            <w:rPr>
              <w:rFonts w:hint="eastAsia" w:ascii="仿宋" w:hAnsi="仿宋" w:eastAsia="仿宋" w:cs="仿宋"/>
              <w:bCs/>
              <w:sz w:val="24"/>
              <w:szCs w:val="24"/>
              <w:lang w:val="en-US" w:eastAsia="zh-CN"/>
            </w:rPr>
            <w:t>五、 开标、资格审查及评标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_Toc15263 \h </w:instrText>
          </w:r>
          <w:r>
            <w:rPr>
              <w:rFonts w:hint="eastAsia" w:ascii="仿宋" w:hAnsi="仿宋" w:eastAsia="仿宋" w:cs="仿宋"/>
              <w:sz w:val="24"/>
              <w:szCs w:val="24"/>
            </w:rPr>
            <w:fldChar w:fldCharType="separate"/>
          </w:r>
          <w:r>
            <w:rPr>
              <w:rFonts w:hint="eastAsia" w:ascii="仿宋" w:hAnsi="仿宋" w:eastAsia="仿宋" w:cs="仿宋"/>
              <w:sz w:val="24"/>
              <w:szCs w:val="24"/>
            </w:rPr>
            <w:t>21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_Toc7787 </w:instrText>
          </w:r>
          <w:r>
            <w:rPr>
              <w:rFonts w:hint="eastAsia" w:ascii="仿宋" w:hAnsi="仿宋" w:eastAsia="仿宋" w:cs="仿宋"/>
              <w:sz w:val="24"/>
              <w:szCs w:val="24"/>
            </w:rPr>
            <w:fldChar w:fldCharType="separate"/>
          </w:r>
          <w:r>
            <w:rPr>
              <w:rFonts w:hint="eastAsia" w:ascii="仿宋" w:hAnsi="仿宋" w:eastAsia="仿宋" w:cs="仿宋"/>
              <w:bCs/>
              <w:sz w:val="24"/>
              <w:szCs w:val="24"/>
              <w:lang w:val="en-US" w:eastAsia="zh-CN"/>
            </w:rPr>
            <w:t>六、 确定中标</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_Toc7787 \h </w:instrText>
          </w:r>
          <w:r>
            <w:rPr>
              <w:rFonts w:hint="eastAsia" w:ascii="仿宋" w:hAnsi="仿宋" w:eastAsia="仿宋" w:cs="仿宋"/>
              <w:sz w:val="24"/>
              <w:szCs w:val="24"/>
            </w:rPr>
            <w:fldChar w:fldCharType="separate"/>
          </w:r>
          <w:r>
            <w:rPr>
              <w:rFonts w:hint="eastAsia" w:ascii="仿宋" w:hAnsi="仿宋" w:eastAsia="仿宋" w:cs="仿宋"/>
              <w:sz w:val="24"/>
              <w:szCs w:val="24"/>
            </w:rPr>
            <w:t>23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b/>
              <w:sz w:val="24"/>
              <w:szCs w:val="24"/>
            </w:rPr>
          </w:pP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HYPERLINK \l _Toc22543 </w:instrText>
          </w:r>
          <w:r>
            <w:rPr>
              <w:rFonts w:hint="eastAsia" w:ascii="仿宋" w:hAnsi="仿宋" w:eastAsia="仿宋" w:cs="仿宋"/>
              <w:b/>
              <w:sz w:val="24"/>
              <w:szCs w:val="24"/>
            </w:rPr>
            <w:fldChar w:fldCharType="separate"/>
          </w:r>
          <w:r>
            <w:rPr>
              <w:rFonts w:hint="eastAsia" w:ascii="仿宋" w:hAnsi="仿宋" w:eastAsia="仿宋" w:cs="仿宋"/>
              <w:b/>
              <w:sz w:val="24"/>
              <w:szCs w:val="24"/>
              <w:lang w:val="en-US" w:eastAsia="zh-CN"/>
            </w:rPr>
            <w:t>第四章 政府采购合同</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_Toc22543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26</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HYPERLINK \l _Toc20159 </w:instrText>
          </w:r>
          <w:r>
            <w:rPr>
              <w:rFonts w:hint="eastAsia" w:ascii="仿宋" w:hAnsi="仿宋" w:eastAsia="仿宋" w:cs="仿宋"/>
              <w:b/>
              <w:sz w:val="24"/>
              <w:szCs w:val="24"/>
            </w:rPr>
            <w:fldChar w:fldCharType="separate"/>
          </w:r>
          <w:r>
            <w:rPr>
              <w:rFonts w:hint="eastAsia" w:ascii="仿宋" w:hAnsi="仿宋" w:eastAsia="仿宋" w:cs="仿宋"/>
              <w:b/>
              <w:sz w:val="24"/>
              <w:szCs w:val="24"/>
              <w:lang w:val="en-US" w:eastAsia="zh-CN"/>
            </w:rPr>
            <w:t>第五章 采购需求</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_Toc20159 \h </w:instrText>
          </w:r>
          <w:r>
            <w:rPr>
              <w:rFonts w:hint="eastAsia" w:ascii="仿宋" w:hAnsi="仿宋" w:eastAsia="仿宋" w:cs="仿宋"/>
              <w:b/>
              <w:sz w:val="24"/>
              <w:szCs w:val="24"/>
            </w:rPr>
            <w:fldChar w:fldCharType="separate"/>
          </w:r>
          <w:r>
            <w:rPr>
              <w:b/>
            </w:rPr>
            <w:t>错误！未定义书签。</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b/>
              <w:sz w:val="24"/>
              <w:szCs w:val="24"/>
            </w:rPr>
          </w:pP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HYPERLINK \l _Toc21893 </w:instrText>
          </w:r>
          <w:r>
            <w:rPr>
              <w:rFonts w:hint="eastAsia" w:ascii="仿宋" w:hAnsi="仿宋" w:eastAsia="仿宋" w:cs="仿宋"/>
              <w:b/>
              <w:sz w:val="24"/>
              <w:szCs w:val="24"/>
            </w:rPr>
            <w:fldChar w:fldCharType="separate"/>
          </w:r>
          <w:r>
            <w:rPr>
              <w:rFonts w:hint="eastAsia" w:ascii="仿宋" w:hAnsi="仿宋" w:eastAsia="仿宋" w:cs="仿宋"/>
              <w:b/>
              <w:sz w:val="24"/>
              <w:szCs w:val="24"/>
              <w:lang w:val="en-US" w:eastAsia="zh-CN"/>
            </w:rPr>
            <w:t>第六章 评标程序、评标方法和评标标准</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_Toc21893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40</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_Toc27440 </w:instrText>
          </w:r>
          <w:r>
            <w:rPr>
              <w:rFonts w:hint="eastAsia" w:ascii="仿宋" w:hAnsi="仿宋" w:eastAsia="仿宋" w:cs="仿宋"/>
              <w:sz w:val="24"/>
              <w:szCs w:val="24"/>
            </w:rPr>
            <w:fldChar w:fldCharType="separate"/>
          </w:r>
          <w:r>
            <w:rPr>
              <w:rFonts w:hint="eastAsia" w:ascii="仿宋" w:hAnsi="仿宋" w:eastAsia="仿宋" w:cs="仿宋"/>
              <w:bCs/>
              <w:sz w:val="24"/>
              <w:szCs w:val="24"/>
              <w:lang w:val="en-US" w:eastAsia="zh-CN"/>
            </w:rPr>
            <w:t>1. 评标方法</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_Toc27440 \h </w:instrText>
          </w:r>
          <w:r>
            <w:rPr>
              <w:rFonts w:hint="eastAsia" w:ascii="仿宋" w:hAnsi="仿宋" w:eastAsia="仿宋" w:cs="仿宋"/>
              <w:sz w:val="24"/>
              <w:szCs w:val="24"/>
            </w:rPr>
            <w:fldChar w:fldCharType="separate"/>
          </w:r>
          <w:r>
            <w:rPr>
              <w:rFonts w:hint="eastAsia" w:ascii="仿宋" w:hAnsi="仿宋" w:eastAsia="仿宋" w:cs="仿宋"/>
              <w:sz w:val="24"/>
              <w:szCs w:val="24"/>
            </w:rPr>
            <w:t>40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_Toc12617 </w:instrText>
          </w:r>
          <w:r>
            <w:rPr>
              <w:rFonts w:hint="eastAsia" w:ascii="仿宋" w:hAnsi="仿宋" w:eastAsia="仿宋" w:cs="仿宋"/>
              <w:sz w:val="24"/>
              <w:szCs w:val="24"/>
            </w:rPr>
            <w:fldChar w:fldCharType="separate"/>
          </w:r>
          <w:r>
            <w:rPr>
              <w:rFonts w:hint="eastAsia" w:ascii="仿宋" w:hAnsi="仿宋" w:eastAsia="仿宋" w:cs="仿宋"/>
              <w:bCs/>
              <w:sz w:val="24"/>
              <w:szCs w:val="24"/>
              <w:lang w:val="en-US" w:eastAsia="zh-CN"/>
            </w:rPr>
            <w:t>2. 评标原则</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_Toc12617 \h </w:instrText>
          </w:r>
          <w:r>
            <w:rPr>
              <w:rFonts w:hint="eastAsia" w:ascii="仿宋" w:hAnsi="仿宋" w:eastAsia="仿宋" w:cs="仿宋"/>
              <w:sz w:val="24"/>
              <w:szCs w:val="24"/>
            </w:rPr>
            <w:fldChar w:fldCharType="separate"/>
          </w:r>
          <w:r>
            <w:rPr>
              <w:rFonts w:hint="eastAsia" w:ascii="仿宋" w:hAnsi="仿宋" w:eastAsia="仿宋" w:cs="仿宋"/>
              <w:sz w:val="24"/>
              <w:szCs w:val="24"/>
            </w:rPr>
            <w:t>40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_Toc6046 </w:instrText>
          </w:r>
          <w:r>
            <w:rPr>
              <w:rFonts w:hint="eastAsia" w:ascii="仿宋" w:hAnsi="仿宋" w:eastAsia="仿宋" w:cs="仿宋"/>
              <w:sz w:val="24"/>
              <w:szCs w:val="24"/>
            </w:rPr>
            <w:fldChar w:fldCharType="separate"/>
          </w:r>
          <w:r>
            <w:rPr>
              <w:rFonts w:hint="eastAsia" w:ascii="仿宋" w:hAnsi="仿宋" w:eastAsia="仿宋" w:cs="仿宋"/>
              <w:bCs/>
              <w:sz w:val="24"/>
              <w:szCs w:val="24"/>
              <w:lang w:val="en-US" w:eastAsia="zh-CN"/>
            </w:rPr>
            <w:t>3. 资格审查</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_Toc6046 \h </w:instrText>
          </w:r>
          <w:r>
            <w:rPr>
              <w:rFonts w:hint="eastAsia" w:ascii="仿宋" w:hAnsi="仿宋" w:eastAsia="仿宋" w:cs="仿宋"/>
              <w:sz w:val="24"/>
              <w:szCs w:val="24"/>
            </w:rPr>
            <w:fldChar w:fldCharType="separate"/>
          </w:r>
          <w:r>
            <w:rPr>
              <w:rFonts w:hint="eastAsia" w:ascii="仿宋" w:hAnsi="仿宋" w:eastAsia="仿宋" w:cs="仿宋"/>
              <w:sz w:val="24"/>
              <w:szCs w:val="24"/>
            </w:rPr>
            <w:t>40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_Toc4337 </w:instrText>
          </w:r>
          <w:r>
            <w:rPr>
              <w:rFonts w:hint="eastAsia" w:ascii="仿宋" w:hAnsi="仿宋" w:eastAsia="仿宋" w:cs="仿宋"/>
              <w:sz w:val="24"/>
              <w:szCs w:val="24"/>
            </w:rPr>
            <w:fldChar w:fldCharType="separate"/>
          </w:r>
          <w:r>
            <w:rPr>
              <w:rFonts w:hint="eastAsia" w:ascii="仿宋" w:hAnsi="仿宋" w:eastAsia="仿宋" w:cs="仿宋"/>
              <w:bCs/>
              <w:sz w:val="24"/>
              <w:szCs w:val="24"/>
              <w:lang w:val="en-US" w:eastAsia="zh-CN"/>
            </w:rPr>
            <w:t>4. 符合性审查</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_Toc4337 \h </w:instrText>
          </w:r>
          <w:r>
            <w:rPr>
              <w:rFonts w:hint="eastAsia" w:ascii="仿宋" w:hAnsi="仿宋" w:eastAsia="仿宋" w:cs="仿宋"/>
              <w:sz w:val="24"/>
              <w:szCs w:val="24"/>
            </w:rPr>
            <w:fldChar w:fldCharType="separate"/>
          </w:r>
          <w:r>
            <w:rPr>
              <w:rFonts w:hint="eastAsia" w:ascii="仿宋" w:hAnsi="仿宋" w:eastAsia="仿宋" w:cs="仿宋"/>
              <w:sz w:val="24"/>
              <w:szCs w:val="24"/>
            </w:rPr>
            <w:t>42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_Toc23924 </w:instrText>
          </w:r>
          <w:r>
            <w:rPr>
              <w:rFonts w:hint="eastAsia" w:ascii="仿宋" w:hAnsi="仿宋" w:eastAsia="仿宋" w:cs="仿宋"/>
              <w:sz w:val="24"/>
              <w:szCs w:val="24"/>
            </w:rPr>
            <w:fldChar w:fldCharType="separate"/>
          </w:r>
          <w:r>
            <w:rPr>
              <w:rFonts w:hint="eastAsia" w:ascii="仿宋" w:hAnsi="仿宋" w:eastAsia="仿宋" w:cs="仿宋"/>
              <w:bCs/>
              <w:sz w:val="24"/>
              <w:szCs w:val="24"/>
              <w:lang w:val="en-US" w:eastAsia="zh-CN"/>
            </w:rPr>
            <w:t>5. 投标文件有关事项的澄清或者说明</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_Toc23924 \h </w:instrText>
          </w:r>
          <w:r>
            <w:rPr>
              <w:rFonts w:hint="eastAsia" w:ascii="仿宋" w:hAnsi="仿宋" w:eastAsia="仿宋" w:cs="仿宋"/>
              <w:sz w:val="24"/>
              <w:szCs w:val="24"/>
            </w:rPr>
            <w:fldChar w:fldCharType="separate"/>
          </w:r>
          <w:r>
            <w:rPr>
              <w:rFonts w:hint="eastAsia" w:ascii="仿宋" w:hAnsi="仿宋" w:eastAsia="仿宋" w:cs="仿宋"/>
              <w:sz w:val="24"/>
              <w:szCs w:val="24"/>
            </w:rPr>
            <w:t>43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3"/>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_Toc22049 </w:instrText>
          </w:r>
          <w:r>
            <w:rPr>
              <w:rFonts w:hint="eastAsia" w:ascii="仿宋" w:hAnsi="仿宋" w:eastAsia="仿宋" w:cs="仿宋"/>
              <w:sz w:val="24"/>
              <w:szCs w:val="24"/>
            </w:rPr>
            <w:fldChar w:fldCharType="separate"/>
          </w:r>
          <w:r>
            <w:rPr>
              <w:rFonts w:hint="eastAsia" w:ascii="仿宋" w:hAnsi="仿宋" w:eastAsia="仿宋" w:cs="仿宋"/>
              <w:bCs/>
              <w:sz w:val="24"/>
              <w:szCs w:val="24"/>
              <w:lang w:val="en-US" w:eastAsia="zh-CN"/>
            </w:rPr>
            <w:t>6. 详细评审</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_Toc22049 \h </w:instrText>
          </w:r>
          <w:r>
            <w:rPr>
              <w:rFonts w:hint="eastAsia" w:ascii="仿宋" w:hAnsi="仿宋" w:eastAsia="仿宋" w:cs="仿宋"/>
              <w:sz w:val="24"/>
              <w:szCs w:val="24"/>
            </w:rPr>
            <w:fldChar w:fldCharType="separate"/>
          </w:r>
          <w:r>
            <w:rPr>
              <w:rFonts w:hint="eastAsia" w:ascii="仿宋" w:hAnsi="仿宋" w:eastAsia="仿宋" w:cs="仿宋"/>
              <w:sz w:val="24"/>
              <w:szCs w:val="24"/>
            </w:rPr>
            <w:t>44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32"/>
            <w:keepNext w:val="0"/>
            <w:keepLines w:val="0"/>
            <w:pageBreakBefore w:val="0"/>
            <w:widowControl/>
            <w:tabs>
              <w:tab w:val="right" w:leader="dot" w:pos="8306"/>
            </w:tabs>
            <w:kinsoku/>
            <w:wordWrap/>
            <w:overflowPunct/>
            <w:topLinePunct w:val="0"/>
            <w:autoSpaceDE/>
            <w:autoSpaceDN/>
            <w:bidi w:val="0"/>
            <w:adjustRightInd/>
            <w:snapToGrid/>
            <w:spacing w:line="400" w:lineRule="exact"/>
            <w:textAlignment w:val="auto"/>
            <w:rPr>
              <w:rFonts w:hint="eastAsia" w:ascii="仿宋" w:hAnsi="仿宋" w:eastAsia="仿宋" w:cs="仿宋"/>
              <w:b/>
              <w:sz w:val="24"/>
              <w:szCs w:val="24"/>
            </w:rPr>
          </w:pP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HYPERLINK \l _Toc31337 </w:instrText>
          </w:r>
          <w:r>
            <w:rPr>
              <w:rFonts w:hint="eastAsia" w:ascii="仿宋" w:hAnsi="仿宋" w:eastAsia="仿宋" w:cs="仿宋"/>
              <w:b/>
              <w:sz w:val="24"/>
              <w:szCs w:val="24"/>
            </w:rPr>
            <w:fldChar w:fldCharType="separate"/>
          </w:r>
          <w:r>
            <w:rPr>
              <w:rFonts w:hint="eastAsia" w:ascii="仿宋" w:hAnsi="仿宋" w:eastAsia="仿宋" w:cs="仿宋"/>
              <w:b/>
              <w:sz w:val="24"/>
              <w:szCs w:val="24"/>
              <w:lang w:val="en-US" w:eastAsia="zh-CN"/>
            </w:rPr>
            <w:t>第七章 投标文件格式</w:t>
          </w:r>
          <w:r>
            <w:rPr>
              <w:rFonts w:hint="eastAsia" w:ascii="仿宋" w:hAnsi="仿宋" w:eastAsia="仿宋" w:cs="仿宋"/>
              <w:b/>
              <w:sz w:val="24"/>
              <w:szCs w:val="24"/>
            </w:rPr>
            <w:tab/>
          </w:r>
          <w:r>
            <w:rPr>
              <w:rFonts w:hint="eastAsia" w:ascii="仿宋" w:hAnsi="仿宋" w:eastAsia="仿宋" w:cs="仿宋"/>
              <w:b/>
              <w:sz w:val="24"/>
              <w:szCs w:val="24"/>
            </w:rPr>
            <w:fldChar w:fldCharType="begin"/>
          </w:r>
          <w:r>
            <w:rPr>
              <w:rFonts w:hint="eastAsia" w:ascii="仿宋" w:hAnsi="仿宋" w:eastAsia="仿宋" w:cs="仿宋"/>
              <w:b/>
              <w:sz w:val="24"/>
              <w:szCs w:val="24"/>
            </w:rPr>
            <w:instrText xml:space="preserve"> PAGEREF _Toc31337 \h </w:instrText>
          </w:r>
          <w:r>
            <w:rPr>
              <w:rFonts w:hint="eastAsia" w:ascii="仿宋" w:hAnsi="仿宋" w:eastAsia="仿宋" w:cs="仿宋"/>
              <w:b/>
              <w:sz w:val="24"/>
              <w:szCs w:val="24"/>
            </w:rPr>
            <w:fldChar w:fldCharType="separate"/>
          </w:r>
          <w:r>
            <w:rPr>
              <w:rFonts w:hint="eastAsia" w:ascii="仿宋" w:hAnsi="仿宋" w:eastAsia="仿宋" w:cs="仿宋"/>
              <w:b/>
              <w:sz w:val="24"/>
              <w:szCs w:val="24"/>
            </w:rPr>
            <w:t>49</w:t>
          </w:r>
          <w:r>
            <w:rPr>
              <w:rFonts w:hint="eastAsia" w:ascii="仿宋" w:hAnsi="仿宋" w:eastAsia="仿宋" w:cs="仿宋"/>
              <w:b/>
              <w:sz w:val="24"/>
              <w:szCs w:val="24"/>
            </w:rPr>
            <w:fldChar w:fldCharType="end"/>
          </w:r>
          <w:r>
            <w:rPr>
              <w:rFonts w:hint="eastAsia" w:ascii="仿宋" w:hAnsi="仿宋" w:eastAsia="仿宋" w:cs="仿宋"/>
              <w:b/>
              <w:sz w:val="24"/>
              <w:szCs w:val="24"/>
            </w:rPr>
            <w:fldChar w:fldCharType="end"/>
          </w:r>
        </w:p>
        <w:p>
          <w:pPr>
            <w:pStyle w:val="33"/>
            <w:tabs>
              <w:tab w:val="right" w:leader="dot" w:pos="8306"/>
            </w:tabs>
            <w:rPr>
              <w:rFonts w:hint="eastAsia" w:ascii="仿宋" w:hAnsi="仿宋" w:eastAsia="仿宋" w:cs="仿宋"/>
            </w:rPr>
          </w:pPr>
        </w:p>
        <w:p>
          <w:pPr>
            <w:jc w:val="both"/>
            <w:rPr>
              <w:rFonts w:hint="eastAsia" w:ascii="仿宋" w:hAnsi="仿宋" w:eastAsia="仿宋" w:cs="仿宋"/>
              <w:sz w:val="32"/>
              <w:szCs w:val="32"/>
            </w:rPr>
          </w:pPr>
          <w:r>
            <w:rPr>
              <w:rFonts w:hint="eastAsia" w:ascii="仿宋" w:hAnsi="仿宋" w:eastAsia="仿宋" w:cs="仿宋"/>
              <w:b/>
              <w:szCs w:val="32"/>
            </w:rPr>
            <w:fldChar w:fldCharType="end"/>
          </w:r>
        </w:p>
      </w:sdtContent>
    </w:sdt>
    <w:p>
      <w:pPr>
        <w:pStyle w:val="11"/>
        <w:numPr>
          <w:ilvl w:val="0"/>
          <w:numId w:val="1"/>
        </w:numPr>
        <w:bidi w:val="0"/>
        <w:jc w:val="center"/>
        <w:rPr>
          <w:rFonts w:hint="eastAsia" w:ascii="仿宋" w:hAnsi="仿宋" w:eastAsia="仿宋" w:cs="仿宋"/>
          <w:sz w:val="32"/>
          <w:szCs w:val="32"/>
        </w:rPr>
        <w:sectPr>
          <w:headerReference r:id="rId3"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bookmarkStart w:id="0" w:name="_Toc11868"/>
    </w:p>
    <w:p>
      <w:pPr>
        <w:pStyle w:val="11"/>
        <w:numPr>
          <w:ilvl w:val="0"/>
          <w:numId w:val="1"/>
        </w:numPr>
        <w:bidi w:val="0"/>
        <w:jc w:val="center"/>
        <w:rPr>
          <w:rFonts w:hint="eastAsia" w:ascii="仿宋" w:hAnsi="仿宋" w:eastAsia="仿宋" w:cs="仿宋"/>
          <w:sz w:val="32"/>
          <w:szCs w:val="32"/>
        </w:rPr>
      </w:pPr>
      <w:r>
        <w:rPr>
          <w:rFonts w:hint="eastAsia" w:ascii="仿宋" w:hAnsi="仿宋" w:eastAsia="仿宋" w:cs="仿宋"/>
          <w:sz w:val="32"/>
          <w:szCs w:val="32"/>
          <w:lang w:val="en-US" w:eastAsia="zh-CN"/>
        </w:rPr>
        <w:t>公开招标</w:t>
      </w:r>
      <w:r>
        <w:rPr>
          <w:rFonts w:hint="eastAsia" w:ascii="仿宋" w:hAnsi="仿宋" w:eastAsia="仿宋" w:cs="仿宋"/>
          <w:sz w:val="32"/>
          <w:szCs w:val="32"/>
        </w:rPr>
        <w:t>公告</w:t>
      </w:r>
      <w:bookmarkEnd w:id="0"/>
    </w:p>
    <w:p>
      <w:pPr>
        <w:pStyle w:val="35"/>
        <w:spacing w:line="480" w:lineRule="exact"/>
        <w:ind w:left="-199" w:leftChars="-190" w:right="-506" w:rightChars="-241" w:hanging="200" w:hangingChars="71"/>
        <w:jc w:val="center"/>
        <w:outlineLvl w:val="1"/>
        <w:rPr>
          <w:rFonts w:hint="eastAsia" w:ascii="仿宋" w:hAnsi="仿宋" w:eastAsia="仿宋" w:cs="仿宋"/>
          <w:b/>
          <w:bCs/>
          <w:sz w:val="28"/>
          <w:szCs w:val="28"/>
          <w:highlight w:val="none"/>
          <w:lang w:val="en-US" w:eastAsia="zh-CN"/>
        </w:rPr>
      </w:pPr>
      <w:bookmarkStart w:id="1" w:name="_Toc32324"/>
      <w:bookmarkStart w:id="2" w:name="_Toc13443"/>
      <w:bookmarkStart w:id="3" w:name="_Toc6693"/>
      <w:bookmarkStart w:id="4" w:name="_Toc21739"/>
      <w:r>
        <w:rPr>
          <w:rFonts w:hint="eastAsia" w:ascii="仿宋" w:hAnsi="仿宋" w:eastAsia="仿宋" w:cs="仿宋"/>
          <w:b/>
          <w:bCs/>
          <w:sz w:val="28"/>
          <w:szCs w:val="28"/>
          <w:highlight w:val="none"/>
          <w:lang w:val="en-US" w:eastAsia="zh-CN"/>
        </w:rPr>
        <w:t>阿克苏地区阿瓦提县2023年城市垃圾分类建设项目施工服务（二次）</w:t>
      </w:r>
    </w:p>
    <w:p>
      <w:pPr>
        <w:pStyle w:val="35"/>
        <w:spacing w:line="480" w:lineRule="exact"/>
        <w:ind w:left="-199" w:leftChars="-190" w:right="-506" w:rightChars="-241" w:hanging="200" w:hangingChars="71"/>
        <w:jc w:val="center"/>
        <w:outlineLvl w:val="1"/>
        <w:rPr>
          <w:rFonts w:hint="eastAsia" w:ascii="仿宋" w:hAnsi="仿宋" w:eastAsia="仿宋" w:cs="仿宋"/>
          <w:b/>
          <w:bCs/>
          <w:sz w:val="28"/>
          <w:szCs w:val="28"/>
          <w:highlight w:val="none"/>
        </w:rPr>
      </w:pPr>
      <w:r>
        <w:rPr>
          <w:rFonts w:hint="eastAsia" w:ascii="仿宋" w:hAnsi="仿宋" w:eastAsia="仿宋" w:cs="仿宋"/>
          <w:b/>
          <w:bCs/>
          <w:sz w:val="28"/>
          <w:szCs w:val="28"/>
          <w:highlight w:val="none"/>
          <w:lang w:val="en-US" w:eastAsia="zh-CN"/>
        </w:rPr>
        <w:t>公开招标</w:t>
      </w:r>
      <w:r>
        <w:rPr>
          <w:rFonts w:hint="eastAsia" w:ascii="仿宋" w:hAnsi="仿宋" w:eastAsia="仿宋" w:cs="仿宋"/>
          <w:b/>
          <w:bCs/>
          <w:sz w:val="28"/>
          <w:szCs w:val="28"/>
          <w:highlight w:val="none"/>
        </w:rPr>
        <w:t>公告</w:t>
      </w:r>
      <w:bookmarkEnd w:id="1"/>
      <w:bookmarkEnd w:id="2"/>
      <w:bookmarkEnd w:id="3"/>
    </w:p>
    <w:p>
      <w:pPr>
        <w:pStyle w:val="37"/>
        <w:pBdr>
          <w:top w:val="single" w:color="auto" w:sz="4" w:space="1"/>
          <w:left w:val="single" w:color="auto" w:sz="4" w:space="4"/>
          <w:bottom w:val="single" w:color="auto" w:sz="4" w:space="1"/>
          <w:right w:val="single" w:color="auto" w:sz="4" w:space="4"/>
        </w:pBdr>
        <w:spacing w:line="480" w:lineRule="exact"/>
        <w:ind w:right="-506" w:rightChars="-241"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kern w:val="2"/>
          <w:sz w:val="24"/>
          <w:szCs w:val="24"/>
          <w:highlight w:val="none"/>
          <w:lang w:val="en-US" w:eastAsia="zh-CN" w:bidi="ar-SA"/>
        </w:rPr>
        <w:t>项目概况</w:t>
      </w:r>
    </w:p>
    <w:p>
      <w:pPr>
        <w:pStyle w:val="37"/>
        <w:pBdr>
          <w:top w:val="single" w:color="auto" w:sz="4" w:space="1"/>
          <w:left w:val="single" w:color="auto" w:sz="4" w:space="4"/>
          <w:bottom w:val="single" w:color="auto" w:sz="4" w:space="1"/>
          <w:right w:val="single" w:color="auto" w:sz="4" w:space="4"/>
        </w:pBdr>
        <w:spacing w:line="480" w:lineRule="exact"/>
        <w:ind w:right="-506" w:rightChars="-241" w:firstLine="480" w:firstLineChars="200"/>
        <w:rPr>
          <w:rFonts w:hint="eastAsia" w:ascii="仿宋" w:hAnsi="仿宋" w:eastAsia="仿宋" w:cs="仿宋"/>
          <w:kern w:val="2"/>
          <w:sz w:val="24"/>
          <w:szCs w:val="24"/>
          <w:highlight w:val="none"/>
          <w:lang w:val="en-US" w:eastAsia="zh-CN" w:bidi="ar-SA"/>
        </w:rPr>
      </w:pPr>
      <w:r>
        <w:rPr>
          <w:rFonts w:hint="eastAsia" w:ascii="仿宋" w:hAnsi="仿宋" w:eastAsia="仿宋" w:cs="仿宋"/>
          <w:sz w:val="24"/>
          <w:szCs w:val="24"/>
          <w:highlight w:val="none"/>
          <w:u w:val="single"/>
          <w:lang w:val="en-US" w:eastAsia="zh-CN"/>
        </w:rPr>
        <w:t>阿克苏地区阿瓦提县2023年城市垃圾分类建设项目施工服务（二次）</w:t>
      </w:r>
      <w:r>
        <w:rPr>
          <w:rFonts w:hint="eastAsia" w:ascii="仿宋" w:hAnsi="仿宋" w:eastAsia="仿宋" w:cs="仿宋"/>
          <w:kern w:val="2"/>
          <w:sz w:val="24"/>
          <w:szCs w:val="24"/>
          <w:highlight w:val="none"/>
          <w:lang w:val="en-US" w:eastAsia="zh-CN" w:bidi="ar-SA"/>
        </w:rPr>
        <w:t>的潜在投标人应在政采云平台线上获取招标文件，并于</w:t>
      </w:r>
      <w:r>
        <w:rPr>
          <w:rFonts w:hint="eastAsia" w:ascii="仿宋" w:hAnsi="仿宋" w:eastAsia="仿宋" w:cs="仿宋"/>
          <w:color w:val="auto"/>
          <w:kern w:val="2"/>
          <w:sz w:val="24"/>
          <w:szCs w:val="24"/>
          <w:highlight w:val="none"/>
          <w:lang w:val="en-US" w:eastAsia="zh-CN" w:bidi="ar-SA"/>
        </w:rPr>
        <w:t> 2024年</w:t>
      </w:r>
      <w:r>
        <w:rPr>
          <w:rFonts w:hint="eastAsia" w:ascii="仿宋" w:hAnsi="仿宋" w:eastAsia="仿宋" w:cs="仿宋"/>
          <w:color w:val="auto"/>
          <w:sz w:val="24"/>
          <w:szCs w:val="24"/>
          <w:highlight w:val="none"/>
          <w:lang w:val="en-US" w:eastAsia="zh-CN"/>
        </w:rPr>
        <w:t>01</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22</w:t>
      </w:r>
      <w:r>
        <w:rPr>
          <w:rFonts w:hint="eastAsia" w:ascii="仿宋" w:hAnsi="仿宋" w:eastAsia="仿宋" w:cs="仿宋"/>
          <w:color w:val="auto"/>
          <w:sz w:val="24"/>
          <w:szCs w:val="24"/>
          <w:highlight w:val="none"/>
        </w:rPr>
        <w:t>日</w:t>
      </w:r>
      <w:r>
        <w:rPr>
          <w:rFonts w:hint="eastAsia" w:ascii="仿宋" w:hAnsi="仿宋" w:eastAsia="仿宋" w:cs="仿宋"/>
          <w:color w:val="auto"/>
          <w:kern w:val="2"/>
          <w:sz w:val="24"/>
          <w:szCs w:val="24"/>
          <w:highlight w:val="none"/>
          <w:lang w:val="en-US" w:eastAsia="zh-CN" w:bidi="ar-SA"/>
        </w:rPr>
        <w:t xml:space="preserve"> 11:00</w:t>
      </w:r>
      <w:r>
        <w:rPr>
          <w:rFonts w:hint="eastAsia" w:ascii="仿宋" w:hAnsi="仿宋" w:eastAsia="仿宋" w:cs="仿宋"/>
          <w:kern w:val="2"/>
          <w:sz w:val="24"/>
          <w:szCs w:val="24"/>
          <w:highlight w:val="none"/>
          <w:lang w:val="en-US" w:eastAsia="zh-CN" w:bidi="ar-SA"/>
        </w:rPr>
        <w:t>（北京时间）前递交投标文件。</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 w:hAnsi="仿宋" w:eastAsia="仿宋" w:cs="仿宋"/>
          <w:b/>
          <w:bCs/>
          <w:sz w:val="24"/>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一、项目基本情况</w:t>
      </w:r>
      <w:bookmarkEnd w:id="4"/>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项目编号：</w:t>
      </w:r>
      <w:r>
        <w:rPr>
          <w:rFonts w:hint="eastAsia" w:ascii="仿宋" w:hAnsi="仿宋" w:eastAsia="仿宋" w:cs="仿宋"/>
          <w:sz w:val="24"/>
          <w:szCs w:val="24"/>
          <w:highlight w:val="none"/>
          <w:lang w:eastAsia="zh-CN"/>
        </w:rPr>
        <w:t>SJX-2023-509</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项目名称：</w:t>
      </w:r>
      <w:r>
        <w:rPr>
          <w:rFonts w:hint="eastAsia" w:ascii="仿宋" w:hAnsi="仿宋" w:eastAsia="仿宋" w:cs="仿宋"/>
          <w:sz w:val="24"/>
          <w:szCs w:val="24"/>
          <w:highlight w:val="none"/>
          <w:lang w:val="en-US" w:eastAsia="zh-CN"/>
        </w:rPr>
        <w:t>阿克苏地区阿瓦提县2023年城市垃圾分类建设项目施工服务（二次）</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采购方式：公开招标</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sz w:val="24"/>
          <w:szCs w:val="24"/>
          <w:highlight w:val="none"/>
          <w:lang w:val="en-US"/>
        </w:rPr>
      </w:pPr>
      <w:r>
        <w:rPr>
          <w:rFonts w:hint="eastAsia" w:ascii="仿宋" w:hAnsi="仿宋" w:eastAsia="仿宋" w:cs="仿宋"/>
          <w:sz w:val="24"/>
          <w:szCs w:val="24"/>
          <w:highlight w:val="none"/>
        </w:rPr>
        <w:t>预算金额（元）：</w:t>
      </w:r>
      <w:r>
        <w:rPr>
          <w:rFonts w:hint="eastAsia" w:ascii="仿宋" w:hAnsi="仿宋" w:eastAsia="仿宋" w:cs="仿宋"/>
          <w:sz w:val="24"/>
          <w:szCs w:val="24"/>
          <w:highlight w:val="none"/>
          <w:lang w:val="en-US" w:eastAsia="zh-CN"/>
        </w:rPr>
        <w:t>17600000</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最高限价（元）：</w:t>
      </w:r>
      <w:r>
        <w:rPr>
          <w:rFonts w:hint="eastAsia" w:ascii="仿宋" w:hAnsi="仿宋" w:eastAsia="仿宋" w:cs="仿宋"/>
          <w:sz w:val="24"/>
          <w:szCs w:val="24"/>
          <w:highlight w:val="none"/>
          <w:lang w:val="en-US" w:eastAsia="zh-CN"/>
        </w:rPr>
        <w:t>17497646.74</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采购需求：新建垃圾分类收集点 250 个、配置垃圾分类收集车及其附属设施工程</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lang w:val="en-US" w:eastAsia="zh-CN"/>
        </w:rPr>
        <w:t>具体详见采购文件</w:t>
      </w: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标项名称:标项</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：垃圾分类收集点</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数量:1批</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预算金额（元）:17600000</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简要规格描述或项目基本概况介绍、用途：新建垃圾分类收集点 250 个、配置垃圾分类及其附属设施工程，具体详见采购文件。</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备注：/</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sz w:val="24"/>
          <w:szCs w:val="24"/>
          <w:highlight w:val="none"/>
          <w:lang w:val="en-US" w:eastAsia="zh-CN"/>
        </w:rPr>
      </w:pPr>
      <w:r>
        <w:rPr>
          <w:rFonts w:hint="eastAsia" w:ascii="仿宋" w:hAnsi="仿宋" w:eastAsia="仿宋" w:cs="仿宋"/>
          <w:sz w:val="24"/>
          <w:szCs w:val="24"/>
          <w:highlight w:val="none"/>
        </w:rPr>
        <w:t>合同履约期限：</w:t>
      </w:r>
      <w:r>
        <w:rPr>
          <w:rFonts w:hint="eastAsia" w:ascii="仿宋" w:hAnsi="仿宋" w:eastAsia="仿宋" w:cs="仿宋"/>
          <w:sz w:val="24"/>
          <w:szCs w:val="24"/>
          <w:highlight w:val="none"/>
          <w:lang w:val="en-US" w:eastAsia="zh-CN"/>
        </w:rPr>
        <w:t>合同签订后180天内项目验收交付</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本项目（否）接受联合体投标。</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 w:hAnsi="仿宋" w:eastAsia="仿宋" w:cs="仿宋"/>
          <w:b/>
          <w:bCs/>
          <w:sz w:val="24"/>
          <w:szCs w:val="24"/>
          <w:highlight w:val="none"/>
        </w:rPr>
      </w:pPr>
      <w:bookmarkStart w:id="5" w:name="_Toc15364"/>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二、申请人的资格要求：</w:t>
      </w:r>
      <w:bookmarkEnd w:id="5"/>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1.满足《中华人民共和国政府采购法》第二十二条规定；</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2.落实政府采购政策需满足的资格要求：</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要求获得采购合同的投标人将 40 %（不低于 40%）比例分包给一家或者多家中小企业, 其中预留给小微企业的比例不低于 60 %（不低于 60%）。</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3.本项目的特定资格要求：</w:t>
      </w:r>
      <w:r>
        <w:rPr>
          <w:rFonts w:hint="eastAsia" w:ascii="仿宋" w:hAnsi="仿宋" w:eastAsia="仿宋" w:cs="仿宋"/>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 w:hAnsi="仿宋" w:eastAsia="仿宋" w:cs="仿宋"/>
          <w:b/>
          <w:bCs/>
          <w:sz w:val="24"/>
          <w:szCs w:val="24"/>
          <w:highlight w:val="none"/>
        </w:rPr>
      </w:pPr>
      <w:bookmarkStart w:id="6" w:name="_Toc29084"/>
      <w:r>
        <w:rPr>
          <w:rFonts w:hint="eastAsia" w:ascii="仿宋" w:hAnsi="仿宋" w:eastAsia="仿宋" w:cs="仿宋"/>
          <w:b/>
          <w:bCs/>
          <w:sz w:val="24"/>
          <w:szCs w:val="24"/>
          <w:highlight w:val="none"/>
        </w:rPr>
        <w:t>三、获取招标文件</w:t>
      </w:r>
      <w:bookmarkEnd w:id="6"/>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时间：2023年</w:t>
      </w:r>
      <w:r>
        <w:rPr>
          <w:rFonts w:hint="eastAsia" w:ascii="仿宋" w:hAnsi="仿宋" w:eastAsia="仿宋" w:cs="仿宋"/>
          <w:sz w:val="24"/>
          <w:szCs w:val="24"/>
          <w:highlight w:val="none"/>
          <w:lang w:val="en-US" w:eastAsia="zh-CN"/>
        </w:rPr>
        <w:t>12</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05</w:t>
      </w:r>
      <w:r>
        <w:rPr>
          <w:rFonts w:hint="eastAsia" w:ascii="仿宋" w:hAnsi="仿宋" w:eastAsia="仿宋" w:cs="仿宋"/>
          <w:sz w:val="24"/>
          <w:szCs w:val="24"/>
          <w:highlight w:val="none"/>
        </w:rPr>
        <w:t>日至2023年</w:t>
      </w:r>
      <w:r>
        <w:rPr>
          <w:rFonts w:hint="eastAsia" w:ascii="仿宋" w:hAnsi="仿宋" w:eastAsia="仿宋" w:cs="仿宋"/>
          <w:sz w:val="24"/>
          <w:szCs w:val="24"/>
          <w:highlight w:val="none"/>
          <w:lang w:val="en-US" w:eastAsia="zh-CN"/>
        </w:rPr>
        <w:t>12</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12</w:t>
      </w:r>
      <w:r>
        <w:rPr>
          <w:rFonts w:hint="eastAsia" w:ascii="仿宋" w:hAnsi="仿宋" w:eastAsia="仿宋" w:cs="仿宋"/>
          <w:sz w:val="24"/>
          <w:szCs w:val="24"/>
          <w:highlight w:val="none"/>
        </w:rPr>
        <w:t>日，每天上午</w:t>
      </w:r>
      <w:r>
        <w:rPr>
          <w:rFonts w:hint="eastAsia" w:ascii="仿宋" w:hAnsi="仿宋" w:eastAsia="仿宋" w:cs="仿宋"/>
          <w:sz w:val="24"/>
          <w:szCs w:val="24"/>
          <w:highlight w:val="none"/>
          <w:lang w:val="en-US" w:eastAsia="zh-CN"/>
        </w:rPr>
        <w:t>00</w:t>
      </w:r>
      <w:r>
        <w:rPr>
          <w:rFonts w:hint="eastAsia" w:ascii="仿宋" w:hAnsi="仿宋" w:eastAsia="仿宋" w:cs="仿宋"/>
          <w:sz w:val="24"/>
          <w:szCs w:val="24"/>
          <w:highlight w:val="none"/>
        </w:rPr>
        <w:t>:00至12:00，下午12:00至</w:t>
      </w:r>
      <w:r>
        <w:rPr>
          <w:rFonts w:hint="eastAsia" w:ascii="仿宋" w:hAnsi="仿宋" w:eastAsia="仿宋" w:cs="仿宋"/>
          <w:sz w:val="24"/>
          <w:szCs w:val="24"/>
          <w:highlight w:val="none"/>
          <w:lang w:val="en-US" w:eastAsia="zh-CN"/>
        </w:rPr>
        <w:t>23</w:t>
      </w:r>
      <w:r>
        <w:rPr>
          <w:rFonts w:hint="eastAsia" w:ascii="仿宋" w:hAnsi="仿宋" w:eastAsia="仿宋" w:cs="仿宋"/>
          <w:sz w:val="24"/>
          <w:szCs w:val="24"/>
          <w:highlight w:val="none"/>
        </w:rPr>
        <w:t>:</w:t>
      </w:r>
      <w:r>
        <w:rPr>
          <w:rFonts w:hint="eastAsia" w:ascii="仿宋" w:hAnsi="仿宋" w:eastAsia="仿宋" w:cs="仿宋"/>
          <w:sz w:val="24"/>
          <w:szCs w:val="24"/>
          <w:highlight w:val="none"/>
          <w:lang w:val="en-US" w:eastAsia="zh-CN"/>
        </w:rPr>
        <w:t>59</w:t>
      </w:r>
      <w:r>
        <w:rPr>
          <w:rFonts w:hint="eastAsia" w:ascii="仿宋" w:hAnsi="仿宋" w:eastAsia="仿宋" w:cs="仿宋"/>
          <w:sz w:val="24"/>
          <w:szCs w:val="24"/>
          <w:highlight w:val="none"/>
        </w:rPr>
        <w:t>（北京时间，法定节假日除外）</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地点：政采云平台（https://www.zcygov.cn/）</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方式：供应商登录政采云平台https://www.zcygov.cn/在线申请获取采购文件（进入“项目采购”应用，在获取采购文件菜单中选择项目，申请获取采购文件）本次招标不提供纸质版招标文件。</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售价（元）：0元</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 w:hAnsi="仿宋" w:eastAsia="仿宋" w:cs="仿宋"/>
          <w:b/>
          <w:bCs/>
          <w:sz w:val="24"/>
          <w:szCs w:val="24"/>
          <w:highlight w:val="none"/>
        </w:rPr>
      </w:pPr>
      <w:bookmarkStart w:id="7" w:name="_Toc24224"/>
      <w:r>
        <w:rPr>
          <w:rFonts w:hint="eastAsia" w:ascii="仿宋" w:hAnsi="仿宋" w:eastAsia="仿宋" w:cs="仿宋"/>
          <w:b/>
          <w:bCs/>
          <w:sz w:val="24"/>
          <w:szCs w:val="24"/>
          <w:highlight w:val="none"/>
        </w:rPr>
        <w:t>四、提交投标文件截止时间、开标时间和地点</w:t>
      </w:r>
      <w:bookmarkEnd w:id="7"/>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提交投标文件截止时间：202</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22</w:t>
      </w:r>
      <w:r>
        <w:rPr>
          <w:rFonts w:hint="eastAsia" w:ascii="仿宋" w:hAnsi="仿宋" w:eastAsia="仿宋" w:cs="仿宋"/>
          <w:sz w:val="24"/>
          <w:szCs w:val="24"/>
          <w:highlight w:val="none"/>
        </w:rPr>
        <w:t>日 11:00（北京时间）</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投标地点：政采云平台（https://www.zcygov.cn/），本项目采用不见面开标，加密的电子投标文件在投标截止时间前在政采云平台上传。</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开标时间：202</w:t>
      </w:r>
      <w:r>
        <w:rPr>
          <w:rFonts w:hint="eastAsia" w:ascii="仿宋" w:hAnsi="仿宋" w:eastAsia="仿宋" w:cs="仿宋"/>
          <w:sz w:val="24"/>
          <w:szCs w:val="24"/>
          <w:highlight w:val="none"/>
          <w:lang w:val="en-US" w:eastAsia="zh-CN"/>
        </w:rPr>
        <w:t>4</w:t>
      </w:r>
      <w:r>
        <w:rPr>
          <w:rFonts w:hint="eastAsia" w:ascii="仿宋" w:hAnsi="仿宋" w:eastAsia="仿宋" w:cs="仿宋"/>
          <w:sz w:val="24"/>
          <w:szCs w:val="24"/>
          <w:highlight w:val="none"/>
        </w:rPr>
        <w:t>年</w:t>
      </w: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月</w:t>
      </w:r>
      <w:r>
        <w:rPr>
          <w:rFonts w:hint="eastAsia" w:ascii="仿宋" w:hAnsi="仿宋" w:eastAsia="仿宋" w:cs="仿宋"/>
          <w:sz w:val="24"/>
          <w:szCs w:val="24"/>
          <w:highlight w:val="none"/>
          <w:lang w:val="en-US" w:eastAsia="zh-CN"/>
        </w:rPr>
        <w:t>22</w:t>
      </w:r>
      <w:r>
        <w:rPr>
          <w:rFonts w:hint="eastAsia" w:ascii="仿宋" w:hAnsi="仿宋" w:eastAsia="仿宋" w:cs="仿宋"/>
          <w:sz w:val="24"/>
          <w:szCs w:val="24"/>
          <w:highlight w:val="none"/>
        </w:rPr>
        <w:t>日 11:00（北京时间）</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开标地点：政采云平台（https://www.zcygov.cn/）不见面开标系统</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 w:hAnsi="仿宋" w:eastAsia="仿宋" w:cs="仿宋"/>
          <w:b/>
          <w:bCs/>
          <w:sz w:val="24"/>
          <w:szCs w:val="24"/>
          <w:highlight w:val="none"/>
        </w:rPr>
      </w:pPr>
      <w:bookmarkStart w:id="8" w:name="_Toc17115"/>
      <w:r>
        <w:rPr>
          <w:rFonts w:hint="eastAsia" w:ascii="仿宋" w:hAnsi="仿宋" w:eastAsia="仿宋" w:cs="仿宋"/>
          <w:b/>
          <w:bCs/>
          <w:sz w:val="24"/>
          <w:szCs w:val="24"/>
          <w:highlight w:val="none"/>
        </w:rPr>
        <w:t>五、公告期限</w:t>
      </w:r>
      <w:bookmarkEnd w:id="8"/>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自本公告发布之日起5个工作日。</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 w:hAnsi="仿宋" w:eastAsia="仿宋" w:cs="仿宋"/>
          <w:b/>
          <w:bCs/>
          <w:sz w:val="24"/>
          <w:szCs w:val="24"/>
          <w:highlight w:val="none"/>
        </w:rPr>
      </w:pPr>
      <w:bookmarkStart w:id="9" w:name="_Toc22084"/>
      <w:r>
        <w:rPr>
          <w:rFonts w:hint="eastAsia" w:ascii="仿宋" w:hAnsi="仿宋" w:eastAsia="仿宋" w:cs="仿宋"/>
          <w:b/>
          <w:bCs/>
          <w:sz w:val="24"/>
          <w:szCs w:val="24"/>
          <w:highlight w:val="none"/>
        </w:rPr>
        <w:t>六、其他补充事宜</w:t>
      </w:r>
      <w:bookmarkEnd w:id="9"/>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1、关于本项目所有公告、公示在</w:t>
      </w:r>
      <w:r>
        <w:rPr>
          <w:rFonts w:hint="eastAsia" w:ascii="仿宋" w:hAnsi="仿宋" w:eastAsia="仿宋" w:cs="仿宋"/>
          <w:b/>
          <w:bCs/>
          <w:sz w:val="24"/>
          <w:szCs w:val="24"/>
          <w:highlight w:val="none"/>
        </w:rPr>
        <w:t>新疆政府采购网、阿瓦提县人民政府网</w:t>
      </w:r>
      <w:r>
        <w:rPr>
          <w:rFonts w:hint="eastAsia" w:ascii="仿宋" w:hAnsi="仿宋" w:eastAsia="仿宋" w:cs="仿宋"/>
          <w:sz w:val="24"/>
          <w:szCs w:val="24"/>
          <w:highlight w:val="none"/>
        </w:rPr>
        <w:t>发布。</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2、请投标单位随时关注本项目的澄清、答疑、变更事项。</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3、本项目实行电子招投标，供应商须登录政采云平台申请获取招标文件，并通过政采云电子投标客户端制作响应文件，同时自行承担与投标有关的一切费用。</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4、各供应商应在开标前确保成为</w:t>
      </w:r>
      <w:r>
        <w:rPr>
          <w:rFonts w:hint="eastAsia" w:ascii="仿宋" w:hAnsi="仿宋" w:eastAsia="仿宋" w:cs="仿宋"/>
          <w:b/>
          <w:bCs/>
          <w:sz w:val="24"/>
          <w:szCs w:val="24"/>
          <w:highlight w:val="none"/>
        </w:rPr>
        <w:t>新疆政府采购网</w:t>
      </w:r>
      <w:r>
        <w:rPr>
          <w:rFonts w:hint="eastAsia" w:ascii="仿宋" w:hAnsi="仿宋" w:eastAsia="仿宋" w:cs="仿宋"/>
          <w:sz w:val="24"/>
          <w:szCs w:val="24"/>
          <w:highlight w:val="none"/>
        </w:rPr>
        <w:t>正式注册入库供应商，并完成CA数字证书申领。因未注册入库、未办理CA数字证书等原因造成无法投标或投标失败等后果由供应商自行承担。</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5、有意向参与电子开评标的供应商，可访问新疆数字证书认证中心官方网站（https://www.xjca.com.cn/）或下载“新疆政务通”APP自行进行申领。如需咨询，请联系新疆CA服务热线0991-2819290。</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outlineLvl w:val="1"/>
        <w:rPr>
          <w:rFonts w:hint="eastAsia" w:ascii="仿宋" w:hAnsi="仿宋" w:eastAsia="仿宋" w:cs="仿宋"/>
          <w:b/>
          <w:bCs/>
          <w:sz w:val="24"/>
          <w:szCs w:val="24"/>
          <w:highlight w:val="none"/>
        </w:rPr>
      </w:pPr>
      <w:bookmarkStart w:id="10" w:name="_Toc21999"/>
      <w:r>
        <w:rPr>
          <w:rFonts w:hint="eastAsia" w:ascii="仿宋" w:hAnsi="仿宋" w:eastAsia="仿宋" w:cs="仿宋"/>
          <w:b/>
          <w:bCs/>
          <w:sz w:val="24"/>
          <w:szCs w:val="24"/>
          <w:highlight w:val="none"/>
        </w:rPr>
        <w:t>七、对本次采购提出询问，请按以下方式联系</w:t>
      </w:r>
      <w:bookmarkEnd w:id="10"/>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1.采购人信息</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名 称：阿瓦提县园林绿化环卫服务中心</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 址：阿瓦提县</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联系方式：阿不都克热木·阿不都卡迪尔</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rPr>
        <w:t>0997-5121110</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2.采购代理机构信息</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名 称：新疆世纪星工程咨询有限公司</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地 址：乌鲁木齐经济技术开发区二期黄山街一品九点阳光德港大厦B座20楼</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联系方式：0991-3678303</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3.项目联系方式</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rPr>
        <w:t>项目联系人：</w:t>
      </w:r>
      <w:r>
        <w:rPr>
          <w:rFonts w:hint="eastAsia" w:ascii="仿宋" w:hAnsi="仿宋" w:eastAsia="仿宋" w:cs="仿宋"/>
          <w:sz w:val="24"/>
          <w:szCs w:val="24"/>
          <w:highlight w:val="none"/>
          <w:lang w:val="en-US" w:eastAsia="zh-CN"/>
        </w:rPr>
        <w:t>范胜星、李航、范艳娥、殷叔岗</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highlight w:val="none"/>
          <w:lang w:val="en-US" w:eastAsia="zh-CN"/>
        </w:rPr>
      </w:pPr>
      <w:r>
        <w:rPr>
          <w:rFonts w:hint="eastAsia" w:ascii="仿宋" w:hAnsi="仿宋" w:eastAsia="仿宋" w:cs="仿宋"/>
          <w:sz w:val="24"/>
          <w:szCs w:val="24"/>
          <w:highlight w:val="none"/>
        </w:rPr>
        <w:t>电 话：0991-3678303</w:t>
      </w:r>
    </w:p>
    <w:p>
      <w:pPr>
        <w:rPr>
          <w:rFonts w:hint="eastAsia" w:ascii="仿宋" w:hAnsi="仿宋" w:eastAsia="仿宋" w:cs="仿宋"/>
          <w:sz w:val="24"/>
          <w:szCs w:val="24"/>
          <w:highlight w:val="none"/>
        </w:rPr>
      </w:pPr>
      <w:r>
        <w:rPr>
          <w:rFonts w:hint="eastAsia" w:ascii="仿宋" w:hAnsi="仿宋" w:eastAsia="仿宋" w:cs="仿宋"/>
          <w:sz w:val="24"/>
          <w:szCs w:val="24"/>
          <w:highlight w:val="none"/>
        </w:rPr>
        <w:br w:type="page"/>
      </w:r>
    </w:p>
    <w:p>
      <w:pPr>
        <w:pStyle w:val="11"/>
        <w:numPr>
          <w:ilvl w:val="0"/>
          <w:numId w:val="1"/>
        </w:numPr>
        <w:bidi w:val="0"/>
        <w:jc w:val="center"/>
        <w:rPr>
          <w:rFonts w:hint="eastAsia" w:ascii="仿宋" w:hAnsi="仿宋" w:eastAsia="仿宋" w:cs="仿宋"/>
          <w:sz w:val="32"/>
          <w:szCs w:val="32"/>
          <w:highlight w:val="none"/>
        </w:rPr>
      </w:pPr>
      <w:bookmarkStart w:id="11" w:name="_Toc31403"/>
      <w:r>
        <w:rPr>
          <w:rFonts w:hint="eastAsia" w:ascii="仿宋" w:hAnsi="仿宋" w:eastAsia="仿宋" w:cs="仿宋"/>
          <w:sz w:val="32"/>
          <w:szCs w:val="32"/>
          <w:highlight w:val="none"/>
        </w:rPr>
        <w:t>投标须知前附表</w:t>
      </w:r>
      <w:bookmarkEnd w:id="11"/>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 w:hAnsi="仿宋" w:eastAsia="仿宋" w:cs="仿宋"/>
          <w:sz w:val="24"/>
          <w:szCs w:val="24"/>
          <w:highlight w:val="none"/>
        </w:rPr>
      </w:pPr>
      <w:r>
        <w:rPr>
          <w:rFonts w:hint="eastAsia" w:ascii="仿宋" w:hAnsi="仿宋" w:eastAsia="仿宋" w:cs="仿宋"/>
          <w:sz w:val="24"/>
          <w:szCs w:val="24"/>
          <w:highlight w:val="none"/>
        </w:rPr>
        <w:t>本表是本招标项目的具体资料，是对投标人须知的具体补充和修改，如有矛盾，应以本前附表为准。</w:t>
      </w:r>
    </w:p>
    <w:p>
      <w:pPr>
        <w:keepNext w:val="0"/>
        <w:keepLines w:val="0"/>
        <w:pageBreakBefore w:val="0"/>
        <w:widowControl w:val="0"/>
        <w:kinsoku/>
        <w:wordWrap/>
        <w:overflowPunct/>
        <w:topLinePunct w:val="0"/>
        <w:autoSpaceDE/>
        <w:autoSpaceDN/>
        <w:bidi w:val="0"/>
        <w:adjustRightInd/>
        <w:snapToGrid/>
        <w:spacing w:line="500" w:lineRule="exact"/>
        <w:ind w:firstLine="480" w:firstLineChars="200"/>
        <w:jc w:val="both"/>
        <w:textAlignment w:val="auto"/>
        <w:rPr>
          <w:rFonts w:hint="eastAsia" w:ascii="仿宋" w:hAnsi="仿宋" w:eastAsia="仿宋" w:cs="仿宋"/>
          <w:sz w:val="24"/>
          <w:szCs w:val="24"/>
          <w:highlight w:val="none"/>
        </w:rPr>
      </w:pPr>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870"/>
        <w:gridCol w:w="665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24"/>
                <w:szCs w:val="24"/>
                <w:highlight w:val="none"/>
                <w:vertAlign w:val="baseline"/>
              </w:rPr>
            </w:pPr>
            <w:r>
              <w:rPr>
                <w:rFonts w:hint="eastAsia" w:ascii="仿宋" w:hAnsi="仿宋" w:eastAsia="仿宋" w:cs="仿宋"/>
                <w:b/>
                <w:bCs/>
                <w:sz w:val="24"/>
                <w:szCs w:val="24"/>
                <w:highlight w:val="none"/>
                <w:vertAlign w:val="baseline"/>
                <w:lang w:val="en-US" w:eastAsia="zh-CN"/>
              </w:rPr>
              <w:t>条款号</w:t>
            </w:r>
          </w:p>
        </w:tc>
        <w:tc>
          <w:tcPr>
            <w:tcW w:w="6652" w:type="dxa"/>
            <w:tcBorders>
              <w:tl2br w:val="nil"/>
              <w:tr2bl w:val="nil"/>
            </w:tcBorders>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24"/>
                <w:szCs w:val="24"/>
                <w:highlight w:val="none"/>
                <w:vertAlign w:val="baseline"/>
              </w:rPr>
            </w:pPr>
            <w:r>
              <w:rPr>
                <w:rFonts w:hint="eastAsia" w:ascii="仿宋" w:hAnsi="仿宋" w:eastAsia="仿宋" w:cs="仿宋"/>
                <w:b/>
                <w:bCs/>
                <w:sz w:val="24"/>
                <w:szCs w:val="24"/>
                <w:highlight w:val="none"/>
                <w:vertAlign w:val="baseline"/>
                <w:lang w:val="en-US" w:eastAsia="zh-CN"/>
              </w:rPr>
              <w:t>内容</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1.1</w:t>
            </w:r>
          </w:p>
        </w:tc>
        <w:tc>
          <w:tcPr>
            <w:tcW w:w="66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名 称：阿瓦提县园林绿化环卫服务中心</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地 址：阿瓦提县</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lang w:val="en-US" w:eastAsia="zh-CN"/>
              </w:rPr>
              <w:t>联系方式：</w:t>
            </w:r>
            <w:r>
              <w:rPr>
                <w:rFonts w:hint="eastAsia" w:ascii="仿宋" w:hAnsi="仿宋" w:eastAsia="仿宋" w:cs="仿宋"/>
                <w:sz w:val="24"/>
                <w:szCs w:val="24"/>
                <w:highlight w:val="none"/>
              </w:rPr>
              <w:t>阿不都克热木·阿不都卡迪尔</w:t>
            </w:r>
            <w:r>
              <w:rPr>
                <w:rFonts w:hint="eastAsia" w:ascii="仿宋" w:hAnsi="仿宋" w:eastAsia="仿宋" w:cs="仿宋"/>
                <w:sz w:val="24"/>
                <w:szCs w:val="24"/>
                <w:highlight w:val="none"/>
                <w:lang w:val="en-US" w:eastAsia="zh-CN"/>
              </w:rPr>
              <w:t xml:space="preserve"> </w:t>
            </w:r>
            <w:r>
              <w:rPr>
                <w:rFonts w:hint="eastAsia" w:ascii="仿宋" w:hAnsi="仿宋" w:eastAsia="仿宋" w:cs="仿宋"/>
                <w:sz w:val="24"/>
                <w:szCs w:val="24"/>
                <w:highlight w:val="none"/>
                <w:vertAlign w:val="baseline"/>
                <w:lang w:val="en-US" w:eastAsia="zh-CN"/>
              </w:rPr>
              <w:t>0997-5121110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1.2</w:t>
            </w:r>
          </w:p>
        </w:tc>
        <w:tc>
          <w:tcPr>
            <w:tcW w:w="66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 xml:space="preserve">采购代理机构：新疆世纪星工程咨询有限公司 </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 xml:space="preserve">地址：乌鲁木齐经济技术开发区二期黄山街一品九点阳光德港大厦B座20楼 </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业务联系人：</w:t>
            </w:r>
            <w:r>
              <w:rPr>
                <w:rFonts w:hint="eastAsia" w:ascii="仿宋" w:hAnsi="仿宋" w:eastAsia="仿宋" w:cs="仿宋"/>
                <w:sz w:val="24"/>
                <w:szCs w:val="24"/>
                <w:highlight w:val="none"/>
                <w:vertAlign w:val="baseline"/>
                <w:lang w:val="en-US" w:eastAsia="zh-CN"/>
              </w:rPr>
              <w:t>范胜星、李航</w:t>
            </w:r>
            <w:r>
              <w:rPr>
                <w:rFonts w:hint="eastAsia" w:ascii="仿宋" w:hAnsi="仿宋" w:eastAsia="仿宋" w:cs="仿宋"/>
                <w:sz w:val="24"/>
                <w:szCs w:val="24"/>
                <w:highlight w:val="none"/>
                <w:vertAlign w:val="baseline"/>
              </w:rPr>
              <w:t xml:space="preserve">      </w:t>
            </w:r>
            <w:r>
              <w:rPr>
                <w:rFonts w:hint="eastAsia" w:ascii="仿宋" w:hAnsi="仿宋" w:eastAsia="仿宋" w:cs="仿宋"/>
                <w:sz w:val="24"/>
                <w:szCs w:val="24"/>
                <w:highlight w:val="none"/>
                <w:vertAlign w:val="baseline"/>
                <w:lang w:val="en-US" w:eastAsia="zh-CN"/>
              </w:rPr>
              <w:t xml:space="preserve">  </w:t>
            </w:r>
            <w:r>
              <w:rPr>
                <w:rFonts w:hint="eastAsia" w:ascii="仿宋" w:hAnsi="仿宋" w:eastAsia="仿宋" w:cs="仿宋"/>
                <w:sz w:val="24"/>
                <w:szCs w:val="24"/>
                <w:highlight w:val="none"/>
                <w:vertAlign w:val="baseline"/>
              </w:rPr>
              <w:t xml:space="preserve">电话：0991-3678303 </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电子邮箱：</w:t>
            </w:r>
            <w:r>
              <w:rPr>
                <w:rFonts w:hint="eastAsia" w:ascii="仿宋" w:hAnsi="仿宋" w:eastAsia="仿宋" w:cs="仿宋"/>
                <w:sz w:val="24"/>
                <w:szCs w:val="24"/>
                <w:highlight w:val="none"/>
                <w:vertAlign w:val="baseline"/>
                <w:lang w:val="en-US" w:eastAsia="zh-CN"/>
              </w:rPr>
              <w:t>1050538549@qq.com</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1.3.3</w:t>
            </w:r>
          </w:p>
        </w:tc>
        <w:tc>
          <w:tcPr>
            <w:tcW w:w="66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rPr>
              <w:t>合格投标人的其他资格要求：</w:t>
            </w:r>
            <w:r>
              <w:rPr>
                <w:rFonts w:hint="eastAsia" w:ascii="仿宋" w:hAnsi="仿宋" w:eastAsia="仿宋" w:cs="仿宋"/>
                <w:sz w:val="24"/>
                <w:szCs w:val="24"/>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1.4</w:t>
            </w:r>
          </w:p>
        </w:tc>
        <w:tc>
          <w:tcPr>
            <w:tcW w:w="66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lang w:val="en-US" w:eastAsia="zh-CN"/>
              </w:rPr>
              <w:t>是否允许采购进口产品：否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1.5.1</w:t>
            </w:r>
          </w:p>
        </w:tc>
        <w:tc>
          <w:tcPr>
            <w:tcW w:w="6652" w:type="dxa"/>
            <w:tcBorders>
              <w:tl2br w:val="nil"/>
              <w:tr2bl w:val="nil"/>
            </w:tcBorders>
            <w:vAlign w:val="center"/>
          </w:tcPr>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2"/>
              <w:gridCol w:w="2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232" w:type="dxa"/>
                </w:tcPr>
                <w:p>
                  <w:pPr>
                    <w:pStyle w:val="15"/>
                    <w:jc w:val="center"/>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标的名称</w:t>
                  </w:r>
                </w:p>
              </w:tc>
              <w:tc>
                <w:tcPr>
                  <w:tcW w:w="2904" w:type="dxa"/>
                </w:tcPr>
                <w:p>
                  <w:pPr>
                    <w:pStyle w:val="15"/>
                    <w:ind w:left="0" w:leftChars="0" w:firstLine="0" w:firstLineChars="0"/>
                    <w:jc w:val="center"/>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中小企业划分标准所属行业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2" w:type="dxa"/>
                </w:tcPr>
                <w:p>
                  <w:pPr>
                    <w:pStyle w:val="15"/>
                    <w:ind w:left="0" w:leftChars="0" w:firstLine="0" w:firstLineChars="0"/>
                    <w:jc w:val="both"/>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挖一般土方</w:t>
                  </w:r>
                </w:p>
              </w:tc>
              <w:tc>
                <w:tcPr>
                  <w:tcW w:w="2904" w:type="dxa"/>
                </w:tcPr>
                <w:p>
                  <w:pPr>
                    <w:pStyle w:val="15"/>
                    <w:ind w:left="0" w:leftChars="0" w:firstLine="0" w:firstLineChars="0"/>
                    <w:jc w:val="both"/>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建筑业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2" w:type="dxa"/>
                </w:tcPr>
                <w:p>
                  <w:pPr>
                    <w:pStyle w:val="15"/>
                    <w:ind w:left="0" w:leftChars="0" w:firstLine="0" w:firstLineChars="0"/>
                    <w:jc w:val="both"/>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挖沟槽土方</w:t>
                  </w:r>
                </w:p>
              </w:tc>
              <w:tc>
                <w:tcPr>
                  <w:tcW w:w="2904" w:type="dxa"/>
                </w:tcPr>
                <w:p>
                  <w:pPr>
                    <w:pStyle w:val="15"/>
                    <w:ind w:left="0" w:leftChars="0" w:firstLine="0" w:firstLineChars="0"/>
                    <w:jc w:val="both"/>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建筑业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2" w:type="dxa"/>
                </w:tcPr>
                <w:p>
                  <w:pPr>
                    <w:pStyle w:val="15"/>
                    <w:ind w:left="0" w:leftChars="0" w:firstLine="0" w:firstLineChars="0"/>
                    <w:jc w:val="both"/>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回填方</w:t>
                  </w:r>
                </w:p>
              </w:tc>
              <w:tc>
                <w:tcPr>
                  <w:tcW w:w="2904" w:type="dxa"/>
                </w:tcPr>
                <w:p>
                  <w:pPr>
                    <w:pStyle w:val="15"/>
                    <w:ind w:left="0" w:leftChars="0" w:firstLine="0" w:firstLineChars="0"/>
                    <w:jc w:val="both"/>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建筑业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2" w:type="dxa"/>
                </w:tcPr>
                <w:p>
                  <w:pPr>
                    <w:pStyle w:val="15"/>
                    <w:ind w:left="0" w:leftChars="0" w:firstLine="0" w:firstLineChars="0"/>
                    <w:jc w:val="both"/>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垃圾分类收集点</w:t>
                  </w:r>
                </w:p>
              </w:tc>
              <w:tc>
                <w:tcPr>
                  <w:tcW w:w="2904" w:type="dxa"/>
                </w:tcPr>
                <w:p>
                  <w:pPr>
                    <w:pStyle w:val="15"/>
                    <w:ind w:left="0" w:leftChars="0" w:firstLine="0" w:firstLineChars="0"/>
                    <w:jc w:val="both"/>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2" w:type="dxa"/>
                </w:tcPr>
                <w:p>
                  <w:pPr>
                    <w:pStyle w:val="15"/>
                    <w:ind w:left="0" w:leftChars="0" w:firstLine="0" w:firstLineChars="0"/>
                    <w:jc w:val="both"/>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混凝土垫层</w:t>
                  </w:r>
                </w:p>
              </w:tc>
              <w:tc>
                <w:tcPr>
                  <w:tcW w:w="2904" w:type="dxa"/>
                </w:tcPr>
                <w:p>
                  <w:pPr>
                    <w:pStyle w:val="15"/>
                    <w:ind w:left="0" w:leftChars="0" w:firstLine="0" w:firstLineChars="0"/>
                    <w:jc w:val="both"/>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建筑业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32" w:type="dxa"/>
                </w:tcPr>
                <w:p>
                  <w:pPr>
                    <w:pStyle w:val="15"/>
                    <w:ind w:left="0" w:leftChars="0" w:firstLine="0" w:firstLineChars="0"/>
                    <w:jc w:val="both"/>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混凝土井</w:t>
                  </w:r>
                </w:p>
              </w:tc>
              <w:tc>
                <w:tcPr>
                  <w:tcW w:w="2904" w:type="dxa"/>
                </w:tcPr>
                <w:p>
                  <w:pPr>
                    <w:pStyle w:val="15"/>
                    <w:ind w:left="0" w:leftChars="0" w:firstLine="0" w:firstLineChars="0"/>
                    <w:jc w:val="both"/>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建筑业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2" w:type="dxa"/>
                </w:tcPr>
                <w:p>
                  <w:pPr>
                    <w:pStyle w:val="15"/>
                    <w:ind w:left="0" w:leftChars="0" w:firstLine="0" w:firstLineChars="0"/>
                    <w:jc w:val="both"/>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电缆</w:t>
                  </w:r>
                </w:p>
              </w:tc>
              <w:tc>
                <w:tcPr>
                  <w:tcW w:w="2904" w:type="dxa"/>
                </w:tcPr>
                <w:p>
                  <w:pPr>
                    <w:pStyle w:val="15"/>
                    <w:ind w:left="0" w:leftChars="0" w:firstLine="0" w:firstLineChars="0"/>
                    <w:jc w:val="both"/>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2" w:type="dxa"/>
                </w:tcPr>
                <w:p>
                  <w:pPr>
                    <w:pStyle w:val="15"/>
                    <w:ind w:left="0" w:leftChars="0" w:firstLine="0" w:firstLineChars="0"/>
                    <w:jc w:val="both"/>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电缆保护管</w:t>
                  </w:r>
                </w:p>
              </w:tc>
              <w:tc>
                <w:tcPr>
                  <w:tcW w:w="2904" w:type="dxa"/>
                </w:tcPr>
                <w:p>
                  <w:pPr>
                    <w:pStyle w:val="15"/>
                    <w:ind w:left="0" w:leftChars="0" w:firstLine="0" w:firstLineChars="0"/>
                    <w:jc w:val="both"/>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2" w:type="dxa"/>
                </w:tcPr>
                <w:p>
                  <w:pPr>
                    <w:pStyle w:val="15"/>
                    <w:ind w:left="0" w:leftChars="0" w:firstLine="0" w:firstLineChars="0"/>
                    <w:jc w:val="both"/>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管道包封</w:t>
                  </w:r>
                </w:p>
              </w:tc>
              <w:tc>
                <w:tcPr>
                  <w:tcW w:w="2904" w:type="dxa"/>
                </w:tcPr>
                <w:p>
                  <w:pPr>
                    <w:pStyle w:val="15"/>
                    <w:ind w:left="0" w:leftChars="0" w:firstLine="0" w:firstLineChars="0"/>
                    <w:jc w:val="both"/>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建筑业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2" w:type="dxa"/>
                </w:tcPr>
                <w:p>
                  <w:pPr>
                    <w:pStyle w:val="15"/>
                    <w:ind w:left="0" w:leftChars="0" w:firstLine="0" w:firstLineChars="0"/>
                    <w:jc w:val="both"/>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纯电动餐厨垃圾车</w:t>
                  </w:r>
                </w:p>
              </w:tc>
              <w:tc>
                <w:tcPr>
                  <w:tcW w:w="2904" w:type="dxa"/>
                </w:tcPr>
                <w:p>
                  <w:pPr>
                    <w:pStyle w:val="15"/>
                    <w:ind w:left="0" w:leftChars="0" w:firstLine="0" w:firstLineChars="0"/>
                    <w:jc w:val="both"/>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2" w:type="dxa"/>
                </w:tcPr>
                <w:p>
                  <w:pPr>
                    <w:pStyle w:val="15"/>
                    <w:ind w:left="0" w:leftChars="0" w:firstLine="0" w:firstLineChars="0"/>
                    <w:jc w:val="both"/>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纯电动吸粪车</w:t>
                  </w:r>
                </w:p>
              </w:tc>
              <w:tc>
                <w:tcPr>
                  <w:tcW w:w="2904" w:type="dxa"/>
                </w:tcPr>
                <w:p>
                  <w:pPr>
                    <w:pStyle w:val="15"/>
                    <w:ind w:left="0" w:leftChars="0" w:firstLine="0" w:firstLineChars="0"/>
                    <w:jc w:val="both"/>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32" w:type="dxa"/>
                </w:tcPr>
                <w:p>
                  <w:pPr>
                    <w:pStyle w:val="15"/>
                    <w:ind w:left="0" w:leftChars="0" w:firstLine="0" w:firstLineChars="0"/>
                    <w:jc w:val="both"/>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纯电动车压缩式垃圾车</w:t>
                  </w:r>
                </w:p>
              </w:tc>
              <w:tc>
                <w:tcPr>
                  <w:tcW w:w="2904" w:type="dxa"/>
                </w:tcPr>
                <w:p>
                  <w:pPr>
                    <w:pStyle w:val="15"/>
                    <w:ind w:left="0" w:leftChars="0" w:firstLine="0" w:firstLineChars="0"/>
                    <w:jc w:val="both"/>
                    <w:rPr>
                      <w:rFonts w:hint="eastAsia" w:ascii="仿宋" w:hAnsi="仿宋" w:eastAsia="仿宋" w:cs="仿宋"/>
                      <w:sz w:val="20"/>
                      <w:szCs w:val="20"/>
                      <w:vertAlign w:val="baseline"/>
                      <w:lang w:val="en-US" w:eastAsia="zh-CN"/>
                    </w:rPr>
                  </w:pPr>
                  <w:r>
                    <w:rPr>
                      <w:rFonts w:hint="eastAsia" w:ascii="仿宋" w:hAnsi="仿宋" w:eastAsia="仿宋" w:cs="仿宋"/>
                      <w:sz w:val="20"/>
                      <w:szCs w:val="20"/>
                      <w:vertAlign w:val="baseline"/>
                      <w:lang w:val="en-US" w:eastAsia="zh-CN"/>
                    </w:rPr>
                    <w:t>工业</w:t>
                  </w:r>
                </w:p>
              </w:tc>
            </w:tr>
          </w:tbl>
          <w:p>
            <w:pPr>
              <w:pStyle w:val="15"/>
              <w:ind w:left="0" w:leftChars="0" w:firstLine="0" w:firstLineChars="0"/>
              <w:rPr>
                <w:rFonts w:hint="default"/>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1.5.2</w:t>
            </w:r>
          </w:p>
        </w:tc>
        <w:tc>
          <w:tcPr>
            <w:tcW w:w="66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本项目预留部分采购项目预算专门面向中小企业采购。对于预留份额，提供的货物由符合政策要求的中小企业制造、服务(或工程) 由符合政策要求的中小企业承接。预留份额通过以下措施进行:</w:t>
            </w:r>
            <w:r>
              <w:rPr>
                <w:rFonts w:hint="eastAsia" w:ascii="仿宋" w:hAnsi="仿宋" w:eastAsia="仿宋" w:cs="仿宋"/>
                <w:sz w:val="24"/>
                <w:szCs w:val="24"/>
                <w:highlight w:val="none"/>
                <w:u w:val="single"/>
                <w:vertAlign w:val="baseline"/>
                <w:lang w:val="en-US" w:eastAsia="zh-CN"/>
              </w:rPr>
              <w:t>要求获得采购合同的投标人将 40 %（不低于 40%）比例分包给 一家或者多家中小企业, 其中预留给小微企业的比例不低于 60 %（不低于 60%）</w:t>
            </w:r>
            <w:r>
              <w:rPr>
                <w:rFonts w:hint="eastAsia" w:ascii="仿宋" w:hAnsi="仿宋" w:eastAsia="仿宋" w:cs="仿宋"/>
                <w:sz w:val="24"/>
                <w:szCs w:val="24"/>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1.10</w:t>
            </w:r>
          </w:p>
        </w:tc>
        <w:tc>
          <w:tcPr>
            <w:tcW w:w="66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是否允许联合体投标：否</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联合体的其他资格要求：无</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2.2</w:t>
            </w:r>
          </w:p>
        </w:tc>
        <w:tc>
          <w:tcPr>
            <w:tcW w:w="66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项目预算金额：17600000元；</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项目最高限价：标项1：</w:t>
            </w:r>
            <w:r>
              <w:rPr>
                <w:rFonts w:hint="eastAsia" w:ascii="仿宋" w:hAnsi="仿宋" w:eastAsia="仿宋" w:cs="仿宋"/>
                <w:sz w:val="24"/>
                <w:szCs w:val="24"/>
                <w:highlight w:val="none"/>
                <w:lang w:val="en-US" w:eastAsia="zh-CN"/>
              </w:rPr>
              <w:t>17497646.74元</w:t>
            </w:r>
            <w:r>
              <w:rPr>
                <w:rFonts w:hint="eastAsia" w:ascii="仿宋" w:hAnsi="仿宋" w:eastAsia="仿宋" w:cs="仿宋"/>
                <w:sz w:val="24"/>
                <w:szCs w:val="24"/>
                <w:highlight w:val="none"/>
                <w:vertAlign w:val="baseline"/>
                <w:lang w:val="en-US" w:eastAsia="zh-CN"/>
              </w:rPr>
              <w:t>，其中电动车压缩式垃圾车最高限价1002800元/辆、纯电动餐厨垃圾车最高限价1068200元/辆、纯电动吸粪车1087820元/辆。</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val="en-US"/>
              </w:rPr>
            </w:pPr>
            <w:r>
              <w:rPr>
                <w:rFonts w:hint="eastAsia" w:ascii="仿宋" w:hAnsi="仿宋" w:eastAsia="仿宋" w:cs="仿宋"/>
                <w:sz w:val="24"/>
                <w:szCs w:val="24"/>
                <w:highlight w:val="none"/>
                <w:vertAlign w:val="baseline"/>
                <w:lang w:val="en-US" w:eastAsia="zh-CN"/>
              </w:rPr>
              <w:t>超过项目最高限价的将按无效投标处理。</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5.4</w:t>
            </w:r>
          </w:p>
        </w:tc>
        <w:tc>
          <w:tcPr>
            <w:tcW w:w="66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 xml:space="preserve">是否组织现场考察或者召开答疑会：否 </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组织现场考察或者召开答疑会相关要求：/</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 xml:space="preserve">5.7 </w:t>
            </w:r>
          </w:p>
        </w:tc>
        <w:tc>
          <w:tcPr>
            <w:tcW w:w="66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 xml:space="preserve">是否需要提供样品：否 </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lang w:eastAsia="zh-CN"/>
              </w:rPr>
            </w:pPr>
            <w:r>
              <w:rPr>
                <w:rFonts w:hint="eastAsia" w:ascii="仿宋" w:hAnsi="仿宋" w:eastAsia="仿宋" w:cs="仿宋"/>
                <w:sz w:val="24"/>
                <w:szCs w:val="24"/>
                <w:highlight w:val="none"/>
                <w:vertAlign w:val="baseline"/>
              </w:rPr>
              <w:t>提供样品要求包括：</w:t>
            </w:r>
            <w:r>
              <w:rPr>
                <w:rFonts w:hint="eastAsia" w:ascii="仿宋" w:hAnsi="仿宋" w:eastAsia="仿宋" w:cs="仿宋"/>
                <w:sz w:val="24"/>
                <w:szCs w:val="24"/>
                <w:highlight w:val="none"/>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 xml:space="preserve">7.1 </w:t>
            </w:r>
          </w:p>
        </w:tc>
        <w:tc>
          <w:tcPr>
            <w:tcW w:w="66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rPr>
              <w:t>如投标人对多个包进行投标，可以中标</w:t>
            </w:r>
            <w:r>
              <w:rPr>
                <w:rFonts w:hint="eastAsia" w:ascii="仿宋" w:hAnsi="仿宋" w:eastAsia="仿宋" w:cs="仿宋"/>
                <w:b/>
                <w:bCs/>
                <w:sz w:val="24"/>
                <w:szCs w:val="24"/>
                <w:highlight w:val="none"/>
                <w:u w:val="single"/>
                <w:vertAlign w:val="baseline"/>
              </w:rPr>
              <w:t>多</w:t>
            </w:r>
            <w:r>
              <w:rPr>
                <w:rFonts w:hint="eastAsia" w:ascii="仿宋" w:hAnsi="仿宋" w:eastAsia="仿宋" w:cs="仿宋"/>
                <w:sz w:val="24"/>
                <w:szCs w:val="24"/>
                <w:highlight w:val="none"/>
                <w:vertAlign w:val="baseline"/>
              </w:rPr>
              <w:t>包</w:t>
            </w:r>
            <w:r>
              <w:rPr>
                <w:rFonts w:hint="eastAsia" w:ascii="仿宋" w:hAnsi="仿宋" w:eastAsia="仿宋" w:cs="仿宋"/>
                <w:sz w:val="24"/>
                <w:szCs w:val="24"/>
                <w:highlight w:val="none"/>
                <w:vertAlign w:val="baseline"/>
                <w:lang w:eastAsia="zh-CN"/>
              </w:rPr>
              <w:t>（</w:t>
            </w:r>
            <w:r>
              <w:rPr>
                <w:rFonts w:hint="eastAsia" w:ascii="仿宋" w:hAnsi="仿宋" w:eastAsia="仿宋" w:cs="仿宋"/>
                <w:sz w:val="24"/>
                <w:szCs w:val="24"/>
                <w:highlight w:val="none"/>
                <w:vertAlign w:val="baseline"/>
                <w:lang w:val="en-US" w:eastAsia="zh-CN"/>
              </w:rPr>
              <w:t>本项目不适用</w:t>
            </w:r>
            <w:r>
              <w:rPr>
                <w:rFonts w:hint="eastAsia" w:ascii="仿宋" w:hAnsi="仿宋" w:eastAsia="仿宋" w:cs="仿宋"/>
                <w:sz w:val="24"/>
                <w:szCs w:val="24"/>
                <w:highlight w:val="none"/>
                <w:vertAlign w:val="baseline"/>
                <w:lang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10</w:t>
            </w:r>
          </w:p>
        </w:tc>
        <w:tc>
          <w:tcPr>
            <w:tcW w:w="66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sz w:val="24"/>
                <w:szCs w:val="24"/>
                <w:highlight w:val="yellow"/>
                <w:vertAlign w:val="baseline"/>
                <w:lang w:val="en-US" w:eastAsia="zh-CN"/>
              </w:rPr>
            </w:pPr>
            <w:r>
              <w:rPr>
                <w:rFonts w:hint="eastAsia" w:ascii="仿宋" w:hAnsi="仿宋" w:eastAsia="仿宋" w:cs="仿宋"/>
                <w:sz w:val="24"/>
                <w:szCs w:val="24"/>
                <w:highlight w:val="yellow"/>
                <w:vertAlign w:val="baseline"/>
              </w:rPr>
              <w:t>保证金形式：支票、汇票、本票、网上银行支付或者金融机构、担保机构出具的保函等政府采购法律法规中要求的非现金形式</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rPr>
              <w:t>保证金数额：</w:t>
            </w:r>
            <w:r>
              <w:rPr>
                <w:rFonts w:hint="eastAsia" w:ascii="仿宋" w:hAnsi="仿宋" w:eastAsia="仿宋" w:cs="仿宋"/>
                <w:sz w:val="24"/>
                <w:szCs w:val="24"/>
                <w:highlight w:val="none"/>
                <w:vertAlign w:val="baseline"/>
                <w:lang w:val="en-US" w:eastAsia="zh-CN"/>
              </w:rPr>
              <w:t>174000.00元</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保证金收款人：新疆世纪星工程咨询有限公司</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保证金收款账号：512090100100073085</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保证收款银行及行号: 兴业银行乌鲁木齐分行营业部309881002010</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投标保证金到账（保函提交）截止时间同投标截止时间。</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以支票、汇票、本票、网上银行支付等形式提交投标保证金的，应在投标截止时间前到账；</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以金融机构、担保机构出具的纸质保函形式提交投标保证金的（除电子保函外），应在投标截止时间前将原件提交至采购代理机构，未提交原件的将按无效投标（响应）处理。</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如供应商通过"政采云平台金融服务中心"(https://jinrong.zcygov.cn/)，申请办理投标电子保函，开标时采购人或代理机构通过政采云平台保函系统进行查询，保函信息以查询结果为准，未查询到的电子保函评审时将按无效投标（响应）处理。</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由于到账时间晚于投标截止时间的，或者票据错误、印鉴不清等原因导致不能到账的，其投标无效。</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vertAlign w:val="baseline"/>
              </w:rPr>
            </w:pPr>
            <w:r>
              <w:rPr>
                <w:rFonts w:hint="eastAsia" w:ascii="仿宋" w:hAnsi="仿宋" w:eastAsia="仿宋" w:cs="仿宋"/>
                <w:sz w:val="24"/>
                <w:szCs w:val="24"/>
                <w:highlight w:val="none"/>
                <w:vertAlign w:val="baseline"/>
              </w:rPr>
              <w:t>投标保证金（投标电子保函）有效期与投标有效期一致。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11.1</w:t>
            </w:r>
          </w:p>
        </w:tc>
        <w:tc>
          <w:tcPr>
            <w:tcW w:w="66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bCs/>
                <w:sz w:val="24"/>
                <w:szCs w:val="24"/>
                <w:highlight w:val="none"/>
                <w:vertAlign w:val="baseline"/>
              </w:rPr>
            </w:pPr>
            <w:r>
              <w:rPr>
                <w:rFonts w:hint="eastAsia" w:ascii="仿宋" w:hAnsi="仿宋" w:eastAsia="仿宋" w:cs="仿宋"/>
                <w:b w:val="0"/>
                <w:bCs w:val="0"/>
                <w:sz w:val="24"/>
                <w:szCs w:val="24"/>
                <w:highlight w:val="none"/>
                <w:vertAlign w:val="baseline"/>
              </w:rPr>
              <w:t>投标有效期：90 日历日</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60" w:hRule="atLeast"/>
        </w:trPr>
        <w:tc>
          <w:tcPr>
            <w:tcW w:w="1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13.1</w:t>
            </w:r>
          </w:p>
        </w:tc>
        <w:tc>
          <w:tcPr>
            <w:tcW w:w="66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yellow"/>
                <w:vertAlign w:val="baseline"/>
                <w:lang w:val="en-US" w:eastAsia="zh-CN"/>
              </w:rPr>
            </w:pPr>
            <w:r>
              <w:rPr>
                <w:rFonts w:hint="eastAsia" w:ascii="仿宋" w:hAnsi="仿宋" w:eastAsia="仿宋" w:cs="仿宋"/>
                <w:b w:val="0"/>
                <w:bCs w:val="0"/>
                <w:sz w:val="24"/>
                <w:szCs w:val="24"/>
                <w:highlight w:val="yellow"/>
                <w:vertAlign w:val="baseline"/>
                <w:lang w:val="en-US" w:eastAsia="zh-CN"/>
              </w:rPr>
              <w:t>投标截止时间：2024 年</w:t>
            </w:r>
            <w:r>
              <w:rPr>
                <w:rFonts w:hint="eastAsia" w:ascii="仿宋" w:hAnsi="仿宋" w:eastAsia="仿宋" w:cs="仿宋"/>
                <w:sz w:val="24"/>
                <w:szCs w:val="24"/>
                <w:highlight w:val="yellow"/>
                <w:lang w:val="en-US" w:eastAsia="zh-CN"/>
              </w:rPr>
              <w:t>1</w:t>
            </w:r>
            <w:r>
              <w:rPr>
                <w:rFonts w:hint="eastAsia" w:ascii="仿宋" w:hAnsi="仿宋" w:eastAsia="仿宋" w:cs="仿宋"/>
                <w:sz w:val="24"/>
                <w:szCs w:val="24"/>
                <w:highlight w:val="yellow"/>
              </w:rPr>
              <w:t>月</w:t>
            </w:r>
            <w:r>
              <w:rPr>
                <w:rFonts w:hint="eastAsia" w:ascii="仿宋" w:hAnsi="仿宋" w:eastAsia="仿宋" w:cs="仿宋"/>
                <w:sz w:val="24"/>
                <w:szCs w:val="24"/>
                <w:highlight w:val="yellow"/>
                <w:lang w:val="en-US" w:eastAsia="zh-CN"/>
              </w:rPr>
              <w:t>22</w:t>
            </w:r>
            <w:r>
              <w:rPr>
                <w:rFonts w:hint="eastAsia" w:ascii="仿宋" w:hAnsi="仿宋" w:eastAsia="仿宋" w:cs="仿宋"/>
                <w:sz w:val="24"/>
                <w:szCs w:val="24"/>
                <w:highlight w:val="yellow"/>
              </w:rPr>
              <w:t>日</w:t>
            </w:r>
            <w:r>
              <w:rPr>
                <w:rFonts w:hint="eastAsia" w:ascii="仿宋" w:hAnsi="仿宋" w:eastAsia="仿宋" w:cs="仿宋"/>
                <w:b w:val="0"/>
                <w:bCs w:val="0"/>
                <w:sz w:val="24"/>
                <w:szCs w:val="24"/>
                <w:highlight w:val="yellow"/>
                <w:vertAlign w:val="baseline"/>
                <w:lang w:val="en-US" w:eastAsia="zh-CN"/>
              </w:rPr>
              <w:t xml:space="preserve"> 11:00（北京时间）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14.1</w:t>
            </w:r>
          </w:p>
        </w:tc>
        <w:tc>
          <w:tcPr>
            <w:tcW w:w="66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 xml:space="preserve">开标时间：同投标截止时间 </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开标地点：政采云平台（https://www.zcygov.cn/）不见面开标系统</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72" w:hRule="atLeast"/>
        </w:trPr>
        <w:tc>
          <w:tcPr>
            <w:tcW w:w="1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18.1</w:t>
            </w:r>
          </w:p>
        </w:tc>
        <w:tc>
          <w:tcPr>
            <w:tcW w:w="66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 xml:space="preserve">采购人是否委托评标委员会直接确定中标人：否 </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c>
          <w:tcPr>
            <w:tcW w:w="1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22.1</w:t>
            </w:r>
          </w:p>
        </w:tc>
        <w:tc>
          <w:tcPr>
            <w:tcW w:w="66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b w:val="0"/>
                <w:bCs w:val="0"/>
                <w:sz w:val="24"/>
                <w:szCs w:val="24"/>
                <w:highlight w:val="yellow"/>
                <w:vertAlign w:val="baseline"/>
                <w:lang w:val="en-US" w:eastAsia="zh-CN"/>
              </w:rPr>
            </w:pPr>
            <w:r>
              <w:rPr>
                <w:rFonts w:hint="eastAsia" w:ascii="仿宋" w:hAnsi="仿宋" w:eastAsia="仿宋" w:cs="仿宋"/>
                <w:b w:val="0"/>
                <w:bCs w:val="0"/>
                <w:sz w:val="24"/>
                <w:szCs w:val="24"/>
                <w:highlight w:val="none"/>
                <w:vertAlign w:val="baseline"/>
                <w:lang w:val="en-US" w:eastAsia="zh-CN"/>
              </w:rPr>
              <w:t>提交履约保证金的时间：</w:t>
            </w:r>
            <w:r>
              <w:rPr>
                <w:rFonts w:hint="eastAsia" w:ascii="仿宋" w:hAnsi="仿宋" w:eastAsia="仿宋" w:cs="仿宋"/>
                <w:b w:val="0"/>
                <w:bCs w:val="0"/>
                <w:sz w:val="24"/>
                <w:szCs w:val="24"/>
                <w:highlight w:val="yellow"/>
                <w:vertAlign w:val="baseline"/>
                <w:lang w:val="en-US" w:eastAsia="zh-CN"/>
              </w:rPr>
              <w:t>签订合同前至本合同中标人义务履行完毕后退还（包括供货、安装等合同中约定的主要义务验收合格后30日内退还）</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default" w:ascii="仿宋" w:hAnsi="仿宋" w:eastAsia="仿宋" w:cs="仿宋"/>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履约保证金金额：</w:t>
            </w:r>
            <w:r>
              <w:rPr>
                <w:rFonts w:hint="eastAsia" w:ascii="仿宋" w:hAnsi="仿宋" w:eastAsia="仿宋" w:cs="仿宋"/>
                <w:sz w:val="24"/>
                <w:szCs w:val="24"/>
                <w:highlight w:val="none"/>
                <w:vertAlign w:val="baseline"/>
                <w:lang w:val="en-US" w:eastAsia="zh-CN"/>
              </w:rPr>
              <w:t>中标金额的10%</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履约保证金形式：</w:t>
            </w:r>
            <w:r>
              <w:rPr>
                <w:rFonts w:hint="eastAsia" w:ascii="仿宋" w:hAnsi="仿宋" w:eastAsia="仿宋" w:cs="仿宋"/>
                <w:b w:val="0"/>
                <w:bCs w:val="0"/>
                <w:sz w:val="24"/>
                <w:szCs w:val="24"/>
                <w:highlight w:val="yellow"/>
                <w:vertAlign w:val="baseline"/>
                <w:lang w:val="en-US" w:eastAsia="zh-CN"/>
              </w:rPr>
              <w:t>支票、汇票、本票、保函等非现金形式</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539" w:hRule="atLeast"/>
        </w:trPr>
        <w:tc>
          <w:tcPr>
            <w:tcW w:w="1870"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r>
              <w:rPr>
                <w:rFonts w:hint="eastAsia" w:ascii="仿宋" w:hAnsi="仿宋" w:eastAsia="仿宋" w:cs="仿宋"/>
                <w:sz w:val="24"/>
                <w:szCs w:val="24"/>
                <w:highlight w:val="none"/>
                <w:vertAlign w:val="baseline"/>
                <w:lang w:val="en-US" w:eastAsia="zh-CN"/>
              </w:rPr>
              <w:t>23.1</w:t>
            </w:r>
          </w:p>
        </w:tc>
        <w:tc>
          <w:tcPr>
            <w:tcW w:w="665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 xml:space="preserve">是否由中标人缴纳招标代理费：是 </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 xml:space="preserve">招标代理费：参照原国家计委计价格【2002】1980 号文件的计算方法收取。  </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 xml:space="preserve">支付形式：支票、电汇等形式 </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支付时间：领取中标通知书的同时</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608" w:hRule="atLeast"/>
        </w:trPr>
        <w:tc>
          <w:tcPr>
            <w:tcW w:w="8522" w:type="dxa"/>
            <w:gridSpan w:val="2"/>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适用于本投标人须知的额外增加的变动：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493" w:hRule="atLeast"/>
        </w:trPr>
        <w:tc>
          <w:tcPr>
            <w:tcW w:w="1870" w:type="dxa"/>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p>
        </w:tc>
        <w:tc>
          <w:tcPr>
            <w:tcW w:w="6652" w:type="dxa"/>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default"/>
                <w:lang w:val="en-US" w:eastAsia="zh-CN"/>
              </w:rPr>
            </w:pPr>
            <w:r>
              <w:rPr>
                <w:rFonts w:hint="eastAsia" w:ascii="仿宋" w:hAnsi="仿宋" w:eastAsia="仿宋" w:cs="仿宋"/>
                <w:b w:val="0"/>
                <w:bCs w:val="0"/>
                <w:sz w:val="24"/>
                <w:szCs w:val="24"/>
                <w:highlight w:val="none"/>
                <w:vertAlign w:val="baseline"/>
                <w:lang w:val="en-US" w:eastAsia="zh-CN"/>
              </w:rPr>
              <w:t>核心产品：纯电动车压缩式垃圾车</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47" w:hRule="atLeast"/>
        </w:trPr>
        <w:tc>
          <w:tcPr>
            <w:tcW w:w="1870" w:type="dxa"/>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p>
        </w:tc>
        <w:tc>
          <w:tcPr>
            <w:tcW w:w="6652" w:type="dxa"/>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评标方法：综合评分法</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73" w:hRule="atLeast"/>
        </w:trPr>
        <w:tc>
          <w:tcPr>
            <w:tcW w:w="1870" w:type="dxa"/>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highlight w:val="none"/>
                <w:vertAlign w:val="baseline"/>
                <w:lang w:val="en-US" w:eastAsia="zh-CN"/>
              </w:rPr>
            </w:pPr>
          </w:p>
        </w:tc>
        <w:tc>
          <w:tcPr>
            <w:tcW w:w="6652" w:type="dxa"/>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项目属性：货物</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190" w:hRule="atLeast"/>
        </w:trPr>
        <w:tc>
          <w:tcPr>
            <w:tcW w:w="852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适用于本投标人须知的额外增加的变动：</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1、关于本项目所有公告、公示在新疆政府采购网发布。</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2、请投标单位随时关注本项目的澄清、答疑、变更事项。</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3、本项目实行电子招投标，供应商须登录政采云平台申请获取招标文件，并通过政采云电子投标客户端制作响应文件，同时自行承担与投标有关的一切费用。</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4、各供应商应在开标前确保成为新疆维吾尔自治区政府采购网正式注册入库供应商，并完成CA数字证书申领。因未注册入库、未办理CA数字证书等原因造成无法投标或投标失败等后果由供应商自行承担。</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5、有意向参与新疆区域电子开评标的供应商，可访问新疆数字证书认证中心官方网站（https://www.xjca.com.cn/）或下载“新疆政务通”APP自行进行申领。如需咨询，请联系新疆CA服务热线0991-2819290。</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5、供应商可前往新疆政府采购网（http://www.ccgp-xinjiang.gov.cn/）下载专区，下载政采云电子投标客户端，安装完成后，可通过账号密码或CA登录客户端进行响应文件制作。在使用政采云电子投标客户端时，如有问题可拨打政采云客户服务热线进行咨询。</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6、本项目采用不见面开标，供应商须在投标截止时间前通过CA在政采云平台上传加密的电子响应文件。备注：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7、供应商在开标前须提前配置好电脑浏览器（建议使用360浏览器或谷歌浏览器），开标时请使用制作加密电子响应文件的CA锁进行解密及报价确认。</w:t>
            </w:r>
            <w:r>
              <w:rPr>
                <w:rFonts w:hint="eastAsia" w:ascii="仿宋" w:hAnsi="仿宋" w:eastAsia="仿宋" w:cs="仿宋"/>
                <w:b/>
                <w:bCs/>
                <w:sz w:val="24"/>
                <w:szCs w:val="24"/>
                <w:highlight w:val="none"/>
                <w:vertAlign w:val="baseline"/>
                <w:lang w:val="en-US" w:eastAsia="zh-CN"/>
              </w:rPr>
              <w:t>本项目投标文件解密时间定为30分钟，如投标人因自身原因导致在规定的时间无法正常解密，视为开标后撤销其投标文件，投标保证金招标人有权不予退还。</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8、成交人领取成交通知书时须向招标代理机构提供纸质版文件1本正本，2本副本，纸质版文件与电子投标文件内容须完全一致。</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9、供应商在开标截止时间后，需按新发改医价【2012】832号规定缴纳场地服务费。各地建设工程交易中心向投标企业收取的场地及设施服务费单个招投标项目最高不得超过6000元。投标企业少于6家（含6家）的按每个投标企业每次1000元收取；投标企业超过6家的，按单个招投标项目6000元由投标企业平均分摊。未按要求缴纳场地费的投标文件将被退回。</w:t>
            </w:r>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vertAlign w:val="baseline"/>
                <w:lang w:val="en-US" w:eastAsia="zh-CN"/>
              </w:rPr>
            </w:pPr>
            <w:r>
              <w:rPr>
                <w:rFonts w:hint="eastAsia" w:ascii="仿宋" w:hAnsi="仿宋" w:eastAsia="仿宋" w:cs="仿宋"/>
                <w:b w:val="0"/>
                <w:bCs w:val="0"/>
                <w:sz w:val="24"/>
                <w:szCs w:val="24"/>
                <w:highlight w:val="none"/>
                <w:vertAlign w:val="baseline"/>
                <w:lang w:val="en-US" w:eastAsia="zh-CN"/>
              </w:rPr>
              <w:t>10、开评标现场公证费用由中标人承担。</w:t>
            </w:r>
          </w:p>
        </w:tc>
      </w:tr>
    </w:tbl>
    <w:p>
      <w:pPr>
        <w:rPr>
          <w:rFonts w:hint="eastAsia" w:ascii="仿宋" w:hAnsi="仿宋" w:eastAsia="仿宋" w:cs="仿宋"/>
          <w:sz w:val="32"/>
          <w:szCs w:val="32"/>
          <w:highlight w:val="none"/>
        </w:rPr>
      </w:pPr>
      <w:r>
        <w:rPr>
          <w:rFonts w:hint="eastAsia" w:ascii="仿宋" w:hAnsi="仿宋" w:eastAsia="仿宋" w:cs="仿宋"/>
          <w:sz w:val="32"/>
          <w:szCs w:val="32"/>
          <w:highlight w:val="none"/>
        </w:rPr>
        <w:br w:type="page"/>
      </w:r>
    </w:p>
    <w:p>
      <w:pPr>
        <w:pStyle w:val="11"/>
        <w:numPr>
          <w:ilvl w:val="0"/>
          <w:numId w:val="1"/>
        </w:numPr>
        <w:bidi w:val="0"/>
        <w:jc w:val="center"/>
        <w:rPr>
          <w:rFonts w:hint="eastAsia" w:ascii="仿宋" w:hAnsi="仿宋" w:eastAsia="仿宋" w:cs="仿宋"/>
          <w:sz w:val="32"/>
          <w:szCs w:val="32"/>
          <w:highlight w:val="none"/>
        </w:rPr>
      </w:pPr>
      <w:bookmarkStart w:id="12" w:name="_Toc27881"/>
      <w:r>
        <w:rPr>
          <w:rFonts w:hint="eastAsia" w:ascii="仿宋" w:hAnsi="仿宋" w:eastAsia="仿宋" w:cs="仿宋"/>
          <w:sz w:val="32"/>
          <w:szCs w:val="32"/>
          <w:highlight w:val="none"/>
        </w:rPr>
        <w:t>投标人须知</w:t>
      </w:r>
      <w:bookmarkEnd w:id="12"/>
    </w:p>
    <w:p>
      <w:pPr>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仿宋" w:hAnsi="仿宋" w:eastAsia="仿宋" w:cs="仿宋"/>
          <w:sz w:val="24"/>
          <w:szCs w:val="24"/>
          <w:highlight w:val="none"/>
        </w:rPr>
      </w:pPr>
    </w:p>
    <w:p>
      <w:pPr>
        <w:keepNext w:val="0"/>
        <w:keepLines w:val="0"/>
        <w:pageBreakBefore w:val="0"/>
        <w:widowControl w:val="0"/>
        <w:numPr>
          <w:ilvl w:val="0"/>
          <w:numId w:val="2"/>
        </w:numPr>
        <w:kinsoku/>
        <w:wordWrap/>
        <w:overflowPunct/>
        <w:topLinePunct w:val="0"/>
        <w:autoSpaceDE/>
        <w:autoSpaceDN/>
        <w:bidi w:val="0"/>
        <w:adjustRightInd/>
        <w:snapToGrid/>
        <w:spacing w:line="500" w:lineRule="exact"/>
        <w:jc w:val="center"/>
        <w:textAlignment w:val="auto"/>
        <w:outlineLvl w:val="1"/>
        <w:rPr>
          <w:rFonts w:hint="eastAsia" w:ascii="仿宋" w:hAnsi="仿宋" w:eastAsia="仿宋" w:cs="仿宋"/>
          <w:b/>
          <w:bCs/>
          <w:sz w:val="24"/>
          <w:szCs w:val="24"/>
          <w:highlight w:val="none"/>
        </w:rPr>
      </w:pPr>
      <w:bookmarkStart w:id="13" w:name="_Toc20936"/>
      <w:r>
        <w:rPr>
          <w:rFonts w:hint="eastAsia" w:ascii="仿宋" w:hAnsi="仿宋" w:eastAsia="仿宋" w:cs="仿宋"/>
          <w:b/>
          <w:bCs/>
          <w:sz w:val="24"/>
          <w:szCs w:val="24"/>
          <w:highlight w:val="none"/>
        </w:rPr>
        <w:t>说 明</w:t>
      </w:r>
      <w:bookmarkEnd w:id="13"/>
    </w:p>
    <w:p>
      <w:pPr>
        <w:keepNext w:val="0"/>
        <w:keepLines w:val="0"/>
        <w:pageBreakBefore w:val="0"/>
        <w:widowControl w:val="0"/>
        <w:numPr>
          <w:ilvl w:val="0"/>
          <w:numId w:val="3"/>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采购人、采购代理机构及投标人</w:t>
      </w:r>
    </w:p>
    <w:p>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采购人：是指依法进行政府采购的国家机构、事业单位、团体组织。</w:t>
      </w:r>
    </w:p>
    <w:p>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采购代理机构：本次招标的采购代理机构为新疆世纪星工程咨询有限公司。</w:t>
      </w:r>
    </w:p>
    <w:p>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投标人：是指向采购人提供货物、工程或者服务的法人、其他组织或者自然人。</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投标人须满足以下条件：</w:t>
      </w:r>
    </w:p>
    <w:p>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具备《中华人民共和国政府采购法》第二十二条关于投标人条件的规定，遵守国家、本项目采购人本级和上级财政部门政府采购的有关规定。</w:t>
      </w:r>
    </w:p>
    <w:p>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以招标文件规定的方式获得了本项目的招标文件。</w:t>
      </w:r>
    </w:p>
    <w:p>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符合</w:t>
      </w:r>
      <w:r>
        <w:rPr>
          <w:rFonts w:hint="eastAsia" w:ascii="仿宋" w:hAnsi="仿宋" w:eastAsia="仿宋" w:cs="仿宋"/>
          <w:b w:val="0"/>
          <w:bCs w:val="0"/>
          <w:sz w:val="24"/>
          <w:szCs w:val="24"/>
          <w:highlight w:val="none"/>
          <w:u w:val="single"/>
          <w:lang w:val="en-US" w:eastAsia="zh-CN"/>
        </w:rPr>
        <w:t>投标须知前附表</w:t>
      </w:r>
      <w:r>
        <w:rPr>
          <w:rFonts w:hint="eastAsia" w:ascii="仿宋" w:hAnsi="仿宋" w:eastAsia="仿宋" w:cs="仿宋"/>
          <w:b w:val="0"/>
          <w:bCs w:val="0"/>
          <w:sz w:val="24"/>
          <w:szCs w:val="24"/>
          <w:highlight w:val="none"/>
          <w:lang w:val="en-US" w:eastAsia="zh-CN"/>
        </w:rPr>
        <w:t>中规定的其他资格要求。</w:t>
      </w:r>
    </w:p>
    <w:p>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如经财政主管部门批准可以采购进口产品，将在投标须知前附表中写明。但投标人应保证所投产品可履行合法报通关手续进入中国关境内。若</w:t>
      </w:r>
      <w:r>
        <w:rPr>
          <w:rFonts w:hint="eastAsia" w:ascii="仿宋" w:hAnsi="仿宋" w:eastAsia="仿宋" w:cs="仿宋"/>
          <w:b w:val="0"/>
          <w:bCs w:val="0"/>
          <w:sz w:val="24"/>
          <w:szCs w:val="24"/>
          <w:highlight w:val="none"/>
          <w:u w:val="single"/>
          <w:lang w:val="en-US" w:eastAsia="zh-CN"/>
        </w:rPr>
        <w:t>投标须知前附表</w:t>
      </w:r>
      <w:r>
        <w:rPr>
          <w:rFonts w:hint="eastAsia" w:ascii="仿宋" w:hAnsi="仿宋" w:eastAsia="仿宋" w:cs="仿宋"/>
          <w:b w:val="0"/>
          <w:bCs w:val="0"/>
          <w:sz w:val="24"/>
          <w:szCs w:val="24"/>
          <w:highlight w:val="none"/>
          <w:lang w:val="en-US" w:eastAsia="zh-CN"/>
        </w:rPr>
        <w:t>中未写明允许采购进口产品，如投标人所投产品为进口产品，其投标将作为</w:t>
      </w:r>
      <w:r>
        <w:rPr>
          <w:rFonts w:hint="eastAsia" w:ascii="仿宋" w:hAnsi="仿宋" w:eastAsia="仿宋" w:cs="仿宋"/>
          <w:b/>
          <w:bCs/>
          <w:sz w:val="24"/>
          <w:szCs w:val="24"/>
          <w:highlight w:val="none"/>
          <w:lang w:val="en-US" w:eastAsia="zh-CN"/>
        </w:rPr>
        <w:t>无效投标</w:t>
      </w:r>
      <w:r>
        <w:rPr>
          <w:rFonts w:hint="eastAsia" w:ascii="仿宋" w:hAnsi="仿宋" w:eastAsia="仿宋" w:cs="仿宋"/>
          <w:b w:val="0"/>
          <w:bCs w:val="0"/>
          <w:sz w:val="24"/>
          <w:szCs w:val="24"/>
          <w:highlight w:val="none"/>
          <w:lang w:val="en-US" w:eastAsia="zh-CN"/>
        </w:rPr>
        <w:t xml:space="preserve">被拒绝。 </w:t>
      </w:r>
    </w:p>
    <w:p>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中小企业、监狱企业及残疾人福利性单位。</w:t>
      </w:r>
    </w:p>
    <w:p>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采购标的对应的中小企业划分标准所属行业见</w:t>
      </w:r>
      <w:r>
        <w:rPr>
          <w:rFonts w:hint="eastAsia" w:ascii="仿宋" w:hAnsi="仿宋" w:eastAsia="仿宋" w:cs="仿宋"/>
          <w:b w:val="0"/>
          <w:bCs w:val="0"/>
          <w:sz w:val="24"/>
          <w:szCs w:val="24"/>
          <w:highlight w:val="none"/>
          <w:u w:val="single"/>
          <w:lang w:val="en-US" w:eastAsia="zh-CN"/>
        </w:rPr>
        <w:t>投标须知前附表</w:t>
      </w:r>
      <w:r>
        <w:rPr>
          <w:rFonts w:hint="eastAsia" w:ascii="仿宋" w:hAnsi="仿宋" w:eastAsia="仿宋" w:cs="仿宋"/>
          <w:b w:val="0"/>
          <w:bCs w:val="0"/>
          <w:sz w:val="24"/>
          <w:szCs w:val="24"/>
          <w:highlight w:val="none"/>
          <w:lang w:val="en-US" w:eastAsia="zh-CN"/>
        </w:rPr>
        <w:t>。</w:t>
      </w:r>
    </w:p>
    <w:p>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若投标须知前附表中写明专门面向中小企业采购的，如投标人所提供的货物为非中小企业制造或提供的服务、工程为非中小企业承接，其投标将被认定为</w:t>
      </w:r>
      <w:r>
        <w:rPr>
          <w:rFonts w:hint="eastAsia" w:ascii="仿宋" w:hAnsi="仿宋" w:eastAsia="仿宋" w:cs="仿宋"/>
          <w:b/>
          <w:bCs/>
          <w:sz w:val="24"/>
          <w:szCs w:val="24"/>
          <w:highlight w:val="none"/>
          <w:lang w:val="en-US" w:eastAsia="zh-CN"/>
        </w:rPr>
        <w:t>投标无效</w:t>
      </w:r>
      <w:r>
        <w:rPr>
          <w:rFonts w:hint="eastAsia" w:ascii="仿宋" w:hAnsi="仿宋" w:eastAsia="仿宋" w:cs="仿宋"/>
          <w:b w:val="0"/>
          <w:bCs w:val="0"/>
          <w:sz w:val="24"/>
          <w:szCs w:val="24"/>
          <w:highlight w:val="none"/>
          <w:lang w:val="en-US" w:eastAsia="zh-CN"/>
        </w:rPr>
        <w:t>。本项目是否面向中小企业采购预留份额、措施及比例见</w:t>
      </w:r>
      <w:r>
        <w:rPr>
          <w:rFonts w:hint="eastAsia" w:ascii="仿宋" w:hAnsi="仿宋" w:eastAsia="仿宋" w:cs="仿宋"/>
          <w:b w:val="0"/>
          <w:bCs w:val="0"/>
          <w:sz w:val="24"/>
          <w:szCs w:val="24"/>
          <w:highlight w:val="none"/>
          <w:u w:val="single"/>
          <w:lang w:val="en-US" w:eastAsia="zh-CN"/>
        </w:rPr>
        <w:t>投标须知前附表</w:t>
      </w:r>
      <w:r>
        <w:rPr>
          <w:rFonts w:hint="eastAsia" w:ascii="仿宋" w:hAnsi="仿宋" w:eastAsia="仿宋" w:cs="仿宋"/>
          <w:b w:val="0"/>
          <w:bCs w:val="0"/>
          <w:sz w:val="24"/>
          <w:szCs w:val="24"/>
          <w:highlight w:val="none"/>
          <w:lang w:val="en-US" w:eastAsia="zh-CN"/>
        </w:rPr>
        <w:t>，未达到上述比例的投标将被认定为</w:t>
      </w:r>
      <w:r>
        <w:rPr>
          <w:rFonts w:hint="eastAsia" w:ascii="仿宋" w:hAnsi="仿宋" w:eastAsia="仿宋" w:cs="仿宋"/>
          <w:b/>
          <w:bCs/>
          <w:sz w:val="24"/>
          <w:szCs w:val="24"/>
          <w:highlight w:val="none"/>
          <w:lang w:val="en-US" w:eastAsia="zh-CN"/>
        </w:rPr>
        <w:t>投标无效</w:t>
      </w:r>
      <w:r>
        <w:rPr>
          <w:rFonts w:hint="eastAsia" w:ascii="仿宋" w:hAnsi="仿宋" w:eastAsia="仿宋" w:cs="仿宋"/>
          <w:b w:val="0"/>
          <w:bCs w:val="0"/>
          <w:sz w:val="24"/>
          <w:szCs w:val="24"/>
          <w:highlight w:val="none"/>
          <w:lang w:val="en-US" w:eastAsia="zh-CN"/>
        </w:rPr>
        <w:t>。承接企业如为监狱企业或残疾人福利性单位的，视同为小型、微型企业。</w:t>
      </w:r>
    </w:p>
    <w:p>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政府采购促进中小企业发展管理办法》（财库〔2020〕46 号）、《关于印发中小企业划型标准规定的通知》（工信部联企业〔2011〕300 号）、《国务院关于进一步促进中小企业发展的若干意见》（国发〔2009〕36 号）。</w:t>
      </w:r>
    </w:p>
    <w:p>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 投标人提供的货物、工程或者服务符合下列情形的，享受中小企业扶持政策：</w:t>
      </w:r>
    </w:p>
    <w:p>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在货物采购项目中，货物由中小企业制造，即货物由中小企业生产且使用该中小企业商号或者注册商标；</w:t>
      </w:r>
    </w:p>
    <w:p>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在工程采购项目中，工程由中小企业承建，即工程施工单位为中小企业；</w:t>
      </w:r>
    </w:p>
    <w:p>
      <w:pPr>
        <w:keepNext w:val="0"/>
        <w:keepLines w:val="0"/>
        <w:pageBreakBefore w:val="0"/>
        <w:widowControl w:val="0"/>
        <w:numPr>
          <w:ilvl w:val="0"/>
          <w:numId w:val="5"/>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在服务采购项目中，服务由中小企业承接，即提供服务的人员为中小企业依照《中华人民共和国劳动合同法》订立劳动合同的从业人员。 </w:t>
      </w:r>
    </w:p>
    <w:p>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在货物采购项目中，投标人提供的货物既有中小企业制造货物，也有大型企业制造货物的，不享受中小企业扶持政策。 </w:t>
      </w:r>
    </w:p>
    <w:p>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以联合体形式参加政府采购活动，联合体各方均为中小企业的，联合体视同中小企业。其中，联合体各方均为小微企业的，联合体视同小微企业。</w:t>
      </w:r>
    </w:p>
    <w:p>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享受政府采购支持政策的残疾人福利性单位根据《关于促进残疾人就业政府采购政策的通知》（财库〔2017〕141号）应当同时满足以下条件： </w:t>
      </w:r>
    </w:p>
    <w:p>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安置的残疾人占本单位在职职工人数的比例不低于25%（含25%），并且安置的残疾人人数不少于10人（含10人）； </w:t>
      </w:r>
    </w:p>
    <w:p>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依法与安置的每位残疾人签订了一年以上（含一年）的劳动合同或服务协议；</w:t>
      </w:r>
    </w:p>
    <w:p>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为安置的每位残疾人按月足额缴纳了基本养老保险、基本医疗保险、失业保险、工伤保险和生育保险等社会保险费；</w:t>
      </w:r>
    </w:p>
    <w:p>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通过银行等金融机构向安置的每位残疾人，按月支付了不低于单位所在区县适用的经省级人民政府批准的月最低工资标准的工资；</w:t>
      </w:r>
    </w:p>
    <w:p>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提供本单位制造的货物、承担的工程或者服务，或者提供其他残疾人福利性单位制造的货物（不包括使用非残疾人福利性单位注册商标的货物）。</w:t>
      </w:r>
    </w:p>
    <w:p>
      <w:pPr>
        <w:keepNext w:val="0"/>
        <w:keepLines w:val="0"/>
        <w:pageBreakBefore w:val="0"/>
        <w:widowControl w:val="0"/>
        <w:numPr>
          <w:ilvl w:val="0"/>
          <w:numId w:val="6"/>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享受中小企业扶持政策获得政府采购合同的，小微企业不得将合同分包给大中型企业，中型企业不得将合同分包给大型企业。</w:t>
      </w:r>
    </w:p>
    <w:p>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政府采购节能产品、环境标志产品</w:t>
      </w:r>
    </w:p>
    <w:p>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w:t>
      </w:r>
    </w:p>
    <w:p>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采购人拟采购的产品属于品目清单范围的，采购人及其委托的采购代理机构依据国家确定的认证机构出具的、处于有效期之内的节能产品、环境标志产品认证证书，对获得证书的产品实施政府优先采购或强制采购。关于政府采购节能产品、环境标志产品的相关规定依据《关于调整优化节能产品、环境标志产品政府采购执行机制的通知》（财库〔2019〕9 号）。 </w:t>
      </w:r>
    </w:p>
    <w:p>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如本项目采购产品属于实施政府强制采购品目清单范围的节能产品，则投标人所报产品必须获得国家确定的认证机构出具的、处于有效期之内的节能产品认证证书，否则</w:t>
      </w:r>
      <w:r>
        <w:rPr>
          <w:rFonts w:hint="eastAsia" w:ascii="仿宋" w:hAnsi="仿宋" w:eastAsia="仿宋" w:cs="仿宋"/>
          <w:b/>
          <w:bCs/>
          <w:sz w:val="24"/>
          <w:szCs w:val="24"/>
          <w:highlight w:val="none"/>
          <w:lang w:val="en-US" w:eastAsia="zh-CN"/>
        </w:rPr>
        <w:t>投标无效</w:t>
      </w:r>
      <w:r>
        <w:rPr>
          <w:rFonts w:hint="eastAsia" w:ascii="仿宋" w:hAnsi="仿宋" w:eastAsia="仿宋" w:cs="仿宋"/>
          <w:b w:val="0"/>
          <w:bCs w:val="0"/>
          <w:sz w:val="24"/>
          <w:szCs w:val="24"/>
          <w:highlight w:val="none"/>
          <w:lang w:val="en-US" w:eastAsia="zh-CN"/>
        </w:rPr>
        <w:t>；</w:t>
      </w:r>
    </w:p>
    <w:p>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非政府强制采购的节能产品或环境标志产品，依据品目清单和认证证书实施政府优先采购。优先采购的具体规定见第六章《评标程序、评标方法和评标标准》（如涉及）。</w:t>
      </w:r>
    </w:p>
    <w:p>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支持乡村产业振兴管理</w:t>
      </w:r>
    </w:p>
    <w:p>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为落实《关于运用政府采购政策支持乡村产业振兴的通知》（财库〔2021〕19 号）有关要求，做好支持脱贫攻坚工作，本项目采购活动中对于支持乡村振兴管理的相关要求见第五章《采购需求》（如涉及）。</w:t>
      </w:r>
    </w:p>
    <w:p>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 正版软件</w:t>
      </w:r>
    </w:p>
    <w:p>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依据《财政部国家发展改革委信息产业部关于印发无线局域网产品政府采购实施意见的通知》（财库〔2005〕366 号），采购无线局域网产品和含有无线局域网功能的计算机、通信设备、打印机、复印机、投影仪等产品的，优先采购符合国家无线局域网安全标准（GB15629.11/1102）并通过国家产品认证的产品。其中，国家有特殊信息安全要求的项目必须采购认证产品，否则</w:t>
      </w:r>
      <w:r>
        <w:rPr>
          <w:rFonts w:hint="eastAsia" w:ascii="仿宋" w:hAnsi="仿宋" w:eastAsia="仿宋" w:cs="仿宋"/>
          <w:b/>
          <w:bCs/>
          <w:sz w:val="24"/>
          <w:szCs w:val="24"/>
          <w:highlight w:val="none"/>
          <w:lang w:val="en-US" w:eastAsia="zh-CN"/>
        </w:rPr>
        <w:t>投标无效</w:t>
      </w:r>
      <w:r>
        <w:rPr>
          <w:rFonts w:hint="eastAsia" w:ascii="仿宋" w:hAnsi="仿宋" w:eastAsia="仿宋" w:cs="仿宋"/>
          <w:b w:val="0"/>
          <w:bCs w:val="0"/>
          <w:sz w:val="24"/>
          <w:szCs w:val="24"/>
          <w:highlight w:val="none"/>
          <w:lang w:val="en-US" w:eastAsia="zh-CN"/>
        </w:rPr>
        <w:t>。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w:t>
      </w:r>
    </w:p>
    <w:p>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号）、《财政部关于进一步做好政府机关使用正版软件工作的通知》（财预〔2010〕536 号）。 </w:t>
      </w:r>
    </w:p>
    <w:p>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供应商信用记录</w:t>
      </w:r>
    </w:p>
    <w:p>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依据《财政部关于在政府采购活动中查询及使用信用记录有关问题的通知》（财库〔2016〕125号），采购人、采购代理机构应当通过“信用中国”网站（www.creditchina.gov.cn）、中国政府采购网（www.ccgp.gov.cn）等渠道查询相关主体信用记录，对列入失信被执行人、重大税收违法案件当事人名单、政府采购严重违法失信行为记录名单、《中华人民共和国政府采购法实施条例》第十九条规定的行政处罚记录及其他不符合《中华人民共和国政府采购法》第二十二条规定条件的供应商，其响应文件将被认定为无效响应。两个以上的自然人、法人或者其他组织组成一个联合体，以一个供应商的身份共同参加政府采购活动的，应当对所有联合体成员进行信用记录查询，联合体成员存在不良信用记录的，视同联合体存在不良信用记录，其响应文件将被认定为无效响应。</w:t>
      </w:r>
    </w:p>
    <w:p>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绿色包装</w:t>
      </w:r>
    </w:p>
    <w:p>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政府采购货物、工程和服务项目中涉及商品包装和快递包装的，要参考包装需求标准，在采购文件中明确政府采购供应商提供产品及相关快递服务的具体包装要求。相关规定依据《关于印发《商品包装政府采购需求标准（试行）》、 《快递包装政府采购需求标准（试行）》的通知》（财办库〔2020〕123号）。</w:t>
      </w:r>
    </w:p>
    <w:p>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w:t>
      </w:r>
      <w:r>
        <w:rPr>
          <w:rFonts w:hint="eastAsia" w:ascii="仿宋" w:hAnsi="仿宋" w:eastAsia="仿宋" w:cs="仿宋"/>
          <w:b w:val="0"/>
          <w:bCs w:val="0"/>
          <w:sz w:val="24"/>
          <w:szCs w:val="24"/>
          <w:highlight w:val="none"/>
          <w:u w:val="single"/>
          <w:lang w:val="en-US" w:eastAsia="zh-CN"/>
        </w:rPr>
        <w:t>投标须知前附表</w:t>
      </w:r>
      <w:r>
        <w:rPr>
          <w:rFonts w:hint="eastAsia" w:ascii="仿宋" w:hAnsi="仿宋" w:eastAsia="仿宋" w:cs="仿宋"/>
          <w:b w:val="0"/>
          <w:bCs w:val="0"/>
          <w:sz w:val="24"/>
          <w:szCs w:val="24"/>
          <w:highlight w:val="none"/>
          <w:lang w:val="en-US" w:eastAsia="zh-CN"/>
        </w:rPr>
        <w:t>中允许联合体投标，对联合体规定如下：</w:t>
      </w:r>
    </w:p>
    <w:p>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两个以上投标人可以组成一个投标联合体，以一个投标人的身份投标。  </w:t>
      </w:r>
    </w:p>
    <w:p>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联合体各方均应符合《中华人民共和国政府采购法》第二十二条规定的条件，遵守国家、本项目采购人本级和上级财政部门政府采购的有关规定。</w:t>
      </w:r>
    </w:p>
    <w:p>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采购人根据采购项目对投标人的特殊要求，联合体中至少应当有一方符合相关规定。</w:t>
      </w:r>
    </w:p>
    <w:p>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联合体各方应签订共同投标协议，明确约定联合体各方承担的工作和相应的责任，并将共同投标协议连同投标文件一并提交采购人或采购代理机构。</w:t>
      </w:r>
    </w:p>
    <w:p>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大中型企业、自然人、法人或者其他组织与小型、微型企业组成联合体共同参加投标，共同投标协议中应写明小型、微型企业的协议合同金额占到共同投标协议投标总金额的比例。联合体各方均为中小企业的，联合体视同中小企业。其中，联合体各方均为小微企业的，联合体视同小微企业。</w:t>
      </w:r>
    </w:p>
    <w:p>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联合体中有同类资质的投标人按照联合体分工承担相同工作的，按照资质等级较低的投标人确定资质等级。</w:t>
      </w:r>
    </w:p>
    <w:p>
      <w:pPr>
        <w:keepNext w:val="0"/>
        <w:keepLines w:val="0"/>
        <w:pageBreakBefore w:val="0"/>
        <w:widowControl w:val="0"/>
        <w:numPr>
          <w:ilvl w:val="2"/>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对联合体投标的其他资格要求见</w:t>
      </w:r>
      <w:r>
        <w:rPr>
          <w:rFonts w:hint="eastAsia" w:ascii="仿宋" w:hAnsi="仿宋" w:eastAsia="仿宋" w:cs="仿宋"/>
          <w:b w:val="0"/>
          <w:bCs w:val="0"/>
          <w:sz w:val="24"/>
          <w:szCs w:val="24"/>
          <w:highlight w:val="none"/>
          <w:u w:val="single"/>
          <w:lang w:val="en-US" w:eastAsia="zh-CN"/>
        </w:rPr>
        <w:t>投标须知前附表</w:t>
      </w:r>
      <w:r>
        <w:rPr>
          <w:rFonts w:hint="eastAsia" w:ascii="仿宋" w:hAnsi="仿宋" w:eastAsia="仿宋" w:cs="仿宋"/>
          <w:b w:val="0"/>
          <w:bCs w:val="0"/>
          <w:sz w:val="24"/>
          <w:szCs w:val="24"/>
          <w:highlight w:val="none"/>
          <w:lang w:val="en-US" w:eastAsia="zh-CN"/>
        </w:rPr>
        <w:t>。</w:t>
      </w:r>
    </w:p>
    <w:p>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单位负责人为同一人或者存在直接控股、管理关系的不同投标人，其投标将被认定为</w:t>
      </w:r>
      <w:r>
        <w:rPr>
          <w:rFonts w:hint="eastAsia" w:ascii="仿宋" w:hAnsi="仿宋" w:eastAsia="仿宋" w:cs="仿宋"/>
          <w:b/>
          <w:bCs/>
          <w:sz w:val="24"/>
          <w:szCs w:val="24"/>
          <w:highlight w:val="none"/>
          <w:lang w:val="en-US" w:eastAsia="zh-CN"/>
        </w:rPr>
        <w:t>投标无效</w:t>
      </w:r>
      <w:r>
        <w:rPr>
          <w:rFonts w:hint="eastAsia" w:ascii="仿宋" w:hAnsi="仿宋" w:eastAsia="仿宋" w:cs="仿宋"/>
          <w:b w:val="0"/>
          <w:bCs w:val="0"/>
          <w:sz w:val="24"/>
          <w:szCs w:val="24"/>
          <w:highlight w:val="none"/>
          <w:lang w:val="en-US" w:eastAsia="zh-CN"/>
        </w:rPr>
        <w:t xml:space="preserve">。 </w:t>
      </w:r>
    </w:p>
    <w:p>
      <w:pPr>
        <w:keepNext w:val="0"/>
        <w:keepLines w:val="0"/>
        <w:pageBreakBefore w:val="0"/>
        <w:widowControl w:val="0"/>
        <w:numPr>
          <w:ilvl w:val="1"/>
          <w:numId w:val="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为本项目提供整体设计、规范编制或者项目管理、监理、检测等服务的投标人，其投标将被认定为</w:t>
      </w:r>
      <w:r>
        <w:rPr>
          <w:rFonts w:hint="eastAsia" w:ascii="仿宋" w:hAnsi="仿宋" w:eastAsia="仿宋" w:cs="仿宋"/>
          <w:b/>
          <w:bCs/>
          <w:sz w:val="24"/>
          <w:szCs w:val="24"/>
          <w:highlight w:val="none"/>
          <w:lang w:val="en-US" w:eastAsia="zh-CN"/>
        </w:rPr>
        <w:t>投标无效</w:t>
      </w:r>
      <w:r>
        <w:rPr>
          <w:rFonts w:hint="eastAsia" w:ascii="仿宋" w:hAnsi="仿宋" w:eastAsia="仿宋" w:cs="仿宋"/>
          <w:b w:val="0"/>
          <w:bCs w:val="0"/>
          <w:sz w:val="24"/>
          <w:szCs w:val="24"/>
          <w:highlight w:val="none"/>
          <w:lang w:val="en-US" w:eastAsia="zh-CN"/>
        </w:rPr>
        <w:t>。</w:t>
      </w:r>
    </w:p>
    <w:p>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 xml:space="preserve"> 资金来源 </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本项目的采购人已获得足以支付本次招标后所签订的合同项下的资金（包括财政性资金和本项目采购中无法与财政性资金分割的非财政性资金）。 </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项目预算金额和最高限价见</w:t>
      </w:r>
      <w:r>
        <w:rPr>
          <w:rFonts w:hint="eastAsia" w:ascii="仿宋" w:hAnsi="仿宋" w:eastAsia="仿宋" w:cs="仿宋"/>
          <w:b w:val="0"/>
          <w:bCs w:val="0"/>
          <w:sz w:val="24"/>
          <w:szCs w:val="24"/>
          <w:highlight w:val="none"/>
          <w:u w:val="single"/>
          <w:lang w:val="en-US" w:eastAsia="zh-CN"/>
        </w:rPr>
        <w:t>投标须知前附表</w:t>
      </w:r>
      <w:r>
        <w:rPr>
          <w:rFonts w:hint="eastAsia" w:ascii="仿宋" w:hAnsi="仿宋" w:eastAsia="仿宋" w:cs="仿宋"/>
          <w:b w:val="0"/>
          <w:bCs w:val="0"/>
          <w:sz w:val="24"/>
          <w:szCs w:val="24"/>
          <w:highlight w:val="none"/>
          <w:lang w:val="en-US" w:eastAsia="zh-CN"/>
        </w:rPr>
        <w:t>。</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投标人报价超过招标文件规定的预算金额或者最高限价的，其投标将被认定为</w:t>
      </w:r>
      <w:r>
        <w:rPr>
          <w:rFonts w:hint="eastAsia" w:ascii="仿宋" w:hAnsi="仿宋" w:eastAsia="仿宋" w:cs="仿宋"/>
          <w:b/>
          <w:bCs/>
          <w:sz w:val="24"/>
          <w:szCs w:val="24"/>
          <w:highlight w:val="none"/>
          <w:lang w:val="en-US" w:eastAsia="zh-CN"/>
        </w:rPr>
        <w:t>投标无效</w:t>
      </w:r>
      <w:r>
        <w:rPr>
          <w:rFonts w:hint="eastAsia" w:ascii="仿宋" w:hAnsi="仿宋" w:eastAsia="仿宋" w:cs="仿宋"/>
          <w:b w:val="0"/>
          <w:bCs w:val="0"/>
          <w:sz w:val="24"/>
          <w:szCs w:val="24"/>
          <w:highlight w:val="none"/>
          <w:lang w:val="en-US" w:eastAsia="zh-CN"/>
        </w:rPr>
        <w:t xml:space="preserve">。 </w:t>
      </w:r>
    </w:p>
    <w:p>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投标费用</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投标人应自行承担所有与准备和参加投标有关的费用，无论投标的结果如何，采购人或采购代理机构在任何情况下均无承担这些费用的义务和责任。</w:t>
      </w:r>
    </w:p>
    <w:p>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bCs/>
          <w:sz w:val="24"/>
          <w:szCs w:val="24"/>
          <w:highlight w:val="none"/>
          <w:lang w:val="en-US" w:eastAsia="zh-CN"/>
        </w:rPr>
        <w:t>适用法律</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本项目采购人、采购代理机构、投标人、评标委员会的相关行为均受《中华人民共和国政府采购法》、《中华人民共和国政府采购法实施条例》、《政府采购货物和服务招标投标管理办法》（财政部令第87号）及本项目本级和上级财政部门政府采购有关规定的约束，其权利受到上述法律法规的保护。</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bCs/>
          <w:sz w:val="24"/>
          <w:szCs w:val="24"/>
          <w:highlight w:val="none"/>
          <w:lang w:val="en-US" w:eastAsia="zh-CN"/>
        </w:rPr>
      </w:pPr>
    </w:p>
    <w:p>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500" w:lineRule="exact"/>
        <w:ind w:leftChars="0"/>
        <w:jc w:val="center"/>
        <w:textAlignment w:val="auto"/>
        <w:outlineLvl w:val="1"/>
        <w:rPr>
          <w:rFonts w:hint="eastAsia" w:ascii="仿宋" w:hAnsi="仿宋" w:eastAsia="仿宋" w:cs="仿宋"/>
          <w:b/>
          <w:bCs/>
          <w:sz w:val="24"/>
          <w:szCs w:val="24"/>
          <w:highlight w:val="none"/>
          <w:lang w:val="en-US" w:eastAsia="zh-CN"/>
        </w:rPr>
      </w:pPr>
      <w:bookmarkStart w:id="14" w:name="_Toc6547"/>
      <w:r>
        <w:rPr>
          <w:rFonts w:hint="eastAsia" w:ascii="仿宋" w:hAnsi="仿宋" w:eastAsia="仿宋" w:cs="仿宋"/>
          <w:b/>
          <w:bCs/>
          <w:sz w:val="24"/>
          <w:szCs w:val="24"/>
          <w:highlight w:val="none"/>
          <w:lang w:val="en-US" w:eastAsia="zh-CN"/>
        </w:rPr>
        <w:t>招标文件</w:t>
      </w:r>
      <w:bookmarkEnd w:id="14"/>
    </w:p>
    <w:p>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招标文件构成</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招标文件包括以下部分：</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第一章 招标公告（投标邀请） </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第二章 投标须知前附表 </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第三章 投标人须知</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第四章 政府采购合同 </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第五章 采购需求 </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第六章 评标程序、评标方法和评标标准</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第七章 投标文件格式 </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投标人应认真阅读招标文件的全部内容。投标人应按照招标文件要求提交投标文件并保证所提供的全部资料的真实性，并对招标文件做出实质性响应，否则</w:t>
      </w:r>
      <w:r>
        <w:rPr>
          <w:rFonts w:hint="eastAsia" w:ascii="仿宋" w:hAnsi="仿宋" w:eastAsia="仿宋" w:cs="仿宋"/>
          <w:b/>
          <w:bCs/>
          <w:sz w:val="24"/>
          <w:szCs w:val="24"/>
          <w:highlight w:val="none"/>
          <w:lang w:val="en-US" w:eastAsia="zh-CN"/>
        </w:rPr>
        <w:t>投标无效</w:t>
      </w:r>
      <w:r>
        <w:rPr>
          <w:rFonts w:hint="eastAsia" w:ascii="仿宋" w:hAnsi="仿宋" w:eastAsia="仿宋" w:cs="仿宋"/>
          <w:b w:val="0"/>
          <w:bCs w:val="0"/>
          <w:sz w:val="24"/>
          <w:szCs w:val="24"/>
          <w:highlight w:val="none"/>
          <w:lang w:val="en-US" w:eastAsia="zh-CN"/>
        </w:rPr>
        <w:t>。</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招标文件中有不一致的，有澄清的部分以最终的澄清更正内容为准；未澄清的，以投标须知前附表为准；</w:t>
      </w:r>
      <w:r>
        <w:rPr>
          <w:rFonts w:hint="eastAsia" w:ascii="仿宋" w:hAnsi="仿宋" w:eastAsia="仿宋" w:cs="仿宋"/>
          <w:b w:val="0"/>
          <w:bCs w:val="0"/>
          <w:sz w:val="24"/>
          <w:szCs w:val="24"/>
          <w:highlight w:val="none"/>
          <w:u w:val="none"/>
          <w:lang w:val="en-US" w:eastAsia="zh-CN"/>
        </w:rPr>
        <w:t>投标须知前附表</w:t>
      </w:r>
      <w:r>
        <w:rPr>
          <w:rFonts w:hint="eastAsia" w:ascii="仿宋" w:hAnsi="仿宋" w:eastAsia="仿宋" w:cs="仿宋"/>
          <w:b w:val="0"/>
          <w:bCs w:val="0"/>
          <w:sz w:val="24"/>
          <w:szCs w:val="24"/>
          <w:highlight w:val="none"/>
          <w:lang w:val="en-US" w:eastAsia="zh-CN"/>
        </w:rPr>
        <w:t>不涉及的内容，以编排在后的最后描述为准。</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现场考察或者答疑会及相关事项见</w:t>
      </w:r>
      <w:r>
        <w:rPr>
          <w:rFonts w:hint="eastAsia" w:ascii="仿宋" w:hAnsi="仿宋" w:eastAsia="仿宋" w:cs="仿宋"/>
          <w:b w:val="0"/>
          <w:bCs w:val="0"/>
          <w:sz w:val="24"/>
          <w:szCs w:val="24"/>
          <w:highlight w:val="none"/>
          <w:u w:val="single"/>
          <w:lang w:val="en-US" w:eastAsia="zh-CN"/>
        </w:rPr>
        <w:t>投标须知前附表</w:t>
      </w:r>
      <w:r>
        <w:rPr>
          <w:rFonts w:hint="eastAsia" w:ascii="仿宋" w:hAnsi="仿宋" w:eastAsia="仿宋" w:cs="仿宋"/>
          <w:b w:val="0"/>
          <w:bCs w:val="0"/>
          <w:sz w:val="24"/>
          <w:szCs w:val="24"/>
          <w:highlight w:val="none"/>
          <w:lang w:val="en-US" w:eastAsia="zh-CN"/>
        </w:rPr>
        <w:t>。</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采购人在踏勘现场中介绍的资料和数据等，只是为了使投标人能够利用招标人现有的资料。招标人对投标人由此而作出的推论、解释和结论概不负责。</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投标人自行承担踏勘现场发生的责任、风险和自身费用。</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原则上采购人、采购代理机构不要求投标人提供样品。除仅凭书面方式不能准确描述采购需求，或者需要对样品进行主观判断以确认是否满足采购需求等特殊情况除外。如需提供样品，对样品相关要求见</w:t>
      </w:r>
      <w:r>
        <w:rPr>
          <w:rFonts w:hint="eastAsia" w:ascii="仿宋" w:hAnsi="仿宋" w:eastAsia="仿宋" w:cs="仿宋"/>
          <w:b w:val="0"/>
          <w:bCs w:val="0"/>
          <w:sz w:val="24"/>
          <w:szCs w:val="24"/>
          <w:highlight w:val="none"/>
          <w:u w:val="single"/>
          <w:lang w:val="en-US" w:eastAsia="zh-CN"/>
        </w:rPr>
        <w:t>投标须知前附表</w:t>
      </w:r>
      <w:r>
        <w:rPr>
          <w:rFonts w:hint="eastAsia" w:ascii="仿宋" w:hAnsi="仿宋" w:eastAsia="仿宋" w:cs="仿宋"/>
          <w:b w:val="0"/>
          <w:bCs w:val="0"/>
          <w:sz w:val="24"/>
          <w:szCs w:val="24"/>
          <w:highlight w:val="none"/>
          <w:lang w:val="en-US" w:eastAsia="zh-CN"/>
        </w:rPr>
        <w:t>，对样品的评审方法及评审标准见招标文件第六章《评标程序、评标方法和评标标准》。</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招标文件规定投标人提交样品的，样品属于投标文件的组成部分。样品的生产、运输、安装、保全等一切费用由投标人自理。</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结果公告发布后，中标供应商的样品由采购人封存，作为履约验收的依据之一。未中标供应商在接到采购代理机构通知后，应按规定时间尽快自行取回样品，否则视同供应商不再认领，代理机构有权进行处理。</w:t>
      </w:r>
    </w:p>
    <w:p>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对招标文件的澄清或修改</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对已发出的招标文件进行必要澄清或者修改的，将在原公告发布媒体（网站）上发布更正公告（通知），因投标人未及时登陆媒体（网站）查看导致通知未及时收到通知的，采购人或采购代理机构不承担责任。</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更正公告及其所发布的内容或信息（包括但不限于：招标文件的澄清或修改、现场考察或答疑会的有关事宜等）作为招标文件的组成部分，对投标人具有约束力。一经在指定媒体上发布后，更正公告将作为通知所有招标文件收受人的书面形式。</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澄清或者修改的内容为招标文件的组成部分，并对所有获取招标文件的潜在投标人具有约束力。澄清或者修改的内容可能影响投标文件编制的，将在投标截止时间至少 15 日前发布；不足 15 日的，将顺延提交投标文件的截止时间和开标时间。</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为了保证对招标文件的澄清和修改满足法律的时限要求，任何要求对招标文件进行澄清的投标人，均应在投标截止期十五日前，以书面形式将澄清要求通知采购人或采购代理机构。</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如更正公告有重新发布电子招标文件的，投标人应登录电子招投标平台下载最新发布的电子招标文件制作投标文件。</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投标人在规定的时间内未对招标文件提出疑问、质疑或要求澄清的，将视其为无异议。对招标文件中描述有歧义或前后不一致的地方，评标委员会有权进行评判，但对同一条款的评判应适用于每个投标人。</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lang w:val="en-US" w:eastAsia="zh-CN"/>
        </w:rPr>
      </w:pPr>
    </w:p>
    <w:p>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5" w:name="_Toc9070"/>
      <w:r>
        <w:rPr>
          <w:rFonts w:hint="eastAsia" w:ascii="仿宋" w:hAnsi="仿宋" w:eastAsia="仿宋" w:cs="仿宋"/>
          <w:b/>
          <w:bCs/>
          <w:sz w:val="24"/>
          <w:szCs w:val="24"/>
          <w:highlight w:val="none"/>
          <w:lang w:val="en-US" w:eastAsia="zh-CN"/>
        </w:rPr>
        <w:t>投标文件的编制</w:t>
      </w:r>
      <w:bookmarkEnd w:id="15"/>
    </w:p>
    <w:p>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u w:val="single"/>
          <w:lang w:val="en-US" w:eastAsia="zh-CN"/>
        </w:rPr>
      </w:pPr>
      <w:r>
        <w:rPr>
          <w:rFonts w:hint="eastAsia" w:ascii="仿宋" w:hAnsi="仿宋" w:eastAsia="仿宋" w:cs="仿宋"/>
          <w:b w:val="0"/>
          <w:bCs w:val="0"/>
          <w:sz w:val="24"/>
          <w:szCs w:val="24"/>
          <w:highlight w:val="none"/>
          <w:lang w:val="en-US" w:eastAsia="zh-CN"/>
        </w:rPr>
        <w:t>投标范围、投标文件中计量单位的使用及投标语言</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投标人可对招标文件中一个或几个分包进行投标，除非在</w:t>
      </w:r>
      <w:r>
        <w:rPr>
          <w:rFonts w:hint="eastAsia" w:ascii="仿宋" w:hAnsi="仿宋" w:eastAsia="仿宋" w:cs="仿宋"/>
          <w:b w:val="0"/>
          <w:bCs w:val="0"/>
          <w:sz w:val="24"/>
          <w:szCs w:val="24"/>
          <w:highlight w:val="none"/>
          <w:u w:val="single"/>
          <w:lang w:val="en-US" w:eastAsia="zh-CN"/>
        </w:rPr>
        <w:t>投标须知前附表中另有规定</w:t>
      </w:r>
      <w:r>
        <w:rPr>
          <w:rFonts w:hint="eastAsia" w:ascii="仿宋" w:hAnsi="仿宋" w:eastAsia="仿宋" w:cs="仿宋"/>
          <w:b w:val="0"/>
          <w:bCs w:val="0"/>
          <w:sz w:val="24"/>
          <w:szCs w:val="24"/>
          <w:highlight w:val="none"/>
          <w:lang w:val="en-US" w:eastAsia="zh-CN"/>
        </w:rPr>
        <w:t xml:space="preserve">。 </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投标人应当对所投采购包对应第五章《采购需求》所列的全部内容进行投标，如仅响应采购包中的部分内容，其该包投标将被认定为</w:t>
      </w:r>
      <w:r>
        <w:rPr>
          <w:rFonts w:hint="eastAsia" w:ascii="仿宋" w:hAnsi="仿宋" w:eastAsia="仿宋" w:cs="仿宋"/>
          <w:b/>
          <w:bCs/>
          <w:sz w:val="24"/>
          <w:szCs w:val="24"/>
          <w:highlight w:val="none"/>
          <w:lang w:val="en-US" w:eastAsia="zh-CN"/>
        </w:rPr>
        <w:t>投标无效</w:t>
      </w:r>
      <w:r>
        <w:rPr>
          <w:rFonts w:hint="eastAsia" w:ascii="仿宋" w:hAnsi="仿宋" w:eastAsia="仿宋" w:cs="仿宋"/>
          <w:b w:val="0"/>
          <w:bCs w:val="0"/>
          <w:sz w:val="24"/>
          <w:szCs w:val="24"/>
          <w:highlight w:val="none"/>
          <w:lang w:val="en-US" w:eastAsia="zh-CN"/>
        </w:rPr>
        <w:t>。</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无论招标文件中是否要求，投标人所投货物或服务均应符合国家强制性标准。</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除招标文件有特殊要求外，本项目投标所使用的计量单位，应采用中华人民共和国法定计量单位。</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除专用术语外，投标文件及来往函电均应使用中文书写。必要时专用术语应附有中文解释。投标人提交的支持资料和已印制的文献可以用外文，但相应内容应附有中文翻译本，在解释投标文件时以中文翻译本为准。未附中文翻译本或翻译本中文内容明显与外文内容不一致的，其不利后果由投标人自行承担。 </w:t>
      </w:r>
    </w:p>
    <w:p>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投标文件构成</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投标人应当按照招标文件的要求编制投标文件。投标文件应由资格证明文件、报价文件、商务和技术文件四部分构成。投标文件的部分格式要求，见第七章《投标文件格式》。</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第五章《采购需求》及第六章《评标程序、评标方法和评标标准》中涉及的证明文件。</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对照第五章《采购需求》，说明所提供货物或服务已对第五章《采购需求》做出了响应，或申明与第五章《采购需求》的偏差和例外。如第五章《采购需求》中要求提供证明文件的，投标人应当按具体要求提供证明文件。</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投标人认为应附的其他材料。</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上述文件应按照招标文件的规定签署和盖公章或经公章授权的其他单位章（以下统称公章）。采用公章授权方式的，应当在投标文件中附公章授权书（格式自定）。使用电子签名和电子印章的（即CA数字证书），供应商应当到相关服务机构办理并取得数字证书介质和应用。电子签名包括单位法定代表人、被委托人及其他个人的电子形式签名；电子印章包括机构法人电子形式印章。电子签名及电子印章与手写签名或者盖章具有同等的法律效力。签名（含电子签名）和盖章（含电子印章）是不同使用场景，应按招标文件要求在投标文件指定位置进行签名（含电子签名）和盖章（含电子印章），对允许采用手写签名的文件，应在纸质文件手写签名后，提供文件的彩色扫描电子文档进行后续操作。</w:t>
      </w:r>
    </w:p>
    <w:p>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投标报价</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所有投标均以人民币报价。</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的报价应当包括完成本次招标全部采购需求所应提供的全部内容所发生的一切费用和税费，采购人将不再支付报价以外的任何费用。采购需求中有特殊规定的，从其规定。投标人的投标报价应遵守《中华人民共和国价格法》。同时，根据《中华人民共和国政府采购法》及相关配套法律、法规的规定，为保证公平竞争，如投标人有赠与行为的，将导致其投标被拒绝。</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投标人所报的各分项投标单价在合同履行过程中是固定不变的，不得以任何理由予以变更。任何包含价格调整要求的投标或有选择性或可调整的报价（招标文件另有规定的除外），其投标将被认定为投标无效。 </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应按照““第五章采购需求”的需求内容、责任范围以及第四章政府采购合同”进行报价。并按“开标一览表”和“分项报价表”规定的格式报出总价和分项价格。投标总价中不得包含招标文件要求以外的内容，否则，在评审时不予核减。</w:t>
      </w:r>
    </w:p>
    <w:p>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投标保证金</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投标人应按</w:t>
      </w:r>
      <w:r>
        <w:rPr>
          <w:rFonts w:hint="eastAsia" w:ascii="仿宋" w:hAnsi="仿宋" w:eastAsia="仿宋" w:cs="仿宋"/>
          <w:b w:val="0"/>
          <w:bCs w:val="0"/>
          <w:sz w:val="24"/>
          <w:szCs w:val="24"/>
          <w:highlight w:val="none"/>
          <w:u w:val="single"/>
          <w:lang w:val="en-US" w:eastAsia="zh-CN"/>
        </w:rPr>
        <w:t>投标须知前附表</w:t>
      </w:r>
      <w:r>
        <w:rPr>
          <w:rFonts w:hint="eastAsia" w:ascii="仿宋" w:hAnsi="仿宋" w:eastAsia="仿宋" w:cs="仿宋"/>
          <w:b w:val="0"/>
          <w:bCs w:val="0"/>
          <w:sz w:val="24"/>
          <w:szCs w:val="24"/>
          <w:highlight w:val="none"/>
          <w:lang w:val="en-US" w:eastAsia="zh-CN"/>
        </w:rPr>
        <w:t>中规定的金额及要求交纳投标保证金，并作为其投标的一部分。</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交纳投标保证金的形式除</w:t>
      </w:r>
      <w:r>
        <w:rPr>
          <w:rFonts w:hint="eastAsia" w:ascii="仿宋" w:hAnsi="仿宋" w:eastAsia="仿宋" w:cs="仿宋"/>
          <w:b w:val="0"/>
          <w:bCs w:val="0"/>
          <w:sz w:val="24"/>
          <w:szCs w:val="24"/>
          <w:highlight w:val="none"/>
          <w:u w:val="single"/>
          <w:lang w:val="en-US" w:eastAsia="zh-CN"/>
        </w:rPr>
        <w:t>投标须知前附表中</w:t>
      </w:r>
      <w:r>
        <w:rPr>
          <w:rFonts w:hint="eastAsia" w:ascii="仿宋" w:hAnsi="仿宋" w:eastAsia="仿宋" w:cs="仿宋"/>
          <w:b w:val="0"/>
          <w:bCs w:val="0"/>
          <w:sz w:val="24"/>
          <w:szCs w:val="24"/>
          <w:highlight w:val="none"/>
          <w:u w:val="none"/>
          <w:lang w:val="en-US" w:eastAsia="zh-CN"/>
        </w:rPr>
        <w:t>另有约定外，</w:t>
      </w:r>
      <w:r>
        <w:rPr>
          <w:rFonts w:hint="eastAsia" w:ascii="仿宋" w:hAnsi="仿宋" w:eastAsia="仿宋" w:cs="仿宋"/>
          <w:b w:val="0"/>
          <w:bCs w:val="0"/>
          <w:sz w:val="24"/>
          <w:szCs w:val="24"/>
          <w:highlight w:val="none"/>
          <w:lang w:val="en-US" w:eastAsia="zh-CN"/>
        </w:rPr>
        <w:t>可采用的形式：政府采购法律法规接受的支票、汇票、本票、网上银行支付或者金融机构、担保机构出具的保函等非现金形式。</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保证金到账（保函提交）截止时间同投标截止时间。以支票、汇票、本票、网上银行支付等形式提交投标保证金的，应在投标截止时间前到账；以金融机构、担保机构出具的保函等形式提交投标保证金的，应在投标截止时间前将原件提交至采购代理机构。由于到账时间晚于投标截止时间的，或者票据错误、印鉴不清等原因导致不能到账的，其投标无效。</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如采用金融机构、专业担保机构开具的投标担保函、投标保证保险函等形式提交投标保证金的，投标担保函或投标保证保险函须开具给采购人（保险受益人须为采购人），否则其</w:t>
      </w:r>
      <w:r>
        <w:rPr>
          <w:rFonts w:hint="eastAsia" w:ascii="仿宋" w:hAnsi="仿宋" w:eastAsia="仿宋" w:cs="仿宋"/>
          <w:b/>
          <w:bCs/>
          <w:sz w:val="24"/>
          <w:szCs w:val="24"/>
          <w:highlight w:val="none"/>
          <w:lang w:val="en-US" w:eastAsia="zh-CN"/>
        </w:rPr>
        <w:t>投标无效</w:t>
      </w:r>
      <w:r>
        <w:rPr>
          <w:rFonts w:hint="eastAsia" w:ascii="仿宋" w:hAnsi="仿宋" w:eastAsia="仿宋" w:cs="仿宋"/>
          <w:b w:val="0"/>
          <w:bCs w:val="0"/>
          <w:sz w:val="24"/>
          <w:szCs w:val="24"/>
          <w:highlight w:val="none"/>
          <w:lang w:val="en-US" w:eastAsia="zh-CN"/>
        </w:rPr>
        <w:t>。电子保函与纸质保函具有同样效力。</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投标保证金（保函）有效期同投标有效期。</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联合体投标的，可以由联合体中的一方或者共同提交投标保证金，以一方名义提交投标保证金的，对联合体各方均具有约束力。</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采购代理机构将及时退还投标人的投标保证金，采用银行保函、担保机构担保函等形式递交的投标保证金，经供应商同意后采购人、采购代理机构可以不再退还，但因投标人自身原因导致无法及时退还的除外。</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投标人在投标截止时间前撤回已提交的投标文件的，自收到投标人书面撤回通知之日起 5 个工作日内退还已收取的投标保证金。 </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中标人的投标保证金，自采购合同签订之日起 5 个工作日内退还中标人。 </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未中标投标人的投标保证金，自中标通知书发出之日起 5 个工作日内退还未中标人。</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终止采购活动的项目已经收取投标保证金的，自终止采购活动后 5 个工作日内退还已收取的投标保证金。</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有下列情形之一的，采购人或采购代理机构可以不予退还投标保证金：</w:t>
      </w:r>
    </w:p>
    <w:p>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在投标有效期内，投标人撤回投标的； </w:t>
      </w:r>
    </w:p>
    <w:p>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中标人不按本招标文件的规定与采购人签订合同的； </w:t>
      </w:r>
    </w:p>
    <w:p>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中标人不按本招标文件的规定提交履约保证金的； </w:t>
      </w:r>
    </w:p>
    <w:p>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中标人不按本招标文件的规定缴纳中标服务费的； </w:t>
      </w:r>
    </w:p>
    <w:p>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存在的串通投标情形的； </w:t>
      </w:r>
    </w:p>
    <w:p>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存在向采购人、代理机构或评标专家行贿事实的； </w:t>
      </w:r>
    </w:p>
    <w:p>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法律、法规规定的其它情况。 </w:t>
      </w:r>
    </w:p>
    <w:p>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投标有效期</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投标文件应在</w:t>
      </w:r>
      <w:r>
        <w:rPr>
          <w:rFonts w:hint="eastAsia" w:ascii="仿宋" w:hAnsi="仿宋" w:eastAsia="仿宋" w:cs="仿宋"/>
          <w:b w:val="0"/>
          <w:bCs w:val="0"/>
          <w:sz w:val="24"/>
          <w:szCs w:val="24"/>
          <w:highlight w:val="none"/>
          <w:u w:val="single"/>
          <w:lang w:val="en-US" w:eastAsia="zh-CN"/>
        </w:rPr>
        <w:t>投标须知前附表</w:t>
      </w:r>
      <w:r>
        <w:rPr>
          <w:rFonts w:hint="eastAsia" w:ascii="仿宋" w:hAnsi="仿宋" w:eastAsia="仿宋" w:cs="仿宋"/>
          <w:b w:val="0"/>
          <w:bCs w:val="0"/>
          <w:sz w:val="24"/>
          <w:szCs w:val="24"/>
          <w:highlight w:val="none"/>
          <w:lang w:val="en-US" w:eastAsia="zh-CN"/>
        </w:rPr>
        <w:t>中规定的投标有效期内保持有效，投标有效期少于招标文件规定期限的，其</w:t>
      </w:r>
      <w:r>
        <w:rPr>
          <w:rFonts w:hint="eastAsia" w:ascii="仿宋" w:hAnsi="仿宋" w:eastAsia="仿宋" w:cs="仿宋"/>
          <w:b/>
          <w:bCs/>
          <w:sz w:val="24"/>
          <w:szCs w:val="24"/>
          <w:highlight w:val="none"/>
          <w:lang w:val="en-US" w:eastAsia="zh-CN"/>
        </w:rPr>
        <w:t>投标无效</w:t>
      </w:r>
      <w:r>
        <w:rPr>
          <w:rFonts w:hint="eastAsia" w:ascii="仿宋" w:hAnsi="仿宋" w:eastAsia="仿宋" w:cs="仿宋"/>
          <w:b w:val="0"/>
          <w:bCs w:val="0"/>
          <w:sz w:val="24"/>
          <w:szCs w:val="24"/>
          <w:highlight w:val="none"/>
          <w:lang w:val="en-US" w:eastAsia="zh-CN"/>
        </w:rPr>
        <w:t>。</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可根据实际情况，在原投标有效期截止之前，要求投标人延长投标文件的有效期。接受该要求的投标人将不会被要求和允许修正其投标，且本须知中有关投标保证金的要求须在延长的有效期内继续有效。投标人也可以拒绝延长投标有效期的要求，退还其投标保证金。上述要求和答复都应以书面形式提交。</w:t>
      </w:r>
    </w:p>
    <w:p>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投标文件的制作</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文件中，所有内容均以电子文件编制，如因不按电子招投标平台要求编制导致系统无法检索、读取相关信息时，其后果由投标人承担。由于本项目采用电子化投标，请充分考虑设备、网络环境、人员对系统熟悉度等因素，合理安排投标文件制作、提交时间，建议至少提前一天完成制作、提交工作。</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投标人应使用电子招投标平台提供的投标客户端编制、标记、加密投标文件，成功加密后将生成指定格式的电子投标文件和电子备用投标文件</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如有对多个采购包投标的，要对每个采购包独立制作电子投标文件。</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投标人须对招标文件的对应要求给予唯一的实质性响应，否则将视为</w:t>
      </w:r>
      <w:r>
        <w:rPr>
          <w:rFonts w:hint="eastAsia" w:ascii="仿宋" w:hAnsi="仿宋" w:eastAsia="仿宋" w:cs="仿宋"/>
          <w:b/>
          <w:bCs/>
          <w:sz w:val="24"/>
          <w:szCs w:val="24"/>
          <w:highlight w:val="none"/>
          <w:lang w:val="en-US" w:eastAsia="zh-CN"/>
        </w:rPr>
        <w:t>不响应</w:t>
      </w:r>
      <w:r>
        <w:rPr>
          <w:rFonts w:hint="eastAsia" w:ascii="仿宋" w:hAnsi="仿宋" w:eastAsia="仿宋" w:cs="仿宋"/>
          <w:b w:val="0"/>
          <w:bCs w:val="0"/>
          <w:sz w:val="24"/>
          <w:szCs w:val="24"/>
          <w:highlight w:val="none"/>
          <w:lang w:val="en-US" w:eastAsia="zh-CN"/>
        </w:rPr>
        <w:t>。</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招标文件中，凡标有“※”的地方均为实质性响应条款，投标人若有一项带“※”的条款未响应或不满足，将按无效投标处理。</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应按招标文件的规定及附件要求的内容和格式完整地填写和提供资料。投标人必须对投标文件所提供的全部资料的真实性承担法律责任，并无条件接受采购人和政府采购监督管理部门对其中任何资料进行核实（核对原件）的要求。</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highlight w:val="none"/>
          <w:lang w:val="en-US" w:eastAsia="zh-CN"/>
        </w:rPr>
      </w:pPr>
    </w:p>
    <w:p>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6" w:name="_Toc21719"/>
      <w:r>
        <w:rPr>
          <w:rFonts w:hint="eastAsia" w:ascii="仿宋" w:hAnsi="仿宋" w:eastAsia="仿宋" w:cs="仿宋"/>
          <w:b/>
          <w:bCs/>
          <w:sz w:val="24"/>
          <w:szCs w:val="24"/>
          <w:highlight w:val="none"/>
          <w:lang w:val="en-US" w:eastAsia="zh-CN"/>
        </w:rPr>
        <w:t>投标文件的提交</w:t>
      </w:r>
      <w:bookmarkEnd w:id="16"/>
    </w:p>
    <w:p>
      <w:pPr>
        <w:keepNext w:val="0"/>
        <w:keepLines w:val="0"/>
        <w:pageBreakBefore w:val="0"/>
        <w:widowControl w:val="0"/>
        <w:numPr>
          <w:ilvl w:val="0"/>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投标文件的提交</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投标人应在</w:t>
      </w:r>
      <w:r>
        <w:rPr>
          <w:rFonts w:hint="eastAsia" w:ascii="仿宋" w:hAnsi="仿宋" w:eastAsia="仿宋" w:cs="仿宋"/>
          <w:b w:val="0"/>
          <w:bCs w:val="0"/>
          <w:sz w:val="24"/>
          <w:szCs w:val="24"/>
          <w:highlight w:val="none"/>
          <w:u w:val="single"/>
          <w:lang w:val="en-US" w:eastAsia="zh-CN"/>
        </w:rPr>
        <w:t>投标须知前附表</w:t>
      </w:r>
      <w:r>
        <w:rPr>
          <w:rFonts w:hint="eastAsia" w:ascii="仿宋" w:hAnsi="仿宋" w:eastAsia="仿宋" w:cs="仿宋"/>
          <w:b w:val="0"/>
          <w:bCs w:val="0"/>
          <w:sz w:val="24"/>
          <w:szCs w:val="24"/>
          <w:highlight w:val="none"/>
          <w:lang w:val="en-US" w:eastAsia="zh-CN"/>
        </w:rPr>
        <w:t>中规定的截止时间前，将投标文件递交到招标公告中规定的电子招投标平台。时间以电子招投标平台系统服务器从中国科学院国家授时中心取得的北京时间为准，投标截止时间结束后，系统将不允许投标人上传投标文件，已上传投标文件但未完成传输的文件系统将拒绝接收。</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代理机构对因不可抗力事件造成的投标文件的损坏、丢失的，不承担责任。</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出现下述情形之一，属于未成功提交投标文件，按无效</w:t>
      </w:r>
      <w:r>
        <w:rPr>
          <w:rFonts w:hint="eastAsia" w:ascii="仿宋" w:hAnsi="仿宋" w:eastAsia="仿宋" w:cs="仿宋"/>
          <w:b/>
          <w:bCs/>
          <w:sz w:val="24"/>
          <w:szCs w:val="24"/>
          <w:highlight w:val="none"/>
          <w:lang w:val="en-US" w:eastAsia="zh-CN"/>
        </w:rPr>
        <w:t>投标处理</w:t>
      </w:r>
      <w:r>
        <w:rPr>
          <w:rFonts w:hint="eastAsia" w:ascii="仿宋" w:hAnsi="仿宋" w:eastAsia="仿宋" w:cs="仿宋"/>
          <w:b w:val="0"/>
          <w:bCs w:val="0"/>
          <w:sz w:val="24"/>
          <w:szCs w:val="24"/>
          <w:highlight w:val="none"/>
          <w:lang w:val="en-US" w:eastAsia="zh-CN"/>
        </w:rPr>
        <w:t>：</w:t>
      </w:r>
    </w:p>
    <w:p>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至提交投标文件截止时，投标文件未完整上传的。 </w:t>
      </w:r>
    </w:p>
    <w:p>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投标文件未按投标格式中注明需签字盖章的要求进行签名（含电子签名）和加盖电子印章，或签名（含电子签名）或电子印章不完整的。</w:t>
      </w:r>
    </w:p>
    <w:p>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投标文件损坏或格式不正确的。</w:t>
      </w:r>
    </w:p>
    <w:p>
      <w:pPr>
        <w:keepNext w:val="0"/>
        <w:keepLines w:val="0"/>
        <w:pageBreakBefore w:val="0"/>
        <w:widowControl w:val="0"/>
        <w:numPr>
          <w:ilvl w:val="1"/>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投标文件的修改、撤回与撤销</w:t>
      </w:r>
    </w:p>
    <w:p>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在提交投标文件截止时间前，投标人可以修改或撤回未解密的电子投标文件，并于提交投标文件截止时间前将修改后重新生成的电子投标文件上传至系统，到达投标文件提交截止时间后，将不允许修改或撤回。</w:t>
      </w:r>
    </w:p>
    <w:p>
      <w:pPr>
        <w:keepNext w:val="0"/>
        <w:keepLines w:val="0"/>
        <w:pageBreakBefore w:val="0"/>
        <w:widowControl w:val="0"/>
        <w:numPr>
          <w:ilvl w:val="2"/>
          <w:numId w:val="7"/>
        </w:numPr>
        <w:tabs>
          <w:tab w:val="left" w:pos="0"/>
        </w:tabs>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val="0"/>
          <w:bCs w:val="0"/>
          <w:sz w:val="24"/>
          <w:szCs w:val="24"/>
          <w:highlight w:val="none"/>
          <w:lang w:val="en-US" w:eastAsia="zh-CN"/>
        </w:rPr>
        <w:t>在提交投标文件截止时间后，投标人不得补充、修改和更换投标文件。</w:t>
      </w:r>
      <w:r>
        <w:rPr>
          <w:rFonts w:hint="eastAsia" w:ascii="仿宋" w:hAnsi="仿宋" w:eastAsia="仿宋" w:cs="仿宋"/>
          <w:b/>
          <w:bCs/>
          <w:sz w:val="24"/>
          <w:szCs w:val="24"/>
          <w:highlight w:val="none"/>
          <w:lang w:val="en-US" w:eastAsia="zh-CN"/>
        </w:rPr>
        <w:t xml:space="preserve"> </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bCs/>
          <w:sz w:val="24"/>
          <w:szCs w:val="24"/>
          <w:highlight w:val="none"/>
          <w:lang w:val="en-US" w:eastAsia="zh-CN"/>
        </w:rPr>
      </w:pPr>
    </w:p>
    <w:p>
      <w:pPr>
        <w:keepNext w:val="0"/>
        <w:keepLines w:val="0"/>
        <w:pageBreakBefore w:val="0"/>
        <w:widowControl w:val="0"/>
        <w:numPr>
          <w:ilvl w:val="0"/>
          <w:numId w:val="8"/>
        </w:numPr>
        <w:tabs>
          <w:tab w:val="left" w:pos="0"/>
        </w:tabs>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7" w:name="_Toc15263"/>
      <w:r>
        <w:rPr>
          <w:rFonts w:hint="eastAsia" w:ascii="仿宋" w:hAnsi="仿宋" w:eastAsia="仿宋" w:cs="仿宋"/>
          <w:b/>
          <w:bCs/>
          <w:sz w:val="24"/>
          <w:szCs w:val="24"/>
          <w:highlight w:val="none"/>
          <w:lang w:val="en-US" w:eastAsia="zh-CN"/>
        </w:rPr>
        <w:t>开标、资格审查及评标</w:t>
      </w:r>
      <w:bookmarkEnd w:id="17"/>
    </w:p>
    <w:p>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开标</w:t>
      </w:r>
    </w:p>
    <w:p>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采购人和采购代理机构将按</w:t>
      </w:r>
      <w:r>
        <w:rPr>
          <w:rFonts w:hint="eastAsia" w:ascii="仿宋" w:hAnsi="仿宋" w:eastAsia="仿宋" w:cs="仿宋"/>
          <w:b w:val="0"/>
          <w:bCs w:val="0"/>
          <w:sz w:val="24"/>
          <w:szCs w:val="24"/>
          <w:highlight w:val="none"/>
          <w:u w:val="single"/>
          <w:lang w:val="en-US" w:eastAsia="zh-CN"/>
        </w:rPr>
        <w:t>投标须知前附表</w:t>
      </w:r>
      <w:r>
        <w:rPr>
          <w:rFonts w:hint="eastAsia" w:ascii="仿宋" w:hAnsi="仿宋" w:eastAsia="仿宋" w:cs="仿宋"/>
          <w:b w:val="0"/>
          <w:bCs w:val="0"/>
          <w:sz w:val="24"/>
          <w:szCs w:val="24"/>
          <w:highlight w:val="none"/>
          <w:lang w:val="en-US" w:eastAsia="zh-CN"/>
        </w:rPr>
        <w:t>中规定的开标时间和地点组织公开开标并邀请所有投标人代表参加。开标时，由采购人或者采购代理机构工作人员宣布投标人名称、解密情况，投标价格和招标文件规定的需要宣布的其他内容（以开标一览表要求为准），开标为远程电子开标。</w:t>
      </w:r>
    </w:p>
    <w:p>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采用远程电子开标的：</w:t>
      </w:r>
    </w:p>
    <w:p>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的法定代表人或其授权代表应当按照本招标公告载明的时间和模式等要求参加开标。在投标截止时间前30分钟，应当登录开标大厅进行签到，并且填写授权代表的姓名与手机号码。若因签到时填写的授权代表信息有误而导致的不良后果，由供应商自行承担。</w:t>
      </w:r>
    </w:p>
    <w:p>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开标时，投标人应当使用编制本项目（采购包）电子投标文件时加密所用数字证书在开始解密后按照代理机构规定的时间内完成电子投标文件的解密，如遇不可抗力等其他特殊情况，采购代理机构可视情况延长解密时间。投标人未携带数字证书或其他非系统原因导致的在规定时间内未解密投标文件，将作无效投标处理。（采用远程电子开标的，各投标人在参加开标以前须自行对使用电脑的网络环境、驱动安装、客户端安装以及数字证书的有效性等进行检测，确保可以正常使用）。</w:t>
      </w:r>
    </w:p>
    <w:p>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在电子开标过程中出现因系统原因无法正常解密的，代理机构可根据实际情况开启上传备用电子投标文件通道。系统将对上传的备用电子投标文件的合法性进行验证，若发现提交的备用电子投标文件与加密的电子投标文件版本不一致（即两份文件不是编制投标文件同时生成的），系统将拒绝接收，视为无效投标。如供应商无法在代理规定的时间内完成备用电子投标文件的上传，投标将被拒绝，作无效</w:t>
      </w:r>
      <w:r>
        <w:rPr>
          <w:rFonts w:hint="eastAsia" w:ascii="仿宋" w:hAnsi="仿宋" w:eastAsia="仿宋" w:cs="仿宋"/>
          <w:b/>
          <w:bCs/>
          <w:sz w:val="24"/>
          <w:szCs w:val="24"/>
          <w:highlight w:val="none"/>
          <w:lang w:val="en-US" w:eastAsia="zh-CN"/>
        </w:rPr>
        <w:t>投标处理</w:t>
      </w:r>
      <w:r>
        <w:rPr>
          <w:rFonts w:hint="eastAsia" w:ascii="仿宋" w:hAnsi="仿宋" w:eastAsia="仿宋" w:cs="仿宋"/>
          <w:b w:val="0"/>
          <w:bCs w:val="0"/>
          <w:sz w:val="24"/>
          <w:szCs w:val="24"/>
          <w:highlight w:val="none"/>
          <w:lang w:val="en-US" w:eastAsia="zh-CN"/>
        </w:rPr>
        <w:t>。</w:t>
      </w:r>
    </w:p>
    <w:p>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投标人代表对开标过程和开标记录有疑义，以及认为采购人、采购代理机构相关工作人员有需要回避的情形的，应当场提出询问或者回避申请。投标人未参加开标的，视同认可开标结果。</w:t>
      </w:r>
    </w:p>
    <w:p>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投标截止时间后，投标人不足3家的，不得开标。同时，本次采购活动结束。</w:t>
      </w:r>
    </w:p>
    <w:p>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开标时出现下列情况的，视为</w:t>
      </w:r>
      <w:r>
        <w:rPr>
          <w:rFonts w:hint="eastAsia" w:ascii="仿宋" w:hAnsi="仿宋" w:eastAsia="仿宋" w:cs="仿宋"/>
          <w:b/>
          <w:bCs/>
          <w:sz w:val="24"/>
          <w:szCs w:val="24"/>
          <w:highlight w:val="none"/>
          <w:lang w:val="en-US" w:eastAsia="zh-CN"/>
        </w:rPr>
        <w:t>投标无效</w:t>
      </w:r>
      <w:r>
        <w:rPr>
          <w:rFonts w:hint="eastAsia" w:ascii="仿宋" w:hAnsi="仿宋" w:eastAsia="仿宋" w:cs="仿宋"/>
          <w:b w:val="0"/>
          <w:bCs w:val="0"/>
          <w:sz w:val="24"/>
          <w:szCs w:val="24"/>
          <w:highlight w:val="none"/>
          <w:lang w:val="en-US" w:eastAsia="zh-CN"/>
        </w:rPr>
        <w:t>处理：</w:t>
      </w:r>
    </w:p>
    <w:p>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因投标人自身原因，未在规定时间内完成电子投标文件解密的；</w:t>
      </w:r>
    </w:p>
    <w:p>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如需使用备用电子投标文件解密时，在规定的解密时间内无法提供备用电子投标文件或提供的备用电子投标文件与加密的电子投标文件版本不一致（即两份文件不是投标客户端编制同时生成的）。 </w:t>
      </w:r>
    </w:p>
    <w:p>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采购人或采购代理机构将对开标过程进行记录，由参加开标的各投标人代表和相关工作人员签字确认。</w:t>
      </w:r>
    </w:p>
    <w:p>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资格审查</w:t>
      </w:r>
    </w:p>
    <w:p>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采购人或采购代理机构依据法律法规和招标文件中规定的内容，对投标人及其投标货物或服务的资格进行审查，未通过资格审查的投标人不进入评标；资格证明文件不按电子招投标平台要求编制导致系统无法检索、读取相关信息时，将被认定为未通过资格审查；通过资格审查的投标人少于三家的，不进行评标。 </w:t>
      </w:r>
    </w:p>
    <w:p>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资格审查要求详见第六章《评标程序、评标方法和评标标准》。</w:t>
      </w:r>
    </w:p>
    <w:p>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采购人或采购代理机构将按</w:t>
      </w:r>
      <w:r>
        <w:rPr>
          <w:rFonts w:hint="eastAsia" w:ascii="仿宋" w:hAnsi="仿宋" w:eastAsia="仿宋" w:cs="仿宋"/>
          <w:b w:val="0"/>
          <w:bCs w:val="0"/>
          <w:sz w:val="24"/>
          <w:szCs w:val="24"/>
          <w:highlight w:val="none"/>
          <w:u w:val="none"/>
          <w:lang w:val="en-US" w:eastAsia="zh-CN"/>
        </w:rPr>
        <w:t>第六章《评标程序、评标方法和评标标准》</w:t>
      </w:r>
      <w:r>
        <w:rPr>
          <w:rFonts w:hint="eastAsia" w:ascii="仿宋" w:hAnsi="仿宋" w:eastAsia="仿宋" w:cs="仿宋"/>
          <w:b w:val="0"/>
          <w:bCs w:val="0"/>
          <w:sz w:val="24"/>
          <w:szCs w:val="24"/>
          <w:highlight w:val="none"/>
          <w:lang w:val="en-US" w:eastAsia="zh-CN"/>
        </w:rPr>
        <w:t>中规定的时间查询投标人的信用记录。采购人或采购代理机构将查询网页打印、签字并存档备查。投标人不良信用记录以采购人或采购代理机构查询结果为准。在本招标文件规定的查询时间之外，网站信息发生的任何变更均不作为资格审查依据。</w:t>
      </w:r>
    </w:p>
    <w:p>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评标委员会</w:t>
      </w:r>
    </w:p>
    <w:p>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评标委员会根据政府采购有关规定和本次招标采购项目的特点进行组建，并负责具体评标事务，独立履行职责。 </w:t>
      </w:r>
    </w:p>
    <w:p>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评审专家须符合《财政部关于在政府采购活动中查询及使用信用记录有关问题的通知》（财库〔2016〕125 号）的规定。依法自行选定评审专家的，采购人和采购代理机构将查询有关信用记录，对具有行贿、受贿、欺诈等不良信用记录的人员，拒绝其参与政府采购活动。</w:t>
      </w:r>
    </w:p>
    <w:p>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评标程序、评标方法和评标标准</w:t>
      </w:r>
    </w:p>
    <w:p>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详见第六章《评标程序、评标方法和评标标准》</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p>
    <w:p>
      <w:pPr>
        <w:keepNext w:val="0"/>
        <w:keepLines w:val="0"/>
        <w:pageBreakBefore w:val="0"/>
        <w:widowControl w:val="0"/>
        <w:numPr>
          <w:ilvl w:val="0"/>
          <w:numId w:val="8"/>
        </w:numPr>
        <w:kinsoku/>
        <w:wordWrap/>
        <w:overflowPunct/>
        <w:topLinePunct w:val="0"/>
        <w:autoSpaceDE/>
        <w:autoSpaceDN/>
        <w:bidi w:val="0"/>
        <w:adjustRightInd/>
        <w:snapToGrid/>
        <w:spacing w:line="500" w:lineRule="exact"/>
        <w:ind w:left="0" w:leftChars="0" w:firstLine="0" w:firstLineChars="0"/>
        <w:jc w:val="center"/>
        <w:textAlignment w:val="auto"/>
        <w:outlineLvl w:val="1"/>
        <w:rPr>
          <w:rFonts w:hint="eastAsia" w:ascii="仿宋" w:hAnsi="仿宋" w:eastAsia="仿宋" w:cs="仿宋"/>
          <w:b/>
          <w:bCs/>
          <w:sz w:val="24"/>
          <w:szCs w:val="24"/>
          <w:highlight w:val="none"/>
          <w:lang w:val="en-US" w:eastAsia="zh-CN"/>
        </w:rPr>
      </w:pPr>
      <w:bookmarkStart w:id="18" w:name="_Toc7787"/>
      <w:r>
        <w:rPr>
          <w:rFonts w:hint="eastAsia" w:ascii="仿宋" w:hAnsi="仿宋" w:eastAsia="仿宋" w:cs="仿宋"/>
          <w:b/>
          <w:bCs/>
          <w:sz w:val="24"/>
          <w:szCs w:val="24"/>
          <w:highlight w:val="none"/>
          <w:lang w:val="en-US" w:eastAsia="zh-CN"/>
        </w:rPr>
        <w:t>确定中标</w:t>
      </w:r>
      <w:bookmarkEnd w:id="18"/>
    </w:p>
    <w:p>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确定中标人</w:t>
      </w:r>
    </w:p>
    <w:p>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将在评标报告确定的中标候选人名单中按顺序确定中标人，中标候选人并列的，由采购人或者采购人委托评标委员会按照招标文件规定的方式确定中标人；招标文件未规定的，采取随机抽取的方式确定。采购人是否委托评标委员会直接确定中标人见</w:t>
      </w:r>
      <w:r>
        <w:rPr>
          <w:rFonts w:hint="eastAsia" w:ascii="仿宋" w:hAnsi="仿宋" w:eastAsia="仿宋" w:cs="仿宋"/>
          <w:b w:val="0"/>
          <w:bCs w:val="0"/>
          <w:sz w:val="24"/>
          <w:szCs w:val="24"/>
          <w:highlight w:val="none"/>
          <w:u w:val="single"/>
          <w:lang w:val="en-US" w:eastAsia="zh-CN"/>
        </w:rPr>
        <w:t>投标须知前附表</w:t>
      </w:r>
      <w:r>
        <w:rPr>
          <w:rFonts w:hint="eastAsia" w:ascii="仿宋" w:hAnsi="仿宋" w:eastAsia="仿宋" w:cs="仿宋"/>
          <w:b w:val="0"/>
          <w:bCs w:val="0"/>
          <w:sz w:val="24"/>
          <w:szCs w:val="24"/>
          <w:highlight w:val="none"/>
          <w:lang w:val="en-US" w:eastAsia="zh-CN"/>
        </w:rPr>
        <w:t>。</w:t>
      </w:r>
    </w:p>
    <w:p>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中标公告与中标通知书</w:t>
      </w:r>
    </w:p>
    <w:p>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采购人或采购代理机构自中标人确定之日起 2 个工作日内，在招标公告发布媒体发布中标结果，同时向中标人发出中标通知书，中标公告期限为 1 个工作日。</w:t>
      </w:r>
    </w:p>
    <w:p>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中标通知书对采购人和中标供应商均具有法律效力。中标通知书发出后，中标供应商放弃中标项目的，应当依法承担法律责任。</w:t>
      </w:r>
    </w:p>
    <w:p>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废标</w:t>
      </w:r>
    </w:p>
    <w:p>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在招标采购中，出现下列情形之一的，应予废标：</w:t>
      </w:r>
    </w:p>
    <w:p>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符合专业条件的供应商或者对招标文件作实质响应的供应商不足三家的；</w:t>
      </w:r>
    </w:p>
    <w:p>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出现影响采购公正的违法、违规行为的；</w:t>
      </w:r>
    </w:p>
    <w:p>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投标人的报价均超过了采购预算，采购人不能支付的；</w:t>
      </w:r>
    </w:p>
    <w:p>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因重大变故，采购任务取消的。</w:t>
      </w:r>
    </w:p>
    <w:p>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废标后，采购人将废标理由通知所有投标人。</w:t>
      </w:r>
    </w:p>
    <w:p>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签订合同</w:t>
      </w:r>
    </w:p>
    <w:p>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中标人、采购人应当自中标通知书发出之日起 30 日内，按照招标文件和中标人投标文件的规定签订书面合同。所签订的合同不得对招标文件确定的事项和中标人投标文件作实质性修改。 </w:t>
      </w:r>
    </w:p>
    <w:p>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中标人拒绝与采购人签订合同的，采购人可以按照评标报告推荐的中标候选人名单排序，确定下一候选人为中标人，也可以重新开展政府采购活动。</w:t>
      </w:r>
    </w:p>
    <w:p>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联合体中标的，联合体各方应当共同与采购人签订合同，就中标项目向采购人承担连带责任。 </w:t>
      </w:r>
    </w:p>
    <w:p>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政府采购合同不能转包。如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投标无效。中标人就采购项目和分包项目向采购人负责，分包供应商就分包项目承担责任。</w:t>
      </w:r>
    </w:p>
    <w:p>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履约保证金</w:t>
      </w:r>
    </w:p>
    <w:p>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中标人应按照</w:t>
      </w:r>
      <w:r>
        <w:rPr>
          <w:rFonts w:hint="eastAsia" w:ascii="仿宋" w:hAnsi="仿宋" w:eastAsia="仿宋" w:cs="仿宋"/>
          <w:b w:val="0"/>
          <w:bCs w:val="0"/>
          <w:sz w:val="24"/>
          <w:szCs w:val="24"/>
          <w:highlight w:val="none"/>
          <w:u w:val="single"/>
          <w:lang w:val="en-US" w:eastAsia="zh-CN"/>
        </w:rPr>
        <w:t>投标须知前附表</w:t>
      </w:r>
      <w:r>
        <w:rPr>
          <w:rFonts w:hint="eastAsia" w:ascii="仿宋" w:hAnsi="仿宋" w:eastAsia="仿宋" w:cs="仿宋"/>
          <w:b w:val="0"/>
          <w:bCs w:val="0"/>
          <w:sz w:val="24"/>
          <w:szCs w:val="24"/>
          <w:highlight w:val="none"/>
          <w:lang w:val="en-US" w:eastAsia="zh-CN"/>
        </w:rPr>
        <w:t>规定的金额、形式和时间向采购人缴纳履约保证金。</w:t>
      </w:r>
    </w:p>
    <w:p>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经采购人同意，中标人也可以自愿采用其他履约保证金的提供方式。</w:t>
      </w:r>
    </w:p>
    <w:p>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如果中标人没有按照上述条款规定缴纳履约保证金，将视为放弃中标资格，中标人的投标保证金将被没收。在此情况下，采购人可确定下一候选人为中标人，也可以重新开展政府采购活动。</w:t>
      </w:r>
    </w:p>
    <w:p>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代理服务费</w:t>
      </w:r>
    </w:p>
    <w:p>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收费对象、收费标准及缴纳时间见</w:t>
      </w:r>
      <w:r>
        <w:rPr>
          <w:rFonts w:hint="eastAsia" w:ascii="仿宋" w:hAnsi="仿宋" w:eastAsia="仿宋" w:cs="仿宋"/>
          <w:b w:val="0"/>
          <w:bCs w:val="0"/>
          <w:sz w:val="24"/>
          <w:szCs w:val="24"/>
          <w:highlight w:val="none"/>
          <w:u w:val="single"/>
          <w:lang w:val="en-US" w:eastAsia="zh-CN"/>
        </w:rPr>
        <w:t>投标须知前附表</w:t>
      </w:r>
      <w:r>
        <w:rPr>
          <w:rFonts w:hint="eastAsia" w:ascii="仿宋" w:hAnsi="仿宋" w:eastAsia="仿宋" w:cs="仿宋"/>
          <w:b w:val="0"/>
          <w:bCs w:val="0"/>
          <w:sz w:val="24"/>
          <w:szCs w:val="24"/>
          <w:highlight w:val="none"/>
          <w:lang w:val="en-US" w:eastAsia="zh-CN"/>
        </w:rPr>
        <w:t xml:space="preserve">。由中标人支付的，中标人须一次性向采购代理机构缴纳代理费，投标报价应包含代理费用。 </w:t>
      </w:r>
    </w:p>
    <w:p>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询问与质疑</w:t>
      </w:r>
    </w:p>
    <w:p>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询问</w:t>
      </w:r>
    </w:p>
    <w:p>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对政府采购活动事项（招标文件、采购过程和成交结果）有疑问的，可以向采购人或采购代理机构提出询问，采购人或采购代理机构将及时作出答复，但答复的内容不涉及商业秘密。询问可以口头方式提出，也可以书面方式提出，书面方式包括但不限于传真、信函、电子邮件。联系方式见</w:t>
      </w:r>
      <w:r>
        <w:rPr>
          <w:rFonts w:hint="eastAsia" w:ascii="仿宋" w:hAnsi="仿宋" w:eastAsia="仿宋" w:cs="仿宋"/>
          <w:b w:val="0"/>
          <w:bCs w:val="0"/>
          <w:sz w:val="24"/>
          <w:szCs w:val="24"/>
          <w:highlight w:val="none"/>
          <w:u w:val="single"/>
          <w:lang w:val="en-US" w:eastAsia="zh-CN"/>
        </w:rPr>
        <w:t>投标须知前附表</w:t>
      </w:r>
      <w:r>
        <w:rPr>
          <w:rFonts w:hint="eastAsia" w:ascii="仿宋" w:hAnsi="仿宋" w:eastAsia="仿宋" w:cs="仿宋"/>
          <w:b w:val="0"/>
          <w:bCs w:val="0"/>
          <w:sz w:val="24"/>
          <w:szCs w:val="24"/>
          <w:highlight w:val="none"/>
          <w:lang w:val="en-US" w:eastAsia="zh-CN"/>
        </w:rPr>
        <w:t>中“采购人、采购代理机构的名称、地址和联系方式”。</w:t>
      </w:r>
    </w:p>
    <w:p>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质疑</w:t>
      </w:r>
    </w:p>
    <w:p>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投标人认为招标文件、采购过程、中标结果使自己的权益受到损害的，可以在知道或者应知其权益受到损害之日起 7 个工作日内，由投标人派授权代表以书面形式向采购人、采购代理机构提出质疑。采购人、采购代理机构在收到质疑函后 7 个工作日内作出答复。</w:t>
      </w:r>
    </w:p>
    <w:p>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供应商应知其权益受到损害之日是指：</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（1）对招标文件提出质疑的，为获取招标文件之日或者招标文件获取期限届满之日；</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（2）对采购过程提出质疑的，为各采购程序环节结束之日；</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（3）对中标结果提出质疑的，为中标结果公告期限届满之日。 </w:t>
      </w:r>
    </w:p>
    <w:p>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质疑应当有明确的请求和必要的证明材料。依照谁主张谁举证的原则，提出质疑者须同时提交相关证据材料和注明证据的确切来源，证据来源必须合法，采购人或采购代理机构有权将质疑函转发质疑事项各关联方，请其作出解释说明。对捏造事实、滥用维权扰乱采购秩序的恶意质疑者，将上报政府采购监督管理部门依法处理。</w:t>
      </w:r>
    </w:p>
    <w:p>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质疑函须使用财政部制定的范本文件。投标人为自然人的，应当由本人签字；投标人为法人或者其他组织的，应当由法定代表人、主要负责人，或者其授权代表签字或者盖章，并加盖公章。</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质疑函应当包括下列内容：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（1）投标人名称、地址、邮编、联系人及联系电话；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（2）质疑项目的名称、编号；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（3）具体、明确的质疑事项和与质疑事项相关的请求；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（4）事实依据；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 xml:space="preserve">（5）必要的法律依据；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（6）提出质疑的日期。</w:t>
      </w:r>
    </w:p>
    <w:p>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委托代理人进行质疑的，应当随质疑函同时提交投标人签署的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pPr>
        <w:keepNext w:val="0"/>
        <w:keepLines w:val="0"/>
        <w:pageBreakBefore w:val="0"/>
        <w:widowControl w:val="0"/>
        <w:numPr>
          <w:ilvl w:val="2"/>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投标人应在法定质疑期内一次性提出针对同一采购程序环节的质疑，法定质疑期内针对同一采购程序环节再次提出的质疑、超出法定质疑期的、重复提出的、分次提出的或内容、形式不符合《政府采购质疑和投诉办法》的采购人、采购代理机构有权不予回复。</w:t>
      </w:r>
    </w:p>
    <w:p>
      <w:pPr>
        <w:keepNext w:val="0"/>
        <w:keepLines w:val="0"/>
        <w:pageBreakBefore w:val="0"/>
        <w:widowControl w:val="0"/>
        <w:numPr>
          <w:ilvl w:val="0"/>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其他</w:t>
      </w:r>
    </w:p>
    <w:p>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本次招标活动中除招标文件规定外还需执行《中华人民共和国政府采购法》、《中华人民共和国政府采购法实施条例》、《政府采购货物和服务招标投标管理办法》（财政部令第87号）及本项目本级和上级财政部门政府采购有关规定。</w:t>
      </w:r>
    </w:p>
    <w:p>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在采购人或采购代理机构认为适当时、国家机关调查、审查、审计时以及其他符合法律规定的情形下，采购人或采购代理机构无须事先征求投标人同意而可以披露关于采购过程、合同文本、签署情况的资料、投标人的名称及地址、投标文件的有关信息以及补充条款等，但应当在合理的必要范围内。对任何已经公布过的内容或与之内容相同的资料，以及投标人已经泄露或公开的，无须再承担保密责任。</w:t>
      </w:r>
    </w:p>
    <w:p>
      <w:pPr>
        <w:keepNext w:val="0"/>
        <w:keepLines w:val="0"/>
        <w:pageBreakBefore w:val="0"/>
        <w:widowControl w:val="0"/>
        <w:numPr>
          <w:ilvl w:val="1"/>
          <w:numId w:val="7"/>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lang w:val="en-US" w:eastAsia="zh-CN"/>
        </w:rPr>
      </w:pPr>
      <w:r>
        <w:rPr>
          <w:rFonts w:hint="eastAsia" w:ascii="仿宋" w:hAnsi="仿宋" w:eastAsia="仿宋" w:cs="仿宋"/>
          <w:b w:val="0"/>
          <w:bCs w:val="0"/>
          <w:sz w:val="24"/>
          <w:szCs w:val="24"/>
          <w:highlight w:val="none"/>
          <w:lang w:val="en-US" w:eastAsia="zh-CN"/>
        </w:rPr>
        <w:t>适用于本投标人须知的额外增加的变动详见</w:t>
      </w:r>
      <w:r>
        <w:rPr>
          <w:rFonts w:hint="eastAsia" w:ascii="仿宋" w:hAnsi="仿宋" w:eastAsia="仿宋" w:cs="仿宋"/>
          <w:b w:val="0"/>
          <w:bCs w:val="0"/>
          <w:sz w:val="24"/>
          <w:szCs w:val="24"/>
          <w:highlight w:val="none"/>
          <w:u w:val="single"/>
          <w:lang w:val="en-US" w:eastAsia="zh-CN"/>
        </w:rPr>
        <w:t>投标须知前附表</w:t>
      </w:r>
      <w:r>
        <w:rPr>
          <w:rFonts w:hint="eastAsia" w:ascii="仿宋" w:hAnsi="仿宋" w:eastAsia="仿宋" w:cs="仿宋"/>
          <w:b w:val="0"/>
          <w:bCs w:val="0"/>
          <w:sz w:val="24"/>
          <w:szCs w:val="24"/>
          <w:highlight w:val="none"/>
          <w:lang w:val="en-US" w:eastAsia="zh-CN"/>
        </w:rPr>
        <w:t>。</w:t>
      </w:r>
    </w:p>
    <w:p>
      <w:pPr>
        <w:rPr>
          <w:rFonts w:hint="eastAsia"/>
          <w:lang w:val="en-US" w:eastAsia="zh-CN"/>
        </w:rPr>
      </w:pPr>
      <w:r>
        <w:rPr>
          <w:rFonts w:hint="eastAsia"/>
          <w:lang w:val="en-US" w:eastAsia="zh-CN"/>
        </w:rPr>
        <w:br w:type="page"/>
      </w:r>
    </w:p>
    <w:p>
      <w:pPr>
        <w:pStyle w:val="5"/>
        <w:rPr>
          <w:rFonts w:hint="eastAsia"/>
          <w:lang w:val="en-US" w:eastAsia="zh-CN"/>
        </w:rPr>
      </w:pPr>
    </w:p>
    <w:p>
      <w:pPr>
        <w:rPr>
          <w:rFonts w:hint="eastAsia" w:ascii="仿宋" w:hAnsi="仿宋" w:eastAsia="仿宋" w:cs="仿宋"/>
          <w:b w:val="0"/>
          <w:bCs w:val="0"/>
          <w:sz w:val="24"/>
          <w:szCs w:val="24"/>
          <w:highlight w:val="none"/>
          <w:lang w:val="en-US" w:eastAsia="zh-CN"/>
        </w:rPr>
      </w:pPr>
    </w:p>
    <w:p>
      <w:pPr>
        <w:pStyle w:val="11"/>
        <w:numPr>
          <w:ilvl w:val="0"/>
          <w:numId w:val="1"/>
        </w:numPr>
        <w:bidi w:val="0"/>
        <w:jc w:val="center"/>
        <w:rPr>
          <w:rFonts w:hint="eastAsia" w:ascii="仿宋" w:hAnsi="仿宋" w:eastAsia="仿宋" w:cs="仿宋"/>
          <w:sz w:val="32"/>
          <w:szCs w:val="32"/>
          <w:highlight w:val="none"/>
          <w:lang w:val="en-US" w:eastAsia="zh-CN"/>
        </w:rPr>
      </w:pPr>
      <w:bookmarkStart w:id="19" w:name="_Toc22543"/>
      <w:r>
        <w:rPr>
          <w:rFonts w:hint="eastAsia" w:ascii="仿宋" w:hAnsi="仿宋" w:eastAsia="仿宋" w:cs="仿宋"/>
          <w:sz w:val="32"/>
          <w:szCs w:val="32"/>
          <w:highlight w:val="none"/>
          <w:lang w:val="en-US" w:eastAsia="zh-CN"/>
        </w:rPr>
        <w:t>政府采购合同</w:t>
      </w:r>
      <w:bookmarkEnd w:id="19"/>
    </w:p>
    <w:p>
      <w:pPr>
        <w:jc w:val="center"/>
        <w:rPr>
          <w:rFonts w:hint="eastAsia" w:ascii="仿宋_GB2312" w:hAnsi="仿宋_GB2312" w:eastAsia="仿宋_GB2312" w:cs="仿宋_GB2312"/>
          <w:b/>
          <w:color w:val="auto"/>
          <w:sz w:val="52"/>
          <w:szCs w:val="52"/>
          <w:highlight w:val="none"/>
        </w:rPr>
      </w:pPr>
    </w:p>
    <w:p>
      <w:pPr>
        <w:jc w:val="center"/>
        <w:rPr>
          <w:rFonts w:hint="eastAsia" w:ascii="仿宋_GB2312" w:hAnsi="仿宋_GB2312" w:eastAsia="仿宋_GB2312" w:cs="仿宋_GB2312"/>
          <w:b/>
          <w:color w:val="auto"/>
          <w:sz w:val="52"/>
          <w:szCs w:val="52"/>
          <w:highlight w:val="none"/>
        </w:rPr>
      </w:pPr>
    </w:p>
    <w:p>
      <w:pPr>
        <w:jc w:val="center"/>
        <w:rPr>
          <w:rFonts w:hint="eastAsia" w:ascii="仿宋_GB2312" w:hAnsi="仿宋_GB2312" w:eastAsia="仿宋_GB2312" w:cs="仿宋_GB2312"/>
          <w:b/>
          <w:color w:val="auto"/>
          <w:sz w:val="52"/>
          <w:szCs w:val="52"/>
          <w:highlight w:val="none"/>
        </w:rPr>
      </w:pPr>
    </w:p>
    <w:p>
      <w:pPr>
        <w:jc w:val="center"/>
        <w:rPr>
          <w:rFonts w:hint="eastAsia" w:ascii="仿宋_GB2312" w:hAnsi="仿宋_GB2312" w:eastAsia="仿宋_GB2312" w:cs="仿宋_GB2312"/>
          <w:b/>
          <w:color w:val="auto"/>
          <w:sz w:val="48"/>
          <w:szCs w:val="48"/>
          <w:highlight w:val="none"/>
        </w:rPr>
      </w:pPr>
      <w:r>
        <w:rPr>
          <w:rFonts w:hint="eastAsia" w:ascii="仿宋_GB2312" w:hAnsi="仿宋_GB2312" w:eastAsia="仿宋_GB2312" w:cs="仿宋_GB2312"/>
          <w:b/>
          <w:color w:val="auto"/>
          <w:sz w:val="48"/>
          <w:szCs w:val="48"/>
          <w:highlight w:val="none"/>
        </w:rPr>
        <w:t>政府采购合同</w:t>
      </w:r>
    </w:p>
    <w:p>
      <w:pPr>
        <w:jc w:val="center"/>
        <w:rPr>
          <w:rFonts w:hint="eastAsia" w:ascii="仿宋_GB2312" w:hAnsi="仿宋_GB2312" w:eastAsia="仿宋_GB2312" w:cs="仿宋_GB2312"/>
          <w:b/>
          <w:color w:val="auto"/>
          <w:sz w:val="21"/>
          <w:szCs w:val="21"/>
          <w:highlight w:val="none"/>
        </w:rPr>
      </w:pPr>
      <w:r>
        <w:rPr>
          <w:rFonts w:hint="eastAsia" w:ascii="仿宋_GB2312" w:hAnsi="仿宋_GB2312" w:eastAsia="仿宋_GB2312" w:cs="仿宋_GB2312"/>
          <w:b/>
          <w:color w:val="auto"/>
          <w:sz w:val="21"/>
          <w:szCs w:val="21"/>
          <w:highlight w:val="none"/>
        </w:rPr>
        <w:t>（本合同仅供参考，具体以实际签订的合同为准）</w:t>
      </w:r>
    </w:p>
    <w:p>
      <w:pPr>
        <w:rPr>
          <w:rFonts w:hint="eastAsia" w:ascii="仿宋_GB2312" w:hAnsi="仿宋_GB2312" w:eastAsia="仿宋_GB2312" w:cs="仿宋_GB2312"/>
          <w:color w:val="auto"/>
          <w:szCs w:val="21"/>
          <w:highlight w:val="none"/>
        </w:rPr>
      </w:pPr>
    </w:p>
    <w:p>
      <w:pPr>
        <w:ind w:firstLine="420" w:firstLineChars="200"/>
        <w:rPr>
          <w:rFonts w:hint="eastAsia" w:ascii="仿宋_GB2312" w:hAnsi="仿宋_GB2312" w:eastAsia="仿宋_GB2312" w:cs="仿宋_GB2312"/>
          <w:color w:val="auto"/>
          <w:szCs w:val="21"/>
          <w:highlight w:val="none"/>
        </w:rPr>
      </w:pPr>
    </w:p>
    <w:p>
      <w:pPr>
        <w:ind w:firstLine="420" w:firstLineChars="200"/>
        <w:rPr>
          <w:rFonts w:hint="eastAsia" w:ascii="仿宋_GB2312" w:hAnsi="仿宋_GB2312" w:eastAsia="仿宋_GB2312" w:cs="仿宋_GB2312"/>
          <w:color w:val="auto"/>
          <w:szCs w:val="21"/>
          <w:highlight w:val="none"/>
        </w:rPr>
      </w:pPr>
    </w:p>
    <w:p>
      <w:pPr>
        <w:ind w:firstLine="420" w:firstLineChars="200"/>
        <w:rPr>
          <w:rFonts w:hint="eastAsia" w:ascii="仿宋_GB2312" w:hAnsi="仿宋_GB2312" w:eastAsia="仿宋_GB2312" w:cs="仿宋_GB2312"/>
          <w:color w:val="auto"/>
          <w:szCs w:val="21"/>
          <w:highlight w:val="none"/>
        </w:rPr>
      </w:pPr>
    </w:p>
    <w:p>
      <w:pPr>
        <w:ind w:firstLine="420" w:firstLineChars="200"/>
        <w:rPr>
          <w:rFonts w:hint="eastAsia" w:ascii="仿宋_GB2312" w:hAnsi="仿宋_GB2312" w:eastAsia="仿宋_GB2312" w:cs="仿宋_GB2312"/>
          <w:color w:val="auto"/>
          <w:szCs w:val="21"/>
          <w:highlight w:val="none"/>
        </w:rPr>
      </w:pPr>
    </w:p>
    <w:p>
      <w:pPr>
        <w:ind w:firstLine="420" w:firstLineChars="200"/>
        <w:rPr>
          <w:rFonts w:hint="eastAsia" w:ascii="仿宋_GB2312" w:hAnsi="仿宋_GB2312" w:eastAsia="仿宋_GB2312" w:cs="仿宋_GB2312"/>
          <w:color w:val="auto"/>
          <w:szCs w:val="21"/>
          <w:highlight w:val="none"/>
        </w:rPr>
      </w:pPr>
    </w:p>
    <w:p>
      <w:pPr>
        <w:ind w:firstLine="420" w:firstLineChars="200"/>
        <w:rPr>
          <w:rFonts w:hint="eastAsia" w:ascii="仿宋_GB2312" w:hAnsi="仿宋_GB2312" w:eastAsia="仿宋_GB2312" w:cs="仿宋_GB2312"/>
          <w:color w:val="auto"/>
          <w:szCs w:val="21"/>
          <w:highlight w:val="none"/>
        </w:rPr>
      </w:pPr>
    </w:p>
    <w:p>
      <w:pPr>
        <w:ind w:firstLine="420" w:firstLineChars="200"/>
        <w:rPr>
          <w:rFonts w:hint="eastAsia" w:ascii="仿宋_GB2312" w:hAnsi="仿宋_GB2312" w:eastAsia="仿宋_GB2312" w:cs="仿宋_GB2312"/>
          <w:color w:val="auto"/>
          <w:szCs w:val="21"/>
          <w:highlight w:val="none"/>
        </w:rPr>
      </w:pPr>
    </w:p>
    <w:p>
      <w:pPr>
        <w:ind w:firstLine="420" w:firstLineChars="200"/>
        <w:rPr>
          <w:rFonts w:hint="eastAsia" w:ascii="仿宋_GB2312" w:hAnsi="仿宋_GB2312" w:eastAsia="仿宋_GB2312" w:cs="仿宋_GB2312"/>
          <w:color w:val="auto"/>
          <w:szCs w:val="21"/>
          <w:highlight w:val="none"/>
        </w:rPr>
      </w:pPr>
    </w:p>
    <w:p>
      <w:pPr>
        <w:ind w:firstLine="420" w:firstLineChars="200"/>
        <w:rPr>
          <w:rFonts w:hint="eastAsia" w:ascii="仿宋_GB2312" w:hAnsi="仿宋_GB2312" w:eastAsia="仿宋_GB2312" w:cs="仿宋_GB2312"/>
          <w:color w:val="auto"/>
          <w:szCs w:val="21"/>
          <w:highlight w:val="none"/>
        </w:rPr>
      </w:pPr>
    </w:p>
    <w:p>
      <w:pPr>
        <w:ind w:firstLine="420" w:firstLineChars="200"/>
        <w:rPr>
          <w:rFonts w:hint="eastAsia" w:ascii="仿宋_GB2312" w:hAnsi="仿宋_GB2312" w:eastAsia="仿宋_GB2312" w:cs="仿宋_GB2312"/>
          <w:color w:val="auto"/>
          <w:szCs w:val="21"/>
          <w:highlight w:val="none"/>
        </w:rPr>
      </w:pP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p>
      <w:pPr>
        <w:ind w:firstLine="480" w:firstLineChars="200"/>
        <w:rPr>
          <w:rFonts w:hint="eastAsia" w:ascii="仿宋_GB2312" w:hAnsi="仿宋_GB2312" w:eastAsia="仿宋_GB2312" w:cs="仿宋_GB2312"/>
          <w:color w:val="auto"/>
          <w:sz w:val="24"/>
          <w:highlight w:val="none"/>
        </w:rPr>
      </w:pP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甲    方：</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p>
    <w:p>
      <w:pPr>
        <w:ind w:firstLine="480" w:firstLineChars="200"/>
        <w:rPr>
          <w:rFonts w:hint="eastAsia" w:ascii="仿宋_GB2312" w:hAnsi="仿宋_GB2312" w:eastAsia="仿宋_GB2312" w:cs="仿宋_GB2312"/>
          <w:color w:val="auto"/>
          <w:sz w:val="24"/>
          <w:highlight w:val="none"/>
        </w:rPr>
      </w:pP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乙    方：</w:t>
      </w:r>
      <w:r>
        <w:rPr>
          <w:rFonts w:hint="eastAsia" w:ascii="仿宋_GB2312" w:hAnsi="仿宋_GB2312" w:eastAsia="仿宋_GB2312" w:cs="仿宋_GB2312"/>
          <w:color w:val="auto"/>
          <w:sz w:val="24"/>
          <w:highlight w:val="none"/>
          <w:u w:val="single"/>
        </w:rPr>
        <w:t xml:space="preserve">              </w:t>
      </w:r>
    </w:p>
    <w:p>
      <w:pPr>
        <w:ind w:firstLine="480" w:firstLineChars="200"/>
        <w:rPr>
          <w:rFonts w:hint="eastAsia" w:ascii="仿宋_GB2312" w:hAnsi="仿宋_GB2312" w:eastAsia="仿宋_GB2312" w:cs="仿宋_GB2312"/>
          <w:color w:val="auto"/>
          <w:sz w:val="24"/>
          <w:highlight w:val="none"/>
        </w:rPr>
      </w:pPr>
    </w:p>
    <w:p>
      <w:pPr>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签订时间：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年</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月</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日</w:t>
      </w:r>
    </w:p>
    <w:p>
      <w:pPr>
        <w:spacing w:line="360" w:lineRule="auto"/>
        <w:ind w:firstLine="42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Cs w:val="21"/>
          <w:highlight w:val="none"/>
        </w:rPr>
        <w:br w:type="page"/>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rPr>
        <w:t>）委托（新疆世纪星工程咨询有限公司）进行了政府采购。按照评委会评审推荐、甲方确定乙方为成交单位。现甲乙双方协商同意签订本合同。</w:t>
      </w:r>
    </w:p>
    <w:p>
      <w:pPr>
        <w:numPr>
          <w:ilvl w:val="0"/>
          <w:numId w:val="9"/>
        </w:numPr>
        <w:tabs>
          <w:tab w:val="left" w:pos="0"/>
          <w:tab w:val="clear" w:pos="720"/>
        </w:tabs>
        <w:spacing w:line="360" w:lineRule="auto"/>
        <w:ind w:left="0"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 xml:space="preserve"> 合同文件</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下列与本次采购活动有关的文件及附件是本合同不可分割的组成部分，与本合同具有同等法律效力，这些文件包括但不限于：</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1.招标文件</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2.成交供应商投标文件</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3.乙方在投标时的书面承诺</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4.成交通知书</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5.合同补充条款或说明</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6.保密协议或条款</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7.相关附件、图纸及电子版资料</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8.项目平台详细设计方案</w:t>
      </w:r>
    </w:p>
    <w:p>
      <w:pPr>
        <w:spacing w:line="360" w:lineRule="auto"/>
        <w:ind w:left="482"/>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第二条  合同内容</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采购内容：</w:t>
      </w:r>
      <w:r>
        <w:rPr>
          <w:rFonts w:hint="eastAsia" w:ascii="仿宋_GB2312" w:hAnsi="仿宋_GB2312" w:eastAsia="仿宋_GB2312" w:cs="仿宋_GB2312"/>
          <w:bCs/>
          <w:color w:val="auto"/>
          <w:kern w:val="0"/>
          <w:sz w:val="24"/>
          <w:highlight w:val="none"/>
        </w:rPr>
        <w:t>具体内容详见招标文件</w:t>
      </w:r>
    </w:p>
    <w:p>
      <w:pPr>
        <w:spacing w:line="360" w:lineRule="auto"/>
        <w:ind w:left="482"/>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第三条  合同总金额</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本合同总金额：￥</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大写：</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元。</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总价款包括服务期间必须的日常物料、易耗品、工具、研发费、调试费、培训费等相关费用。（该合同总价是货物设计、制造、包装、仓储、运输、装卸、安装、调试、保险、施工、安装的材料费、税金、教师培训费和其它配套设施设备的安装调试，及验收合格之前及保修期内备品备件发生的所有含税费用等。交钥匙工程，货物交给买方（提供货物清单），买方即刻能够使用。本合同执行期间合同总价不变。）</w:t>
      </w:r>
    </w:p>
    <w:p>
      <w:pPr>
        <w:spacing w:line="360" w:lineRule="auto"/>
        <w:ind w:firstLine="48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本合同执行期内，在合同总体框架内，因工作量变化而引起的服务费用的变动，由乙方自行承担。</w:t>
      </w:r>
    </w:p>
    <w:p>
      <w:pPr>
        <w:spacing w:line="360" w:lineRule="auto"/>
        <w:ind w:left="482"/>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第四条  权利义务和质量保证</w:t>
      </w:r>
    </w:p>
    <w:p>
      <w:pPr>
        <w:pStyle w:val="17"/>
        <w:tabs>
          <w:tab w:val="left" w:pos="0"/>
        </w:tabs>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甲方保证服务期间，对乙方工作给予支持，提供水、电、场地等必须的基础工作条件。如乙方需要与已有相关平台对接，甲方负责出具乙方项目建设资格的相关证明，具体对接事项由乙方自行全面负责解决。未获甲方同意，乙方不得将甲方项目平台建设资料提供给与履行本合同无关的任何其他人。即使向履行本合同有关的人员提供，也应注意保密并限于履行合同的必需范围内。</w:t>
      </w:r>
    </w:p>
    <w:p>
      <w:pPr>
        <w:pStyle w:val="17"/>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2.乙方保证所完成的本合同项目平台，其任何一部分均不会侵犯任何第三方的专利权、商标权或著作权。一旦出现侵权，索赔或诉讼，乙方应承担全部责任。</w:t>
      </w:r>
    </w:p>
    <w:p>
      <w:pPr>
        <w:pStyle w:val="17"/>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3.乙方保证本合同项目平台不存在影响或危害甲方已有运行平台之隐患和结果，不存在违反国家法规、法令、法律以及行业规范所要求的有关安全条款，否则应承担由此造成的所有后果和全部法律责任。</w:t>
      </w:r>
    </w:p>
    <w:p>
      <w:pPr>
        <w:pStyle w:val="17"/>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本合同约定的项目平台系统软件及源代码等产权全部归甲方所有。项目最终验收时，乙方应将所有设计开发文档、代码、数据库和用户使用操作文档等全部交与甲方。同时，乙方应协助配合甲方完成至少一件软件著作权的申报登记工作。</w:t>
      </w:r>
    </w:p>
    <w:p>
      <w:pPr>
        <w:pStyle w:val="17"/>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5.乙方不得在本合同项目平台系统中，增加或删减未经甲方同意或认可的用户类型、权限和功能模块等。</w:t>
      </w:r>
    </w:p>
    <w:p>
      <w:pPr>
        <w:pStyle w:val="17"/>
        <w:spacing w:line="440" w:lineRule="exact"/>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6.交货时间：合同生效后</w:t>
      </w:r>
      <w:r>
        <w:rPr>
          <w:rFonts w:hint="eastAsia" w:ascii="仿宋_GB2312" w:hAnsi="仿宋_GB2312" w:eastAsia="仿宋_GB2312" w:cs="仿宋_GB2312"/>
          <w:color w:val="auto"/>
          <w:sz w:val="24"/>
          <w:szCs w:val="24"/>
          <w:highlight w:val="none"/>
          <w:u w:val="single"/>
        </w:rPr>
        <w:t xml:space="preserve">         </w:t>
      </w:r>
      <w:r>
        <w:rPr>
          <w:rFonts w:hint="eastAsia" w:ascii="仿宋_GB2312" w:hAnsi="仿宋_GB2312" w:eastAsia="仿宋_GB2312" w:cs="仿宋_GB2312"/>
          <w:color w:val="auto"/>
          <w:sz w:val="24"/>
          <w:szCs w:val="24"/>
          <w:highlight w:val="none"/>
        </w:rPr>
        <w:t xml:space="preserve">日内。 </w:t>
      </w:r>
    </w:p>
    <w:p>
      <w:pPr>
        <w:spacing w:line="360" w:lineRule="auto"/>
        <w:ind w:left="482"/>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第五条  付款方式</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1.本合同项下所有款项均以人民币支付。</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2.乙方向甲方提交下列文件材料，经甲方审核无误后支付采购资金：</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（1）经甲方确认的发票；</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（2）经甲乙双方确认签署的《验收报告》（或按项目进度阶段性《验收报告》）；</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（3）其他材料。</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3.付款方式：</w:t>
      </w:r>
    </w:p>
    <w:p>
      <w:pPr>
        <w:spacing w:line="360" w:lineRule="auto"/>
        <w:ind w:left="482"/>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第六条  履约保证金</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1.乙方在签订本合同之日，向甲方提交合同履约保证金</w:t>
      </w:r>
      <w:r>
        <w:rPr>
          <w:rFonts w:hint="eastAsia" w:ascii="仿宋_GB2312" w:hAnsi="仿宋_GB2312" w:eastAsia="仿宋_GB2312" w:cs="仿宋_GB2312"/>
          <w:color w:val="auto"/>
          <w:sz w:val="24"/>
          <w:highlight w:val="none"/>
          <w:u w:val="single"/>
        </w:rPr>
        <w:t xml:space="preserve"> / </w:t>
      </w:r>
      <w:r>
        <w:rPr>
          <w:rFonts w:hint="eastAsia" w:ascii="仿宋_GB2312" w:hAnsi="仿宋_GB2312" w:eastAsia="仿宋_GB2312" w:cs="仿宋_GB2312"/>
          <w:color w:val="auto"/>
          <w:sz w:val="24"/>
          <w:highlight w:val="none"/>
        </w:rPr>
        <w:t>万元（不低于合同金额的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%）（履约保证金的数额不得超过政府采购合同金额的</w:t>
      </w:r>
      <w:r>
        <w:rPr>
          <w:rFonts w:hint="eastAsia" w:ascii="仿宋_GB2312" w:hAnsi="仿宋_GB2312" w:eastAsia="仿宋_GB2312" w:cs="仿宋_GB2312"/>
          <w:color w:val="auto"/>
          <w:sz w:val="24"/>
          <w:highlight w:val="none"/>
          <w:u w:val="single"/>
        </w:rPr>
        <w:t xml:space="preserve"> 10 </w:t>
      </w:r>
      <w:r>
        <w:rPr>
          <w:rFonts w:hint="eastAsia" w:ascii="仿宋_GB2312" w:hAnsi="仿宋_GB2312" w:eastAsia="仿宋_GB2312" w:cs="仿宋_GB2312"/>
          <w:color w:val="auto"/>
          <w:sz w:val="24"/>
          <w:highlight w:val="none"/>
        </w:rPr>
        <w:t>%）。</w:t>
      </w:r>
    </w:p>
    <w:p>
      <w:pPr>
        <w:spacing w:line="360" w:lineRule="auto"/>
        <w:ind w:firstLine="480" w:firstLineChars="200"/>
        <w:rPr>
          <w:rFonts w:hint="eastAsia" w:ascii="仿宋_GB2312" w:hAnsi="仿宋_GB2312" w:eastAsia="仿宋_GB2312" w:cs="仿宋_GB2312"/>
          <w:strike/>
          <w:color w:val="auto"/>
          <w:sz w:val="24"/>
          <w:highlight w:val="none"/>
        </w:rPr>
      </w:pPr>
      <w:r>
        <w:rPr>
          <w:rFonts w:hint="eastAsia" w:ascii="仿宋_GB2312" w:hAnsi="仿宋_GB2312" w:eastAsia="仿宋_GB2312" w:cs="仿宋_GB2312"/>
          <w:color w:val="auto"/>
          <w:sz w:val="24"/>
          <w:highlight w:val="none"/>
        </w:rPr>
        <w:t>2.履约保证金有效期为甲乙双方最终验收后</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个月内。到期后，甲方向乙方无息退还。</w:t>
      </w:r>
    </w:p>
    <w:p>
      <w:pPr>
        <w:spacing w:line="360" w:lineRule="auto"/>
        <w:ind w:firstLine="480" w:firstLineChars="200"/>
        <w:rPr>
          <w:rFonts w:hint="eastAsia" w:ascii="仿宋_GB2312" w:hAnsi="仿宋_GB2312" w:eastAsia="仿宋_GB2312" w:cs="仿宋_GB2312"/>
          <w:color w:val="auto"/>
          <w:highlight w:val="none"/>
        </w:rPr>
      </w:pPr>
      <w:r>
        <w:rPr>
          <w:rFonts w:hint="eastAsia" w:ascii="仿宋_GB2312" w:hAnsi="仿宋_GB2312" w:eastAsia="仿宋_GB2312" w:cs="仿宋_GB2312"/>
          <w:color w:val="auto"/>
          <w:sz w:val="24"/>
          <w:highlight w:val="none"/>
        </w:rPr>
        <w:t>3.如乙方未能履行、或未能完全履行合同规定的义务，甲方有权从履约保证金中取得补偿。履约保证金扣除甲方应得的补偿后的余额在合同期满后</w:t>
      </w:r>
      <w:r>
        <w:rPr>
          <w:rFonts w:hint="eastAsia" w:ascii="仿宋_GB2312" w:hAnsi="仿宋_GB2312" w:eastAsia="仿宋_GB2312" w:cs="仿宋_GB2312"/>
          <w:color w:val="auto"/>
          <w:sz w:val="24"/>
          <w:highlight w:val="none"/>
          <w:u w:val="single"/>
        </w:rPr>
        <w:t xml:space="preserve"> 30 </w:t>
      </w:r>
      <w:r>
        <w:rPr>
          <w:rFonts w:hint="eastAsia" w:ascii="仿宋_GB2312" w:hAnsi="仿宋_GB2312" w:eastAsia="仿宋_GB2312" w:cs="仿宋_GB2312"/>
          <w:color w:val="auto"/>
          <w:sz w:val="24"/>
          <w:highlight w:val="none"/>
        </w:rPr>
        <w:t>天内无息退还乙方。</w:t>
      </w:r>
    </w:p>
    <w:p>
      <w:pPr>
        <w:spacing w:line="360" w:lineRule="auto"/>
        <w:ind w:left="482"/>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第七条  验收</w:t>
      </w:r>
    </w:p>
    <w:p>
      <w:pPr>
        <w:spacing w:line="360" w:lineRule="auto"/>
        <w:ind w:left="239" w:leftChars="114" w:firstLine="240" w:firstLineChars="1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1.本项目最终验收（项目</w:t>
      </w:r>
      <w:r>
        <w:rPr>
          <w:rFonts w:hint="eastAsia" w:ascii="仿宋_GB2312" w:hAnsi="仿宋_GB2312" w:eastAsia="仿宋_GB2312" w:cs="仿宋_GB2312"/>
          <w:color w:val="auto"/>
          <w:sz w:val="24"/>
          <w:highlight w:val="none"/>
          <w:lang w:val="en-US" w:eastAsia="zh-CN"/>
        </w:rPr>
        <w:t>安装调试完成并</w:t>
      </w:r>
      <w:r>
        <w:rPr>
          <w:rFonts w:hint="eastAsia" w:ascii="仿宋_GB2312" w:hAnsi="仿宋_GB2312" w:eastAsia="仿宋_GB2312" w:cs="仿宋_GB2312"/>
          <w:color w:val="auto"/>
          <w:sz w:val="24"/>
          <w:highlight w:val="none"/>
        </w:rPr>
        <w:t>稳定运行）期限：自合同签订后   日历日内。</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2.验收地点：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pStyle w:val="17"/>
        <w:tabs>
          <w:tab w:val="left" w:pos="0"/>
        </w:tabs>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乙方应对提供的服务成果作出全面自查和整理，并列出清单，作为甲方验收和使用的服务条件依据，清单应随提供的服务成果交给甲方。货物的到货验收包括：型号、规格、数量、外观质量及货物包装完整无损。</w:t>
      </w:r>
    </w:p>
    <w:p>
      <w:pPr>
        <w:pStyle w:val="17"/>
        <w:tabs>
          <w:tab w:val="left" w:pos="0"/>
        </w:tabs>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4.货物和系统调试验收的标准：按行业通行标准、厂方出厂标准和乙方投标文件的承诺（详见合同附件载明的标准，并不低于国家相关标准）。</w:t>
      </w:r>
    </w:p>
    <w:p>
      <w:pPr>
        <w:pStyle w:val="17"/>
        <w:tabs>
          <w:tab w:val="left" w:pos="0"/>
        </w:tabs>
        <w:spacing w:line="360" w:lineRule="auto"/>
        <w:ind w:firstLine="480" w:firstLineChars="200"/>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国内产品或合资厂的产品必须具备出厂合格证和原厂保修卡。乙方应将所提供货物的装箱清单、用户手册、原厂保修卡、随机资料及配件、随机工具等交付给甲方；乙方不能完整交付货物及本款规定的单证和工具的，视为未按合同约定付货，乙方必须负责补齐，因此导致逾期交付的，由乙方承担相关的违约责任。</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验收时，甲乙双方必须同时在场，乙方所提供的服务不符合合同内容规定的，甲方有权拒绝验收。乙方应及时按本合同内容规定和甲方要求免费进行整改，直至验收合格，方视为乙方按本合同规定完成服务。验收合格的，由双方共同签署《验收报告》。在经过两次限期整改后，服务仍达不到合同文件规定内容的，甲方有权拒收，并可以解除合同；由此引起甲方损失及赔偿责任由乙方承担。</w:t>
      </w:r>
    </w:p>
    <w:p>
      <w:pPr>
        <w:snapToGrid w:val="0"/>
        <w:spacing w:line="360" w:lineRule="auto"/>
        <w:ind w:firstLine="482"/>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甲方可以视项目规模或复杂情况聘请专业人员参与验收，大型或复杂项目，以及涉及专业服务内容的应当邀请国家认可的第三方质量检测机构参与验收，也可以视项目情况邀请参加本项目投标的落标人参与验收。</w:t>
      </w:r>
    </w:p>
    <w:p>
      <w:pPr>
        <w:snapToGrid w:val="0"/>
        <w:spacing w:line="360" w:lineRule="auto"/>
        <w:ind w:firstLine="482"/>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8.如根据项目实施情况需要分阶段验收，则双方分阶段签署《验收报告》。</w:t>
      </w:r>
    </w:p>
    <w:p>
      <w:pPr>
        <w:snapToGrid w:val="0"/>
        <w:spacing w:line="360" w:lineRule="auto"/>
        <w:ind w:firstLine="482"/>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9.如果合同双方对《验收报告》有分歧，双方须于出现分歧后</w:t>
      </w:r>
      <w:r>
        <w:rPr>
          <w:rFonts w:hint="eastAsia" w:ascii="仿宋_GB2312" w:hAnsi="仿宋_GB2312" w:eastAsia="仿宋_GB2312" w:cs="仿宋_GB2312"/>
          <w:color w:val="auto"/>
          <w:sz w:val="24"/>
          <w:highlight w:val="none"/>
          <w:u w:val="single"/>
        </w:rPr>
        <w:t xml:space="preserve"> 7 </w:t>
      </w:r>
      <w:r>
        <w:rPr>
          <w:rFonts w:hint="eastAsia" w:ascii="仿宋_GB2312" w:hAnsi="仿宋_GB2312" w:eastAsia="仿宋_GB2312" w:cs="仿宋_GB2312"/>
          <w:color w:val="auto"/>
          <w:sz w:val="24"/>
          <w:highlight w:val="none"/>
        </w:rPr>
        <w:t>天内给对方书面声明，以陈述己方的理由及要求，并附有关证据。分歧应通过协商解决。</w:t>
      </w:r>
    </w:p>
    <w:p>
      <w:pPr>
        <w:spacing w:line="360" w:lineRule="auto"/>
        <w:ind w:left="482"/>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第八条  项目管理服务</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乙方应组建技术熟练、称职的团队全面履行合同,并指定不少于一人全权全程负责本项目服务的落实，包括前期调研、供货方案、测试及服务期内的系统维护，以及在合同总体框架内根据用户需求补充和完善平台功能等售后服务工作。</w:t>
      </w:r>
    </w:p>
    <w:p>
      <w:pPr>
        <w:snapToGrid w:val="0"/>
        <w:spacing w:line="360" w:lineRule="auto"/>
        <w:ind w:firstLine="481"/>
        <w:textAlignment w:val="baseline"/>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项目负责人姓名： </w:t>
      </w:r>
      <w:r>
        <w:rPr>
          <w:rFonts w:hint="eastAsia" w:ascii="仿宋_GB2312" w:hAnsi="仿宋_GB2312" w:eastAsia="仿宋_GB2312" w:cs="仿宋_GB2312"/>
          <w:color w:val="auto"/>
          <w:sz w:val="24"/>
          <w:highlight w:val="none"/>
          <w:u w:val="single" w:color="000000"/>
        </w:rPr>
        <w:t xml:space="preserve">              </w:t>
      </w:r>
      <w:r>
        <w:rPr>
          <w:rFonts w:hint="eastAsia" w:ascii="仿宋_GB2312" w:hAnsi="仿宋_GB2312" w:eastAsia="仿宋_GB2312" w:cs="仿宋_GB2312"/>
          <w:color w:val="auto"/>
          <w:sz w:val="24"/>
          <w:highlight w:val="none"/>
        </w:rPr>
        <w:t>； 联系电话：</w:t>
      </w:r>
      <w:r>
        <w:rPr>
          <w:rFonts w:hint="eastAsia" w:ascii="仿宋_GB2312" w:hAnsi="仿宋_GB2312" w:eastAsia="仿宋_GB2312" w:cs="仿宋_GB2312"/>
          <w:color w:val="auto"/>
          <w:sz w:val="24"/>
          <w:highlight w:val="none"/>
          <w:u w:val="single" w:color="000000"/>
        </w:rPr>
        <w:t xml:space="preserve">                      </w:t>
      </w:r>
      <w:r>
        <w:rPr>
          <w:rFonts w:hint="eastAsia" w:ascii="仿宋_GB2312" w:hAnsi="仿宋_GB2312" w:eastAsia="仿宋_GB2312" w:cs="仿宋_GB2312"/>
          <w:color w:val="auto"/>
          <w:sz w:val="24"/>
          <w:highlight w:val="none"/>
        </w:rPr>
        <w:t>。</w:t>
      </w:r>
    </w:p>
    <w:p>
      <w:pPr>
        <w:spacing w:line="360" w:lineRule="auto"/>
        <w:ind w:firstLine="472" w:firstLineChars="196"/>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第九条  售后服务</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乙方应为甲方提供免费培训服务，并指派专人负责与甲方联系售后服务事宜。主要培训内容为货物的基本结构、性能、主要部件的构造及处理，日常使用操作、保养与管理、常见故障的排除、紧急情况的处理等，如甲方未使用过同类型货物，乙方还需就货物的功能对乙方进行相应的技术培训，培训地点主要在货物安装现场或由甲方安排。</w:t>
      </w:r>
    </w:p>
    <w:p>
      <w:pPr>
        <w:spacing w:line="360" w:lineRule="auto"/>
        <w:ind w:firstLine="480" w:firstLineChars="200"/>
        <w:rPr>
          <w:rFonts w:hint="eastAsia" w:ascii="仿宋_GB2312" w:hAnsi="仿宋_GB2312" w:eastAsia="仿宋_GB2312" w:cs="仿宋_GB2312"/>
          <w:color w:val="auto"/>
          <w:sz w:val="24"/>
          <w:highlight w:val="none"/>
          <w:lang w:val="en-US" w:eastAsia="zh-CN"/>
        </w:rPr>
      </w:pPr>
      <w:r>
        <w:rPr>
          <w:rFonts w:hint="eastAsia" w:ascii="仿宋_GB2312" w:hAnsi="仿宋_GB2312" w:eastAsia="仿宋_GB2312" w:cs="仿宋_GB2312"/>
          <w:color w:val="auto"/>
          <w:sz w:val="24"/>
          <w:highlight w:val="none"/>
        </w:rPr>
        <w:t>2.质量保证期为：</w:t>
      </w:r>
      <w:r>
        <w:rPr>
          <w:rFonts w:hint="eastAsia" w:ascii="仿宋_GB2312" w:hAnsi="仿宋_GB2312" w:eastAsia="仿宋_GB2312" w:cs="仿宋_GB2312"/>
          <w:color w:val="auto"/>
          <w:sz w:val="24"/>
          <w:highlight w:val="none"/>
          <w:lang w:val="en-US" w:eastAsia="zh-CN"/>
        </w:rPr>
        <w:t>货到验收合格后3年，验收合格后三年内，非甲方人为原因，采购内容有任何质量问题，由乙方负责修复并承担全部费用。</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3.质量保证期内，乙方负责对其提供的货物整机进行维修和系统维护，不再收取任何费用，但不可抗力（如火灾、雷击及人为因素等）造成的故障除外。</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4.货物故障报修的响应时间为：工作期间（星期一至星期五8：00-18：00）为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小时；非工作期间为</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小时。</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5.若货物故障在检修8工作小时后仍无法排除，乙方应在48小时内免费提供不低于故障货物规格型号档次的备用货物供甲方使用，直至故障货物修复。</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6.所有货物保修服务方式均为乙方上门保修，即由乙方派员到货物使用现场维修，由此产生的一切费用均由乙方承担。</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7.保修期后的货物维护由双方协商再定。</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8.乙方必须遵守甲方的有关管理制度、操作规程。对于乙方违规操作造成甲方损失的，由乙方按照本合同第十二条的约定承担赔偿责任。</w:t>
      </w:r>
    </w:p>
    <w:p>
      <w:pPr>
        <w:spacing w:line="360" w:lineRule="auto"/>
        <w:ind w:left="482"/>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第十条  分包</w:t>
      </w:r>
    </w:p>
    <w:p>
      <w:pPr>
        <w:spacing w:line="360" w:lineRule="auto"/>
        <w:ind w:firstLine="480" w:firstLineChars="200"/>
        <w:rPr>
          <w:rFonts w:hint="eastAsia" w:ascii="仿宋_GB2312" w:hAnsi="仿宋_GB2312" w:eastAsia="仿宋_GB2312" w:cs="仿宋_GB2312"/>
          <w:strike/>
          <w:color w:val="auto"/>
          <w:sz w:val="24"/>
          <w:highlight w:val="none"/>
        </w:rPr>
      </w:pPr>
      <w:r>
        <w:rPr>
          <w:rFonts w:hint="eastAsia" w:ascii="仿宋_GB2312" w:hAnsi="仿宋_GB2312" w:eastAsia="仿宋_GB2312" w:cs="仿宋_GB2312"/>
          <w:color w:val="auto"/>
          <w:sz w:val="24"/>
          <w:highlight w:val="none"/>
        </w:rPr>
        <w:t>除招标采购文件事先说明、且经甲方事先书面同意外，乙方不得分包、转包其应履行的合同义务。</w:t>
      </w:r>
    </w:p>
    <w:p>
      <w:pPr>
        <w:spacing w:line="360" w:lineRule="auto"/>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第十一条  合同的生效</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1.本合同经甲乙双方授权代表签字并加盖公章或合同专用章后生效。</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2.生效后，除《政府采购法》第49条、第50条第二款规定的情形外，甲乙双方不得擅自变更、中止或终止合同。</w:t>
      </w:r>
    </w:p>
    <w:p>
      <w:pPr>
        <w:spacing w:line="360" w:lineRule="auto"/>
        <w:ind w:left="482"/>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第十二条  违约责任</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1.乙方自成交公示期满之日起两个月内，所交付项目平台系统不符合本合同规定的，甲方有权拒收，乙方在得到甲方通知之日起</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个工作日内采取补救措施，逾期仍未采取有效措施的，甲方有权要求乙方赔偿因此造成的损失或扣留履约保证金；同时乙方应向甲方支付合同总价</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％的违约金。</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2.甲方无正当理由拒收交付的系统平台，甲方应向乙方偿付合同总价</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％的违约金。</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3.乙方无正当理由逾期交付项目平台系统的，每逾期1天，乙方向甲方偿付合同总额的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‰的违约金。如乙方逾期达</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rPr>
        <w:t>天，甲方有权解除合同，甲方解除合同的通知自到达乙方时生效。在此情况下，乙方给甲方造成的实际损失高于履约保证金的，对高出违约金的部分乙方应予以赔偿。</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4.甲方未按合同规定的期限向乙方支付合同款的，每逾期1天甲方向乙方偿付欠款总额的</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‰违约金，但累计违约金总额不超过欠款总额的</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 乙方在售后服务期限内，在项目平台详细设计方案总体框架内，未按时完成甲方提出的调整、补充和完善平台功能等相关需求，每逾期1天，乙方向甲方偿付质保金</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‰的违约金，如乙方逾期达</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rPr>
        <w:t>天，甲方有权扣除所有质保金。</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6.其它未尽事宜，以《民法典》和《政府采购法》等有关法律法规规定为准，无相关规定的，双方协商解决。</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7.乙方所供货物必须权属清楚，不得侵害他人的知识产权，否则构成对甲方违约，违约金按本条第3~4款执行。</w:t>
      </w:r>
    </w:p>
    <w:p>
      <w:pPr>
        <w:spacing w:line="360" w:lineRule="auto"/>
        <w:ind w:left="482"/>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第十三条  不可抗力</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甲、乙方中任何一方，因不可抗力不能按时或完全履行合同的，应及时通知对方，并在</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u w:val="single"/>
          <w:lang w:val="en-US" w:eastAsia="zh-CN"/>
        </w:rPr>
        <w:t xml:space="preserve"> </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个工作日内提供相应证明，结算服务费用。未履行的部分是否继续履行、如何履行等问题，可由双方初步协商，并向主管部门和政府采购管理部门报告。确定为不可抗力原因造成的损失，免予承担责任。</w:t>
      </w:r>
    </w:p>
    <w:p>
      <w:pPr>
        <w:spacing w:line="360" w:lineRule="auto"/>
        <w:ind w:left="482"/>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第十四条  争议的解决方式</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1.因服务质量问题发生争议的，应当邀请国家认可的质量检测机构对服务进行鉴定。服务符合标准的，鉴定费由甲方承担；不符合质量标准的，鉴定费由乙方承担。</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2.在解释或者执行本合同的过程中发生争议时，双方应通过协商方式解决。</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3.经协商不能解决的争议，双方可选择以下第</w:t>
      </w:r>
      <w:r>
        <w:rPr>
          <w:rFonts w:hint="eastAsia" w:ascii="仿宋_GB2312" w:hAnsi="仿宋_GB2312" w:eastAsia="仿宋_GB2312" w:cs="仿宋_GB2312"/>
          <w:color w:val="auto"/>
          <w:sz w:val="24"/>
          <w:highlight w:val="none"/>
          <w:u w:val="single"/>
        </w:rPr>
        <w:t xml:space="preserve"> ① </w:t>
      </w:r>
      <w:r>
        <w:rPr>
          <w:rFonts w:hint="eastAsia" w:ascii="仿宋_GB2312" w:hAnsi="仿宋_GB2312" w:eastAsia="仿宋_GB2312" w:cs="仿宋_GB2312"/>
          <w:color w:val="auto"/>
          <w:sz w:val="24"/>
          <w:highlight w:val="none"/>
        </w:rPr>
        <w:t>种方式解决：</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①向乌鲁木齐市有管辖权的法院提起诉讼；</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②向乌鲁木齐仲裁委员会提出仲裁。</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4.在法院审理和仲裁期间，除有争议部分外，本合同其他部分可以履行的仍应按合同条款继续履行。</w:t>
      </w:r>
    </w:p>
    <w:p>
      <w:pPr>
        <w:spacing w:line="360" w:lineRule="auto"/>
        <w:ind w:left="482"/>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第十五条  其他</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符合《政府采购法》第49条规定的，经双方协商，办理政府采购手续后，可签订补充合同，所签订的补充合同与本合同具有同等法律效力。</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本合同一式</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份，甲、乙双方各执</w:t>
      </w:r>
      <w:r>
        <w:rPr>
          <w:rFonts w:hint="eastAsia" w:ascii="仿宋_GB2312" w:hAnsi="仿宋_GB2312" w:eastAsia="仿宋_GB2312" w:cs="仿宋_GB2312"/>
          <w:color w:val="auto"/>
          <w:sz w:val="24"/>
          <w:highlight w:val="none"/>
          <w:u w:val="single"/>
        </w:rPr>
        <w:t xml:space="preserve">    </w:t>
      </w:r>
      <w:r>
        <w:rPr>
          <w:rFonts w:hint="eastAsia" w:ascii="仿宋_GB2312" w:hAnsi="仿宋_GB2312" w:eastAsia="仿宋_GB2312" w:cs="仿宋_GB2312"/>
          <w:color w:val="auto"/>
          <w:sz w:val="24"/>
          <w:highlight w:val="none"/>
        </w:rPr>
        <w:t>份。</w:t>
      </w:r>
    </w:p>
    <w:p>
      <w:pPr>
        <w:spacing w:line="360" w:lineRule="auto"/>
        <w:ind w:firstLine="480" w:firstLineChars="200"/>
        <w:rPr>
          <w:rFonts w:hint="eastAsia" w:ascii="仿宋_GB2312" w:hAnsi="仿宋_GB2312" w:eastAsia="仿宋_GB2312" w:cs="仿宋_GB2312"/>
          <w:color w:val="auto"/>
          <w:sz w:val="24"/>
          <w:highlight w:val="none"/>
        </w:rPr>
      </w:pP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甲   方：                        乙   方：</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名称：（盖章）                   名称：（盖章）</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地址：                           地址：</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法定代表人（签字）：             法定代表人（签字）：</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授权代表（签字）：               授权代表（签字）：</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开户银行：                       开户银行（基本账户）：</w:t>
      </w:r>
    </w:p>
    <w:p>
      <w:pPr>
        <w:spacing w:line="360" w:lineRule="auto"/>
        <w:ind w:firstLine="480" w:firstLineChars="200"/>
        <w:rPr>
          <w:rFonts w:hint="eastAsia"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银行帐号：                       银行帐号（基本账户）：</w:t>
      </w:r>
    </w:p>
    <w:p>
      <w:pPr>
        <w:spacing w:line="360" w:lineRule="auto"/>
        <w:ind w:firstLine="480" w:firstLineChars="200"/>
        <w:rPr>
          <w:rFonts w:hint="eastAsia" w:ascii="仿宋_GB2312" w:hAnsi="仿宋_GB2312" w:eastAsia="仿宋_GB2312" w:cs="仿宋_GB2312"/>
          <w:color w:val="auto"/>
          <w:sz w:val="24"/>
          <w:highlight w:val="none"/>
        </w:rPr>
      </w:pPr>
    </w:p>
    <w:p>
      <w:pPr>
        <w:spacing w:line="360" w:lineRule="auto"/>
        <w:ind w:firstLine="480"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color w:val="auto"/>
          <w:sz w:val="24"/>
          <w:highlight w:val="none"/>
        </w:rPr>
        <w:t>时间：         年     月     日</w:t>
      </w:r>
    </w:p>
    <w:p>
      <w:pPr>
        <w:spacing w:line="360" w:lineRule="auto"/>
        <w:ind w:firstLine="482" w:firstLineChars="200"/>
        <w:rPr>
          <w:rFonts w:hint="eastAsia" w:ascii="仿宋_GB2312" w:hAnsi="仿宋_GB2312" w:eastAsia="仿宋_GB2312" w:cs="仿宋_GB2312"/>
          <w:b/>
          <w:color w:val="auto"/>
          <w:sz w:val="24"/>
          <w:highlight w:val="none"/>
        </w:rPr>
      </w:pPr>
    </w:p>
    <w:p>
      <w:pPr>
        <w:spacing w:line="360" w:lineRule="auto"/>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特别说明：</w:t>
      </w:r>
    </w:p>
    <w:p>
      <w:pPr>
        <w:spacing w:line="360" w:lineRule="auto"/>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1.本范本根据《政府采购法》、《民法典》等法律法规制定。具体项目的采购合同条款，在本范本框架内由甲乙双方协商一致签订。空格处划横线。</w:t>
      </w:r>
    </w:p>
    <w:p>
      <w:pPr>
        <w:spacing w:line="360" w:lineRule="auto"/>
        <w:ind w:firstLine="482" w:firstLineChars="200"/>
        <w:rPr>
          <w:rFonts w:hint="eastAsia"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2.收款单位名称应与本合同乙方单位名称、项目成交单位名称、开具发票单位名称相一致。</w:t>
      </w:r>
    </w:p>
    <w:p>
      <w:pPr>
        <w:keepNext w:val="0"/>
        <w:keepLines w:val="0"/>
        <w:pageBreakBefore w:val="0"/>
        <w:widowControl w:val="0"/>
        <w:numPr>
          <w:ilvl w:val="0"/>
          <w:numId w:val="1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color w:val="auto"/>
          <w:sz w:val="24"/>
          <w:highlight w:val="none"/>
        </w:rPr>
        <w:t>3.甲方（采购单位）应盖本单位公章，乙方应盖单位公章或合同专用章，合同双方应盖骑缝章。</w:t>
      </w:r>
      <w:r>
        <w:rPr>
          <w:rFonts w:hint="eastAsia" w:ascii="仿宋_GB2312" w:hAnsi="仿宋_GB2312" w:eastAsia="仿宋_GB2312" w:cs="仿宋_GB2312"/>
          <w:b w:val="0"/>
          <w:bCs w:val="0"/>
          <w:sz w:val="24"/>
          <w:szCs w:val="24"/>
          <w:highlight w:val="none"/>
          <w:lang w:val="en-US" w:eastAsia="zh-CN"/>
        </w:rPr>
        <w:br w:type="page"/>
      </w:r>
    </w:p>
    <w:p>
      <w:pPr>
        <w:pStyle w:val="11"/>
        <w:numPr>
          <w:ilvl w:val="0"/>
          <w:numId w:val="1"/>
        </w:numPr>
        <w:bidi w:val="0"/>
        <w:jc w:val="center"/>
        <w:rPr>
          <w:rFonts w:hint="default" w:ascii="仿宋_GB2312" w:hAnsi="仿宋_GB2312" w:eastAsia="仿宋_GB2312" w:cs="仿宋_GB2312"/>
          <w:b w:val="0"/>
          <w:bCs w:val="0"/>
          <w:sz w:val="24"/>
          <w:szCs w:val="24"/>
          <w:highlight w:val="none"/>
          <w:lang w:val="en-US" w:eastAsia="zh-CN"/>
        </w:rPr>
      </w:pPr>
      <w:r>
        <w:rPr>
          <w:rFonts w:hint="eastAsia" w:ascii="仿宋" w:hAnsi="仿宋" w:eastAsia="仿宋" w:cs="仿宋"/>
          <w:sz w:val="32"/>
          <w:szCs w:val="32"/>
          <w:highlight w:val="none"/>
          <w:lang w:val="en-US" w:eastAsia="zh-CN"/>
        </w:rPr>
        <w:t xml:space="preserve">  采购需求</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bCs/>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一、</w:t>
      </w:r>
      <w:r>
        <w:rPr>
          <w:rFonts w:hint="eastAsia" w:ascii="仿宋_GB2312" w:hAnsi="仿宋_GB2312" w:eastAsia="仿宋_GB2312" w:cs="仿宋_GB2312"/>
          <w:b/>
          <w:bCs/>
          <w:sz w:val="24"/>
          <w:szCs w:val="24"/>
          <w:highlight w:val="none"/>
          <w:lang w:val="en-US" w:eastAsia="zh-CN"/>
        </w:rPr>
        <w:t>技术要求</w:t>
      </w:r>
    </w:p>
    <w:p>
      <w:pPr>
        <w:keepNext w:val="0"/>
        <w:keepLines w:val="0"/>
        <w:pageBreakBefore w:val="0"/>
        <w:widowControl w:val="0"/>
        <w:numPr>
          <w:ilvl w:val="0"/>
          <w:numId w:val="11"/>
        </w:numPr>
        <w:kinsoku/>
        <w:wordWrap/>
        <w:overflowPunct/>
        <w:topLinePunct w:val="0"/>
        <w:autoSpaceDE/>
        <w:autoSpaceDN/>
        <w:bidi w:val="0"/>
        <w:adjustRightInd/>
        <w:snapToGrid/>
        <w:spacing w:line="500" w:lineRule="exact"/>
        <w:textAlignment w:val="auto"/>
        <w:rPr>
          <w:rFonts w:hint="eastAsia" w:ascii="仿宋_GB2312" w:hAnsi="仿宋_GB2312" w:eastAsia="仿宋_GB2312" w:cs="仿宋_GB2312"/>
          <w:b w:val="0"/>
          <w:bCs w:val="0"/>
          <w:sz w:val="24"/>
          <w:szCs w:val="24"/>
          <w:highlight w:val="none"/>
          <w:lang w:val="en-US" w:eastAsia="zh-CN"/>
        </w:rPr>
      </w:pPr>
      <w:r>
        <w:rPr>
          <w:rFonts w:hint="eastAsia" w:ascii="仿宋_GB2312" w:hAnsi="仿宋_GB2312" w:eastAsia="仿宋_GB2312" w:cs="仿宋_GB2312"/>
          <w:b w:val="0"/>
          <w:bCs w:val="0"/>
          <w:sz w:val="24"/>
          <w:szCs w:val="24"/>
          <w:highlight w:val="none"/>
          <w:lang w:val="en-US" w:eastAsia="zh-CN"/>
        </w:rPr>
        <w:t>采购清单及技术要求</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842"/>
        <w:gridCol w:w="1028"/>
        <w:gridCol w:w="4128"/>
        <w:gridCol w:w="690"/>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仿宋_GB2312" w:hAnsi="仿宋_GB2312" w:eastAsia="仿宋_GB2312" w:cs="仿宋_GB2312"/>
                <w:b w:val="0"/>
                <w:bCs w:val="0"/>
                <w:sz w:val="20"/>
                <w:szCs w:val="20"/>
                <w:highlight w:val="none"/>
                <w:vertAlign w:val="baseline"/>
                <w:lang w:val="en-US" w:eastAsia="zh-CN"/>
              </w:rPr>
            </w:pPr>
            <w:r>
              <w:rPr>
                <w:rFonts w:hint="eastAsia" w:ascii="仿宋_GB2312" w:hAnsi="仿宋_GB2312" w:eastAsia="仿宋_GB2312" w:cs="仿宋_GB2312"/>
                <w:b w:val="0"/>
                <w:bCs w:val="0"/>
                <w:sz w:val="20"/>
                <w:szCs w:val="20"/>
                <w:highlight w:val="none"/>
                <w:vertAlign w:val="baseline"/>
                <w:lang w:val="en-US" w:eastAsia="zh-CN"/>
              </w:rPr>
              <w:t>包号</w:t>
            </w:r>
          </w:p>
        </w:tc>
        <w:tc>
          <w:tcPr>
            <w:tcW w:w="84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0"/>
                <w:szCs w:val="20"/>
                <w:highlight w:val="none"/>
                <w:vertAlign w:val="baseline"/>
                <w:lang w:val="en-US" w:eastAsia="zh-CN"/>
              </w:rPr>
            </w:pPr>
            <w:r>
              <w:rPr>
                <w:rFonts w:hint="eastAsia" w:ascii="仿宋_GB2312" w:hAnsi="仿宋_GB2312" w:eastAsia="仿宋_GB2312" w:cs="仿宋_GB2312"/>
                <w:b w:val="0"/>
                <w:bCs w:val="0"/>
                <w:sz w:val="20"/>
                <w:szCs w:val="20"/>
                <w:highlight w:val="none"/>
                <w:vertAlign w:val="baseline"/>
                <w:lang w:val="en-US" w:eastAsia="zh-CN"/>
              </w:rPr>
              <w:t>品目号</w:t>
            </w:r>
          </w:p>
        </w:tc>
        <w:tc>
          <w:tcPr>
            <w:tcW w:w="102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0"/>
                <w:szCs w:val="20"/>
                <w:highlight w:val="none"/>
                <w:vertAlign w:val="baseline"/>
                <w:lang w:val="en-US" w:eastAsia="zh-CN"/>
              </w:rPr>
            </w:pPr>
            <w:r>
              <w:rPr>
                <w:rFonts w:hint="eastAsia" w:ascii="仿宋_GB2312" w:hAnsi="仿宋_GB2312" w:eastAsia="仿宋_GB2312" w:cs="仿宋_GB2312"/>
                <w:b w:val="0"/>
                <w:bCs w:val="0"/>
                <w:sz w:val="20"/>
                <w:szCs w:val="20"/>
                <w:highlight w:val="none"/>
                <w:vertAlign w:val="baseline"/>
                <w:lang w:val="en-US" w:eastAsia="zh-CN"/>
              </w:rPr>
              <w:t>品目名称</w:t>
            </w:r>
          </w:p>
        </w:tc>
        <w:tc>
          <w:tcPr>
            <w:tcW w:w="412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0"/>
                <w:szCs w:val="20"/>
                <w:highlight w:val="none"/>
                <w:vertAlign w:val="baseline"/>
                <w:lang w:val="en-US" w:eastAsia="zh-CN"/>
              </w:rPr>
            </w:pPr>
            <w:r>
              <w:rPr>
                <w:rFonts w:hint="eastAsia" w:ascii="仿宋_GB2312" w:hAnsi="仿宋_GB2312" w:eastAsia="仿宋_GB2312" w:cs="仿宋_GB2312"/>
                <w:b w:val="0"/>
                <w:bCs w:val="0"/>
                <w:sz w:val="20"/>
                <w:szCs w:val="20"/>
                <w:highlight w:val="none"/>
                <w:vertAlign w:val="baseline"/>
                <w:lang w:val="en-US" w:eastAsia="zh-CN"/>
              </w:rPr>
              <w:t>技术参数要求及项目特征描述</w:t>
            </w:r>
          </w:p>
        </w:tc>
        <w:tc>
          <w:tcPr>
            <w:tcW w:w="690"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0"/>
                <w:szCs w:val="20"/>
                <w:highlight w:val="none"/>
                <w:vertAlign w:val="baseline"/>
                <w:lang w:val="en-US" w:eastAsia="zh-CN"/>
              </w:rPr>
            </w:pPr>
            <w:r>
              <w:rPr>
                <w:rFonts w:hint="eastAsia" w:ascii="仿宋_GB2312" w:hAnsi="仿宋_GB2312" w:eastAsia="仿宋_GB2312" w:cs="仿宋_GB2312"/>
                <w:b w:val="0"/>
                <w:bCs w:val="0"/>
                <w:sz w:val="20"/>
                <w:szCs w:val="20"/>
                <w:highlight w:val="none"/>
                <w:vertAlign w:val="baseline"/>
                <w:lang w:val="en-US" w:eastAsia="zh-CN"/>
              </w:rPr>
              <w:t>计量</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0"/>
                <w:szCs w:val="20"/>
                <w:highlight w:val="none"/>
                <w:vertAlign w:val="baseline"/>
                <w:lang w:val="en-US" w:eastAsia="zh-CN"/>
              </w:rPr>
            </w:pPr>
            <w:r>
              <w:rPr>
                <w:rFonts w:hint="eastAsia" w:ascii="仿宋_GB2312" w:hAnsi="仿宋_GB2312" w:eastAsia="仿宋_GB2312" w:cs="仿宋_GB2312"/>
                <w:b w:val="0"/>
                <w:bCs w:val="0"/>
                <w:sz w:val="20"/>
                <w:szCs w:val="20"/>
                <w:highlight w:val="none"/>
                <w:vertAlign w:val="baseline"/>
                <w:lang w:val="en-US" w:eastAsia="zh-CN"/>
              </w:rPr>
              <w:t>单位</w:t>
            </w:r>
          </w:p>
        </w:tc>
        <w:tc>
          <w:tcPr>
            <w:tcW w:w="97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b w:val="0"/>
                <w:bCs w:val="0"/>
                <w:sz w:val="20"/>
                <w:szCs w:val="20"/>
                <w:highlight w:val="none"/>
                <w:vertAlign w:val="baseline"/>
                <w:lang w:val="en-US" w:eastAsia="zh-CN"/>
              </w:rPr>
            </w:pPr>
            <w:r>
              <w:rPr>
                <w:rFonts w:hint="eastAsia" w:ascii="仿宋_GB2312" w:hAnsi="仿宋_GB2312" w:eastAsia="仿宋_GB2312" w:cs="仿宋_GB2312"/>
                <w:b w:val="0"/>
                <w:bCs w:val="0"/>
                <w:sz w:val="20"/>
                <w:szCs w:val="20"/>
                <w:highlight w:val="none"/>
                <w:vertAlign w:val="baseli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Merge w:val="restart"/>
            <w:vAlign w:val="center"/>
          </w:tcPr>
          <w:p>
            <w:pPr>
              <w:keepNext w:val="0"/>
              <w:keepLines w:val="0"/>
              <w:widowControl/>
              <w:suppressLineNumbers w:val="0"/>
              <w:jc w:val="center"/>
              <w:textAlignment w:val="center"/>
              <w:rPr>
                <w:rFonts w:hint="default"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标项1</w:t>
            </w:r>
          </w:p>
        </w:tc>
        <w:tc>
          <w:tcPr>
            <w:tcW w:w="842" w:type="dxa"/>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1-1</w:t>
            </w:r>
          </w:p>
        </w:tc>
        <w:tc>
          <w:tcPr>
            <w:tcW w:w="1028" w:type="dxa"/>
            <w:vAlign w:val="center"/>
          </w:tcPr>
          <w:p>
            <w:pPr>
              <w:keepNext w:val="0"/>
              <w:keepLines w:val="0"/>
              <w:widowControl/>
              <w:suppressLineNumbers w:val="0"/>
              <w:jc w:val="left"/>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挖一般土方</w:t>
            </w:r>
          </w:p>
        </w:tc>
        <w:tc>
          <w:tcPr>
            <w:tcW w:w="4128" w:type="dxa"/>
            <w:vAlign w:val="center"/>
          </w:tcPr>
          <w:p>
            <w:pPr>
              <w:keepNext w:val="0"/>
              <w:keepLines w:val="0"/>
              <w:widowControl/>
              <w:numPr>
                <w:ilvl w:val="0"/>
                <w:numId w:val="0"/>
              </w:numPr>
              <w:suppressLineNumbers w:val="0"/>
              <w:ind w:leftChars="0"/>
              <w:jc w:val="left"/>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垃圾房土壤类别:一、二类土</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※挖土深度:0.1m 内</w:t>
            </w:r>
          </w:p>
        </w:tc>
        <w:tc>
          <w:tcPr>
            <w:tcW w:w="69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m3</w:t>
            </w:r>
          </w:p>
        </w:tc>
        <w:tc>
          <w:tcPr>
            <w:tcW w:w="977" w:type="dxa"/>
            <w:vAlign w:val="center"/>
          </w:tcPr>
          <w:p>
            <w:pPr>
              <w:keepNext w:val="0"/>
              <w:keepLines w:val="0"/>
              <w:widowControl/>
              <w:suppressLineNumbers w:val="0"/>
              <w:jc w:val="right"/>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224.83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keepNext w:val="0"/>
              <w:keepLines w:val="0"/>
              <w:widowControl/>
              <w:suppressLineNumbers w:val="0"/>
              <w:jc w:val="center"/>
              <w:textAlignment w:val="center"/>
              <w:rPr>
                <w:rFonts w:hint="eastAsia" w:ascii="仿宋_GB2312" w:hAnsi="仿宋_GB2312" w:eastAsia="仿宋_GB2312" w:cs="仿宋_GB2312"/>
                <w:b w:val="0"/>
                <w:bCs w:val="0"/>
                <w:sz w:val="21"/>
                <w:szCs w:val="21"/>
                <w:highlight w:val="none"/>
                <w:vertAlign w:val="baseline"/>
                <w:lang w:val="en-US" w:eastAsia="zh-CN"/>
              </w:rPr>
            </w:pPr>
          </w:p>
        </w:tc>
        <w:tc>
          <w:tcPr>
            <w:tcW w:w="842" w:type="dxa"/>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1-2</w:t>
            </w:r>
          </w:p>
        </w:tc>
        <w:tc>
          <w:tcPr>
            <w:tcW w:w="1028" w:type="dxa"/>
            <w:vAlign w:val="center"/>
          </w:tcPr>
          <w:p>
            <w:pPr>
              <w:keepNext w:val="0"/>
              <w:keepLines w:val="0"/>
              <w:widowControl/>
              <w:suppressLineNumbers w:val="0"/>
              <w:jc w:val="left"/>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挖沟槽土方</w:t>
            </w:r>
          </w:p>
        </w:tc>
        <w:tc>
          <w:tcPr>
            <w:tcW w:w="4128" w:type="dxa"/>
            <w:vAlign w:val="center"/>
          </w:tcPr>
          <w:p>
            <w:pPr>
              <w:keepNext w:val="0"/>
              <w:keepLines w:val="0"/>
              <w:widowControl/>
              <w:numPr>
                <w:ilvl w:val="0"/>
                <w:numId w:val="0"/>
              </w:numPr>
              <w:suppressLineNumbers w:val="0"/>
              <w:ind w:left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电力电缆，土壤类别:一、二类</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※挖土深度:2m 内，余方弃置:施工方自行考虑</w:t>
            </w:r>
          </w:p>
        </w:tc>
        <w:tc>
          <w:tcPr>
            <w:tcW w:w="69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m3</w:t>
            </w:r>
          </w:p>
        </w:tc>
        <w:tc>
          <w:tcPr>
            <w:tcW w:w="977" w:type="dxa"/>
            <w:vAlign w:val="center"/>
          </w:tcPr>
          <w:p>
            <w:pPr>
              <w:keepNext w:val="0"/>
              <w:keepLines w:val="0"/>
              <w:widowControl/>
              <w:suppressLineNumbers w:val="0"/>
              <w:jc w:val="right"/>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6140.8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keepNext w:val="0"/>
              <w:keepLines w:val="0"/>
              <w:widowControl/>
              <w:suppressLineNumbers w:val="0"/>
              <w:jc w:val="center"/>
              <w:textAlignment w:val="center"/>
              <w:rPr>
                <w:rFonts w:hint="eastAsia" w:ascii="仿宋_GB2312" w:hAnsi="仿宋_GB2312" w:eastAsia="仿宋_GB2312" w:cs="仿宋_GB2312"/>
                <w:b w:val="0"/>
                <w:bCs w:val="0"/>
                <w:sz w:val="21"/>
                <w:szCs w:val="21"/>
                <w:highlight w:val="none"/>
                <w:vertAlign w:val="baseline"/>
                <w:lang w:val="en-US" w:eastAsia="zh-CN"/>
              </w:rPr>
            </w:pPr>
          </w:p>
        </w:tc>
        <w:tc>
          <w:tcPr>
            <w:tcW w:w="842" w:type="dxa"/>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1-3</w:t>
            </w:r>
          </w:p>
        </w:tc>
        <w:tc>
          <w:tcPr>
            <w:tcW w:w="1028" w:type="dxa"/>
            <w:vAlign w:val="center"/>
          </w:tcPr>
          <w:p>
            <w:pPr>
              <w:keepNext w:val="0"/>
              <w:keepLines w:val="0"/>
              <w:widowControl/>
              <w:suppressLineNumbers w:val="0"/>
              <w:jc w:val="left"/>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回填方</w:t>
            </w:r>
          </w:p>
        </w:tc>
        <w:tc>
          <w:tcPr>
            <w:tcW w:w="4128" w:type="dxa"/>
            <w:vAlign w:val="center"/>
          </w:tcPr>
          <w:p>
            <w:pPr>
              <w:keepNext w:val="0"/>
              <w:keepLines w:val="0"/>
              <w:widowControl/>
              <w:numPr>
                <w:ilvl w:val="0"/>
                <w:numId w:val="0"/>
              </w:numPr>
              <w:suppressLineNumbers w:val="0"/>
              <w:ind w:leftChars="0"/>
              <w:jc w:val="left"/>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电力电缆</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※密实度要求:520mm厚中粗砂</w:t>
            </w:r>
          </w:p>
        </w:tc>
        <w:tc>
          <w:tcPr>
            <w:tcW w:w="69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m3</w:t>
            </w:r>
          </w:p>
        </w:tc>
        <w:tc>
          <w:tcPr>
            <w:tcW w:w="977" w:type="dxa"/>
            <w:vAlign w:val="center"/>
          </w:tcPr>
          <w:p>
            <w:pPr>
              <w:keepNext w:val="0"/>
              <w:keepLines w:val="0"/>
              <w:widowControl/>
              <w:suppressLineNumbers w:val="0"/>
              <w:jc w:val="right"/>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1320.8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keepNext w:val="0"/>
              <w:keepLines w:val="0"/>
              <w:widowControl/>
              <w:suppressLineNumbers w:val="0"/>
              <w:jc w:val="center"/>
              <w:textAlignment w:val="center"/>
              <w:rPr>
                <w:rFonts w:hint="eastAsia" w:ascii="仿宋_GB2312" w:hAnsi="仿宋_GB2312" w:eastAsia="仿宋_GB2312" w:cs="仿宋_GB2312"/>
                <w:b w:val="0"/>
                <w:bCs w:val="0"/>
                <w:sz w:val="21"/>
                <w:szCs w:val="21"/>
                <w:highlight w:val="none"/>
                <w:vertAlign w:val="baseline"/>
                <w:lang w:val="en-US" w:eastAsia="zh-CN"/>
              </w:rPr>
            </w:pPr>
          </w:p>
        </w:tc>
        <w:tc>
          <w:tcPr>
            <w:tcW w:w="842" w:type="dxa"/>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1-4</w:t>
            </w:r>
          </w:p>
        </w:tc>
        <w:tc>
          <w:tcPr>
            <w:tcW w:w="1028" w:type="dxa"/>
            <w:vAlign w:val="center"/>
          </w:tcPr>
          <w:p>
            <w:pPr>
              <w:keepNext w:val="0"/>
              <w:keepLines w:val="0"/>
              <w:widowControl/>
              <w:suppressLineNumbers w:val="0"/>
              <w:jc w:val="left"/>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回填方</w:t>
            </w:r>
          </w:p>
        </w:tc>
        <w:tc>
          <w:tcPr>
            <w:tcW w:w="4128" w:type="dxa"/>
            <w:vAlign w:val="center"/>
          </w:tcPr>
          <w:p>
            <w:pPr>
              <w:keepNext w:val="0"/>
              <w:keepLines w:val="0"/>
              <w:widowControl/>
              <w:numPr>
                <w:ilvl w:val="0"/>
                <w:numId w:val="0"/>
              </w:numPr>
              <w:suppressLineNumbers w:val="0"/>
              <w:ind w:leftChars="0"/>
              <w:jc w:val="left"/>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电力电缆</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※密实度要求:原土夯填</w:t>
            </w:r>
          </w:p>
        </w:tc>
        <w:tc>
          <w:tcPr>
            <w:tcW w:w="69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m3</w:t>
            </w:r>
          </w:p>
        </w:tc>
        <w:tc>
          <w:tcPr>
            <w:tcW w:w="977" w:type="dxa"/>
            <w:vAlign w:val="center"/>
          </w:tcPr>
          <w:p>
            <w:pPr>
              <w:keepNext w:val="0"/>
              <w:keepLines w:val="0"/>
              <w:widowControl/>
              <w:suppressLineNumbers w:val="0"/>
              <w:jc w:val="right"/>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3260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keepNext w:val="0"/>
              <w:keepLines w:val="0"/>
              <w:widowControl/>
              <w:suppressLineNumbers w:val="0"/>
              <w:jc w:val="center"/>
              <w:textAlignment w:val="center"/>
              <w:rPr>
                <w:rFonts w:hint="eastAsia" w:ascii="仿宋_GB2312" w:hAnsi="仿宋_GB2312" w:eastAsia="仿宋_GB2312" w:cs="仿宋_GB2312"/>
                <w:b w:val="0"/>
                <w:bCs w:val="0"/>
                <w:sz w:val="21"/>
                <w:szCs w:val="21"/>
                <w:highlight w:val="none"/>
                <w:vertAlign w:val="baseline"/>
                <w:lang w:val="en-US" w:eastAsia="zh-CN"/>
              </w:rPr>
            </w:pPr>
          </w:p>
        </w:tc>
        <w:tc>
          <w:tcPr>
            <w:tcW w:w="842" w:type="dxa"/>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1-5</w:t>
            </w:r>
          </w:p>
        </w:tc>
        <w:tc>
          <w:tcPr>
            <w:tcW w:w="1028" w:type="dxa"/>
            <w:vAlign w:val="center"/>
          </w:tcPr>
          <w:p>
            <w:pPr>
              <w:keepNext w:val="0"/>
              <w:keepLines w:val="0"/>
              <w:widowControl/>
              <w:suppressLineNumbers w:val="0"/>
              <w:jc w:val="left"/>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垃圾箱</w:t>
            </w:r>
          </w:p>
        </w:tc>
        <w:tc>
          <w:tcPr>
            <w:tcW w:w="4128" w:type="dxa"/>
            <w:vAlign w:val="center"/>
          </w:tcPr>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※垃圾箱材质:成品果皮箱（钢制），含安装辅材等所有工序，具体样式甲方定</w:t>
            </w:r>
          </w:p>
        </w:tc>
        <w:tc>
          <w:tcPr>
            <w:tcW w:w="69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个</w:t>
            </w:r>
          </w:p>
        </w:tc>
        <w:tc>
          <w:tcPr>
            <w:tcW w:w="977" w:type="dxa"/>
            <w:vAlign w:val="center"/>
          </w:tcPr>
          <w:p>
            <w:pPr>
              <w:keepNext w:val="0"/>
              <w:keepLines w:val="0"/>
              <w:widowControl/>
              <w:suppressLineNumbers w:val="0"/>
              <w:jc w:val="right"/>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keepNext w:val="0"/>
              <w:keepLines w:val="0"/>
              <w:widowControl/>
              <w:suppressLineNumbers w:val="0"/>
              <w:jc w:val="center"/>
              <w:textAlignment w:val="center"/>
              <w:rPr>
                <w:rFonts w:hint="eastAsia" w:ascii="仿宋_GB2312" w:hAnsi="仿宋_GB2312" w:eastAsia="仿宋_GB2312" w:cs="仿宋_GB2312"/>
                <w:b w:val="0"/>
                <w:bCs w:val="0"/>
                <w:sz w:val="21"/>
                <w:szCs w:val="21"/>
                <w:highlight w:val="none"/>
                <w:vertAlign w:val="baseline"/>
                <w:lang w:val="en-US" w:eastAsia="zh-CN"/>
              </w:rPr>
            </w:pPr>
          </w:p>
        </w:tc>
        <w:tc>
          <w:tcPr>
            <w:tcW w:w="842" w:type="dxa"/>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1-6</w:t>
            </w:r>
          </w:p>
        </w:tc>
        <w:tc>
          <w:tcPr>
            <w:tcW w:w="1028" w:type="dxa"/>
            <w:vAlign w:val="center"/>
          </w:tcPr>
          <w:p>
            <w:pPr>
              <w:keepNext w:val="0"/>
              <w:keepLines w:val="0"/>
              <w:widowControl/>
              <w:suppressLineNumbers w:val="0"/>
              <w:jc w:val="left"/>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垃圾分类收集点</w:t>
            </w:r>
          </w:p>
        </w:tc>
        <w:tc>
          <w:tcPr>
            <w:tcW w:w="4128" w:type="dxa"/>
            <w:vAlign w:val="center"/>
          </w:tcPr>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※垃圾分类收集点一（不带电）4650*1600*2800mm（详见图纸）</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※立柱及顶棚横梁:80*80*3mm镀锌管20m</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※底部框架:60*80*2mm镀锌管36m</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※棚斜坡:40*60*2mm镀锌管8m</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※墙板支撑及固定金属雕花板:20*40*1.5mm镀锌管60m</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※正面立柱管:50*50*2mm镀锌管10m</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※顶棚斜面:2.0mm镀锌板并做防水10㎡,并做沥青防水瓦</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※墙板及垃圾箱:1.5mm镀锌板30㎡</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※墙面金属雕花板:16mm厚金属雕花板25㎡</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※宣传标语及门头字:pvc雕刻文字29个字</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※1套门头；5个660L钢制垃圾箱；5个钢制脚踏式开启装置（及其配套设施）；标语油墨20kg；</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※成品设施（含税金、运费、安装调试费等所有工序）</w:t>
            </w:r>
          </w:p>
        </w:tc>
        <w:tc>
          <w:tcPr>
            <w:tcW w:w="690" w:type="dxa"/>
            <w:vAlign w:val="center"/>
          </w:tcPr>
          <w:p>
            <w:pPr>
              <w:keepNext w:val="0"/>
              <w:keepLines w:val="0"/>
              <w:widowControl/>
              <w:suppressLineNumbers w:val="0"/>
              <w:jc w:val="center"/>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座</w:t>
            </w:r>
          </w:p>
        </w:tc>
        <w:tc>
          <w:tcPr>
            <w:tcW w:w="977" w:type="dxa"/>
            <w:vAlign w:val="center"/>
          </w:tcPr>
          <w:p>
            <w:pPr>
              <w:keepNext w:val="0"/>
              <w:keepLines w:val="0"/>
              <w:widowControl/>
              <w:suppressLineNumbers w:val="0"/>
              <w:jc w:val="right"/>
              <w:textAlignment w:val="center"/>
              <w:rPr>
                <w:rFonts w:hint="eastAsia" w:ascii="仿宋_GB2312" w:hAnsi="仿宋_GB2312" w:eastAsia="仿宋_GB2312" w:cs="仿宋_GB2312"/>
                <w:b w:val="0"/>
                <w:bCs w:val="0"/>
                <w:sz w:val="21"/>
                <w:szCs w:val="21"/>
                <w:highlight w:val="none"/>
                <w:vertAlign w:val="baseli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p>
        </w:tc>
        <w:tc>
          <w:tcPr>
            <w:tcW w:w="842" w:type="dxa"/>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1-7</w:t>
            </w:r>
          </w:p>
        </w:tc>
        <w:tc>
          <w:tcPr>
            <w:tcW w:w="1028" w:type="dxa"/>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垃圾分类收集点</w:t>
            </w:r>
          </w:p>
        </w:tc>
        <w:tc>
          <w:tcPr>
            <w:tcW w:w="4128" w:type="dxa"/>
            <w:vAlign w:val="center"/>
          </w:tcPr>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※垃圾分类收集点一4650*1600*2800mm（详见图纸）</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※立柱及顶棚横梁:80*80*3mm镀锌管20m</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※底部框架:60*80*2mm镀锌管36m</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※棚斜坡:40*60*2mm镀锌管8m</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※正面立柱管:50*50*2mm镀锌管10m</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※墙板支撑及固定金属雕花板:20*40*1.5mm镀锌管60m</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※顶棚斜面:2.0mm镀锌板并做防水10㎡,并做沥青防水瓦</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※墙板及垃圾箱:1.5mm镀锌板30㎡</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※墙面金属雕花板:16mm厚金属雕花板25㎡</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※宣传标语及门头字:pvc雕刻文字29个字</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※1套门头；5个660L钢制垃圾箱；5个钢制脚踏式开启装置（及其配套设施）；1套40w吸顶灯；1套20w蚊蝇诱猎装置；1个五孔装置，1套电源控制箱；1套自控箱；标语油墨20kg</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※成品设施（含相应的配套设备及组件，并配套电源控制柜、内部电线、控制开关、电源插座等）</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※成品设施（含税金、运费、安装调试费等所有工序）</w:t>
            </w:r>
          </w:p>
        </w:tc>
        <w:tc>
          <w:tcPr>
            <w:tcW w:w="690" w:type="dx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座</w:t>
            </w:r>
          </w:p>
        </w:tc>
        <w:tc>
          <w:tcPr>
            <w:tcW w:w="977" w:type="dxa"/>
            <w:vAlign w:val="center"/>
          </w:tcPr>
          <w:p>
            <w:pPr>
              <w:keepNext w:val="0"/>
              <w:keepLines w:val="0"/>
              <w:widowControl/>
              <w:suppressLineNumbers w:val="0"/>
              <w:jc w:val="righ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p>
        </w:tc>
        <w:tc>
          <w:tcPr>
            <w:tcW w:w="842" w:type="dxa"/>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1-8</w:t>
            </w:r>
          </w:p>
        </w:tc>
        <w:tc>
          <w:tcPr>
            <w:tcW w:w="1028" w:type="dxa"/>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垃圾分类收集点</w:t>
            </w:r>
          </w:p>
        </w:tc>
        <w:tc>
          <w:tcPr>
            <w:tcW w:w="4128" w:type="dxa"/>
            <w:vAlign w:val="center"/>
          </w:tcPr>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※垃圾分类收集点二（不带电）6000*2700*2530mm（详见图纸）</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※立柱及顶棚横梁:80*80*3mm镀锌管60m</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※底部框架:60*80*2mm镀锌管160m</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※棚斜坡:40*60*2mm镀锌管120m</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※墙板支撑及固定金属雕花板:20*40*1.5mm镀锌管20m</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※正面立柱管:50*50*2mm镀锌管21.74m</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※顶棚斜面:2.0mm镀锌板并做防水25㎡</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※墙板及垃圾箱:1.5mm镀锌板50㎡</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※墙面金属雕花板:16mm厚25㎡</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※成品公示栏0.9㎡</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※1.32㎡pvc面板雕刻文字</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※1套门头；5个660L钢制垃圾箱；5个钢制脚踏式开启装置（及其配套设施）；2700*2200mm-1套手动卷帘门；标语油墨20kg;</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※成品设施（含税金、运费、安装调试费等所有工序）</w:t>
            </w:r>
          </w:p>
        </w:tc>
        <w:tc>
          <w:tcPr>
            <w:tcW w:w="690" w:type="dx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座</w:t>
            </w:r>
          </w:p>
        </w:tc>
        <w:tc>
          <w:tcPr>
            <w:tcW w:w="977" w:type="dxa"/>
            <w:vAlign w:val="center"/>
          </w:tcPr>
          <w:p>
            <w:pPr>
              <w:keepNext w:val="0"/>
              <w:keepLines w:val="0"/>
              <w:widowControl/>
              <w:suppressLineNumbers w:val="0"/>
              <w:jc w:val="righ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p>
        </w:tc>
        <w:tc>
          <w:tcPr>
            <w:tcW w:w="842" w:type="dxa"/>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1-9</w:t>
            </w:r>
          </w:p>
        </w:tc>
        <w:tc>
          <w:tcPr>
            <w:tcW w:w="1028" w:type="dxa"/>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垃圾分类收集点</w:t>
            </w:r>
          </w:p>
        </w:tc>
        <w:tc>
          <w:tcPr>
            <w:tcW w:w="4128" w:type="dxa"/>
            <w:vAlign w:val="center"/>
          </w:tcPr>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※垃圾分类收集点二6000*2700*2530mm（详见图纸）</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※立柱及顶棚横梁:80*80*3mm镀锌管60m</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※底部框架:60*80*2mm镀锌管160m</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※棚斜坡:40*60*2mm镀锌管120m</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※墙板支撑及固定金属雕花板:20*40*1.5mm镀锌管20m</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※正面立柱管:50*50*2mm镀锌管21.74m</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※顶棚斜面:2.0mm镀锌板并做防水25㎡</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※墙板及垃圾箱:1.5mm镀锌板50㎡</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※墙面金属雕花板:16mm厚25㎡</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※LED显示屏:100w-0.84㎡</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※成品公示栏0.9㎡</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※0.42㎡pvc面板雕刻7个字</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※1套门头；5个660L钢制垃圾箱；5个钢制脚踏式开启装置（及其配套设施）；6套5w桶灯等灯；1套20w蚊蝇诱猎装置；1个五孔装置；2700*2200mm-1套手动卷帘门；1套电源控制箱；1套自控箱；标语油墨20kg</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※成品设施（含相应的配套设备及组件，并配套电源控制柜、电动卷帘门，内部电线、控制开关、电源插座等）</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※成品设施（含税金、运费、安装调试费等所有工序）</w:t>
            </w:r>
          </w:p>
        </w:tc>
        <w:tc>
          <w:tcPr>
            <w:tcW w:w="690" w:type="dx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座</w:t>
            </w:r>
          </w:p>
        </w:tc>
        <w:tc>
          <w:tcPr>
            <w:tcW w:w="977" w:type="dxa"/>
            <w:vAlign w:val="center"/>
          </w:tcPr>
          <w:p>
            <w:pPr>
              <w:keepNext w:val="0"/>
              <w:keepLines w:val="0"/>
              <w:widowControl/>
              <w:suppressLineNumbers w:val="0"/>
              <w:jc w:val="righ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p>
        </w:tc>
        <w:tc>
          <w:tcPr>
            <w:tcW w:w="842" w:type="dxa"/>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1-10</w:t>
            </w:r>
          </w:p>
        </w:tc>
        <w:tc>
          <w:tcPr>
            <w:tcW w:w="1028" w:type="dxa"/>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垃圾分类收集点</w:t>
            </w:r>
          </w:p>
        </w:tc>
        <w:tc>
          <w:tcPr>
            <w:tcW w:w="4128" w:type="dxa"/>
            <w:vAlign w:val="center"/>
          </w:tcPr>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※垃圾分类收集点三（不带电）5550*1600*2400mm（详见图纸）</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※立柱及顶棚横梁:80*80*3mm镀锌管32m</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※底部框架:60*80*2mm镀锌管54m</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※棚斜坡:40*60*2mm镀锌管100m</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※墙板支撑及固定金属雕花板:20*40*1.5mm镀锌管60m</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※正面立柱管:50*50*2mm镀锌管14m</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※顶棚斜面:2.0mm镀锌板并做防水22㎡</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※墙板及垃圾箱:1.5mm镀锌板50㎡</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※宣传标语:彩绘16㎡（后侧及侧面）</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※6个660L钢制垃圾箱；6个钢制脚踏式开启装置（及其配套设施）</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※成品设施（含税金、运费、安装调试费等所有工序）</w:t>
            </w:r>
          </w:p>
        </w:tc>
        <w:tc>
          <w:tcPr>
            <w:tcW w:w="690" w:type="dx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座</w:t>
            </w:r>
          </w:p>
        </w:tc>
        <w:tc>
          <w:tcPr>
            <w:tcW w:w="977" w:type="dxa"/>
            <w:vAlign w:val="center"/>
          </w:tcPr>
          <w:p>
            <w:pPr>
              <w:keepNext w:val="0"/>
              <w:keepLines w:val="0"/>
              <w:widowControl/>
              <w:suppressLineNumbers w:val="0"/>
              <w:jc w:val="righ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p>
        </w:tc>
        <w:tc>
          <w:tcPr>
            <w:tcW w:w="842" w:type="dxa"/>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1-11</w:t>
            </w:r>
          </w:p>
        </w:tc>
        <w:tc>
          <w:tcPr>
            <w:tcW w:w="1028" w:type="dxa"/>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混凝土垫层</w:t>
            </w:r>
          </w:p>
        </w:tc>
        <w:tc>
          <w:tcPr>
            <w:tcW w:w="4128" w:type="dxa"/>
            <w:vAlign w:val="center"/>
          </w:tcPr>
          <w:p>
            <w:pPr>
              <w:keepNext w:val="0"/>
              <w:keepLines w:val="0"/>
              <w:widowControl/>
              <w:numPr>
                <w:ilvl w:val="0"/>
                <w:numId w:val="0"/>
              </w:numPr>
              <w:suppressLineNumbers w:val="0"/>
              <w:ind w:left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垃圾收集点地坪（详图纸）</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※混凝土强度等级:200mm厚C25</w:t>
            </w:r>
          </w:p>
        </w:tc>
        <w:tc>
          <w:tcPr>
            <w:tcW w:w="690" w:type="dx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m3</w:t>
            </w:r>
          </w:p>
        </w:tc>
        <w:tc>
          <w:tcPr>
            <w:tcW w:w="977" w:type="dxa"/>
            <w:vAlign w:val="center"/>
          </w:tcPr>
          <w:p>
            <w:pPr>
              <w:keepNext w:val="0"/>
              <w:keepLines w:val="0"/>
              <w:widowControl/>
              <w:suppressLineNumbers w:val="0"/>
              <w:jc w:val="righ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448.94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p>
        </w:tc>
        <w:tc>
          <w:tcPr>
            <w:tcW w:w="842" w:type="dxa"/>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1-12</w:t>
            </w:r>
          </w:p>
        </w:tc>
        <w:tc>
          <w:tcPr>
            <w:tcW w:w="1028" w:type="dxa"/>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混凝土垫层</w:t>
            </w:r>
          </w:p>
        </w:tc>
        <w:tc>
          <w:tcPr>
            <w:tcW w:w="4128" w:type="dxa"/>
            <w:vAlign w:val="center"/>
          </w:tcPr>
          <w:p>
            <w:pPr>
              <w:keepNext w:val="0"/>
              <w:keepLines w:val="0"/>
              <w:widowControl/>
              <w:numPr>
                <w:ilvl w:val="0"/>
                <w:numId w:val="0"/>
              </w:numPr>
              <w:suppressLineNumbers w:val="0"/>
              <w:ind w:left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电力电缆沟，电缆沟底，混凝土垫块（详图纸）</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※混凝土强度等级:C20</w:t>
            </w:r>
          </w:p>
        </w:tc>
        <w:tc>
          <w:tcPr>
            <w:tcW w:w="690" w:type="dx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m3</w:t>
            </w:r>
          </w:p>
        </w:tc>
        <w:tc>
          <w:tcPr>
            <w:tcW w:w="977" w:type="dxa"/>
            <w:vAlign w:val="center"/>
          </w:tcPr>
          <w:p>
            <w:pPr>
              <w:keepNext w:val="0"/>
              <w:keepLines w:val="0"/>
              <w:widowControl/>
              <w:suppressLineNumbers w:val="0"/>
              <w:jc w:val="righ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p>
        </w:tc>
        <w:tc>
          <w:tcPr>
            <w:tcW w:w="842" w:type="dxa"/>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1-13</w:t>
            </w:r>
          </w:p>
        </w:tc>
        <w:tc>
          <w:tcPr>
            <w:tcW w:w="1028" w:type="dxa"/>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混凝土井</w:t>
            </w:r>
          </w:p>
        </w:tc>
        <w:tc>
          <w:tcPr>
            <w:tcW w:w="4128" w:type="dxa"/>
            <w:vAlign w:val="center"/>
          </w:tcPr>
          <w:p>
            <w:pPr>
              <w:keepNext w:val="0"/>
              <w:keepLines w:val="0"/>
              <w:widowControl/>
              <w:numPr>
                <w:ilvl w:val="0"/>
                <w:numId w:val="0"/>
              </w:numPr>
              <w:suppressLineNumbers w:val="0"/>
              <w:ind w:left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电力电缆沟（具体做法详见图纸）</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※2400*2400*1900mm</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※垫层、墙身:砼基础，钢筋砼墙身</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※混凝土强度等级:C25</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※盖板材质、规格:钢筋砼</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※井盖、井圈材质及规格:Φ700球墨铸铁井盖</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※踏步材质、规格:钢爬梯</w:t>
            </w:r>
          </w:p>
        </w:tc>
        <w:tc>
          <w:tcPr>
            <w:tcW w:w="690" w:type="dx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座</w:t>
            </w:r>
          </w:p>
        </w:tc>
        <w:tc>
          <w:tcPr>
            <w:tcW w:w="977" w:type="dxa"/>
            <w:vAlign w:val="center"/>
          </w:tcPr>
          <w:p>
            <w:pPr>
              <w:keepNext w:val="0"/>
              <w:keepLines w:val="0"/>
              <w:widowControl/>
              <w:suppressLineNumbers w:val="0"/>
              <w:jc w:val="righ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p>
        </w:tc>
        <w:tc>
          <w:tcPr>
            <w:tcW w:w="842" w:type="dxa"/>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1-14</w:t>
            </w:r>
          </w:p>
        </w:tc>
        <w:tc>
          <w:tcPr>
            <w:tcW w:w="1028" w:type="dxa"/>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电缆</w:t>
            </w:r>
          </w:p>
        </w:tc>
        <w:tc>
          <w:tcPr>
            <w:tcW w:w="4128" w:type="dxa"/>
            <w:vAlign w:val="center"/>
          </w:tcPr>
          <w:p>
            <w:pPr>
              <w:keepNext w:val="0"/>
              <w:keepLines w:val="0"/>
              <w:widowControl/>
              <w:numPr>
                <w:ilvl w:val="0"/>
                <w:numId w:val="0"/>
              </w:numPr>
              <w:suppressLineNumbers w:val="0"/>
              <w:ind w:left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电力电缆</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※型号:YJV-0.6/1KV，规格:5*4</w:t>
            </w:r>
          </w:p>
        </w:tc>
        <w:tc>
          <w:tcPr>
            <w:tcW w:w="690" w:type="dx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m</w:t>
            </w:r>
          </w:p>
        </w:tc>
        <w:tc>
          <w:tcPr>
            <w:tcW w:w="977" w:type="dxa"/>
            <w:vAlign w:val="center"/>
          </w:tcPr>
          <w:p>
            <w:pPr>
              <w:keepNext w:val="0"/>
              <w:keepLines w:val="0"/>
              <w:widowControl/>
              <w:suppressLineNumbers w:val="0"/>
              <w:jc w:val="righ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p>
        </w:tc>
        <w:tc>
          <w:tcPr>
            <w:tcW w:w="842" w:type="dxa"/>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1-15</w:t>
            </w:r>
          </w:p>
        </w:tc>
        <w:tc>
          <w:tcPr>
            <w:tcW w:w="1028" w:type="dxa"/>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电缆保护管</w:t>
            </w:r>
          </w:p>
        </w:tc>
        <w:tc>
          <w:tcPr>
            <w:tcW w:w="4128" w:type="dxa"/>
            <w:vAlign w:val="center"/>
          </w:tcPr>
          <w:p>
            <w:pPr>
              <w:keepNext w:val="0"/>
              <w:keepLines w:val="0"/>
              <w:widowControl/>
              <w:numPr>
                <w:ilvl w:val="0"/>
                <w:numId w:val="0"/>
              </w:numPr>
              <w:suppressLineNumbers w:val="0"/>
              <w:ind w:left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电力电缆，名称:电缆保护管</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※型号:CPVC，规格:DE50</w:t>
            </w:r>
          </w:p>
        </w:tc>
        <w:tc>
          <w:tcPr>
            <w:tcW w:w="690" w:type="dx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m</w:t>
            </w:r>
          </w:p>
        </w:tc>
        <w:tc>
          <w:tcPr>
            <w:tcW w:w="977" w:type="dxa"/>
            <w:vAlign w:val="center"/>
          </w:tcPr>
          <w:p>
            <w:pPr>
              <w:keepNext w:val="0"/>
              <w:keepLines w:val="0"/>
              <w:widowControl/>
              <w:suppressLineNumbers w:val="0"/>
              <w:jc w:val="righ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p>
        </w:tc>
        <w:tc>
          <w:tcPr>
            <w:tcW w:w="842" w:type="dxa"/>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1-16</w:t>
            </w:r>
          </w:p>
        </w:tc>
        <w:tc>
          <w:tcPr>
            <w:tcW w:w="1028" w:type="dxa"/>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管道包封</w:t>
            </w:r>
          </w:p>
        </w:tc>
        <w:tc>
          <w:tcPr>
            <w:tcW w:w="4128" w:type="dxa"/>
            <w:vAlign w:val="center"/>
          </w:tcPr>
          <w:p>
            <w:pPr>
              <w:keepNext w:val="0"/>
              <w:keepLines w:val="0"/>
              <w:widowControl/>
              <w:numPr>
                <w:ilvl w:val="0"/>
                <w:numId w:val="0"/>
              </w:numPr>
              <w:suppressLineNumbers w:val="0"/>
              <w:ind w:left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电力电缆，名称:混凝土包封</w:t>
            </w:r>
          </w:p>
          <w:p>
            <w:pPr>
              <w:keepNext w:val="0"/>
              <w:keepLines w:val="0"/>
              <w:widowControl/>
              <w:numPr>
                <w:ilvl w:val="0"/>
                <w:numId w:val="12"/>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※混凝土强度等级:C25</w:t>
            </w:r>
          </w:p>
        </w:tc>
        <w:tc>
          <w:tcPr>
            <w:tcW w:w="690" w:type="dx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m</w:t>
            </w:r>
          </w:p>
        </w:tc>
        <w:tc>
          <w:tcPr>
            <w:tcW w:w="977" w:type="dxa"/>
            <w:vAlign w:val="center"/>
          </w:tcPr>
          <w:p>
            <w:pPr>
              <w:keepNext w:val="0"/>
              <w:keepLines w:val="0"/>
              <w:widowControl/>
              <w:suppressLineNumbers w:val="0"/>
              <w:jc w:val="righ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522" w:type="dxa"/>
            <w:gridSpan w:val="6"/>
            <w:vAlign w:val="center"/>
          </w:tcPr>
          <w:p>
            <w:pPr>
              <w:keepNext w:val="0"/>
              <w:keepLines w:val="0"/>
              <w:widowControl/>
              <w:suppressLineNumbers w:val="0"/>
              <w:jc w:val="both"/>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其他技术要求：</w:t>
            </w:r>
          </w:p>
          <w:p>
            <w:pPr>
              <w:pStyle w:val="15"/>
              <w:ind w:left="0" w:leftChars="0" w:firstLine="0" w:firstLineChars="0"/>
              <w:rPr>
                <w:rFonts w:hint="eastAsia" w:ascii="仿宋" w:hAnsi="仿宋" w:eastAsia="仿宋" w:cs="仿宋"/>
                <w:lang w:val="en-US" w:eastAsia="zh-CN"/>
              </w:rPr>
            </w:pPr>
            <w:r>
              <w:rPr>
                <w:rFonts w:hint="eastAsia" w:ascii="仿宋" w:hAnsi="仿宋" w:eastAsia="仿宋" w:cs="仿宋"/>
                <w:lang w:val="en-US" w:eastAsia="zh-CN"/>
              </w:rPr>
              <w:t>1、垃圾箱、垃圾分类收集点等可按采购人要求进行喷涂外装。</w:t>
            </w:r>
          </w:p>
          <w:p>
            <w:pPr>
              <w:pStyle w:val="15"/>
              <w:ind w:left="0" w:leftChars="0" w:firstLine="0" w:firstLineChars="0"/>
              <w:rPr>
                <w:rFonts w:hint="eastAsia"/>
                <w:lang w:val="en-US" w:eastAsia="zh-CN"/>
              </w:rPr>
            </w:pPr>
          </w:p>
        </w:tc>
      </w:tr>
    </w:tbl>
    <w:p>
      <w:pPr>
        <w:rPr>
          <w:rFonts w:hint="eastAsia"/>
          <w:lang w:val="en-US" w:eastAsia="zh-CN"/>
        </w:rPr>
      </w:pPr>
    </w:p>
    <w:p>
      <w:pPr>
        <w:numPr>
          <w:ilvl w:val="0"/>
          <w:numId w:val="0"/>
        </w:numPr>
        <w:ind w:leftChars="0"/>
        <w:jc w:val="center"/>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采购清单及技术要求</w:t>
      </w:r>
    </w:p>
    <w:p>
      <w:pPr>
        <w:pStyle w:val="15"/>
        <w:numPr>
          <w:ilvl w:val="0"/>
          <w:numId w:val="0"/>
        </w:numPr>
        <w:ind w:leftChars="0"/>
        <w:rPr>
          <w:rFonts w:hint="eastAsia"/>
          <w:lang w:val="en-US" w:eastAsia="zh-CN"/>
        </w:rPr>
      </w:pP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7"/>
        <w:gridCol w:w="842"/>
        <w:gridCol w:w="5"/>
        <w:gridCol w:w="1023"/>
        <w:gridCol w:w="4128"/>
        <w:gridCol w:w="690"/>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1" w:hRule="atLeast"/>
        </w:trPr>
        <w:tc>
          <w:tcPr>
            <w:tcW w:w="857" w:type="dxa"/>
            <w:vAlign w:val="center"/>
          </w:tcPr>
          <w:p>
            <w:pPr>
              <w:jc w:val="center"/>
              <w:rPr>
                <w:rFonts w:hint="default" w:ascii="仿宋" w:hAnsi="仿宋" w:eastAsia="仿宋" w:cs="仿宋"/>
                <w:sz w:val="20"/>
                <w:szCs w:val="20"/>
                <w:highlight w:val="none"/>
                <w:vertAlign w:val="baseline"/>
                <w:lang w:val="en-US" w:eastAsia="zh-CN"/>
              </w:rPr>
            </w:pPr>
            <w:r>
              <w:rPr>
                <w:rFonts w:hint="eastAsia" w:ascii="仿宋" w:hAnsi="仿宋" w:eastAsia="仿宋" w:cs="仿宋"/>
                <w:sz w:val="20"/>
                <w:szCs w:val="20"/>
                <w:highlight w:val="none"/>
                <w:vertAlign w:val="baseline"/>
                <w:lang w:val="en-US" w:eastAsia="zh-CN"/>
              </w:rPr>
              <w:t>包号</w:t>
            </w:r>
          </w:p>
        </w:tc>
        <w:tc>
          <w:tcPr>
            <w:tcW w:w="847" w:type="dxa"/>
            <w:gridSpan w:val="2"/>
            <w:vAlign w:val="center"/>
          </w:tcPr>
          <w:p>
            <w:pPr>
              <w:jc w:val="center"/>
              <w:rPr>
                <w:rFonts w:hint="default" w:ascii="仿宋" w:hAnsi="仿宋" w:eastAsia="仿宋" w:cs="仿宋"/>
                <w:sz w:val="20"/>
                <w:szCs w:val="20"/>
                <w:highlight w:val="none"/>
                <w:vertAlign w:val="baseline"/>
                <w:lang w:val="en-US" w:eastAsia="zh-CN"/>
              </w:rPr>
            </w:pPr>
            <w:r>
              <w:rPr>
                <w:rFonts w:hint="eastAsia" w:ascii="仿宋" w:hAnsi="仿宋" w:eastAsia="仿宋" w:cs="仿宋"/>
                <w:sz w:val="20"/>
                <w:szCs w:val="20"/>
                <w:highlight w:val="none"/>
                <w:vertAlign w:val="baseline"/>
                <w:lang w:val="en-US" w:eastAsia="zh-CN"/>
              </w:rPr>
              <w:t>品目号</w:t>
            </w:r>
          </w:p>
        </w:tc>
        <w:tc>
          <w:tcPr>
            <w:tcW w:w="1023" w:type="dxa"/>
            <w:vAlign w:val="center"/>
          </w:tcPr>
          <w:p>
            <w:pPr>
              <w:jc w:val="center"/>
              <w:rPr>
                <w:rFonts w:hint="default" w:ascii="仿宋" w:hAnsi="仿宋" w:eastAsia="仿宋" w:cs="仿宋"/>
                <w:sz w:val="20"/>
                <w:szCs w:val="20"/>
                <w:highlight w:val="none"/>
                <w:vertAlign w:val="baseline"/>
                <w:lang w:val="en-US" w:eastAsia="zh-CN"/>
              </w:rPr>
            </w:pPr>
            <w:r>
              <w:rPr>
                <w:rFonts w:hint="eastAsia" w:ascii="仿宋" w:hAnsi="仿宋" w:eastAsia="仿宋" w:cs="仿宋"/>
                <w:sz w:val="20"/>
                <w:szCs w:val="20"/>
                <w:highlight w:val="none"/>
                <w:vertAlign w:val="baseline"/>
                <w:lang w:val="en-US" w:eastAsia="zh-CN"/>
              </w:rPr>
              <w:t>品目名称</w:t>
            </w:r>
          </w:p>
        </w:tc>
        <w:tc>
          <w:tcPr>
            <w:tcW w:w="4128" w:type="dxa"/>
            <w:vAlign w:val="center"/>
          </w:tcPr>
          <w:p>
            <w:pPr>
              <w:jc w:val="center"/>
              <w:rPr>
                <w:rFonts w:hint="eastAsia" w:ascii="仿宋" w:hAnsi="仿宋" w:eastAsia="仿宋" w:cs="仿宋"/>
                <w:sz w:val="20"/>
                <w:szCs w:val="20"/>
                <w:highlight w:val="none"/>
                <w:vertAlign w:val="baseline"/>
                <w:lang w:val="en-US" w:eastAsia="zh-CN"/>
              </w:rPr>
            </w:pPr>
            <w:r>
              <w:rPr>
                <w:rFonts w:hint="eastAsia" w:ascii="仿宋" w:hAnsi="仿宋" w:eastAsia="仿宋" w:cs="仿宋"/>
                <w:sz w:val="20"/>
                <w:szCs w:val="20"/>
                <w:highlight w:val="none"/>
                <w:vertAlign w:val="baseline"/>
                <w:lang w:val="en-US" w:eastAsia="zh-CN"/>
              </w:rPr>
              <w:t>技术参数要求及项目特征描述</w:t>
            </w:r>
          </w:p>
        </w:tc>
        <w:tc>
          <w:tcPr>
            <w:tcW w:w="690" w:type="dxa"/>
            <w:vAlign w:val="center"/>
          </w:tcPr>
          <w:p>
            <w:pPr>
              <w:jc w:val="center"/>
              <w:rPr>
                <w:rFonts w:hint="eastAsia" w:ascii="仿宋" w:hAnsi="仿宋" w:eastAsia="仿宋" w:cs="仿宋"/>
                <w:sz w:val="20"/>
                <w:szCs w:val="20"/>
                <w:highlight w:val="none"/>
                <w:vertAlign w:val="baseline"/>
                <w:lang w:val="en-US" w:eastAsia="zh-CN"/>
              </w:rPr>
            </w:pPr>
            <w:r>
              <w:rPr>
                <w:rFonts w:hint="eastAsia" w:ascii="仿宋" w:hAnsi="仿宋" w:eastAsia="仿宋" w:cs="仿宋"/>
                <w:sz w:val="20"/>
                <w:szCs w:val="20"/>
                <w:highlight w:val="none"/>
                <w:vertAlign w:val="baseline"/>
                <w:lang w:val="en-US" w:eastAsia="zh-CN"/>
              </w:rPr>
              <w:t>计量</w:t>
            </w:r>
          </w:p>
          <w:p>
            <w:pPr>
              <w:jc w:val="center"/>
              <w:rPr>
                <w:rFonts w:hint="eastAsia" w:ascii="仿宋" w:hAnsi="仿宋" w:eastAsia="仿宋" w:cs="仿宋"/>
                <w:sz w:val="20"/>
                <w:szCs w:val="20"/>
                <w:highlight w:val="none"/>
                <w:vertAlign w:val="baseline"/>
                <w:lang w:val="en-US" w:eastAsia="zh-CN"/>
              </w:rPr>
            </w:pPr>
            <w:r>
              <w:rPr>
                <w:rFonts w:hint="eastAsia" w:ascii="仿宋" w:hAnsi="仿宋" w:eastAsia="仿宋" w:cs="仿宋"/>
                <w:sz w:val="20"/>
                <w:szCs w:val="20"/>
                <w:highlight w:val="none"/>
                <w:vertAlign w:val="baseline"/>
                <w:lang w:val="en-US" w:eastAsia="zh-CN"/>
              </w:rPr>
              <w:t>单位</w:t>
            </w:r>
          </w:p>
        </w:tc>
        <w:tc>
          <w:tcPr>
            <w:tcW w:w="977" w:type="dxa"/>
            <w:vAlign w:val="center"/>
          </w:tcPr>
          <w:p>
            <w:pPr>
              <w:jc w:val="center"/>
              <w:rPr>
                <w:rFonts w:hint="eastAsia" w:ascii="仿宋" w:hAnsi="仿宋" w:eastAsia="仿宋" w:cs="仿宋"/>
                <w:sz w:val="20"/>
                <w:szCs w:val="20"/>
                <w:highlight w:val="none"/>
                <w:vertAlign w:val="baseline"/>
                <w:lang w:val="en-US" w:eastAsia="zh-CN"/>
              </w:rPr>
            </w:pPr>
            <w:r>
              <w:rPr>
                <w:rFonts w:hint="eastAsia" w:ascii="仿宋" w:hAnsi="仿宋" w:eastAsia="仿宋" w:cs="仿宋"/>
                <w:sz w:val="20"/>
                <w:szCs w:val="20"/>
                <w:highlight w:val="none"/>
                <w:vertAlign w:val="baseline"/>
                <w:lang w:val="en-US" w:eastAsia="zh-CN"/>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8" w:hRule="atLeast"/>
        </w:trPr>
        <w:tc>
          <w:tcPr>
            <w:tcW w:w="857" w:type="dxa"/>
            <w:vMerge w:val="restart"/>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标项1</w:t>
            </w:r>
          </w:p>
        </w:tc>
        <w:tc>
          <w:tcPr>
            <w:tcW w:w="842" w:type="dxa"/>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2-1</w:t>
            </w:r>
          </w:p>
        </w:tc>
        <w:tc>
          <w:tcPr>
            <w:tcW w:w="1028" w:type="dxa"/>
            <w:gridSpan w:val="2"/>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纯电动车压缩式垃圾车</w:t>
            </w:r>
          </w:p>
        </w:tc>
        <w:tc>
          <w:tcPr>
            <w:tcW w:w="4128" w:type="dxa"/>
            <w:vAlign w:val="center"/>
          </w:tcPr>
          <w:p>
            <w:pPr>
              <w:keepNext w:val="0"/>
              <w:keepLines w:val="0"/>
              <w:widowControl/>
              <w:numPr>
                <w:ilvl w:val="0"/>
                <w:numId w:val="0"/>
              </w:numPr>
              <w:suppressLineNumbers w:val="0"/>
              <w:ind w:left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纯电动车压缩式垃圾车</w:t>
            </w:r>
            <w:r>
              <w:rPr>
                <w:rFonts w:hint="eastAsia" w:ascii="仿宋_GB2312" w:hAnsi="仿宋_GB2312" w:eastAsia="仿宋_GB2312" w:cs="仿宋_GB2312"/>
                <w:i w:val="0"/>
                <w:iCs w:val="0"/>
                <w:color w:val="000000"/>
                <w:kern w:val="0"/>
                <w:sz w:val="18"/>
                <w:szCs w:val="18"/>
                <w:highlight w:val="none"/>
                <w:u w:val="none"/>
                <w:lang w:val="en-US" w:eastAsia="zh-CN" w:bidi="ar"/>
              </w:rPr>
              <w:br w:type="textWrapping"/>
            </w:r>
            <w:r>
              <w:rPr>
                <w:rFonts w:hint="eastAsia" w:ascii="仿宋_GB2312" w:hAnsi="仿宋_GB2312" w:eastAsia="仿宋_GB2312" w:cs="仿宋_GB2312"/>
                <w:i w:val="0"/>
                <w:iCs w:val="0"/>
                <w:color w:val="000000"/>
                <w:kern w:val="0"/>
                <w:sz w:val="18"/>
                <w:szCs w:val="18"/>
                <w:highlight w:val="none"/>
                <w:u w:val="none"/>
                <w:lang w:val="en-US" w:eastAsia="zh-CN" w:bidi="ar"/>
              </w:rPr>
              <w:t>一、动力参数</w:t>
            </w:r>
          </w:p>
          <w:p>
            <w:pPr>
              <w:keepNext w:val="0"/>
              <w:keepLines w:val="0"/>
              <w:widowControl/>
              <w:numPr>
                <w:ilvl w:val="0"/>
                <w:numId w:val="13"/>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※发动机类型：  纯电动；</w:t>
            </w:r>
          </w:p>
          <w:p>
            <w:pPr>
              <w:keepNext w:val="0"/>
              <w:keepLines w:val="0"/>
              <w:widowControl/>
              <w:numPr>
                <w:ilvl w:val="0"/>
                <w:numId w:val="13"/>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※排放标准：  最新国六排放；</w:t>
            </w:r>
          </w:p>
          <w:p>
            <w:pPr>
              <w:keepNext w:val="0"/>
              <w:keepLines w:val="0"/>
              <w:widowControl/>
              <w:numPr>
                <w:ilvl w:val="0"/>
                <w:numId w:val="13"/>
              </w:numPr>
              <w:suppressLineNumbers w:val="0"/>
              <w:ind w:left="0" w:leftChars="0" w:firstLine="0" w:firstLineChars="0"/>
              <w:jc w:val="left"/>
              <w:textAlignment w:val="center"/>
              <w:rPr>
                <w:rFonts w:hint="eastAsia" w:ascii="仿宋_GB2312" w:hAnsi="仿宋_GB2312" w:eastAsia="仿宋_GB2312" w:cs="仿宋_GB2312"/>
                <w:i w:val="0"/>
                <w:iCs w:val="0"/>
                <w:color w:val="auto"/>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※电池容量</w:t>
            </w:r>
            <w:r>
              <w:rPr>
                <w:rFonts w:hint="eastAsia" w:ascii="仿宋_GB2312" w:hAnsi="仿宋_GB2312" w:eastAsia="仿宋_GB2312" w:cs="仿宋_GB2312"/>
                <w:i w:val="0"/>
                <w:iCs w:val="0"/>
                <w:color w:val="0000FF"/>
                <w:kern w:val="0"/>
                <w:sz w:val="18"/>
                <w:szCs w:val="18"/>
                <w:highlight w:val="none"/>
                <w:u w:val="none"/>
                <w:lang w:val="en-US" w:eastAsia="zh-CN" w:bidi="ar"/>
              </w:rPr>
              <w:t xml:space="preserve">： </w:t>
            </w:r>
            <w:r>
              <w:rPr>
                <w:rFonts w:hint="eastAsia" w:ascii="仿宋_GB2312" w:hAnsi="仿宋_GB2312" w:eastAsia="仿宋_GB2312" w:cs="仿宋_GB2312"/>
                <w:i w:val="0"/>
                <w:iCs w:val="0"/>
                <w:color w:val="auto"/>
                <w:kern w:val="0"/>
                <w:sz w:val="18"/>
                <w:szCs w:val="18"/>
                <w:highlight w:val="none"/>
                <w:u w:val="none"/>
                <w:lang w:val="en-US" w:eastAsia="zh-CN" w:bidi="ar"/>
              </w:rPr>
              <w:t xml:space="preserve"> ≥106度 ；</w:t>
            </w:r>
          </w:p>
          <w:p>
            <w:pPr>
              <w:keepNext w:val="0"/>
              <w:keepLines w:val="0"/>
              <w:widowControl/>
              <w:numPr>
                <w:ilvl w:val="0"/>
                <w:numId w:val="13"/>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auto"/>
                <w:kern w:val="0"/>
                <w:sz w:val="18"/>
                <w:szCs w:val="18"/>
                <w:highlight w:val="none"/>
                <w:u w:val="none"/>
                <w:lang w:val="en-US" w:eastAsia="zh-CN" w:bidi="ar"/>
              </w:rPr>
              <w:t>※发动机功率（kW）：  ≥135</w:t>
            </w:r>
            <w:r>
              <w:rPr>
                <w:rFonts w:hint="eastAsia" w:ascii="仿宋_GB2312" w:hAnsi="仿宋_GB2312" w:eastAsia="仿宋_GB2312" w:cs="仿宋_GB2312"/>
                <w:i w:val="0"/>
                <w:iCs w:val="0"/>
                <w:color w:val="000000"/>
                <w:kern w:val="0"/>
                <w:sz w:val="18"/>
                <w:szCs w:val="18"/>
                <w:highlight w:val="none"/>
                <w:u w:val="none"/>
                <w:lang w:val="en-US" w:eastAsia="zh-CN" w:bidi="ar"/>
              </w:rPr>
              <w:t>；</w:t>
            </w:r>
          </w:p>
          <w:p>
            <w:pPr>
              <w:keepNext w:val="0"/>
              <w:keepLines w:val="0"/>
              <w:widowControl/>
              <w:numPr>
                <w:ilvl w:val="0"/>
                <w:numId w:val="0"/>
              </w:numPr>
              <w:suppressLineNumbers w:val="0"/>
              <w:ind w:left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二、专用功能</w:t>
            </w:r>
          </w:p>
          <w:p>
            <w:pPr>
              <w:keepNext w:val="0"/>
              <w:keepLines w:val="0"/>
              <w:widowControl/>
              <w:numPr>
                <w:ilvl w:val="0"/>
                <w:numId w:val="13"/>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※箱体容积（m³）：  ≥6；</w:t>
            </w:r>
          </w:p>
          <w:p>
            <w:pPr>
              <w:keepNext w:val="0"/>
              <w:keepLines w:val="0"/>
              <w:widowControl/>
              <w:numPr>
                <w:ilvl w:val="0"/>
                <w:numId w:val="13"/>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污水箱容积（L）：  ≥370；</w:t>
            </w:r>
          </w:p>
          <w:p>
            <w:pPr>
              <w:keepNext w:val="0"/>
              <w:keepLines w:val="0"/>
              <w:widowControl/>
              <w:numPr>
                <w:ilvl w:val="0"/>
                <w:numId w:val="13"/>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尾部功能：  翻转架结构；</w:t>
            </w:r>
          </w:p>
          <w:p>
            <w:pPr>
              <w:keepNext w:val="0"/>
              <w:keepLines w:val="0"/>
              <w:widowControl/>
              <w:numPr>
                <w:ilvl w:val="0"/>
                <w:numId w:val="13"/>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控制方式：  CAN操作面板+无线遥控；</w:t>
            </w:r>
          </w:p>
          <w:p>
            <w:pPr>
              <w:keepNext w:val="0"/>
              <w:keepLines w:val="0"/>
              <w:widowControl/>
              <w:numPr>
                <w:ilvl w:val="0"/>
                <w:numId w:val="13"/>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上装电机功率：  ≥永磁同步15KW ；</w:t>
            </w:r>
          </w:p>
          <w:p>
            <w:pPr>
              <w:keepNext w:val="0"/>
              <w:keepLines w:val="0"/>
              <w:widowControl/>
              <w:numPr>
                <w:ilvl w:val="0"/>
                <w:numId w:val="13"/>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液压系统压力：  ≥18Mpa；</w:t>
            </w:r>
          </w:p>
          <w:p>
            <w:pPr>
              <w:keepNext w:val="0"/>
              <w:keepLines w:val="0"/>
              <w:widowControl/>
              <w:numPr>
                <w:ilvl w:val="0"/>
                <w:numId w:val="13"/>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该车型主要适用于收集660L和1100L铁质垃圾桶。</w:t>
            </w:r>
          </w:p>
          <w:p>
            <w:pPr>
              <w:keepNext w:val="0"/>
              <w:keepLines w:val="0"/>
              <w:widowControl/>
              <w:numPr>
                <w:ilvl w:val="0"/>
                <w:numId w:val="13"/>
              </w:numPr>
              <w:suppressLineNumbers w:val="0"/>
              <w:ind w:left="0" w:leftChars="0" w:firstLine="0" w:firstLineChars="0"/>
              <w:jc w:val="left"/>
              <w:textAlignment w:val="center"/>
              <w:rPr>
                <w:rFonts w:hint="default"/>
                <w:highlight w:val="none"/>
                <w:lang w:val="en-US" w:eastAsia="zh-CN"/>
              </w:rPr>
            </w:pPr>
            <w:r>
              <w:rPr>
                <w:rFonts w:hint="eastAsia" w:ascii="仿宋_GB2312" w:hAnsi="仿宋_GB2312" w:eastAsia="仿宋_GB2312" w:cs="仿宋_GB2312"/>
                <w:b w:val="0"/>
                <w:bCs w:val="0"/>
                <w:i w:val="0"/>
                <w:iCs w:val="0"/>
                <w:color w:val="000000"/>
                <w:kern w:val="0"/>
                <w:sz w:val="18"/>
                <w:szCs w:val="18"/>
                <w:highlight w:val="none"/>
                <w:u w:val="none"/>
                <w:lang w:val="en-US" w:eastAsia="zh-CN" w:bidi="ar"/>
              </w:rPr>
              <w:t>※提供车辆3C证书复印件加盖公章</w:t>
            </w:r>
          </w:p>
        </w:tc>
        <w:tc>
          <w:tcPr>
            <w:tcW w:w="690" w:type="dx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台</w:t>
            </w:r>
          </w:p>
        </w:tc>
        <w:tc>
          <w:tcPr>
            <w:tcW w:w="977" w:type="dxa"/>
            <w:vAlign w:val="center"/>
          </w:tcPr>
          <w:p>
            <w:pPr>
              <w:keepNext w:val="0"/>
              <w:keepLines w:val="0"/>
              <w:widowControl/>
              <w:suppressLineNumbers w:val="0"/>
              <w:jc w:val="righ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Merge w:val="continue"/>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p>
        </w:tc>
        <w:tc>
          <w:tcPr>
            <w:tcW w:w="842" w:type="dxa"/>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2-2</w:t>
            </w:r>
          </w:p>
        </w:tc>
        <w:tc>
          <w:tcPr>
            <w:tcW w:w="1028" w:type="dxa"/>
            <w:gridSpan w:val="2"/>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纯电动餐厨垃圾车</w:t>
            </w:r>
          </w:p>
        </w:tc>
        <w:tc>
          <w:tcPr>
            <w:tcW w:w="4128" w:type="dxa"/>
            <w:vAlign w:val="center"/>
          </w:tcPr>
          <w:p>
            <w:pPr>
              <w:keepNext w:val="0"/>
              <w:keepLines w:val="0"/>
              <w:widowControl/>
              <w:numPr>
                <w:ilvl w:val="0"/>
                <w:numId w:val="0"/>
              </w:numPr>
              <w:suppressLineNumbers w:val="0"/>
              <w:ind w:left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纯电动餐厨垃圾车</w:t>
            </w:r>
            <w:r>
              <w:rPr>
                <w:rFonts w:hint="eastAsia" w:ascii="仿宋_GB2312" w:hAnsi="仿宋_GB2312" w:eastAsia="仿宋_GB2312" w:cs="仿宋_GB2312"/>
                <w:i w:val="0"/>
                <w:iCs w:val="0"/>
                <w:color w:val="000000"/>
                <w:kern w:val="0"/>
                <w:sz w:val="18"/>
                <w:szCs w:val="18"/>
                <w:highlight w:val="none"/>
                <w:u w:val="none"/>
                <w:lang w:val="en-US" w:eastAsia="zh-CN" w:bidi="ar"/>
              </w:rPr>
              <w:br w:type="textWrapping"/>
            </w:r>
            <w:r>
              <w:rPr>
                <w:rFonts w:hint="eastAsia" w:ascii="仿宋_GB2312" w:hAnsi="仿宋_GB2312" w:eastAsia="仿宋_GB2312" w:cs="仿宋_GB2312"/>
                <w:i w:val="0"/>
                <w:iCs w:val="0"/>
                <w:color w:val="000000"/>
                <w:kern w:val="0"/>
                <w:sz w:val="18"/>
                <w:szCs w:val="18"/>
                <w:highlight w:val="none"/>
                <w:u w:val="none"/>
                <w:lang w:val="en-US" w:eastAsia="zh-CN" w:bidi="ar"/>
              </w:rPr>
              <w:t>一、动力参数</w:t>
            </w:r>
          </w:p>
          <w:p>
            <w:pPr>
              <w:keepNext w:val="0"/>
              <w:keepLines w:val="0"/>
              <w:widowControl/>
              <w:numPr>
                <w:ilvl w:val="0"/>
                <w:numId w:val="13"/>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※发动机类型：  纯电动</w:t>
            </w:r>
          </w:p>
          <w:p>
            <w:pPr>
              <w:keepNext w:val="0"/>
              <w:keepLines w:val="0"/>
              <w:widowControl/>
              <w:numPr>
                <w:ilvl w:val="0"/>
                <w:numId w:val="13"/>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※排放标准：  最新国六排放</w:t>
            </w:r>
          </w:p>
          <w:p>
            <w:pPr>
              <w:keepNext w:val="0"/>
              <w:keepLines w:val="0"/>
              <w:widowControl/>
              <w:numPr>
                <w:ilvl w:val="0"/>
                <w:numId w:val="13"/>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 xml:space="preserve">※电池容量：  ≥106度 </w:t>
            </w:r>
          </w:p>
          <w:p>
            <w:pPr>
              <w:keepNext w:val="0"/>
              <w:keepLines w:val="0"/>
              <w:widowControl/>
              <w:numPr>
                <w:ilvl w:val="0"/>
                <w:numId w:val="13"/>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※发动机功率（kW）：  ≥135</w:t>
            </w:r>
          </w:p>
          <w:p>
            <w:pPr>
              <w:keepNext w:val="0"/>
              <w:keepLines w:val="0"/>
              <w:widowControl/>
              <w:numPr>
                <w:ilvl w:val="0"/>
                <w:numId w:val="0"/>
              </w:numPr>
              <w:suppressLineNumbers w:val="0"/>
              <w:ind w:left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二、专用功能</w:t>
            </w:r>
          </w:p>
          <w:p>
            <w:pPr>
              <w:keepNext w:val="0"/>
              <w:keepLines w:val="0"/>
              <w:widowControl/>
              <w:numPr>
                <w:ilvl w:val="0"/>
                <w:numId w:val="13"/>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※箱体容积（m³）：  ≥7</w:t>
            </w:r>
          </w:p>
          <w:p>
            <w:pPr>
              <w:keepNext w:val="0"/>
              <w:keepLines w:val="0"/>
              <w:widowControl/>
              <w:numPr>
                <w:ilvl w:val="0"/>
                <w:numId w:val="13"/>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控制方式：  CAN操作面板+无线遥控</w:t>
            </w:r>
          </w:p>
          <w:p>
            <w:pPr>
              <w:keepNext w:val="0"/>
              <w:keepLines w:val="0"/>
              <w:widowControl/>
              <w:numPr>
                <w:ilvl w:val="0"/>
                <w:numId w:val="13"/>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 xml:space="preserve">上装电机功率：  ≥永磁同步20KW </w:t>
            </w:r>
          </w:p>
          <w:p>
            <w:pPr>
              <w:keepNext w:val="0"/>
              <w:keepLines w:val="0"/>
              <w:widowControl/>
              <w:numPr>
                <w:ilvl w:val="0"/>
                <w:numId w:val="13"/>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液压系统压力：  ≥16Mpa</w:t>
            </w:r>
          </w:p>
          <w:p>
            <w:pPr>
              <w:keepNext w:val="0"/>
              <w:keepLines w:val="0"/>
              <w:widowControl/>
              <w:numPr>
                <w:ilvl w:val="0"/>
                <w:numId w:val="13"/>
              </w:numPr>
              <w:suppressLineNumbers w:val="0"/>
              <w:ind w:left="0" w:leftChars="0" w:firstLine="0" w:firstLineChars="0"/>
              <w:jc w:val="left"/>
              <w:textAlignment w:val="center"/>
              <w:rPr>
                <w:rFonts w:hint="default"/>
                <w:highlight w:val="no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※用于提升240L垃圾桶。</w:t>
            </w:r>
          </w:p>
          <w:p>
            <w:pPr>
              <w:keepNext w:val="0"/>
              <w:keepLines w:val="0"/>
              <w:widowControl/>
              <w:numPr>
                <w:ilvl w:val="0"/>
                <w:numId w:val="13"/>
              </w:numPr>
              <w:suppressLineNumbers w:val="0"/>
              <w:ind w:left="0" w:leftChars="0" w:firstLine="0" w:firstLineChars="0"/>
              <w:jc w:val="left"/>
              <w:textAlignment w:val="center"/>
              <w:rPr>
                <w:rFonts w:hint="default"/>
                <w:highlight w:val="no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※提供车辆3C证书复印件加盖公章</w:t>
            </w:r>
          </w:p>
        </w:tc>
        <w:tc>
          <w:tcPr>
            <w:tcW w:w="690" w:type="dx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台</w:t>
            </w:r>
          </w:p>
        </w:tc>
        <w:tc>
          <w:tcPr>
            <w:tcW w:w="977" w:type="dxa"/>
            <w:vAlign w:val="center"/>
          </w:tcPr>
          <w:p>
            <w:pPr>
              <w:keepNext w:val="0"/>
              <w:keepLines w:val="0"/>
              <w:widowControl/>
              <w:suppressLineNumbers w:val="0"/>
              <w:jc w:val="righ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7" w:type="dxa"/>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标项1</w:t>
            </w:r>
          </w:p>
        </w:tc>
        <w:tc>
          <w:tcPr>
            <w:tcW w:w="842" w:type="dxa"/>
            <w:vAlign w:val="center"/>
          </w:tcPr>
          <w:p>
            <w:pPr>
              <w:keepNext w:val="0"/>
              <w:keepLines w:val="0"/>
              <w:widowControl/>
              <w:suppressLineNumbers w:val="0"/>
              <w:jc w:val="center"/>
              <w:textAlignment w:val="center"/>
              <w:rPr>
                <w:rFonts w:hint="default"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2-3</w:t>
            </w:r>
          </w:p>
        </w:tc>
        <w:tc>
          <w:tcPr>
            <w:tcW w:w="1028" w:type="dxa"/>
            <w:gridSpan w:val="2"/>
            <w:vAlign w:val="center"/>
          </w:tcPr>
          <w:p>
            <w:pPr>
              <w:keepNext w:val="0"/>
              <w:keepLines w:val="0"/>
              <w:widowControl/>
              <w:suppressLineNumbers w:val="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纯电动吸粪车（吸污车）</w:t>
            </w:r>
          </w:p>
        </w:tc>
        <w:tc>
          <w:tcPr>
            <w:tcW w:w="4128" w:type="dxa"/>
            <w:vAlign w:val="center"/>
          </w:tcPr>
          <w:p>
            <w:pPr>
              <w:keepNext w:val="0"/>
              <w:keepLines w:val="0"/>
              <w:widowControl/>
              <w:numPr>
                <w:ilvl w:val="0"/>
                <w:numId w:val="0"/>
              </w:numPr>
              <w:suppressLineNumbers w:val="0"/>
              <w:ind w:left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纯电动吸粪车</w:t>
            </w:r>
            <w:r>
              <w:rPr>
                <w:rFonts w:hint="eastAsia" w:ascii="仿宋_GB2312" w:hAnsi="仿宋_GB2312" w:eastAsia="仿宋_GB2312" w:cs="仿宋_GB2312"/>
                <w:i w:val="0"/>
                <w:iCs w:val="0"/>
                <w:color w:val="000000"/>
                <w:kern w:val="0"/>
                <w:sz w:val="18"/>
                <w:szCs w:val="18"/>
                <w:highlight w:val="none"/>
                <w:u w:val="none"/>
                <w:lang w:val="en-US" w:eastAsia="zh-CN" w:bidi="ar"/>
              </w:rPr>
              <w:br w:type="textWrapping"/>
            </w:r>
            <w:r>
              <w:rPr>
                <w:rFonts w:hint="eastAsia" w:ascii="仿宋_GB2312" w:hAnsi="仿宋_GB2312" w:eastAsia="仿宋_GB2312" w:cs="仿宋_GB2312"/>
                <w:i w:val="0"/>
                <w:iCs w:val="0"/>
                <w:color w:val="000000"/>
                <w:kern w:val="0"/>
                <w:sz w:val="18"/>
                <w:szCs w:val="18"/>
                <w:highlight w:val="none"/>
                <w:u w:val="none"/>
                <w:lang w:val="en-US" w:eastAsia="zh-CN" w:bidi="ar"/>
              </w:rPr>
              <w:t>一、动力参数</w:t>
            </w:r>
          </w:p>
          <w:p>
            <w:pPr>
              <w:keepNext w:val="0"/>
              <w:keepLines w:val="0"/>
              <w:widowControl/>
              <w:numPr>
                <w:ilvl w:val="0"/>
                <w:numId w:val="13"/>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※发动机类型：  纯电动</w:t>
            </w:r>
          </w:p>
          <w:p>
            <w:pPr>
              <w:keepNext w:val="0"/>
              <w:keepLines w:val="0"/>
              <w:widowControl/>
              <w:numPr>
                <w:ilvl w:val="0"/>
                <w:numId w:val="13"/>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※排放标准：  最新国六排放</w:t>
            </w:r>
          </w:p>
          <w:p>
            <w:pPr>
              <w:keepNext w:val="0"/>
              <w:keepLines w:val="0"/>
              <w:widowControl/>
              <w:numPr>
                <w:ilvl w:val="0"/>
                <w:numId w:val="13"/>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 xml:space="preserve">※电池容量：  ≥106度 </w:t>
            </w:r>
          </w:p>
          <w:p>
            <w:pPr>
              <w:keepNext w:val="0"/>
              <w:keepLines w:val="0"/>
              <w:widowControl/>
              <w:numPr>
                <w:ilvl w:val="0"/>
                <w:numId w:val="13"/>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※发动机功率（kW）:  ≥110</w:t>
            </w:r>
            <w:r>
              <w:rPr>
                <w:rFonts w:hint="eastAsia" w:ascii="仿宋_GB2312" w:hAnsi="仿宋_GB2312" w:eastAsia="仿宋_GB2312" w:cs="仿宋_GB2312"/>
                <w:i w:val="0"/>
                <w:iCs w:val="0"/>
                <w:color w:val="000000"/>
                <w:kern w:val="0"/>
                <w:sz w:val="18"/>
                <w:szCs w:val="18"/>
                <w:highlight w:val="none"/>
                <w:u w:val="none"/>
                <w:lang w:val="en-US" w:eastAsia="zh-CN" w:bidi="ar"/>
              </w:rPr>
              <w:br w:type="textWrapping"/>
            </w:r>
            <w:r>
              <w:rPr>
                <w:rFonts w:hint="eastAsia" w:ascii="仿宋_GB2312" w:hAnsi="仿宋_GB2312" w:eastAsia="仿宋_GB2312" w:cs="仿宋_GB2312"/>
                <w:i w:val="0"/>
                <w:iCs w:val="0"/>
                <w:color w:val="000000"/>
                <w:kern w:val="0"/>
                <w:sz w:val="18"/>
                <w:szCs w:val="18"/>
                <w:highlight w:val="none"/>
                <w:u w:val="none"/>
                <w:lang w:val="en-US" w:eastAsia="zh-CN" w:bidi="ar"/>
              </w:rPr>
              <w:t>二、专用功能</w:t>
            </w:r>
          </w:p>
          <w:p>
            <w:pPr>
              <w:keepNext w:val="0"/>
              <w:keepLines w:val="0"/>
              <w:widowControl/>
              <w:numPr>
                <w:ilvl w:val="0"/>
                <w:numId w:val="13"/>
              </w:numPr>
              <w:suppressLineNumbers w:val="0"/>
              <w:ind w:left="0" w:leftChars="0" w:firstLine="0" w:firstLineChars="0"/>
              <w:jc w:val="lef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※罐体容积（m³）:  ≥5</w:t>
            </w:r>
          </w:p>
          <w:p>
            <w:pPr>
              <w:keepNext w:val="0"/>
              <w:keepLines w:val="0"/>
              <w:widowControl/>
              <w:numPr>
                <w:ilvl w:val="0"/>
                <w:numId w:val="13"/>
              </w:numPr>
              <w:suppressLineNumbers w:val="0"/>
              <w:ind w:left="0" w:leftChars="0" w:firstLine="0" w:firstLineChars="0"/>
              <w:jc w:val="left"/>
              <w:textAlignment w:val="center"/>
              <w:rPr>
                <w:rFonts w:hint="default"/>
                <w:highlight w:val="no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罐体厚度（mm）:  ≥5</w:t>
            </w:r>
          </w:p>
          <w:p>
            <w:pPr>
              <w:keepNext w:val="0"/>
              <w:keepLines w:val="0"/>
              <w:widowControl/>
              <w:numPr>
                <w:ilvl w:val="0"/>
                <w:numId w:val="13"/>
              </w:numPr>
              <w:suppressLineNumbers w:val="0"/>
              <w:ind w:left="0" w:leftChars="0" w:firstLine="0" w:firstLineChars="0"/>
              <w:jc w:val="left"/>
              <w:textAlignment w:val="center"/>
              <w:rPr>
                <w:rFonts w:hint="default"/>
                <w:highlight w:val="none"/>
                <w:lang w:val="en-US" w:eastAsia="zh-CN"/>
              </w:rPr>
            </w:pPr>
            <w:r>
              <w:rPr>
                <w:rFonts w:hint="eastAsia" w:ascii="仿宋_GB2312" w:hAnsi="仿宋_GB2312" w:eastAsia="仿宋_GB2312" w:cs="仿宋_GB2312"/>
                <w:i w:val="0"/>
                <w:iCs w:val="0"/>
                <w:color w:val="000000"/>
                <w:kern w:val="0"/>
                <w:sz w:val="18"/>
                <w:szCs w:val="18"/>
                <w:highlight w:val="none"/>
                <w:u w:val="none"/>
                <w:lang w:val="en-US" w:eastAsia="zh-CN" w:bidi="ar"/>
              </w:rPr>
              <w:t>※提供车辆3C证书复印件加盖公章</w:t>
            </w:r>
          </w:p>
        </w:tc>
        <w:tc>
          <w:tcPr>
            <w:tcW w:w="690" w:type="dxa"/>
            <w:vAlign w:val="center"/>
          </w:tcPr>
          <w:p>
            <w:pPr>
              <w:keepNext w:val="0"/>
              <w:keepLines w:val="0"/>
              <w:widowControl/>
              <w:suppressLineNumbers w:val="0"/>
              <w:jc w:val="center"/>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台</w:t>
            </w:r>
          </w:p>
        </w:tc>
        <w:tc>
          <w:tcPr>
            <w:tcW w:w="977" w:type="dxa"/>
            <w:vAlign w:val="center"/>
          </w:tcPr>
          <w:p>
            <w:pPr>
              <w:keepNext w:val="0"/>
              <w:keepLines w:val="0"/>
              <w:widowControl/>
              <w:suppressLineNumbers w:val="0"/>
              <w:jc w:val="right"/>
              <w:textAlignment w:val="center"/>
              <w:rPr>
                <w:rFonts w:hint="eastAsia" w:ascii="仿宋_GB2312" w:hAnsi="仿宋_GB2312" w:eastAsia="仿宋_GB2312" w:cs="仿宋_GB2312"/>
                <w:i w:val="0"/>
                <w:iCs w:val="0"/>
                <w:color w:val="000000"/>
                <w:kern w:val="0"/>
                <w:sz w:val="18"/>
                <w:szCs w:val="18"/>
                <w:highlight w:val="none"/>
                <w:u w:val="none"/>
                <w:lang w:val="en-US" w:eastAsia="zh-CN" w:bidi="ar"/>
              </w:rPr>
            </w:pPr>
            <w:r>
              <w:rPr>
                <w:rFonts w:hint="eastAsia" w:ascii="仿宋_GB2312" w:hAnsi="仿宋_GB2312" w:eastAsia="仿宋_GB2312" w:cs="仿宋_GB2312"/>
                <w:i w:val="0"/>
                <w:iCs w:val="0"/>
                <w:color w:val="000000"/>
                <w:kern w:val="0"/>
                <w:sz w:val="18"/>
                <w:szCs w:val="18"/>
                <w:highlight w:val="none"/>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0" w:hRule="atLeast"/>
        </w:trPr>
        <w:tc>
          <w:tcPr>
            <w:tcW w:w="8522" w:type="dxa"/>
            <w:gridSpan w:val="7"/>
            <w:vAlign w:val="center"/>
          </w:tcPr>
          <w:p>
            <w:pPr>
              <w:keepNext w:val="0"/>
              <w:keepLines w:val="0"/>
              <w:widowControl/>
              <w:suppressLineNumbers w:val="0"/>
              <w:tabs>
                <w:tab w:val="left" w:pos="1329"/>
              </w:tabs>
              <w:jc w:val="left"/>
              <w:textAlignment w:val="center"/>
              <w:rPr>
                <w:rFonts w:hint="eastAsia" w:ascii="仿宋" w:hAnsi="仿宋" w:eastAsia="仿宋" w:cs="仿宋"/>
                <w:i w:val="0"/>
                <w:iCs w:val="0"/>
                <w:color w:val="000000"/>
                <w:kern w:val="0"/>
                <w:sz w:val="20"/>
                <w:szCs w:val="20"/>
                <w:highlight w:val="none"/>
                <w:u w:val="none"/>
                <w:lang w:val="en-US" w:eastAsia="zh-CN" w:bidi="ar"/>
              </w:rPr>
            </w:pPr>
            <w:r>
              <w:rPr>
                <w:rFonts w:hint="eastAsia" w:ascii="仿宋" w:hAnsi="仿宋" w:eastAsia="仿宋" w:cs="仿宋"/>
                <w:i w:val="0"/>
                <w:iCs w:val="0"/>
                <w:color w:val="000000"/>
                <w:kern w:val="0"/>
                <w:sz w:val="20"/>
                <w:szCs w:val="20"/>
                <w:highlight w:val="none"/>
                <w:u w:val="none"/>
                <w:lang w:val="en-US" w:eastAsia="zh-CN" w:bidi="ar"/>
              </w:rPr>
              <w:t>其他技术要求：</w:t>
            </w:r>
          </w:p>
          <w:p>
            <w:pPr>
              <w:pStyle w:val="15"/>
              <w:ind w:left="0" w:leftChars="0" w:firstLine="0" w:firstLineChars="0"/>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1、纯电动车压缩式垃圾车、纯电动餐厨垃圾车、纯电动吸粪车电池组能够满足本次招标车辆充电要求，同时为提升充电安全性与充电桩使用的通用性、兼容性，车辆充电系统应满足 GB/T18487.1-2015，充电接口满足 GB/T20234.3-2015，通讯协议满足 GB/T27930-2015，能够满足招标方新能源车辆充电需求。</w:t>
            </w:r>
          </w:p>
          <w:p>
            <w:pPr>
              <w:pStyle w:val="15"/>
              <w:ind w:left="0" w:leftChars="0" w:firstLine="0" w:firstLineChars="0"/>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2、纯电动车压缩式垃圾车、纯电动餐厨垃圾车、纯电动吸粪车电池满足《GB/T 31485-2015 电动汽车用动力蓄电池安全要求及试验方法》。电池系统内所有零部件均使用阻燃材料。</w:t>
            </w:r>
          </w:p>
          <w:p>
            <w:pPr>
              <w:pStyle w:val="15"/>
              <w:ind w:left="0" w:leftChars="0" w:firstLine="0" w:firstLineChars="0"/>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※3、纯电动车压缩式垃圾车、纯电动餐厨垃圾车、纯电动吸粪车为强化垃圾渗滤液对车辆所配电池的耐腐蚀性，增强电池防撞击的能力，车辆所配备电池外壳应加厚、加固，经得起日常作业中的抗撞击能力。</w:t>
            </w:r>
          </w:p>
          <w:p>
            <w:pPr>
              <w:pStyle w:val="15"/>
              <w:ind w:left="0" w:leftChars="0" w:firstLine="0" w:firstLineChars="0"/>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※4、纯电动车压缩式垃圾车、纯电动餐厨垃圾车、纯电动吸粪车等可按采购人要求进行喷涂外装。</w:t>
            </w:r>
          </w:p>
          <w:p>
            <w:pP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※5、编制响应文件时，投标人应详细列出纯电动车压缩式垃圾车、纯电动餐厨垃圾车、纯电动吸粪车的品牌、型号、配置参数及所投产品的技术支持资料，不得复制招标文件中的技术参数，否自视为无效投标。</w:t>
            </w:r>
          </w:p>
          <w:p>
            <w:pPr>
              <w:pStyle w:val="15"/>
              <w:ind w:left="0" w:leftChars="0" w:firstLine="0" w:firstLineChars="0"/>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6、纯电动车压缩式垃圾车、纯电动餐厨垃圾车、纯电动吸粪车的制造商须为工业和信息化部许可的道路机动车辆准入生产企业；所投纯电动车压缩式垃圾车、纯电动餐厨垃圾车、纯电动吸粪车须具有工业和信息化部道路机动车辆产品准入许可。开标后由采购人或采购代理机构通过工业和信息化部政务服务平台（https://ythzxfw.miit.gov.cn/）进行查询，未查询到车辆制造商准入许可或道路机动车辆产品准入许可的，将按无效投标处理。</w:t>
            </w:r>
          </w:p>
          <w:p>
            <w:pP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※7、投标人为本项目提供的货物或工程或服务必须符合国家法律规定和有关技术标准、规范。</w:t>
            </w:r>
          </w:p>
          <w:p>
            <w:pP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8、投标人负责纯电动车压缩式垃圾车、纯电动餐厨垃圾车、纯电动吸粪车的验车牌照（采购人本地牌照）办理等相关手续,要求中标的生产厂家或供应商对提供的作业车辆交纳首年的保险，所有费用包含在投标报价中。保险种类包括：交强险、车辆损失保险、车辆第三者责任保险（保额为 200 万元）、不计免赔险、车上人员责任险。在采购人指定的保险公司缴纳保险（提供相对应的承诺书）。</w:t>
            </w:r>
          </w:p>
          <w:p>
            <w:pPr>
              <w:rPr>
                <w:rFonts w:hint="eastAsia" w:ascii="仿宋" w:hAnsi="仿宋" w:eastAsia="仿宋" w:cs="仿宋"/>
                <w:sz w:val="20"/>
                <w:szCs w:val="20"/>
                <w:highlight w:val="none"/>
                <w:lang w:val="en-US" w:eastAsia="zh-CN"/>
              </w:rPr>
            </w:pPr>
            <w:r>
              <w:rPr>
                <w:rFonts w:hint="eastAsia" w:ascii="仿宋" w:hAnsi="仿宋" w:eastAsia="仿宋" w:cs="仿宋"/>
                <w:sz w:val="20"/>
                <w:szCs w:val="20"/>
                <w:highlight w:val="none"/>
                <w:lang w:val="en-US" w:eastAsia="zh-CN"/>
              </w:rPr>
              <w:t>※9、中标方提供纯电动车压缩式垃圾车、纯电动餐厨垃圾车、纯电动吸粪车底盘和改装部分的使用、维修、保养等方面的全部技术资料，按出厂标准提供随车工具、灭火器、合格证、保养和使用手册等。</w:t>
            </w:r>
          </w:p>
          <w:p>
            <w:pPr>
              <w:rPr>
                <w:rFonts w:hint="default"/>
                <w:highlight w:val="none"/>
                <w:lang w:val="en-US" w:eastAsia="zh-CN"/>
              </w:rPr>
            </w:pPr>
            <w:r>
              <w:rPr>
                <w:rFonts w:hint="eastAsia" w:ascii="仿宋" w:hAnsi="仿宋" w:eastAsia="仿宋" w:cs="仿宋"/>
                <w:sz w:val="20"/>
                <w:szCs w:val="20"/>
                <w:highlight w:val="none"/>
                <w:lang w:val="en-US" w:eastAsia="zh-CN"/>
              </w:rPr>
              <w:t>※10、中标方提供的电动车辆充电设备设施，配备通用或兼容的充电桩、总控箱、电缆等及其他电线，负责施工、安装等。中标方的中标金额含以上设备设施及施工安装等所有费用。（提供相对应的承诺书）</w:t>
            </w:r>
          </w:p>
        </w:tc>
      </w:tr>
    </w:tbl>
    <w:p>
      <w:pPr>
        <w:rPr>
          <w:rFonts w:hint="eastAsia"/>
          <w:lang w:val="en-US" w:eastAsia="zh-CN"/>
        </w:rPr>
      </w:pPr>
    </w:p>
    <w:p>
      <w:pPr>
        <w:numPr>
          <w:ilvl w:val="0"/>
          <w:numId w:val="0"/>
        </w:numPr>
        <w:ind w:leftChars="0"/>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二、商务要求</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eastAsia" w:ascii="仿宋" w:hAnsi="仿宋" w:eastAsia="仿宋" w:cs="仿宋"/>
          <w:b/>
          <w:bCs/>
          <w:lang w:val="en-US" w:eastAsia="zh-CN"/>
        </w:rPr>
      </w:pPr>
      <w:r>
        <w:rPr>
          <w:rFonts w:hint="eastAsia" w:ascii="仿宋" w:hAnsi="仿宋" w:eastAsia="仿宋" w:cs="仿宋"/>
          <w:b/>
          <w:bCs/>
          <w:lang w:val="en-US" w:eastAsia="zh-CN"/>
        </w:rPr>
        <w:t>1、※交货期限、交货地点及验收方式</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eastAsia" w:ascii="仿宋" w:hAnsi="仿宋" w:eastAsia="仿宋" w:cs="仿宋"/>
          <w:lang w:val="en-US" w:eastAsia="zh-CN"/>
        </w:rPr>
      </w:pPr>
      <w:r>
        <w:rPr>
          <w:rFonts w:hint="eastAsia" w:ascii="仿宋" w:hAnsi="仿宋" w:eastAsia="仿宋" w:cs="仿宋"/>
          <w:lang w:val="en-US" w:eastAsia="zh-CN"/>
        </w:rPr>
        <w:t>1.1交货期限：合同签订后180天内项目验收交付；</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eastAsia" w:ascii="仿宋" w:hAnsi="仿宋" w:eastAsia="仿宋" w:cs="仿宋"/>
          <w:lang w:val="en-US" w:eastAsia="zh-CN"/>
        </w:rPr>
      </w:pPr>
      <w:r>
        <w:rPr>
          <w:rFonts w:hint="eastAsia" w:ascii="仿宋" w:hAnsi="仿宋" w:eastAsia="仿宋" w:cs="仿宋"/>
          <w:lang w:val="en-US" w:eastAsia="zh-CN"/>
        </w:rPr>
        <w:t>1.2交货地点：阿瓦提县采购人指定地点</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eastAsia" w:ascii="仿宋" w:hAnsi="仿宋" w:eastAsia="仿宋" w:cs="仿宋"/>
          <w:lang w:val="en-US" w:eastAsia="zh-CN"/>
        </w:rPr>
      </w:pPr>
      <w:r>
        <w:rPr>
          <w:rFonts w:hint="eastAsia" w:ascii="仿宋" w:hAnsi="仿宋" w:eastAsia="仿宋" w:cs="仿宋"/>
          <w:lang w:val="en-US" w:eastAsia="zh-CN"/>
        </w:rPr>
        <w:t>1.3验收方式：验收时，将按照合同、招投标文件和国家相关规范标准，对约定品牌、规格、型号等进行验收。</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eastAsia" w:ascii="仿宋" w:hAnsi="仿宋" w:eastAsia="仿宋" w:cs="仿宋"/>
          <w:b/>
          <w:bCs/>
          <w:lang w:val="en-US" w:eastAsia="zh-CN"/>
        </w:rPr>
      </w:pPr>
      <w:r>
        <w:rPr>
          <w:rFonts w:hint="eastAsia" w:ascii="仿宋" w:hAnsi="仿宋" w:eastAsia="仿宋" w:cs="仿宋"/>
          <w:b/>
          <w:bCs/>
          <w:lang w:val="en-US" w:eastAsia="zh-CN"/>
        </w:rPr>
        <w:t>2、※报价要求</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eastAsia" w:ascii="仿宋" w:hAnsi="仿宋" w:eastAsia="仿宋" w:cs="仿宋"/>
          <w:lang w:val="en-US" w:eastAsia="zh-CN"/>
        </w:rPr>
      </w:pPr>
      <w:r>
        <w:rPr>
          <w:rFonts w:hint="eastAsia" w:ascii="仿宋" w:hAnsi="仿宋" w:eastAsia="仿宋" w:cs="仿宋"/>
          <w:lang w:val="en-US" w:eastAsia="zh-CN"/>
        </w:rPr>
        <w:t>包含产品价格、运输、装卸、安装、售后服务、保险、搬运费、税金等完成本项目的一切费用。本次报价采用固定总价的报价方式。投标人按以上采购需求进行报价，投标人需对采购需求清单内的所有品目进行报价，漏报或未报或无效报价（以评标专家组认定为准）视为无效投标。投标人报价时应充分考虑合同期内的一切可能产生的费用。在项目实施过程中，单价不予调整。</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eastAsia" w:ascii="仿宋" w:hAnsi="仿宋" w:eastAsia="仿宋" w:cs="仿宋"/>
          <w:b/>
          <w:bCs/>
          <w:lang w:val="en-US" w:eastAsia="zh-CN"/>
        </w:rPr>
      </w:pPr>
      <w:r>
        <w:rPr>
          <w:rFonts w:hint="eastAsia" w:ascii="仿宋" w:hAnsi="仿宋" w:eastAsia="仿宋" w:cs="仿宋"/>
          <w:b/>
          <w:bCs/>
          <w:lang w:val="en-US" w:eastAsia="zh-CN"/>
        </w:rPr>
        <w:t>3、※付款方式</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eastAsia" w:ascii="仿宋" w:hAnsi="仿宋" w:eastAsia="仿宋" w:cs="仿宋"/>
          <w:lang w:val="en-US" w:eastAsia="zh-CN"/>
        </w:rPr>
      </w:pPr>
      <w:r>
        <w:rPr>
          <w:rFonts w:hint="eastAsia" w:ascii="仿宋" w:hAnsi="仿宋" w:eastAsia="仿宋" w:cs="仿宋"/>
          <w:b/>
          <w:bCs/>
          <w:lang w:val="en-US" w:eastAsia="zh-CN"/>
        </w:rPr>
        <w:t>※</w:t>
      </w:r>
      <w:r>
        <w:rPr>
          <w:rFonts w:hint="eastAsia" w:ascii="仿宋" w:hAnsi="仿宋" w:eastAsia="仿宋" w:cs="仿宋"/>
          <w:lang w:val="en-US" w:eastAsia="zh-CN"/>
        </w:rPr>
        <w:t>1、标项1：合同签订收到经甲方确认的发票后10个工作日内付合同金额30%的预付款，产品到场开始安装收到经甲方确认的发票后10个工作日内付合同金额30%的进度款，验收合格后提供经甲乙双方确认签署的《验收报告》及经甲方确认的发票后10个工作日内付到合同金额100%。</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eastAsia" w:ascii="仿宋" w:hAnsi="仿宋" w:eastAsia="仿宋" w:cs="仿宋"/>
          <w:b/>
          <w:bCs/>
          <w:lang w:val="en-US" w:eastAsia="zh-CN"/>
        </w:rPr>
      </w:pPr>
      <w:r>
        <w:rPr>
          <w:rFonts w:hint="eastAsia" w:ascii="仿宋" w:hAnsi="仿宋" w:eastAsia="仿宋" w:cs="仿宋"/>
          <w:b/>
          <w:bCs/>
          <w:lang w:val="en-US" w:eastAsia="zh-CN"/>
        </w:rPr>
        <w:t>4、质保期</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eastAsia" w:ascii="仿宋" w:hAnsi="仿宋" w:eastAsia="仿宋" w:cs="仿宋"/>
          <w:lang w:val="en-US" w:eastAsia="zh-CN"/>
        </w:rPr>
      </w:pPr>
      <w:r>
        <w:rPr>
          <w:rFonts w:hint="eastAsia" w:ascii="仿宋" w:hAnsi="仿宋" w:eastAsia="仿宋" w:cs="仿宋"/>
          <w:b/>
          <w:bCs/>
          <w:lang w:val="en-US" w:eastAsia="zh-CN"/>
        </w:rPr>
        <w:t>※</w:t>
      </w:r>
      <w:r>
        <w:rPr>
          <w:rFonts w:hint="eastAsia" w:ascii="仿宋" w:hAnsi="仿宋" w:eastAsia="仿宋" w:cs="仿宋"/>
          <w:lang w:val="en-US" w:eastAsia="zh-CN"/>
        </w:rPr>
        <w:t>1、纯电动车压缩式垃圾车、纯电动餐厨垃圾车、纯电动吸粪车符合国家规范要求“三包”（修理、更换、退货），整车质保期不少于 1 年，电池组质保期为 8年，质保期内如出现非人为造成的质量问题，须在规定时间内免费维修、保养、更换配件。投标人应提供质保承诺函，质保期从车辆验收合格移交采购人之日起开始计算。质保期内定期对车辆进行巡检，对采购人使用过程中遇到的问题进行处理。有充足的备品备件保证，能及时保障车辆在使用过程的维修或材料更换。（须提供质保承诺函）</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eastAsia" w:ascii="仿宋" w:hAnsi="仿宋" w:eastAsia="仿宋" w:cs="仿宋"/>
          <w:lang w:val="en-US" w:eastAsia="zh-CN"/>
        </w:rPr>
      </w:pPr>
      <w:r>
        <w:rPr>
          <w:rFonts w:hint="eastAsia" w:ascii="仿宋" w:hAnsi="仿宋" w:eastAsia="仿宋" w:cs="仿宋"/>
          <w:b/>
          <w:bCs/>
          <w:lang w:val="en-US" w:eastAsia="zh-CN"/>
        </w:rPr>
        <w:t>※</w:t>
      </w:r>
      <w:r>
        <w:rPr>
          <w:rFonts w:hint="eastAsia" w:ascii="仿宋" w:hAnsi="仿宋" w:eastAsia="仿宋" w:cs="仿宋"/>
          <w:lang w:val="en-US" w:eastAsia="zh-CN"/>
        </w:rPr>
        <w:t>2、货物或工程质保期不少于2年，自货物或工程验收合格之日起计算。货物或工程在保修范围和质保期限内发生质量问题的，投标人应当履行保修义务，对任何因安装工艺、材料和产品质量而造成的设备或部件的损坏，由中标人提供无偿的更换和维修，并对造成的损失承担赔偿责任。（须提供质保承诺函）</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eastAsia" w:ascii="仿宋" w:hAnsi="仿宋" w:eastAsia="仿宋" w:cs="仿宋"/>
          <w:b/>
          <w:bCs/>
          <w:lang w:val="en-US" w:eastAsia="zh-CN"/>
        </w:rPr>
      </w:pPr>
      <w:r>
        <w:rPr>
          <w:rFonts w:hint="eastAsia" w:ascii="仿宋" w:hAnsi="仿宋" w:eastAsia="仿宋" w:cs="仿宋"/>
          <w:b/>
          <w:bCs/>
          <w:lang w:val="en-US" w:eastAsia="zh-CN"/>
        </w:rPr>
        <w:t>5、售后服务要求</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eastAsia" w:ascii="仿宋" w:hAnsi="仿宋" w:eastAsia="仿宋" w:cs="仿宋"/>
          <w:lang w:val="en-US" w:eastAsia="zh-CN"/>
        </w:rPr>
      </w:pPr>
      <w:r>
        <w:rPr>
          <w:rFonts w:hint="eastAsia" w:ascii="仿宋" w:hAnsi="仿宋" w:eastAsia="仿宋" w:cs="仿宋"/>
          <w:lang w:val="en-US" w:eastAsia="zh-CN"/>
        </w:rPr>
        <w:t>1、免费送货上门，免费提供相关技术指导、维护及培训服务。</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eastAsia" w:ascii="仿宋" w:hAnsi="仿宋" w:eastAsia="仿宋" w:cs="仿宋"/>
          <w:lang w:val="en-US" w:eastAsia="zh-CN"/>
        </w:rPr>
      </w:pPr>
      <w:r>
        <w:rPr>
          <w:rFonts w:hint="eastAsia" w:ascii="仿宋" w:hAnsi="仿宋" w:eastAsia="仿宋" w:cs="仿宋"/>
          <w:lang w:val="en-US" w:eastAsia="zh-CN"/>
        </w:rPr>
        <w:t>2、如遇政策调整，投标人应及时通知采购人并做出调整，确保车辆符合现行标准并交付采购人使用。</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eastAsia" w:ascii="仿宋" w:hAnsi="仿宋" w:eastAsia="仿宋" w:cs="仿宋"/>
          <w:lang w:val="en-US" w:eastAsia="zh-CN"/>
        </w:rPr>
      </w:pPr>
      <w:r>
        <w:rPr>
          <w:rFonts w:hint="eastAsia" w:ascii="仿宋" w:hAnsi="仿宋" w:eastAsia="仿宋" w:cs="仿宋"/>
          <w:lang w:val="en-US" w:eastAsia="zh-CN"/>
        </w:rPr>
        <w:t>3、培训要求：培训是指涉及产品基本原理、安装、调试、操作使用和保养维修等有关内容的学习。投标人应保证在采购人指定交货地点对每包（品目）最终用户设备操作人员提供不少于 1 天的免费培训。投标人投标时应提供详细的培训方案。培训教员的差旅费、食宿费、培训教材等费用，应计入投标报价。（以各包技术规格中要求为准，如技术规格中无要求，则以本款要求为准。）</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eastAsia" w:ascii="仿宋" w:hAnsi="仿宋" w:eastAsia="仿宋" w:cs="仿宋"/>
          <w:lang w:val="en-US" w:eastAsia="zh-CN"/>
        </w:rPr>
      </w:pPr>
      <w:r>
        <w:rPr>
          <w:rFonts w:hint="eastAsia" w:ascii="仿宋" w:hAnsi="仿宋" w:eastAsia="仿宋" w:cs="仿宋"/>
          <w:lang w:val="en-US" w:eastAsia="zh-CN"/>
        </w:rPr>
        <w:t>4、投标人需向采购人提供车辆行驶参数、能源消耗等或提供行车电脑后台端口。</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eastAsia" w:ascii="仿宋" w:hAnsi="仿宋" w:eastAsia="仿宋" w:cs="仿宋"/>
          <w:lang w:val="en-US" w:eastAsia="zh-CN"/>
        </w:rPr>
      </w:pPr>
      <w:r>
        <w:rPr>
          <w:rFonts w:hint="eastAsia" w:ascii="仿宋" w:hAnsi="仿宋" w:eastAsia="仿宋" w:cs="仿宋"/>
          <w:lang w:val="en-US" w:eastAsia="zh-CN"/>
        </w:rPr>
        <w:t>5、维修响应时间：质量保证期内，投标人接到维修通知后，2小时响应，接到故障电话12小时内到达现场，一般故障 2 天内维修完毕；提供7*24小时热线电话，节假日照常上班；如果2天内不能修复，提供同等档次备用设备。如果中标方在收到通知后15个工作日内没有弥补缺陷，甲方可采取必要的补救措施，但风险和费用将由中标方承担。质保期满后应协助甲方维修及配件供应。</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eastAsia" w:ascii="仿宋" w:hAnsi="仿宋" w:eastAsia="仿宋" w:cs="仿宋"/>
          <w:b/>
          <w:bCs/>
          <w:lang w:val="en-US" w:eastAsia="zh-CN"/>
        </w:rPr>
      </w:pPr>
      <w:r>
        <w:rPr>
          <w:rFonts w:hint="eastAsia" w:ascii="仿宋" w:hAnsi="仿宋" w:eastAsia="仿宋" w:cs="仿宋"/>
          <w:b/>
          <w:bCs/>
          <w:lang w:val="en-US" w:eastAsia="zh-CN"/>
        </w:rPr>
        <w:t>6、验收</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eastAsia" w:ascii="仿宋" w:hAnsi="仿宋" w:eastAsia="仿宋" w:cs="仿宋"/>
          <w:lang w:val="en-US" w:eastAsia="zh-CN"/>
        </w:rPr>
      </w:pPr>
      <w:r>
        <w:rPr>
          <w:rFonts w:hint="eastAsia" w:ascii="仿宋" w:hAnsi="仿宋" w:eastAsia="仿宋" w:cs="仿宋"/>
          <w:lang w:val="en-US" w:eastAsia="zh-CN"/>
        </w:rPr>
        <w:t>1、采购人将组织验收小组，依据招标文件、投标文件、采购合同和国家相关规范标准对投标人所提供货物、工程和服务进行验收。</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eastAsia" w:ascii="仿宋" w:hAnsi="仿宋" w:eastAsia="仿宋" w:cs="仿宋"/>
          <w:lang w:val="en-US" w:eastAsia="zh-CN"/>
        </w:rPr>
      </w:pPr>
      <w:r>
        <w:rPr>
          <w:rFonts w:hint="eastAsia" w:ascii="仿宋" w:hAnsi="仿宋" w:eastAsia="仿宋" w:cs="仿宋"/>
          <w:lang w:val="en-US" w:eastAsia="zh-CN"/>
        </w:rPr>
        <w:t xml:space="preserve">2、投标人应保证在发货前对货物的质量、规格、性能、数量和重量等进行准确而全面的检验，并出具一份证明货物符合合同规定的证书。该证书将作为提交付 款单据的一部分，但有关质量、规格、性能、数量或重要的检验不应视为最终检 验。投标人检验的结果和详细要求应在质量证书中加以说明。 </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leftChars="0"/>
        <w:textAlignment w:val="auto"/>
        <w:rPr>
          <w:rFonts w:hint="eastAsia"/>
          <w:lang w:val="en-US" w:eastAsia="zh-CN"/>
        </w:rPr>
      </w:pPr>
      <w:r>
        <w:rPr>
          <w:rFonts w:hint="eastAsia" w:ascii="仿宋" w:hAnsi="仿宋" w:eastAsia="仿宋" w:cs="仿宋"/>
          <w:lang w:val="en-US" w:eastAsia="zh-CN"/>
        </w:rPr>
        <w:t xml:space="preserve">3、货物运抵采购项目（标的）交付的地点后，采购人将组织验收，由采购人组织验收小组，对货物的数量、外观、包装、质量、安全、功能及性能等进行验收， 项目验收依据为采购合同、招标文件和投标文件。验收小组将根据验收情况制作 验收备忘录并签署验收意见。 </w:t>
      </w:r>
      <w:r>
        <w:rPr>
          <w:rFonts w:hint="eastAsia" w:ascii="仿宋" w:hAnsi="仿宋" w:eastAsia="仿宋" w:cs="仿宋"/>
          <w:lang w:val="en-US" w:eastAsia="zh-CN"/>
        </w:rPr>
        <w:br w:type="page"/>
      </w:r>
    </w:p>
    <w:p>
      <w:pPr>
        <w:pStyle w:val="26"/>
        <w:rPr>
          <w:rFonts w:hint="eastAsia"/>
          <w:lang w:val="en-US" w:eastAsia="zh-CN"/>
        </w:rPr>
      </w:pPr>
    </w:p>
    <w:p>
      <w:pPr>
        <w:pStyle w:val="11"/>
        <w:numPr>
          <w:ilvl w:val="0"/>
          <w:numId w:val="1"/>
        </w:numPr>
        <w:bidi w:val="0"/>
        <w:jc w:val="center"/>
        <w:rPr>
          <w:rFonts w:hint="eastAsia" w:ascii="仿宋" w:hAnsi="仿宋" w:eastAsia="仿宋" w:cs="仿宋"/>
          <w:sz w:val="32"/>
          <w:szCs w:val="32"/>
          <w:lang w:val="en-US" w:eastAsia="zh-CN"/>
        </w:rPr>
      </w:pPr>
      <w:bookmarkStart w:id="20" w:name="_Toc21893"/>
      <w:r>
        <w:rPr>
          <w:rFonts w:hint="eastAsia" w:ascii="仿宋" w:hAnsi="仿宋" w:eastAsia="仿宋" w:cs="仿宋"/>
          <w:sz w:val="32"/>
          <w:szCs w:val="32"/>
          <w:lang w:val="en-US" w:eastAsia="zh-CN"/>
        </w:rPr>
        <w:t>评标程序、评标方法和评标标准</w:t>
      </w:r>
      <w:bookmarkEnd w:id="20"/>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p>
    <w:p>
      <w:pPr>
        <w:keepNext w:val="0"/>
        <w:keepLines w:val="0"/>
        <w:pageBreakBefore w:val="0"/>
        <w:widowControl w:val="0"/>
        <w:numPr>
          <w:ilvl w:val="0"/>
          <w:numId w:val="14"/>
        </w:numPr>
        <w:kinsoku/>
        <w:wordWrap/>
        <w:overflowPunct/>
        <w:topLinePunct w:val="0"/>
        <w:autoSpaceDE/>
        <w:autoSpaceDN/>
        <w:bidi w:val="0"/>
        <w:adjustRightInd/>
        <w:snapToGrid/>
        <w:spacing w:line="500" w:lineRule="exact"/>
        <w:jc w:val="both"/>
        <w:textAlignment w:val="auto"/>
        <w:outlineLvl w:val="1"/>
        <w:rPr>
          <w:rFonts w:hint="eastAsia" w:ascii="仿宋" w:hAnsi="仿宋" w:eastAsia="仿宋" w:cs="仿宋"/>
          <w:b/>
          <w:bCs/>
          <w:sz w:val="24"/>
          <w:szCs w:val="24"/>
          <w:lang w:val="en-US" w:eastAsia="zh-CN"/>
        </w:rPr>
      </w:pPr>
      <w:bookmarkStart w:id="21" w:name="_Toc27440"/>
      <w:r>
        <w:rPr>
          <w:rFonts w:hint="eastAsia" w:ascii="仿宋" w:hAnsi="仿宋" w:eastAsia="仿宋" w:cs="仿宋"/>
          <w:b/>
          <w:bCs/>
          <w:sz w:val="24"/>
          <w:szCs w:val="24"/>
          <w:lang w:val="en-US" w:eastAsia="zh-CN"/>
        </w:rPr>
        <w:t>评标方法</w:t>
      </w:r>
      <w:bookmarkEnd w:id="21"/>
      <w:r>
        <w:rPr>
          <w:rFonts w:hint="eastAsia" w:ascii="仿宋" w:hAnsi="仿宋" w:eastAsia="仿宋" w:cs="仿宋"/>
          <w:b/>
          <w:bCs/>
          <w:sz w:val="24"/>
          <w:szCs w:val="24"/>
          <w:lang w:val="en-US" w:eastAsia="zh-CN"/>
        </w:rPr>
        <w:t xml:space="preserve">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本项目采用综合评分法，是指投标文件满足招标文件全部实质性要求，且按照评审因素的量化指标评审得分最高的投标人为中标候选人的评标方法。</w:t>
      </w:r>
    </w:p>
    <w:p>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lang w:val="en-US" w:eastAsia="zh-CN"/>
        </w:rPr>
      </w:pPr>
      <w:bookmarkStart w:id="22" w:name="_Toc12617"/>
      <w:r>
        <w:rPr>
          <w:rFonts w:hint="eastAsia" w:ascii="仿宋" w:hAnsi="仿宋" w:eastAsia="仿宋" w:cs="仿宋"/>
          <w:b/>
          <w:bCs/>
          <w:sz w:val="24"/>
          <w:szCs w:val="24"/>
          <w:lang w:val="en-US" w:eastAsia="zh-CN"/>
        </w:rPr>
        <w:t>评标原则</w:t>
      </w:r>
      <w:bookmarkEnd w:id="22"/>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bCs/>
          <w:sz w:val="24"/>
          <w:szCs w:val="24"/>
          <w:lang w:val="en-US" w:eastAsia="zh-CN"/>
        </w:rPr>
      </w:pPr>
      <w:r>
        <w:rPr>
          <w:rFonts w:hint="eastAsia" w:ascii="仿宋" w:hAnsi="仿宋" w:eastAsia="仿宋" w:cs="仿宋"/>
          <w:b w:val="0"/>
          <w:bCs w:val="0"/>
          <w:sz w:val="24"/>
          <w:szCs w:val="24"/>
          <w:lang w:val="en-US" w:eastAsia="zh-CN"/>
        </w:rPr>
        <w:t>评标活动遵循公平、公正、科学和择优的原则，以招标文件和投标文件为评标的基本依据，并按照招标文件规定的评标方法和评标标准进行评标。</w:t>
      </w:r>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具体评审事项由评标委员会负责，并按招标文件的规定办法进行评审。对招标文件中描述有歧义或前后不一致的地方，评标委员会有权按法律法规的规定进行评判，但对同一条款的评判应适用于每个投标人。</w:t>
      </w:r>
    </w:p>
    <w:p>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lang w:val="en-US" w:eastAsia="zh-CN"/>
        </w:rPr>
      </w:pPr>
      <w:bookmarkStart w:id="23" w:name="_Toc6046"/>
      <w:r>
        <w:rPr>
          <w:rFonts w:hint="eastAsia" w:ascii="仿宋" w:hAnsi="仿宋" w:eastAsia="仿宋" w:cs="仿宋"/>
          <w:b/>
          <w:bCs/>
          <w:sz w:val="24"/>
          <w:szCs w:val="24"/>
          <w:lang w:val="en-US" w:eastAsia="zh-CN"/>
        </w:rPr>
        <w:t>资格审查</w:t>
      </w:r>
      <w:bookmarkEnd w:id="23"/>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开标结束后，采购人或采购代理机构将根据《资格审查要求》中的规定，对投标人进行资格审查，以确定投标人是否具备投标资格，并形成资格审查结果。资格性审查中凡有其中任意一项未通过的，评审结果为未通过，未通过资格性审查的投标人按</w:t>
      </w:r>
      <w:r>
        <w:rPr>
          <w:rFonts w:hint="eastAsia" w:ascii="仿宋" w:hAnsi="仿宋" w:eastAsia="仿宋" w:cs="仿宋"/>
          <w:b/>
          <w:bCs/>
          <w:sz w:val="24"/>
          <w:szCs w:val="24"/>
          <w:lang w:val="en-US" w:eastAsia="zh-CN"/>
        </w:rPr>
        <w:t>无效投标</w:t>
      </w:r>
      <w:r>
        <w:rPr>
          <w:rFonts w:hint="eastAsia" w:ascii="仿宋" w:hAnsi="仿宋" w:eastAsia="仿宋" w:cs="仿宋"/>
          <w:b w:val="0"/>
          <w:bCs w:val="0"/>
          <w:sz w:val="24"/>
          <w:szCs w:val="24"/>
          <w:lang w:val="en-US" w:eastAsia="zh-CN"/>
        </w:rPr>
        <w:t>处理，不进入符合性审查。资格审查要求如下：</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资格审查要求</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8"/>
        <w:gridCol w:w="2536"/>
        <w:gridCol w:w="5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21"/>
                <w:szCs w:val="21"/>
                <w:vertAlign w:val="baseline"/>
                <w:lang w:val="en-US" w:eastAsia="zh-CN"/>
              </w:rPr>
            </w:pPr>
            <w:r>
              <w:rPr>
                <w:rFonts w:hint="eastAsia" w:ascii="仿宋" w:hAnsi="仿宋" w:eastAsia="仿宋" w:cs="仿宋"/>
                <w:b/>
                <w:bCs/>
                <w:sz w:val="21"/>
                <w:szCs w:val="21"/>
                <w:vertAlign w:val="baseline"/>
                <w:lang w:val="en-US" w:eastAsia="zh-CN"/>
              </w:rPr>
              <w:t>序号</w:t>
            </w:r>
          </w:p>
        </w:tc>
        <w:tc>
          <w:tcPr>
            <w:tcW w:w="25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21"/>
                <w:szCs w:val="21"/>
                <w:vertAlign w:val="baseline"/>
                <w:lang w:val="en-US" w:eastAsia="zh-CN"/>
              </w:rPr>
            </w:pPr>
            <w:r>
              <w:rPr>
                <w:rFonts w:hint="eastAsia" w:ascii="仿宋" w:hAnsi="仿宋" w:eastAsia="仿宋" w:cs="仿宋"/>
                <w:b/>
                <w:bCs/>
                <w:sz w:val="21"/>
                <w:szCs w:val="21"/>
                <w:vertAlign w:val="baseline"/>
                <w:lang w:val="en-US" w:eastAsia="zh-CN"/>
              </w:rPr>
              <w:t>审查因素</w:t>
            </w:r>
          </w:p>
        </w:tc>
        <w:tc>
          <w:tcPr>
            <w:tcW w:w="522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21"/>
                <w:szCs w:val="21"/>
                <w:vertAlign w:val="baseline"/>
                <w:lang w:val="en-US" w:eastAsia="zh-CN"/>
              </w:rPr>
            </w:pPr>
            <w:r>
              <w:rPr>
                <w:rFonts w:hint="eastAsia" w:ascii="仿宋" w:hAnsi="仿宋" w:eastAsia="仿宋" w:cs="仿宋"/>
                <w:b/>
                <w:bCs/>
                <w:sz w:val="21"/>
                <w:szCs w:val="21"/>
                <w:vertAlign w:val="baseline"/>
                <w:lang w:val="en-US" w:eastAsia="zh-CN"/>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w:t>
            </w:r>
          </w:p>
        </w:tc>
        <w:tc>
          <w:tcPr>
            <w:tcW w:w="25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具有独立承担民事责任的能力</w:t>
            </w:r>
          </w:p>
        </w:tc>
        <w:tc>
          <w:tcPr>
            <w:tcW w:w="522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须提供法人或其他组织或自然人的营业执照副本或事业法人登记证或执业许可证或身份证等相关证明复印件（除身份证外其余证件须加盖公章）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2</w:t>
            </w:r>
          </w:p>
        </w:tc>
        <w:tc>
          <w:tcPr>
            <w:tcW w:w="25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具有良好的商业信誉和健全的财务会计制度</w:t>
            </w:r>
          </w:p>
        </w:tc>
        <w:tc>
          <w:tcPr>
            <w:tcW w:w="522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须提供本单位上一年度由会计师事务所出具的财务审计报告（当上一年度审计报告未出来时（每年6月前（含）），可提供前一年度审计报告），审计报告须包括资产负债表、利润表、现金流量表、所有者权益变动（如有）及其附注（复印件并加盖本单位公章）。如投标人无法提供上年度审计报告，则需提供开标日前三个月内银行出具的资信证明原件或复印件加盖公章。如投标人注册成立不足一年的则提供承诺书（自拟）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3</w:t>
            </w:r>
          </w:p>
        </w:tc>
        <w:tc>
          <w:tcPr>
            <w:tcW w:w="25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具有履行合同所必需的设备和专业技术能力</w:t>
            </w:r>
          </w:p>
        </w:tc>
        <w:tc>
          <w:tcPr>
            <w:tcW w:w="522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须提供具备履行合同所必需的设备和专业技术能力的书面声明原件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4</w:t>
            </w:r>
          </w:p>
        </w:tc>
        <w:tc>
          <w:tcPr>
            <w:tcW w:w="25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有依法缴纳税收和依法缴纳社会保障资金的记录</w:t>
            </w:r>
          </w:p>
        </w:tc>
        <w:tc>
          <w:tcPr>
            <w:tcW w:w="522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1.须提供投标文件递交截止日期之前六个月内任何一期的纳税记录或证明文件原件或复印件加盖公章（依法免税的应提供相应文件说明）</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2.须提供投标文件递交截止日期之前六个月内为员工缴纳社会保障资金的证明材料原件或复印件加盖公章（任意一个月即可），证明材料是缴纳社会保险的凭据（专用收据或社会保险缴纳清单或银行回单等）（依法不需要缴纳社会保障资金的应提供相应文件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5</w:t>
            </w:r>
          </w:p>
        </w:tc>
        <w:tc>
          <w:tcPr>
            <w:tcW w:w="25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参加政府采购活动前三年内，在经营活动中没有重大违法记录</w:t>
            </w:r>
          </w:p>
        </w:tc>
        <w:tc>
          <w:tcPr>
            <w:tcW w:w="522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须提供声明函原件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6</w:t>
            </w:r>
          </w:p>
        </w:tc>
        <w:tc>
          <w:tcPr>
            <w:tcW w:w="25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投标人信用记录</w:t>
            </w:r>
          </w:p>
        </w:tc>
        <w:tc>
          <w:tcPr>
            <w:tcW w:w="522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查询渠道：信用中国网站和中国政府采购网</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查询时间：投标截止时间后至资格审查阶段完成；</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信用信息查询记录和证据留存具体方式：查询结果网页打印页作为查询记录和证据，与其他采购文件一并保存；信用信息的使用原则：经认定的被列入失信被执行人、重大税收违法案件当事人名单、政府采购严重违法失信行为记录名单的投标人，其投标无效。联合体形式投标的，联合体成员存在不良信用记录，视同联合体存在不良信用记录。</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无须投标人提供，由采购人或采购代理机构查询。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7</w:t>
            </w:r>
          </w:p>
        </w:tc>
        <w:tc>
          <w:tcPr>
            <w:tcW w:w="25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投标保证金</w:t>
            </w:r>
          </w:p>
        </w:tc>
        <w:tc>
          <w:tcPr>
            <w:tcW w:w="522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按照招标文件的规定提交投标保证金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8</w:t>
            </w:r>
          </w:p>
        </w:tc>
        <w:tc>
          <w:tcPr>
            <w:tcW w:w="25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本项目的特定资格要求</w:t>
            </w:r>
          </w:p>
        </w:tc>
        <w:tc>
          <w:tcPr>
            <w:tcW w:w="522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75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default"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9</w:t>
            </w:r>
          </w:p>
        </w:tc>
        <w:tc>
          <w:tcPr>
            <w:tcW w:w="2536"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落实政府采购政策</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的资格要求</w:t>
            </w:r>
          </w:p>
        </w:tc>
        <w:tc>
          <w:tcPr>
            <w:tcW w:w="522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default" w:ascii="仿宋" w:hAnsi="仿宋" w:eastAsia="仿宋" w:cs="仿宋"/>
                <w:b w:val="0"/>
                <w:bCs w:val="0"/>
                <w:sz w:val="21"/>
                <w:szCs w:val="21"/>
                <w:vertAlign w:val="baseline"/>
                <w:lang w:val="en-US" w:eastAsia="zh-CN"/>
              </w:rPr>
            </w:pPr>
            <w:r>
              <w:rPr>
                <w:rFonts w:hint="eastAsia" w:ascii="仿宋_GB2312" w:hAnsi="仿宋_GB2312" w:eastAsia="仿宋_GB2312" w:cs="仿宋_GB2312"/>
                <w:b w:val="0"/>
                <w:bCs w:val="0"/>
                <w:sz w:val="21"/>
                <w:szCs w:val="21"/>
                <w:highlight w:val="none"/>
                <w:vertAlign w:val="baseline"/>
                <w:lang w:val="en-US" w:eastAsia="zh-CN"/>
              </w:rPr>
              <w:t>中小企业预留份额：要求获得采购合同的供应商将合同金额中不低于40 %比例分包给一家或者多家中小企业，其中分包给小微企业的比例不低于60%。提供《中小企业申明函》原件及分包意向协议原件。</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bCs/>
          <w:sz w:val="24"/>
          <w:szCs w:val="24"/>
          <w:lang w:val="en-US" w:eastAsia="zh-CN"/>
        </w:rPr>
      </w:pPr>
    </w:p>
    <w:p>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lang w:val="en-US" w:eastAsia="zh-CN"/>
        </w:rPr>
      </w:pPr>
      <w:bookmarkStart w:id="24" w:name="_Toc4337"/>
      <w:r>
        <w:rPr>
          <w:rFonts w:hint="eastAsia" w:ascii="仿宋" w:hAnsi="仿宋" w:eastAsia="仿宋" w:cs="仿宋"/>
          <w:b/>
          <w:bCs/>
          <w:sz w:val="24"/>
          <w:szCs w:val="24"/>
          <w:lang w:val="en-US" w:eastAsia="zh-CN"/>
        </w:rPr>
        <w:t>符合性审查</w:t>
      </w:r>
      <w:bookmarkEnd w:id="24"/>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评标委员会对通过资格审查的合格投标人的投标文件进行符合性审查。评标委员会根据《符合性审查要求》中规定的审查因素和审查内容，对投标人的投标文件是否实质上响应招标文件进行符合性审查，并形成符合性审查评审结果。符合性审查中凡有其中任意一项未通过的，评审结果为未通过，未通过符合性审查的投标人按无效投标处理，不进入详细评审。符合性审查要求如下：</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符合性审查要求</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2132"/>
        <w:gridCol w:w="5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21"/>
                <w:szCs w:val="21"/>
                <w:vertAlign w:val="baseline"/>
                <w:lang w:val="en-US" w:eastAsia="zh-CN"/>
              </w:rPr>
            </w:pPr>
            <w:r>
              <w:rPr>
                <w:rFonts w:hint="eastAsia" w:ascii="仿宋" w:hAnsi="仿宋" w:eastAsia="仿宋" w:cs="仿宋"/>
                <w:b/>
                <w:bCs/>
                <w:sz w:val="21"/>
                <w:szCs w:val="21"/>
                <w:vertAlign w:val="baseline"/>
                <w:lang w:val="en-US" w:eastAsia="zh-CN"/>
              </w:rPr>
              <w:t>序号</w:t>
            </w:r>
          </w:p>
        </w:tc>
        <w:tc>
          <w:tcPr>
            <w:tcW w:w="21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21"/>
                <w:szCs w:val="21"/>
                <w:vertAlign w:val="baseline"/>
                <w:lang w:val="en-US" w:eastAsia="zh-CN"/>
              </w:rPr>
            </w:pPr>
            <w:r>
              <w:rPr>
                <w:rFonts w:hint="eastAsia" w:ascii="仿宋" w:hAnsi="仿宋" w:eastAsia="仿宋" w:cs="仿宋"/>
                <w:b/>
                <w:bCs/>
                <w:sz w:val="21"/>
                <w:szCs w:val="21"/>
                <w:vertAlign w:val="baseline"/>
                <w:lang w:val="en-US" w:eastAsia="zh-CN"/>
              </w:rPr>
              <w:t>审查因素</w:t>
            </w:r>
          </w:p>
        </w:tc>
        <w:tc>
          <w:tcPr>
            <w:tcW w:w="55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21"/>
                <w:szCs w:val="21"/>
                <w:vertAlign w:val="baseline"/>
                <w:lang w:val="en-US" w:eastAsia="zh-CN"/>
              </w:rPr>
            </w:pPr>
            <w:r>
              <w:rPr>
                <w:rFonts w:hint="eastAsia" w:ascii="仿宋" w:hAnsi="仿宋" w:eastAsia="仿宋" w:cs="仿宋"/>
                <w:b/>
                <w:bCs/>
                <w:sz w:val="21"/>
                <w:szCs w:val="21"/>
                <w:vertAlign w:val="baseline"/>
                <w:lang w:val="en-US" w:eastAsia="zh-CN"/>
              </w:rPr>
              <w:t>审查内容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w:t>
            </w:r>
          </w:p>
        </w:tc>
        <w:tc>
          <w:tcPr>
            <w:tcW w:w="21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授权委托书</w:t>
            </w:r>
          </w:p>
        </w:tc>
        <w:tc>
          <w:tcPr>
            <w:tcW w:w="55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投标文件中由法定代表人签字或盖签名章的，须提供法定代表人身份证明书；投标文件中由授权委托人签字的，须提供法定代表人授权委托书及法定代表人身份证明书。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2</w:t>
            </w:r>
          </w:p>
        </w:tc>
        <w:tc>
          <w:tcPr>
            <w:tcW w:w="21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投标完整性</w:t>
            </w:r>
          </w:p>
        </w:tc>
        <w:tc>
          <w:tcPr>
            <w:tcW w:w="55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未将一个采购包中的内容拆开投标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3</w:t>
            </w:r>
          </w:p>
        </w:tc>
        <w:tc>
          <w:tcPr>
            <w:tcW w:w="21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投标报价</w:t>
            </w:r>
          </w:p>
        </w:tc>
        <w:tc>
          <w:tcPr>
            <w:tcW w:w="55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投标报价未超过招标文件中规定的采购品目单价预算金额/单价最高限价或项目/采购包预算金额或者项目/采购包最高限价；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4</w:t>
            </w:r>
          </w:p>
        </w:tc>
        <w:tc>
          <w:tcPr>
            <w:tcW w:w="21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报价唯一性</w:t>
            </w:r>
          </w:p>
        </w:tc>
        <w:tc>
          <w:tcPr>
            <w:tcW w:w="55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投标文件未出现可选择性或可调整的报价（招标文件另有规定的除外）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5</w:t>
            </w:r>
          </w:p>
        </w:tc>
        <w:tc>
          <w:tcPr>
            <w:tcW w:w="21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投标有效期</w:t>
            </w:r>
          </w:p>
        </w:tc>
        <w:tc>
          <w:tcPr>
            <w:tcW w:w="55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投标文件中承诺的投标有效期满足招标文件中载明的投标有效期的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6</w:t>
            </w:r>
          </w:p>
        </w:tc>
        <w:tc>
          <w:tcPr>
            <w:tcW w:w="21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签署、盖章</w:t>
            </w:r>
          </w:p>
        </w:tc>
        <w:tc>
          <w:tcPr>
            <w:tcW w:w="55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按照招标文件要求签署、盖章的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7</w:t>
            </w:r>
          </w:p>
        </w:tc>
        <w:tc>
          <w:tcPr>
            <w:tcW w:w="21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采购需求的响应</w:t>
            </w:r>
          </w:p>
        </w:tc>
        <w:tc>
          <w:tcPr>
            <w:tcW w:w="55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投标文件满足招标文件中※号条款要求的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8</w:t>
            </w:r>
          </w:p>
        </w:tc>
        <w:tc>
          <w:tcPr>
            <w:tcW w:w="21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报价合理性</w:t>
            </w:r>
          </w:p>
        </w:tc>
        <w:tc>
          <w:tcPr>
            <w:tcW w:w="55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报价合理，或投标人的报价明显低于其他通过符合性审查投标人的报价，有可能影响产品质量或者不能诚信履约的，能够应评标委员会要求在规定时间内证明其报价合理性的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9</w:t>
            </w:r>
          </w:p>
        </w:tc>
        <w:tc>
          <w:tcPr>
            <w:tcW w:w="21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附加条件</w:t>
            </w:r>
          </w:p>
        </w:tc>
        <w:tc>
          <w:tcPr>
            <w:tcW w:w="55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投标文件未含有采购人不能接受的附加条件的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10</w:t>
            </w:r>
          </w:p>
        </w:tc>
        <w:tc>
          <w:tcPr>
            <w:tcW w:w="2132"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其他</w:t>
            </w:r>
          </w:p>
        </w:tc>
        <w:tc>
          <w:tcPr>
            <w:tcW w:w="5573"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1"/>
                <w:szCs w:val="21"/>
                <w:vertAlign w:val="baseline"/>
                <w:lang w:val="en-US" w:eastAsia="zh-CN"/>
              </w:rPr>
            </w:pPr>
            <w:r>
              <w:rPr>
                <w:rFonts w:hint="eastAsia" w:ascii="仿宋" w:hAnsi="仿宋" w:eastAsia="仿宋" w:cs="仿宋"/>
                <w:b w:val="0"/>
                <w:bCs w:val="0"/>
                <w:sz w:val="21"/>
                <w:szCs w:val="21"/>
                <w:vertAlign w:val="baseline"/>
                <w:lang w:val="en-US" w:eastAsia="zh-CN"/>
              </w:rPr>
              <w:t>投标文件中不存在违反国家法律、法规和招标文件规定的其他无效情形</w:t>
            </w:r>
          </w:p>
        </w:tc>
      </w:tr>
    </w:tbl>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p>
    <w:p>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lang w:val="en-US" w:eastAsia="zh-CN"/>
        </w:rPr>
      </w:pPr>
      <w:bookmarkStart w:id="25" w:name="_Toc23924"/>
      <w:r>
        <w:rPr>
          <w:rFonts w:hint="eastAsia" w:ascii="仿宋" w:hAnsi="仿宋" w:eastAsia="仿宋" w:cs="仿宋"/>
          <w:b/>
          <w:bCs/>
          <w:sz w:val="24"/>
          <w:szCs w:val="24"/>
          <w:lang w:val="en-US" w:eastAsia="zh-CN"/>
        </w:rPr>
        <w:t>投标文件有关事项的澄清或者说明</w:t>
      </w:r>
      <w:bookmarkEnd w:id="25"/>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评标过程中，评标委员会将以书面形式要求投标人对其投标文件中含义不明确、同类问题表述不一致或者有明显文字和计算错误的内容，作出必要的澄清、说明或者补正。代理机构可根据开标环节记录的授权代表人联系方式电话告知投标人，投标人需登录电子招投标系统，在规定时间内完成澄清（响应），并加盖电子印章。若因投标人联系方式错误未接收短信、未接听电话或超时未进行澄清（响应）造成的不利后果由供应商自行承担。投标人的澄清、说明或者补正不得超出投标文件的范围或者改变投标文件的实质性内容。澄清文件将作为投标文件内容的一部分。</w:t>
      </w:r>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评标委员会认为投标人的报价明显低于其他通过符合性审查投标人的报价，有可能影响产品质量或者不能诚信履约的，有权要求该投标人在评标现场合理的时间内提供书面说明，必要时提交相关证明材料；若投标人不能证明其报价合理性，评标委员会将其作为</w:t>
      </w:r>
      <w:r>
        <w:rPr>
          <w:rFonts w:hint="eastAsia" w:ascii="仿宋" w:hAnsi="仿宋" w:eastAsia="仿宋" w:cs="仿宋"/>
          <w:b/>
          <w:bCs/>
          <w:sz w:val="24"/>
          <w:szCs w:val="24"/>
          <w:lang w:val="en-US" w:eastAsia="zh-CN"/>
        </w:rPr>
        <w:t>无效投标</w:t>
      </w:r>
      <w:r>
        <w:rPr>
          <w:rFonts w:hint="eastAsia" w:ascii="仿宋" w:hAnsi="仿宋" w:eastAsia="仿宋" w:cs="仿宋"/>
          <w:b w:val="0"/>
          <w:bCs w:val="0"/>
          <w:sz w:val="24"/>
          <w:szCs w:val="24"/>
          <w:lang w:val="en-US" w:eastAsia="zh-CN"/>
        </w:rPr>
        <w:t>处理。</w:t>
      </w:r>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开投标，其</w:t>
      </w:r>
      <w:r>
        <w:rPr>
          <w:rFonts w:hint="eastAsia" w:ascii="仿宋" w:hAnsi="仿宋" w:eastAsia="仿宋" w:cs="仿宋"/>
          <w:b/>
          <w:bCs/>
          <w:sz w:val="24"/>
          <w:szCs w:val="24"/>
          <w:lang w:val="en-US" w:eastAsia="zh-CN"/>
        </w:rPr>
        <w:t>投标无效</w:t>
      </w:r>
      <w:r>
        <w:rPr>
          <w:rFonts w:hint="eastAsia" w:ascii="仿宋" w:hAnsi="仿宋" w:eastAsia="仿宋" w:cs="仿宋"/>
          <w:b w:val="0"/>
          <w:bCs w:val="0"/>
          <w:sz w:val="24"/>
          <w:szCs w:val="24"/>
          <w:lang w:val="en-US" w:eastAsia="zh-CN"/>
        </w:rPr>
        <w:t>。</w:t>
      </w:r>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评标委员会不接受投标人主动提出的澄清、说明或补正。</w:t>
      </w:r>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评标委员会对投标人提交的澄清、说明或补正有疑问的，可以要求投标人进一步澄清、说明或补正。</w:t>
      </w:r>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对报价的计算错误按以下原则修正：</w:t>
      </w:r>
    </w:p>
    <w:p>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投标文件中开标一览表内容与投标文件中相应内容不一致的，以开标一览表为准；</w:t>
      </w:r>
    </w:p>
    <w:p>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大写金额和小写金额不一致的，以大写金额为准；</w:t>
      </w:r>
    </w:p>
    <w:p>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单价金额小数点或者百分比有明显错位的，以开标一览表的总价为准，并修改单价。</w:t>
      </w:r>
    </w:p>
    <w:p>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总价金额与按单价汇总金额不一致的，以单价金额计算结果为准。但是单价金额计算结果超过预算金额/最高限价的，对其按</w:t>
      </w:r>
      <w:r>
        <w:rPr>
          <w:rFonts w:hint="eastAsia" w:ascii="仿宋" w:hAnsi="仿宋" w:eastAsia="仿宋" w:cs="仿宋"/>
          <w:b/>
          <w:bCs/>
          <w:sz w:val="24"/>
          <w:szCs w:val="24"/>
          <w:lang w:val="en-US" w:eastAsia="zh-CN"/>
        </w:rPr>
        <w:t>无效投标</w:t>
      </w:r>
      <w:r>
        <w:rPr>
          <w:rFonts w:hint="eastAsia" w:ascii="仿宋" w:hAnsi="仿宋" w:eastAsia="仿宋" w:cs="仿宋"/>
          <w:b w:val="0"/>
          <w:bCs w:val="0"/>
          <w:sz w:val="24"/>
          <w:szCs w:val="24"/>
          <w:lang w:val="en-US" w:eastAsia="zh-CN"/>
        </w:rPr>
        <w:t>处理。</w:t>
      </w:r>
    </w:p>
    <w:p>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 xml:space="preserve">若投标客户端上传的电子报价数据（开标一览表中的公布唱标价）与电子投标文件价格不一致的，以电子报价数据（开标一览表中的公布唱标价）为准。 </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注：同时出现两种以上不一致的，按照前款规定的顺序在系统上进行价格澄清。澄清后的价格加盖电子印章确认后产生约束力，但不得超出投标文件的范围或者改变投标文件的实质性内容，投标人不确认的，其</w:t>
      </w:r>
      <w:r>
        <w:rPr>
          <w:rFonts w:hint="eastAsia" w:ascii="仿宋" w:hAnsi="仿宋" w:eastAsia="仿宋" w:cs="仿宋"/>
          <w:b/>
          <w:bCs/>
          <w:sz w:val="24"/>
          <w:szCs w:val="24"/>
          <w:lang w:val="en-US" w:eastAsia="zh-CN"/>
        </w:rPr>
        <w:t>投标无效</w:t>
      </w:r>
      <w:r>
        <w:rPr>
          <w:rFonts w:hint="eastAsia" w:ascii="仿宋" w:hAnsi="仿宋" w:eastAsia="仿宋" w:cs="仿宋"/>
          <w:b w:val="0"/>
          <w:bCs w:val="0"/>
          <w:sz w:val="24"/>
          <w:szCs w:val="24"/>
          <w:lang w:val="en-US" w:eastAsia="zh-CN"/>
        </w:rPr>
        <w:t>。</w:t>
      </w:r>
    </w:p>
    <w:p>
      <w:pPr>
        <w:keepNext w:val="0"/>
        <w:keepLines w:val="0"/>
        <w:pageBreakBefore w:val="0"/>
        <w:widowControl w:val="0"/>
        <w:numPr>
          <w:ilvl w:val="0"/>
          <w:numId w:val="14"/>
        </w:numPr>
        <w:kinsoku/>
        <w:wordWrap/>
        <w:overflowPunct/>
        <w:topLinePunct w:val="0"/>
        <w:autoSpaceDE/>
        <w:autoSpaceDN/>
        <w:bidi w:val="0"/>
        <w:adjustRightInd/>
        <w:snapToGrid/>
        <w:spacing w:line="500" w:lineRule="exact"/>
        <w:ind w:left="0" w:leftChars="0" w:firstLine="0" w:firstLineChars="0"/>
        <w:jc w:val="both"/>
        <w:textAlignment w:val="auto"/>
        <w:outlineLvl w:val="1"/>
        <w:rPr>
          <w:rFonts w:hint="eastAsia" w:ascii="仿宋" w:hAnsi="仿宋" w:eastAsia="仿宋" w:cs="仿宋"/>
          <w:b/>
          <w:bCs/>
          <w:sz w:val="24"/>
          <w:szCs w:val="24"/>
          <w:lang w:val="en-US" w:eastAsia="zh-CN"/>
        </w:rPr>
      </w:pPr>
      <w:bookmarkStart w:id="26" w:name="_Toc22049"/>
      <w:r>
        <w:rPr>
          <w:rFonts w:hint="eastAsia" w:ascii="仿宋" w:hAnsi="仿宋" w:eastAsia="仿宋" w:cs="仿宋"/>
          <w:b/>
          <w:bCs/>
          <w:sz w:val="24"/>
          <w:szCs w:val="24"/>
          <w:lang w:val="en-US" w:eastAsia="zh-CN"/>
        </w:rPr>
        <w:t>详细评审</w:t>
      </w:r>
      <w:bookmarkEnd w:id="26"/>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firstLine="480" w:firstLineChars="20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经资格审查和符合性审查合格的投标文件，评标委员会将根据《详细评审标准》，对其技术部分、商务部分及报价部分作进一步的综合比较和评价。详细评审标准如下：</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详细评审标准</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994"/>
        <w:gridCol w:w="843"/>
        <w:gridCol w:w="5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2068" w:type="dxa"/>
            <w:gridSpan w:val="2"/>
            <w:vAlign w:val="center"/>
          </w:tcPr>
          <w:p>
            <w:pPr>
              <w:spacing w:line="240" w:lineRule="auto"/>
              <w:ind w:left="0" w:leftChars="0" w:right="638" w:rightChars="304"/>
              <w:jc w:val="center"/>
              <w:rPr>
                <w:rFonts w:hint="eastAsia" w:ascii="仿宋" w:hAnsi="仿宋" w:eastAsia="仿宋" w:cs="仿宋"/>
                <w:b/>
                <w:bCs w:val="0"/>
                <w:color w:val="auto"/>
                <w:sz w:val="21"/>
                <w:szCs w:val="21"/>
                <w:vertAlign w:val="baseline"/>
              </w:rPr>
            </w:pPr>
            <w:r>
              <w:rPr>
                <w:rFonts w:hint="eastAsia" w:ascii="仿宋" w:hAnsi="仿宋" w:eastAsia="仿宋" w:cs="仿宋"/>
                <w:b/>
                <w:bCs w:val="0"/>
                <w:color w:val="auto"/>
                <w:kern w:val="0"/>
                <w:sz w:val="21"/>
                <w:szCs w:val="21"/>
              </w:rPr>
              <w:t>评分因素</w:t>
            </w:r>
          </w:p>
        </w:tc>
        <w:tc>
          <w:tcPr>
            <w:tcW w:w="843" w:type="dxa"/>
            <w:vAlign w:val="center"/>
          </w:tcPr>
          <w:p>
            <w:pPr>
              <w:spacing w:line="240" w:lineRule="auto"/>
              <w:ind w:left="0" w:leftChars="0" w:right="0" w:rightChars="0"/>
              <w:jc w:val="center"/>
              <w:rPr>
                <w:rFonts w:hint="eastAsia" w:ascii="仿宋" w:hAnsi="仿宋" w:eastAsia="仿宋" w:cs="仿宋"/>
                <w:b/>
                <w:bCs w:val="0"/>
                <w:color w:val="auto"/>
                <w:sz w:val="21"/>
                <w:szCs w:val="21"/>
                <w:vertAlign w:val="baseline"/>
              </w:rPr>
            </w:pPr>
            <w:r>
              <w:rPr>
                <w:rFonts w:hint="eastAsia" w:ascii="仿宋" w:hAnsi="仿宋" w:eastAsia="仿宋" w:cs="仿宋"/>
                <w:b/>
                <w:bCs w:val="0"/>
                <w:color w:val="auto"/>
                <w:kern w:val="0"/>
                <w:sz w:val="21"/>
                <w:szCs w:val="21"/>
              </w:rPr>
              <w:t>分值</w:t>
            </w:r>
          </w:p>
        </w:tc>
        <w:tc>
          <w:tcPr>
            <w:tcW w:w="5611" w:type="dxa"/>
            <w:vAlign w:val="center"/>
          </w:tcPr>
          <w:p>
            <w:pPr>
              <w:spacing w:line="240" w:lineRule="auto"/>
              <w:ind w:left="0" w:leftChars="0" w:right="-31" w:rightChars="-15"/>
              <w:jc w:val="center"/>
              <w:rPr>
                <w:rFonts w:hint="eastAsia" w:ascii="仿宋" w:hAnsi="仿宋" w:eastAsia="仿宋" w:cs="仿宋"/>
                <w:b/>
                <w:bCs w:val="0"/>
                <w:color w:val="auto"/>
                <w:sz w:val="21"/>
                <w:szCs w:val="21"/>
                <w:vertAlign w:val="baseline"/>
              </w:rPr>
            </w:pPr>
            <w:r>
              <w:rPr>
                <w:rFonts w:hint="eastAsia" w:ascii="仿宋" w:hAnsi="仿宋" w:eastAsia="仿宋" w:cs="仿宋"/>
                <w:b/>
                <w:bCs w:val="0"/>
                <w:color w:val="auto"/>
                <w:kern w:val="0"/>
                <w:sz w:val="21"/>
                <w:szCs w:val="21"/>
              </w:rPr>
              <w:t>评分细则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0" w:hRule="atLeast"/>
          <w:jc w:val="center"/>
        </w:trPr>
        <w:tc>
          <w:tcPr>
            <w:tcW w:w="2068" w:type="dxa"/>
            <w:gridSpan w:val="2"/>
            <w:vAlign w:val="center"/>
          </w:tcPr>
          <w:p>
            <w:pPr>
              <w:spacing w:line="240" w:lineRule="auto"/>
              <w:ind w:left="0" w:leftChars="0" w:right="638" w:rightChars="304"/>
              <w:jc w:val="center"/>
              <w:rPr>
                <w:rFonts w:hint="eastAsia" w:ascii="仿宋" w:hAnsi="仿宋" w:eastAsia="仿宋" w:cs="仿宋"/>
                <w:b/>
                <w:bCs w:val="0"/>
                <w:color w:val="auto"/>
                <w:kern w:val="0"/>
                <w:sz w:val="21"/>
                <w:szCs w:val="21"/>
                <w:highlight w:val="none"/>
                <w:lang w:val="en-US" w:eastAsia="zh-CN"/>
              </w:rPr>
            </w:pPr>
            <w:r>
              <w:rPr>
                <w:rFonts w:hint="eastAsia" w:ascii="仿宋" w:hAnsi="仿宋" w:eastAsia="仿宋" w:cs="仿宋"/>
                <w:b w:val="0"/>
                <w:bCs/>
                <w:color w:val="auto"/>
                <w:kern w:val="0"/>
                <w:sz w:val="21"/>
                <w:szCs w:val="21"/>
                <w:highlight w:val="none"/>
                <w:lang w:val="en-US" w:eastAsia="zh-CN"/>
              </w:rPr>
              <w:t>分值构成</w:t>
            </w:r>
          </w:p>
        </w:tc>
        <w:tc>
          <w:tcPr>
            <w:tcW w:w="6454" w:type="dxa"/>
            <w:gridSpan w:val="2"/>
            <w:vAlign w:val="center"/>
          </w:tcPr>
          <w:p>
            <w:pPr>
              <w:spacing w:line="240" w:lineRule="auto"/>
              <w:ind w:left="0" w:leftChars="0" w:right="-31" w:rightChars="-15"/>
              <w:jc w:val="left"/>
              <w:rPr>
                <w:rFonts w:hint="eastAsia" w:ascii="仿宋" w:hAnsi="仿宋" w:eastAsia="仿宋" w:cs="仿宋"/>
                <w:b w:val="0"/>
                <w:bCs/>
                <w:color w:val="auto"/>
                <w:kern w:val="0"/>
                <w:sz w:val="21"/>
                <w:szCs w:val="21"/>
                <w:highlight w:val="none"/>
              </w:rPr>
            </w:pPr>
            <w:r>
              <w:rPr>
                <w:rFonts w:hint="eastAsia" w:ascii="仿宋" w:hAnsi="仿宋" w:eastAsia="仿宋" w:cs="仿宋"/>
                <w:b w:val="0"/>
                <w:bCs/>
                <w:color w:val="auto"/>
                <w:kern w:val="0"/>
                <w:sz w:val="21"/>
                <w:szCs w:val="21"/>
                <w:highlight w:val="none"/>
              </w:rPr>
              <w:t>商务部分</w:t>
            </w:r>
            <w:r>
              <w:rPr>
                <w:rFonts w:hint="eastAsia" w:ascii="仿宋" w:hAnsi="仿宋" w:eastAsia="仿宋" w:cs="仿宋"/>
                <w:b w:val="0"/>
                <w:bCs/>
                <w:color w:val="auto"/>
                <w:kern w:val="0"/>
                <w:sz w:val="21"/>
                <w:szCs w:val="21"/>
                <w:highlight w:val="none"/>
                <w:lang w:val="en-US" w:eastAsia="zh-CN"/>
              </w:rPr>
              <w:t>7</w:t>
            </w:r>
            <w:r>
              <w:rPr>
                <w:rFonts w:hint="eastAsia" w:ascii="仿宋" w:hAnsi="仿宋" w:eastAsia="仿宋" w:cs="仿宋"/>
                <w:b w:val="0"/>
                <w:bCs/>
                <w:color w:val="auto"/>
                <w:kern w:val="0"/>
                <w:sz w:val="21"/>
                <w:szCs w:val="21"/>
                <w:highlight w:val="none"/>
              </w:rPr>
              <w:t>.0分</w:t>
            </w:r>
          </w:p>
          <w:p>
            <w:pPr>
              <w:spacing w:line="240" w:lineRule="auto"/>
              <w:ind w:left="0" w:leftChars="0" w:right="-31" w:rightChars="-15"/>
              <w:jc w:val="left"/>
              <w:rPr>
                <w:rFonts w:hint="eastAsia" w:ascii="仿宋" w:hAnsi="仿宋" w:eastAsia="仿宋" w:cs="仿宋"/>
                <w:b w:val="0"/>
                <w:bCs/>
                <w:color w:val="auto"/>
                <w:kern w:val="0"/>
                <w:sz w:val="21"/>
                <w:szCs w:val="21"/>
                <w:highlight w:val="none"/>
              </w:rPr>
            </w:pPr>
            <w:r>
              <w:rPr>
                <w:rFonts w:hint="eastAsia" w:ascii="仿宋" w:hAnsi="仿宋" w:eastAsia="仿宋" w:cs="仿宋"/>
                <w:b w:val="0"/>
                <w:bCs/>
                <w:color w:val="auto"/>
                <w:kern w:val="0"/>
                <w:sz w:val="21"/>
                <w:szCs w:val="21"/>
                <w:highlight w:val="none"/>
              </w:rPr>
              <w:t>技术部分</w:t>
            </w:r>
            <w:r>
              <w:rPr>
                <w:rFonts w:hint="eastAsia" w:ascii="仿宋" w:hAnsi="仿宋" w:eastAsia="仿宋" w:cs="仿宋"/>
                <w:b w:val="0"/>
                <w:bCs/>
                <w:color w:val="auto"/>
                <w:kern w:val="0"/>
                <w:sz w:val="21"/>
                <w:szCs w:val="21"/>
                <w:highlight w:val="none"/>
                <w:lang w:val="en-US" w:eastAsia="zh-CN"/>
              </w:rPr>
              <w:t>63</w:t>
            </w:r>
            <w:r>
              <w:rPr>
                <w:rFonts w:hint="eastAsia" w:ascii="仿宋" w:hAnsi="仿宋" w:eastAsia="仿宋" w:cs="仿宋"/>
                <w:b w:val="0"/>
                <w:bCs/>
                <w:color w:val="auto"/>
                <w:kern w:val="0"/>
                <w:sz w:val="21"/>
                <w:szCs w:val="21"/>
                <w:highlight w:val="none"/>
              </w:rPr>
              <w:t>.0分</w:t>
            </w:r>
          </w:p>
          <w:p>
            <w:pPr>
              <w:spacing w:line="240" w:lineRule="auto"/>
              <w:ind w:left="0" w:leftChars="0" w:right="-31" w:rightChars="-15"/>
              <w:jc w:val="left"/>
              <w:rPr>
                <w:rFonts w:hint="eastAsia" w:ascii="仿宋" w:hAnsi="仿宋" w:eastAsia="仿宋" w:cs="仿宋"/>
                <w:b/>
                <w:bCs w:val="0"/>
                <w:color w:val="auto"/>
                <w:kern w:val="0"/>
                <w:sz w:val="21"/>
                <w:szCs w:val="21"/>
                <w:highlight w:val="none"/>
              </w:rPr>
            </w:pPr>
            <w:r>
              <w:rPr>
                <w:rFonts w:hint="eastAsia" w:ascii="仿宋" w:hAnsi="仿宋" w:eastAsia="仿宋" w:cs="仿宋"/>
                <w:b w:val="0"/>
                <w:bCs/>
                <w:color w:val="auto"/>
                <w:kern w:val="0"/>
                <w:sz w:val="21"/>
                <w:szCs w:val="21"/>
                <w:highlight w:val="none"/>
              </w:rPr>
              <w:t>报价得分</w:t>
            </w:r>
            <w:r>
              <w:rPr>
                <w:rFonts w:hint="eastAsia" w:ascii="仿宋" w:hAnsi="仿宋" w:eastAsia="仿宋" w:cs="仿宋"/>
                <w:b w:val="0"/>
                <w:bCs/>
                <w:color w:val="auto"/>
                <w:kern w:val="0"/>
                <w:sz w:val="21"/>
                <w:szCs w:val="21"/>
                <w:highlight w:val="none"/>
                <w:lang w:val="en-US" w:eastAsia="zh-CN"/>
              </w:rPr>
              <w:t>3</w:t>
            </w:r>
            <w:r>
              <w:rPr>
                <w:rFonts w:hint="eastAsia" w:ascii="仿宋" w:hAnsi="仿宋" w:eastAsia="仿宋" w:cs="仿宋"/>
                <w:b w:val="0"/>
                <w:bCs/>
                <w:color w:val="auto"/>
                <w:kern w:val="0"/>
                <w:sz w:val="21"/>
                <w:szCs w:val="21"/>
                <w:highlight w:val="none"/>
              </w:rPr>
              <w:t>0.0分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2068" w:type="dxa"/>
            <w:gridSpan w:val="2"/>
            <w:vAlign w:val="center"/>
          </w:tcPr>
          <w:p>
            <w:pPr>
              <w:pStyle w:val="19"/>
              <w:spacing w:line="240" w:lineRule="auto"/>
              <w:ind w:right="8" w:rightChars="0"/>
              <w:jc w:val="center"/>
              <w:rPr>
                <w:rFonts w:hint="eastAsia" w:ascii="仿宋" w:hAnsi="仿宋" w:eastAsia="仿宋" w:cs="仿宋"/>
                <w:sz w:val="21"/>
                <w:szCs w:val="21"/>
                <w:vertAlign w:val="baseline"/>
              </w:rPr>
            </w:pPr>
            <w:r>
              <w:rPr>
                <w:rFonts w:hint="eastAsia" w:ascii="仿宋" w:hAnsi="仿宋" w:eastAsia="仿宋" w:cs="仿宋"/>
                <w:sz w:val="21"/>
                <w:szCs w:val="21"/>
                <w:vertAlign w:val="baseline"/>
                <w:lang w:val="en-US" w:eastAsia="zh-CN"/>
              </w:rPr>
              <w:t>报价</w:t>
            </w:r>
            <w:r>
              <w:rPr>
                <w:rFonts w:hint="eastAsia" w:ascii="仿宋" w:hAnsi="仿宋" w:eastAsia="仿宋" w:cs="仿宋"/>
                <w:sz w:val="21"/>
                <w:szCs w:val="21"/>
                <w:vertAlign w:val="baseline"/>
              </w:rPr>
              <w:t>部分（</w:t>
            </w:r>
            <w:r>
              <w:rPr>
                <w:rFonts w:hint="eastAsia" w:ascii="仿宋" w:hAnsi="仿宋" w:eastAsia="仿宋" w:cs="仿宋"/>
                <w:sz w:val="21"/>
                <w:szCs w:val="21"/>
                <w:vertAlign w:val="baseline"/>
                <w:lang w:val="en-US" w:eastAsia="zh-CN"/>
              </w:rPr>
              <w:t>3</w:t>
            </w:r>
            <w:r>
              <w:rPr>
                <w:rFonts w:hint="eastAsia" w:ascii="仿宋" w:hAnsi="仿宋" w:eastAsia="仿宋" w:cs="仿宋"/>
                <w:sz w:val="21"/>
                <w:szCs w:val="21"/>
                <w:vertAlign w:val="baseline"/>
              </w:rPr>
              <w:t>0 分）</w:t>
            </w:r>
          </w:p>
        </w:tc>
        <w:tc>
          <w:tcPr>
            <w:tcW w:w="843" w:type="dxa"/>
            <w:vAlign w:val="center"/>
          </w:tcPr>
          <w:p>
            <w:pPr>
              <w:pStyle w:val="19"/>
              <w:spacing w:line="240" w:lineRule="auto"/>
              <w:ind w:right="0" w:rightChars="0"/>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30</w:t>
            </w:r>
          </w:p>
        </w:tc>
        <w:tc>
          <w:tcPr>
            <w:tcW w:w="5611" w:type="dxa"/>
          </w:tcPr>
          <w:p>
            <w:pPr>
              <w:pStyle w:val="19"/>
              <w:spacing w:line="240" w:lineRule="auto"/>
              <w:ind w:right="-31" w:rightChars="-15"/>
              <w:rPr>
                <w:rFonts w:hint="eastAsia" w:ascii="仿宋" w:hAnsi="仿宋" w:eastAsia="仿宋" w:cs="仿宋"/>
                <w:sz w:val="21"/>
                <w:szCs w:val="21"/>
                <w:vertAlign w:val="baseline"/>
              </w:rPr>
            </w:pPr>
            <w:r>
              <w:rPr>
                <w:rFonts w:hint="eastAsia" w:ascii="仿宋" w:hAnsi="仿宋" w:eastAsia="仿宋" w:cs="仿宋"/>
                <w:sz w:val="21"/>
                <w:szCs w:val="21"/>
                <w:vertAlign w:val="baseline"/>
                <w:lang w:val="en-US" w:eastAsia="zh-CN"/>
              </w:rPr>
              <w:t>满足招</w:t>
            </w:r>
            <w:r>
              <w:rPr>
                <w:rFonts w:hint="eastAsia" w:ascii="仿宋" w:hAnsi="仿宋" w:eastAsia="仿宋" w:cs="仿宋"/>
                <w:sz w:val="21"/>
                <w:szCs w:val="21"/>
                <w:vertAlign w:val="baseline"/>
              </w:rPr>
              <w:t>标文件要求且投标价格最低的有效投标报价（即除低于成本报价以外的报价）为评标基准价。其他</w:t>
            </w:r>
            <w:r>
              <w:rPr>
                <w:rFonts w:hint="eastAsia" w:ascii="仿宋" w:hAnsi="仿宋" w:eastAsia="仿宋" w:cs="仿宋"/>
                <w:sz w:val="21"/>
                <w:szCs w:val="21"/>
                <w:vertAlign w:val="baseline"/>
                <w:lang w:val="en-US" w:eastAsia="zh-CN"/>
              </w:rPr>
              <w:t>投标人</w:t>
            </w:r>
            <w:r>
              <w:rPr>
                <w:rFonts w:hint="eastAsia" w:ascii="仿宋" w:hAnsi="仿宋" w:eastAsia="仿宋" w:cs="仿宋"/>
                <w:sz w:val="21"/>
                <w:szCs w:val="21"/>
                <w:vertAlign w:val="baseline"/>
              </w:rPr>
              <w:t>的价格分统一按照下列公式计算：</w:t>
            </w:r>
          </w:p>
          <w:p>
            <w:pPr>
              <w:pStyle w:val="19"/>
              <w:spacing w:line="240" w:lineRule="auto"/>
              <w:ind w:right="-31" w:rightChars="-15"/>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rPr>
              <w:t>投标报价得分=（评标基准价/投标报价）×</w:t>
            </w:r>
            <w:r>
              <w:rPr>
                <w:rFonts w:hint="eastAsia" w:ascii="仿宋" w:hAnsi="仿宋" w:eastAsia="仿宋" w:cs="仿宋"/>
                <w:sz w:val="21"/>
                <w:szCs w:val="21"/>
                <w:vertAlign w:val="baseline"/>
                <w:lang w:val="en-US" w:eastAsia="zh-CN"/>
              </w:rPr>
              <w:t>价格满分分值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4" w:hRule="atLeast"/>
          <w:jc w:val="center"/>
        </w:trPr>
        <w:tc>
          <w:tcPr>
            <w:tcW w:w="1074" w:type="dxa"/>
            <w:tcBorders>
              <w:right w:val="single" w:color="000000" w:sz="4" w:space="0"/>
            </w:tcBorders>
            <w:vAlign w:val="center"/>
          </w:tcPr>
          <w:p>
            <w:pPr>
              <w:pStyle w:val="19"/>
              <w:spacing w:line="240" w:lineRule="auto"/>
              <w:ind w:right="-19" w:rightChars="-9"/>
              <w:jc w:val="center"/>
              <w:rPr>
                <w:rFonts w:hint="eastAsia" w:ascii="仿宋" w:hAnsi="仿宋" w:eastAsia="仿宋" w:cs="仿宋"/>
                <w:sz w:val="21"/>
                <w:szCs w:val="21"/>
                <w:vertAlign w:val="baseline"/>
                <w:lang w:val="en-US" w:eastAsia="zh-CN"/>
              </w:rPr>
            </w:pPr>
            <w:r>
              <w:rPr>
                <w:rFonts w:hint="eastAsia" w:ascii="仿宋" w:hAnsi="仿宋" w:eastAsia="仿宋" w:cs="仿宋"/>
                <w:sz w:val="21"/>
                <w:szCs w:val="21"/>
                <w:vertAlign w:val="baseline"/>
              </w:rPr>
              <w:t>商务部分(</w:t>
            </w:r>
            <w:r>
              <w:rPr>
                <w:rFonts w:hint="eastAsia" w:ascii="仿宋" w:hAnsi="仿宋" w:eastAsia="仿宋" w:cs="仿宋"/>
                <w:sz w:val="21"/>
                <w:szCs w:val="21"/>
                <w:vertAlign w:val="baseline"/>
                <w:lang w:val="en-US" w:eastAsia="zh-CN"/>
              </w:rPr>
              <w:t>3</w:t>
            </w:r>
            <w:r>
              <w:rPr>
                <w:rFonts w:hint="eastAsia" w:ascii="仿宋" w:hAnsi="仿宋" w:eastAsia="仿宋" w:cs="仿宋"/>
                <w:sz w:val="21"/>
                <w:szCs w:val="21"/>
                <w:vertAlign w:val="baseline"/>
              </w:rPr>
              <w:t>分)</w:t>
            </w:r>
          </w:p>
        </w:tc>
        <w:tc>
          <w:tcPr>
            <w:tcW w:w="994" w:type="dxa"/>
            <w:tcBorders>
              <w:left w:val="single" w:color="000000" w:sz="4" w:space="0"/>
            </w:tcBorders>
            <w:vAlign w:val="center"/>
          </w:tcPr>
          <w:p>
            <w:pPr>
              <w:pStyle w:val="19"/>
              <w:spacing w:line="240" w:lineRule="auto"/>
              <w:ind w:right="31" w:rightChars="15"/>
              <w:jc w:val="center"/>
              <w:rPr>
                <w:rFonts w:hint="eastAsia" w:ascii="仿宋" w:hAnsi="仿宋" w:eastAsia="仿宋" w:cs="仿宋"/>
                <w:sz w:val="21"/>
                <w:szCs w:val="21"/>
                <w:vertAlign w:val="baseline"/>
              </w:rPr>
            </w:pPr>
            <w:r>
              <w:rPr>
                <w:rFonts w:hint="eastAsia" w:ascii="仿宋" w:hAnsi="仿宋" w:eastAsia="仿宋" w:cs="仿宋"/>
                <w:sz w:val="21"/>
                <w:szCs w:val="21"/>
                <w:vertAlign w:val="baseline"/>
              </w:rPr>
              <w:t>类似项目业绩</w:t>
            </w:r>
          </w:p>
        </w:tc>
        <w:tc>
          <w:tcPr>
            <w:tcW w:w="843" w:type="dxa"/>
            <w:vAlign w:val="center"/>
          </w:tcPr>
          <w:p>
            <w:pPr>
              <w:pStyle w:val="19"/>
              <w:spacing w:line="240" w:lineRule="auto"/>
              <w:ind w:right="0" w:rightChars="0"/>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w:t>
            </w:r>
          </w:p>
        </w:tc>
        <w:tc>
          <w:tcPr>
            <w:tcW w:w="5611" w:type="dxa"/>
          </w:tcPr>
          <w:p>
            <w:pPr>
              <w:pStyle w:val="19"/>
              <w:spacing w:line="240" w:lineRule="auto"/>
              <w:ind w:right="-31" w:rightChars="-15"/>
              <w:rPr>
                <w:rFonts w:hint="eastAsia" w:ascii="仿宋" w:hAnsi="仿宋" w:eastAsia="仿宋" w:cs="仿宋"/>
                <w:sz w:val="21"/>
                <w:szCs w:val="21"/>
                <w:vertAlign w:val="baseline"/>
              </w:rPr>
            </w:pPr>
            <w:r>
              <w:rPr>
                <w:rFonts w:hint="eastAsia" w:ascii="仿宋" w:hAnsi="仿宋" w:eastAsia="仿宋" w:cs="仿宋"/>
                <w:sz w:val="21"/>
                <w:szCs w:val="21"/>
                <w:vertAlign w:val="baseline"/>
              </w:rPr>
              <w:t>根据投标产品（若为非单一产品采购包，则提供该包核心产品）或同类产品近三年（2020 年1月至本采购活动招标公告日期，合同或协议签字日期为准），在中国境内的销售业绩进行评价，有 1 项业绩得 1 分，最高得</w:t>
            </w:r>
            <w:r>
              <w:rPr>
                <w:rFonts w:hint="eastAsia" w:ascii="仿宋" w:hAnsi="仿宋" w:eastAsia="仿宋" w:cs="仿宋"/>
                <w:sz w:val="21"/>
                <w:szCs w:val="21"/>
                <w:vertAlign w:val="baseline"/>
                <w:lang w:val="en-US" w:eastAsia="zh-CN"/>
              </w:rPr>
              <w:t>3</w:t>
            </w:r>
            <w:r>
              <w:rPr>
                <w:rFonts w:hint="eastAsia" w:ascii="仿宋" w:hAnsi="仿宋" w:eastAsia="仿宋" w:cs="仿宋"/>
                <w:sz w:val="21"/>
                <w:szCs w:val="21"/>
                <w:vertAlign w:val="baseline"/>
              </w:rPr>
              <w:t xml:space="preserve"> 分。</w:t>
            </w:r>
          </w:p>
          <w:p>
            <w:pPr>
              <w:pStyle w:val="19"/>
              <w:spacing w:line="240" w:lineRule="auto"/>
              <w:ind w:right="-31" w:rightChars="-15"/>
              <w:rPr>
                <w:rFonts w:hint="eastAsia" w:ascii="仿宋" w:hAnsi="仿宋" w:eastAsia="仿宋" w:cs="仿宋"/>
                <w:sz w:val="21"/>
                <w:szCs w:val="21"/>
                <w:vertAlign w:val="baseline"/>
              </w:rPr>
            </w:pPr>
            <w:r>
              <w:rPr>
                <w:rFonts w:hint="eastAsia" w:ascii="仿宋" w:hAnsi="仿宋" w:eastAsia="仿宋" w:cs="仿宋"/>
                <w:sz w:val="21"/>
                <w:szCs w:val="21"/>
                <w:vertAlign w:val="baseline"/>
              </w:rPr>
              <w:t>注：1.投标人需提供采购合同（含首页、</w:t>
            </w:r>
            <w:r>
              <w:rPr>
                <w:rFonts w:hint="eastAsia" w:ascii="仿宋" w:hAnsi="仿宋" w:eastAsia="仿宋" w:cs="仿宋"/>
                <w:sz w:val="21"/>
                <w:szCs w:val="21"/>
                <w:vertAlign w:val="baseline"/>
                <w:lang w:val="en-US" w:eastAsia="zh-CN"/>
              </w:rPr>
              <w:t>标的物</w:t>
            </w:r>
            <w:r>
              <w:rPr>
                <w:rFonts w:hint="eastAsia" w:ascii="仿宋" w:hAnsi="仿宋" w:eastAsia="仿宋" w:cs="仿宋"/>
                <w:sz w:val="21"/>
                <w:szCs w:val="21"/>
                <w:vertAlign w:val="baseline"/>
              </w:rPr>
              <w:t>页、签字盖章页</w:t>
            </w:r>
            <w:r>
              <w:rPr>
                <w:rFonts w:hint="eastAsia" w:ascii="仿宋" w:hAnsi="仿宋" w:eastAsia="仿宋" w:cs="仿宋"/>
                <w:sz w:val="21"/>
                <w:szCs w:val="21"/>
                <w:vertAlign w:val="baseline"/>
                <w:lang w:val="en-US" w:eastAsia="zh-CN"/>
              </w:rPr>
              <w:t>等全部合同</w:t>
            </w:r>
            <w:r>
              <w:rPr>
                <w:rFonts w:hint="eastAsia" w:ascii="仿宋" w:hAnsi="仿宋" w:eastAsia="仿宋" w:cs="仿宋"/>
                <w:sz w:val="21"/>
                <w:szCs w:val="21"/>
                <w:vertAlign w:val="baseline"/>
              </w:rPr>
              <w:t>）复印件，否则业绩不予认可。</w:t>
            </w:r>
          </w:p>
          <w:p>
            <w:pPr>
              <w:pStyle w:val="19"/>
              <w:spacing w:line="240" w:lineRule="auto"/>
              <w:ind w:right="-31" w:rightChars="-15"/>
              <w:rPr>
                <w:rFonts w:hint="eastAsia" w:ascii="仿宋" w:hAnsi="仿宋" w:eastAsia="仿宋" w:cs="仿宋"/>
                <w:sz w:val="21"/>
                <w:szCs w:val="21"/>
                <w:vertAlign w:val="baseline"/>
              </w:rPr>
            </w:pPr>
            <w:r>
              <w:rPr>
                <w:rFonts w:hint="eastAsia" w:ascii="仿宋" w:hAnsi="仿宋" w:eastAsia="仿宋" w:cs="仿宋"/>
                <w:sz w:val="21"/>
                <w:szCs w:val="21"/>
                <w:vertAlign w:val="baseline"/>
              </w:rPr>
              <w:t>2.投标产品（若为非单一产品采购包，则提供该包核心产品）或其同类产品销售给经销商或代理商的销售业绩不予认可。</w:t>
            </w:r>
          </w:p>
          <w:p>
            <w:pPr>
              <w:pStyle w:val="19"/>
              <w:spacing w:line="240" w:lineRule="auto"/>
              <w:ind w:right="-31" w:rightChars="-15"/>
              <w:rPr>
                <w:rFonts w:hint="eastAsia" w:ascii="仿宋" w:hAnsi="仿宋" w:eastAsia="仿宋" w:cs="仿宋"/>
                <w:sz w:val="21"/>
                <w:szCs w:val="21"/>
                <w:vertAlign w:val="baseline"/>
              </w:rPr>
            </w:pPr>
            <w:r>
              <w:rPr>
                <w:rFonts w:hint="eastAsia" w:ascii="仿宋" w:hAnsi="仿宋" w:eastAsia="仿宋" w:cs="仿宋"/>
                <w:sz w:val="21"/>
                <w:szCs w:val="21"/>
                <w:vertAlign w:val="baseline"/>
              </w:rPr>
              <w:t>3.同类型产品指与所投产品同档次、主要性能相当的产品。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074" w:type="dxa"/>
            <w:vMerge w:val="restart"/>
            <w:tcBorders>
              <w:right w:val="single" w:color="000000" w:sz="4" w:space="0"/>
            </w:tcBorders>
            <w:vAlign w:val="center"/>
          </w:tcPr>
          <w:p>
            <w:pPr>
              <w:pStyle w:val="19"/>
              <w:spacing w:line="240" w:lineRule="auto"/>
              <w:ind w:right="-19" w:rightChars="-9"/>
              <w:jc w:val="center"/>
              <w:rPr>
                <w:rFonts w:hint="eastAsia" w:ascii="仿宋" w:hAnsi="仿宋" w:eastAsia="仿宋" w:cs="仿宋"/>
                <w:sz w:val="21"/>
                <w:szCs w:val="21"/>
                <w:vertAlign w:val="baseline"/>
              </w:rPr>
            </w:pPr>
            <w:r>
              <w:rPr>
                <w:rFonts w:hint="eastAsia" w:ascii="仿宋" w:hAnsi="仿宋" w:eastAsia="仿宋" w:cs="仿宋"/>
                <w:sz w:val="21"/>
                <w:szCs w:val="21"/>
                <w:vertAlign w:val="baseline"/>
              </w:rPr>
              <w:t>技术部分 (</w:t>
            </w:r>
            <w:r>
              <w:rPr>
                <w:rFonts w:hint="eastAsia" w:ascii="仿宋" w:hAnsi="仿宋" w:eastAsia="仿宋" w:cs="仿宋"/>
                <w:sz w:val="21"/>
                <w:szCs w:val="21"/>
                <w:vertAlign w:val="baseline"/>
                <w:lang w:val="en-US" w:eastAsia="zh-CN"/>
              </w:rPr>
              <w:t>63</w:t>
            </w:r>
            <w:r>
              <w:rPr>
                <w:rFonts w:hint="eastAsia" w:ascii="仿宋" w:hAnsi="仿宋" w:eastAsia="仿宋" w:cs="仿宋"/>
                <w:sz w:val="21"/>
                <w:szCs w:val="21"/>
                <w:vertAlign w:val="baseline"/>
              </w:rPr>
              <w:t>分)</w:t>
            </w:r>
          </w:p>
        </w:tc>
        <w:tc>
          <w:tcPr>
            <w:tcW w:w="994" w:type="dxa"/>
            <w:tcBorders>
              <w:left w:val="single" w:color="000000" w:sz="4" w:space="0"/>
            </w:tcBorders>
            <w:vAlign w:val="center"/>
          </w:tcPr>
          <w:p>
            <w:pPr>
              <w:pStyle w:val="19"/>
              <w:spacing w:line="240" w:lineRule="auto"/>
              <w:ind w:right="31" w:rightChars="15"/>
              <w:jc w:val="center"/>
              <w:rPr>
                <w:rFonts w:hint="eastAsia" w:ascii="仿宋" w:hAnsi="仿宋" w:eastAsia="仿宋" w:cs="仿宋"/>
                <w:sz w:val="21"/>
                <w:szCs w:val="21"/>
                <w:vertAlign w:val="baseline"/>
              </w:rPr>
            </w:pPr>
            <w:r>
              <w:rPr>
                <w:rFonts w:hint="eastAsia" w:ascii="仿宋" w:hAnsi="仿宋" w:eastAsia="仿宋" w:cs="仿宋"/>
                <w:sz w:val="21"/>
                <w:szCs w:val="21"/>
                <w:highlight w:val="none"/>
                <w:vertAlign w:val="baseline"/>
              </w:rPr>
              <w:t>对</w:t>
            </w:r>
            <w:r>
              <w:rPr>
                <w:rFonts w:hint="eastAsia" w:ascii="仿宋" w:hAnsi="仿宋" w:eastAsia="仿宋" w:cs="仿宋"/>
                <w:sz w:val="21"/>
                <w:szCs w:val="21"/>
                <w:highlight w:val="none"/>
                <w:vertAlign w:val="baseline"/>
                <w:lang w:val="en-US" w:eastAsia="zh-CN"/>
              </w:rPr>
              <w:t>投标</w:t>
            </w:r>
            <w:r>
              <w:rPr>
                <w:rFonts w:hint="eastAsia" w:ascii="仿宋" w:hAnsi="仿宋" w:eastAsia="仿宋" w:cs="仿宋"/>
                <w:sz w:val="21"/>
                <w:szCs w:val="21"/>
                <w:highlight w:val="none"/>
                <w:vertAlign w:val="baseline"/>
                <w:lang w:eastAsia="zh-CN"/>
              </w:rPr>
              <w:t>文件</w:t>
            </w:r>
            <w:r>
              <w:rPr>
                <w:rFonts w:hint="eastAsia" w:ascii="仿宋" w:hAnsi="仿宋" w:eastAsia="仿宋" w:cs="仿宋"/>
                <w:sz w:val="21"/>
                <w:szCs w:val="21"/>
                <w:highlight w:val="none"/>
                <w:vertAlign w:val="baseline"/>
              </w:rPr>
              <w:t>技术要求的响应程度</w:t>
            </w:r>
          </w:p>
        </w:tc>
        <w:tc>
          <w:tcPr>
            <w:tcW w:w="843" w:type="dxa"/>
            <w:vAlign w:val="center"/>
          </w:tcPr>
          <w:p>
            <w:pPr>
              <w:pStyle w:val="19"/>
              <w:spacing w:line="240" w:lineRule="auto"/>
              <w:ind w:right="0" w:rightChars="0"/>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vertAlign w:val="baseline"/>
                <w:lang w:val="en-US" w:eastAsia="zh-CN"/>
              </w:rPr>
              <w:t>36</w:t>
            </w:r>
          </w:p>
        </w:tc>
        <w:tc>
          <w:tcPr>
            <w:tcW w:w="5611" w:type="dxa"/>
          </w:tcPr>
          <w:p>
            <w:pPr>
              <w:pStyle w:val="19"/>
              <w:spacing w:line="240" w:lineRule="auto"/>
              <w:ind w:right="-31" w:rightChars="-15"/>
              <w:rPr>
                <w:rFonts w:hint="eastAsia" w:ascii="仿宋" w:hAnsi="仿宋" w:eastAsia="仿宋" w:cs="仿宋"/>
                <w:sz w:val="21"/>
                <w:szCs w:val="21"/>
                <w:highlight w:val="yellow"/>
                <w:vertAlign w:val="baseline"/>
              </w:rPr>
            </w:pPr>
            <w:r>
              <w:rPr>
                <w:rFonts w:hint="eastAsia" w:ascii="仿宋" w:hAnsi="仿宋" w:eastAsia="仿宋" w:cs="仿宋"/>
                <w:sz w:val="21"/>
                <w:szCs w:val="21"/>
                <w:highlight w:val="yellow"/>
                <w:vertAlign w:val="baseline"/>
              </w:rPr>
              <w:t>技术指标评审基准分为</w:t>
            </w:r>
            <w:r>
              <w:rPr>
                <w:rFonts w:hint="eastAsia" w:ascii="仿宋" w:hAnsi="仿宋" w:eastAsia="仿宋" w:cs="仿宋"/>
                <w:sz w:val="21"/>
                <w:szCs w:val="21"/>
                <w:highlight w:val="yellow"/>
                <w:vertAlign w:val="baseline"/>
                <w:lang w:val="en-US" w:eastAsia="zh-CN"/>
              </w:rPr>
              <w:t>36</w:t>
            </w:r>
            <w:r>
              <w:rPr>
                <w:rFonts w:hint="eastAsia" w:ascii="仿宋" w:hAnsi="仿宋" w:eastAsia="仿宋" w:cs="仿宋"/>
                <w:sz w:val="21"/>
                <w:szCs w:val="21"/>
                <w:highlight w:val="yellow"/>
                <w:vertAlign w:val="baseline"/>
              </w:rPr>
              <w:t>分，一般技术条款</w:t>
            </w:r>
            <w:r>
              <w:rPr>
                <w:rFonts w:hint="eastAsia" w:ascii="仿宋" w:hAnsi="仿宋" w:eastAsia="仿宋" w:cs="仿宋"/>
                <w:sz w:val="21"/>
                <w:szCs w:val="21"/>
                <w:highlight w:val="yellow"/>
                <w:vertAlign w:val="baseline"/>
                <w:lang w:val="en-US" w:eastAsia="zh-CN"/>
              </w:rPr>
              <w:t>共12项</w:t>
            </w:r>
            <w:r>
              <w:rPr>
                <w:rFonts w:hint="eastAsia" w:ascii="仿宋" w:hAnsi="仿宋" w:eastAsia="仿宋" w:cs="仿宋"/>
                <w:sz w:val="21"/>
                <w:szCs w:val="21"/>
                <w:highlight w:val="yellow"/>
                <w:vertAlign w:val="baseline"/>
              </w:rPr>
              <w:t>(即非实质性要求)，每项扣</w:t>
            </w:r>
            <w:r>
              <w:rPr>
                <w:rFonts w:hint="eastAsia" w:ascii="仿宋" w:hAnsi="仿宋" w:eastAsia="仿宋" w:cs="仿宋"/>
                <w:sz w:val="21"/>
                <w:szCs w:val="21"/>
                <w:highlight w:val="yellow"/>
                <w:vertAlign w:val="baseline"/>
                <w:lang w:val="en-US" w:eastAsia="zh-CN"/>
              </w:rPr>
              <w:t>3</w:t>
            </w:r>
            <w:r>
              <w:rPr>
                <w:rFonts w:hint="eastAsia" w:ascii="仿宋" w:hAnsi="仿宋" w:eastAsia="仿宋" w:cs="仿宋"/>
                <w:sz w:val="21"/>
                <w:szCs w:val="21"/>
                <w:highlight w:val="yellow"/>
                <w:vertAlign w:val="baseline"/>
              </w:rPr>
              <w:t>分，一般技术条款偏离超过</w:t>
            </w:r>
            <w:r>
              <w:rPr>
                <w:rFonts w:hint="eastAsia" w:ascii="仿宋" w:hAnsi="仿宋" w:eastAsia="仿宋" w:cs="仿宋"/>
                <w:sz w:val="21"/>
                <w:szCs w:val="21"/>
                <w:highlight w:val="yellow"/>
                <w:vertAlign w:val="baseline"/>
                <w:lang w:val="en-US" w:eastAsia="zh-CN"/>
              </w:rPr>
              <w:t>12</w:t>
            </w:r>
            <w:r>
              <w:rPr>
                <w:rFonts w:hint="eastAsia" w:ascii="仿宋" w:hAnsi="仿宋" w:eastAsia="仿宋" w:cs="仿宋"/>
                <w:sz w:val="21"/>
                <w:szCs w:val="21"/>
                <w:highlight w:val="yellow"/>
                <w:vertAlign w:val="baseline"/>
              </w:rPr>
              <w:t xml:space="preserve">项，技术指标项评分就得0分。 </w:t>
            </w:r>
          </w:p>
          <w:p>
            <w:pPr>
              <w:pStyle w:val="19"/>
              <w:spacing w:line="240" w:lineRule="auto"/>
              <w:ind w:right="-31" w:rightChars="-15"/>
              <w:rPr>
                <w:rFonts w:hint="eastAsia" w:ascii="仿宋" w:hAnsi="仿宋" w:eastAsia="仿宋" w:cs="仿宋"/>
                <w:sz w:val="21"/>
                <w:szCs w:val="21"/>
                <w:highlight w:val="yellow"/>
                <w:vertAlign w:val="baseline"/>
              </w:rPr>
            </w:pPr>
            <w:r>
              <w:rPr>
                <w:rFonts w:hint="eastAsia" w:ascii="仿宋" w:hAnsi="仿宋" w:eastAsia="仿宋" w:cs="仿宋"/>
                <w:sz w:val="21"/>
                <w:szCs w:val="21"/>
                <w:highlight w:val="yellow"/>
                <w:vertAlign w:val="baseline"/>
                <w:lang w:val="en-US" w:eastAsia="zh-CN"/>
              </w:rPr>
              <w:t>投标人</w:t>
            </w:r>
            <w:r>
              <w:rPr>
                <w:rFonts w:hint="eastAsia" w:ascii="仿宋" w:hAnsi="仿宋" w:eastAsia="仿宋" w:cs="仿宋"/>
                <w:sz w:val="21"/>
                <w:szCs w:val="21"/>
                <w:highlight w:val="yellow"/>
                <w:vertAlign w:val="baseline"/>
              </w:rPr>
              <w:t>须对本</w:t>
            </w:r>
            <w:r>
              <w:rPr>
                <w:rFonts w:hint="eastAsia" w:ascii="仿宋" w:hAnsi="仿宋" w:eastAsia="仿宋" w:cs="仿宋"/>
                <w:sz w:val="21"/>
                <w:szCs w:val="21"/>
                <w:highlight w:val="yellow"/>
                <w:vertAlign w:val="baseline"/>
                <w:lang w:val="en-US" w:eastAsia="zh-CN"/>
              </w:rPr>
              <w:t>招标</w:t>
            </w:r>
            <w:r>
              <w:rPr>
                <w:rFonts w:hint="eastAsia" w:ascii="仿宋" w:hAnsi="仿宋" w:eastAsia="仿宋" w:cs="仿宋"/>
                <w:sz w:val="21"/>
                <w:szCs w:val="21"/>
                <w:highlight w:val="yellow"/>
                <w:vertAlign w:val="baseline"/>
              </w:rPr>
              <w:t>文件技术要求进行点对点应答，必须在引用本采购文件的基础上,进行逐条逐项答复、说明和解释。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1074" w:type="dxa"/>
            <w:vMerge w:val="continue"/>
            <w:tcBorders>
              <w:right w:val="single" w:color="000000" w:sz="4" w:space="0"/>
            </w:tcBorders>
            <w:vAlign w:val="center"/>
          </w:tcPr>
          <w:p>
            <w:pPr>
              <w:pStyle w:val="19"/>
              <w:spacing w:line="240" w:lineRule="auto"/>
              <w:ind w:right="-19" w:rightChars="-9"/>
              <w:jc w:val="center"/>
              <w:rPr>
                <w:rFonts w:hint="eastAsia" w:ascii="仿宋" w:hAnsi="仿宋" w:eastAsia="仿宋" w:cs="仿宋"/>
                <w:sz w:val="21"/>
                <w:szCs w:val="21"/>
                <w:vertAlign w:val="baseline"/>
              </w:rPr>
            </w:pPr>
          </w:p>
        </w:tc>
        <w:tc>
          <w:tcPr>
            <w:tcW w:w="994" w:type="dxa"/>
            <w:tcBorders>
              <w:left w:val="single" w:color="000000" w:sz="4" w:space="0"/>
            </w:tcBorders>
            <w:vAlign w:val="center"/>
          </w:tcPr>
          <w:p>
            <w:pPr>
              <w:pStyle w:val="19"/>
              <w:spacing w:line="240" w:lineRule="auto"/>
              <w:ind w:right="31" w:rightChars="15"/>
              <w:jc w:val="center"/>
              <w:rPr>
                <w:rFonts w:hint="eastAsia" w:ascii="仿宋" w:hAnsi="仿宋" w:eastAsia="仿宋" w:cs="仿宋"/>
                <w:sz w:val="21"/>
                <w:szCs w:val="21"/>
                <w:highlight w:val="none"/>
                <w:vertAlign w:val="baseline"/>
              </w:rPr>
            </w:pPr>
            <w:r>
              <w:rPr>
                <w:rFonts w:hint="eastAsia" w:ascii="仿宋" w:hAnsi="仿宋" w:eastAsia="仿宋" w:cs="仿宋"/>
                <w:sz w:val="21"/>
                <w:szCs w:val="21"/>
                <w:highlight w:val="none"/>
                <w:vertAlign w:val="baseline"/>
                <w:lang w:val="en-US" w:eastAsia="zh-CN"/>
              </w:rPr>
              <w:t>售后服务保障体系</w:t>
            </w:r>
          </w:p>
        </w:tc>
        <w:tc>
          <w:tcPr>
            <w:tcW w:w="843" w:type="dxa"/>
            <w:vAlign w:val="center"/>
          </w:tcPr>
          <w:p>
            <w:pPr>
              <w:pStyle w:val="19"/>
              <w:spacing w:line="240" w:lineRule="auto"/>
              <w:ind w:right="0" w:rightChars="0"/>
              <w:jc w:val="center"/>
              <w:rPr>
                <w:rFonts w:hint="default" w:ascii="仿宋" w:hAnsi="仿宋" w:eastAsia="仿宋" w:cs="仿宋"/>
                <w:sz w:val="21"/>
                <w:szCs w:val="21"/>
                <w:vertAlign w:val="baseline"/>
                <w:lang w:val="en-US" w:eastAsia="zh-CN"/>
              </w:rPr>
            </w:pPr>
            <w:r>
              <w:rPr>
                <w:rFonts w:hint="eastAsia" w:ascii="仿宋" w:hAnsi="仿宋" w:eastAsia="仿宋" w:cs="仿宋"/>
                <w:sz w:val="21"/>
                <w:szCs w:val="21"/>
                <w:highlight w:val="none"/>
                <w:vertAlign w:val="baseline"/>
                <w:lang w:val="en-US" w:eastAsia="zh-CN"/>
              </w:rPr>
              <w:t>9</w:t>
            </w:r>
          </w:p>
        </w:tc>
        <w:tc>
          <w:tcPr>
            <w:tcW w:w="5611" w:type="dxa"/>
            <w:vAlign w:val="top"/>
          </w:tcPr>
          <w:p>
            <w:pPr>
              <w:pStyle w:val="19"/>
              <w:numPr>
                <w:ilvl w:val="0"/>
                <w:numId w:val="0"/>
              </w:numPr>
              <w:spacing w:line="240" w:lineRule="auto"/>
              <w:ind w:left="0" w:leftChars="0" w:right="-31" w:rightChars="-15" w:firstLine="0" w:firstLineChars="0"/>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根据招标要求和投标技术响应情况，在满足招标文件要求的质量保证期（保修期）前提下，对投标人提供的售后服务方案进行综合评分：</w:t>
            </w:r>
          </w:p>
          <w:p>
            <w:pPr>
              <w:pStyle w:val="19"/>
              <w:numPr>
                <w:ilvl w:val="0"/>
                <w:numId w:val="15"/>
              </w:numPr>
              <w:spacing w:line="240" w:lineRule="auto"/>
              <w:ind w:left="0" w:leftChars="0" w:right="-31" w:rightChars="-15" w:firstLine="0" w:firstLineChars="0"/>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售后服务方案详细，具有针对性、售后网点的分布情况叙述详细、维修的反应速度优于招标文件的要求得9 分</w:t>
            </w:r>
          </w:p>
          <w:p>
            <w:pPr>
              <w:pStyle w:val="19"/>
              <w:numPr>
                <w:ilvl w:val="0"/>
                <w:numId w:val="15"/>
              </w:numPr>
              <w:spacing w:line="240" w:lineRule="auto"/>
              <w:ind w:left="0" w:leftChars="0" w:right="-31" w:rightChars="-15" w:firstLine="0" w:firstLineChars="0"/>
              <w:jc w:val="both"/>
            </w:pPr>
            <w:r>
              <w:rPr>
                <w:rFonts w:hint="eastAsia" w:ascii="仿宋" w:hAnsi="仿宋" w:eastAsia="仿宋" w:cs="仿宋"/>
                <w:sz w:val="21"/>
                <w:szCs w:val="21"/>
                <w:highlight w:val="none"/>
                <w:vertAlign w:val="baseline"/>
                <w:lang w:val="en-US" w:eastAsia="zh-CN"/>
              </w:rPr>
              <w:t>售后服务方案合理、售后网点的分布情况欠缺、维修的反应速度满足招标文件的要求得6 分</w:t>
            </w:r>
          </w:p>
          <w:p>
            <w:pPr>
              <w:pStyle w:val="19"/>
              <w:numPr>
                <w:ilvl w:val="0"/>
                <w:numId w:val="15"/>
              </w:numPr>
              <w:spacing w:line="240" w:lineRule="auto"/>
              <w:ind w:left="0" w:leftChars="0" w:right="-31" w:rightChars="-15" w:firstLine="0" w:firstLineChars="0"/>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售后服务方案简单、售后网点的分布情况欠缺、维修的反应速度满足招标文件的要求得3分</w:t>
            </w:r>
          </w:p>
          <w:p>
            <w:pPr>
              <w:pStyle w:val="19"/>
              <w:numPr>
                <w:ilvl w:val="0"/>
                <w:numId w:val="15"/>
              </w:numPr>
              <w:spacing w:line="240" w:lineRule="auto"/>
              <w:ind w:left="0" w:leftChars="0" w:right="-31" w:rightChars="-15" w:firstLine="0" w:firstLineChars="0"/>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售后服务方案欠缺、方案中没有体现售后网点的分布情况、维修的反应速度不满足招标文件的要求得1 分</w:t>
            </w:r>
          </w:p>
          <w:p>
            <w:pPr>
              <w:pStyle w:val="19"/>
              <w:numPr>
                <w:ilvl w:val="0"/>
                <w:numId w:val="0"/>
              </w:numPr>
              <w:spacing w:line="240" w:lineRule="auto"/>
              <w:ind w:leftChars="0" w:right="-31" w:rightChars="-15"/>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5、质量保证期（保修期）不满足招标文件要求或未提供售后服务方案的不得分。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1074" w:type="dxa"/>
            <w:vMerge w:val="continue"/>
            <w:tcBorders>
              <w:right w:val="single" w:color="000000" w:sz="4" w:space="0"/>
            </w:tcBorders>
            <w:vAlign w:val="center"/>
          </w:tcPr>
          <w:p>
            <w:pPr>
              <w:pStyle w:val="19"/>
              <w:spacing w:line="240" w:lineRule="auto"/>
              <w:ind w:right="-19" w:rightChars="-9"/>
              <w:jc w:val="center"/>
              <w:rPr>
                <w:rFonts w:hint="eastAsia" w:ascii="仿宋" w:hAnsi="仿宋" w:eastAsia="仿宋" w:cs="仿宋"/>
                <w:sz w:val="21"/>
                <w:szCs w:val="21"/>
                <w:vertAlign w:val="baseline"/>
              </w:rPr>
            </w:pPr>
          </w:p>
        </w:tc>
        <w:tc>
          <w:tcPr>
            <w:tcW w:w="994" w:type="dxa"/>
            <w:tcBorders>
              <w:left w:val="single" w:color="000000" w:sz="4" w:space="0"/>
            </w:tcBorders>
            <w:vAlign w:val="center"/>
          </w:tcPr>
          <w:p>
            <w:pPr>
              <w:pStyle w:val="19"/>
              <w:spacing w:line="240" w:lineRule="auto"/>
              <w:ind w:right="31" w:rightChars="15"/>
              <w:jc w:val="center"/>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培训方案</w:t>
            </w:r>
          </w:p>
        </w:tc>
        <w:tc>
          <w:tcPr>
            <w:tcW w:w="843" w:type="dxa"/>
            <w:vAlign w:val="center"/>
          </w:tcPr>
          <w:p>
            <w:pPr>
              <w:pStyle w:val="19"/>
              <w:spacing w:line="240" w:lineRule="auto"/>
              <w:ind w:right="0" w:rightChars="0"/>
              <w:jc w:val="center"/>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5</w:t>
            </w:r>
          </w:p>
        </w:tc>
        <w:tc>
          <w:tcPr>
            <w:tcW w:w="5611" w:type="dxa"/>
            <w:vAlign w:val="top"/>
          </w:tcPr>
          <w:p>
            <w:pPr>
              <w:pStyle w:val="19"/>
              <w:numPr>
                <w:ilvl w:val="0"/>
                <w:numId w:val="0"/>
              </w:numPr>
              <w:spacing w:line="240" w:lineRule="auto"/>
              <w:ind w:left="0" w:leftChars="0" w:right="-31" w:rightChars="-15" w:firstLine="0" w:firstLineChars="0"/>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 xml:space="preserve">投标人提供的技术培训方案，包括对培训对象、培训内容、培训方式、培训资料等方面进行阐述，根据方案的科学性、针对性和可操作性等进行综合评分： </w:t>
            </w:r>
          </w:p>
          <w:p>
            <w:pPr>
              <w:pStyle w:val="19"/>
              <w:numPr>
                <w:ilvl w:val="0"/>
                <w:numId w:val="0"/>
              </w:numPr>
              <w:spacing w:line="240" w:lineRule="auto"/>
              <w:ind w:left="0" w:leftChars="0" w:right="-31" w:rightChars="-15" w:firstLine="0" w:firstLineChars="0"/>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 xml:space="preserve">整体培训方案合理，对培训对象、培训内容、培训方式、培训资料等的计划安排科学明确，针对性和可操作性强的,得 5分； </w:t>
            </w:r>
          </w:p>
          <w:p>
            <w:pPr>
              <w:pStyle w:val="19"/>
              <w:numPr>
                <w:ilvl w:val="0"/>
                <w:numId w:val="0"/>
              </w:numPr>
              <w:spacing w:line="240" w:lineRule="auto"/>
              <w:ind w:left="0" w:leftChars="0" w:right="-31" w:rightChars="-15" w:firstLine="0" w:firstLineChars="0"/>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 xml:space="preserve">整体培训方案较合理，对培训对象、培训内容、培训方式、培训资料等的计划安排科学，针对性和可操作性较强的,得 3分； </w:t>
            </w:r>
          </w:p>
          <w:p>
            <w:pPr>
              <w:pStyle w:val="19"/>
              <w:numPr>
                <w:ilvl w:val="0"/>
                <w:numId w:val="0"/>
              </w:numPr>
              <w:spacing w:line="240" w:lineRule="auto"/>
              <w:ind w:left="0" w:leftChars="0" w:right="-31" w:rightChars="-15" w:firstLine="0" w:firstLineChars="0"/>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 xml:space="preserve">整体培训方案一般或不尽合理，对培训对象、培训内容、培训方式、培训资料等的计划安排,针对性和可操作性一般或不强的，得 1 分； </w:t>
            </w:r>
          </w:p>
          <w:p>
            <w:pPr>
              <w:pStyle w:val="19"/>
              <w:numPr>
                <w:ilvl w:val="0"/>
                <w:numId w:val="0"/>
              </w:numPr>
              <w:spacing w:line="240" w:lineRule="auto"/>
              <w:ind w:left="0" w:leftChars="0" w:right="-31" w:rightChars="-15" w:firstLine="0" w:firstLineChars="0"/>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1074" w:type="dxa"/>
            <w:vMerge w:val="continue"/>
            <w:tcBorders>
              <w:right w:val="single" w:color="000000" w:sz="4" w:space="0"/>
            </w:tcBorders>
            <w:vAlign w:val="center"/>
          </w:tcPr>
          <w:p>
            <w:pPr>
              <w:pStyle w:val="19"/>
              <w:spacing w:line="240" w:lineRule="auto"/>
              <w:ind w:right="-19" w:rightChars="-9"/>
              <w:jc w:val="center"/>
              <w:rPr>
                <w:rFonts w:hint="eastAsia" w:ascii="仿宋" w:hAnsi="仿宋" w:eastAsia="仿宋" w:cs="仿宋"/>
                <w:sz w:val="21"/>
                <w:szCs w:val="21"/>
                <w:vertAlign w:val="baseline"/>
              </w:rPr>
            </w:pPr>
          </w:p>
        </w:tc>
        <w:tc>
          <w:tcPr>
            <w:tcW w:w="994" w:type="dxa"/>
            <w:tcBorders>
              <w:left w:val="single" w:color="000000" w:sz="4" w:space="0"/>
            </w:tcBorders>
            <w:vAlign w:val="center"/>
          </w:tcPr>
          <w:p>
            <w:pPr>
              <w:pStyle w:val="19"/>
              <w:spacing w:line="240" w:lineRule="auto"/>
              <w:ind w:right="31" w:rightChars="15"/>
              <w:jc w:val="center"/>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垃圾分类收集点质量保障方案</w:t>
            </w:r>
          </w:p>
        </w:tc>
        <w:tc>
          <w:tcPr>
            <w:tcW w:w="843" w:type="dxa"/>
            <w:vAlign w:val="center"/>
          </w:tcPr>
          <w:p>
            <w:pPr>
              <w:pStyle w:val="19"/>
              <w:spacing w:line="240" w:lineRule="auto"/>
              <w:ind w:right="0" w:rightChars="0"/>
              <w:jc w:val="center"/>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7</w:t>
            </w:r>
          </w:p>
        </w:tc>
        <w:tc>
          <w:tcPr>
            <w:tcW w:w="5611" w:type="dxa"/>
            <w:vAlign w:val="top"/>
          </w:tcPr>
          <w:p>
            <w:pPr>
              <w:pStyle w:val="19"/>
              <w:numPr>
                <w:ilvl w:val="0"/>
                <w:numId w:val="0"/>
              </w:numPr>
              <w:spacing w:line="240" w:lineRule="auto"/>
              <w:ind w:left="0" w:leftChars="0" w:right="-31" w:rightChars="-15" w:firstLine="0" w:firstLineChars="0"/>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垃圾分类收集点质量保障方案</w:t>
            </w:r>
          </w:p>
          <w:p>
            <w:pPr>
              <w:pStyle w:val="19"/>
              <w:numPr>
                <w:ilvl w:val="0"/>
                <w:numId w:val="0"/>
              </w:numPr>
              <w:spacing w:line="240" w:lineRule="auto"/>
              <w:ind w:left="0" w:leftChars="0" w:right="-31" w:rightChars="-15" w:firstLine="0" w:firstLineChars="0"/>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投标人的质量目标明确，质量保障措施合理、先进，并具有详细的实施内容，对供应产品做出有效、可靠的质量承诺，提供相关证明材料，得7分；</w:t>
            </w:r>
          </w:p>
          <w:p>
            <w:pPr>
              <w:pStyle w:val="19"/>
              <w:numPr>
                <w:ilvl w:val="0"/>
                <w:numId w:val="0"/>
              </w:numPr>
              <w:spacing w:line="240" w:lineRule="auto"/>
              <w:ind w:left="0" w:leftChars="0" w:right="-31" w:rightChars="-15" w:firstLine="0" w:firstLineChars="0"/>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质量目标明确、承诺内容和保障措施内容较简略但尚能满足项目要求，得5分；</w:t>
            </w:r>
          </w:p>
          <w:p>
            <w:pPr>
              <w:pStyle w:val="19"/>
              <w:numPr>
                <w:ilvl w:val="0"/>
                <w:numId w:val="0"/>
              </w:numPr>
              <w:spacing w:line="240" w:lineRule="auto"/>
              <w:ind w:left="0" w:leftChars="0" w:right="-31" w:rightChars="-15" w:firstLine="0" w:firstLineChars="0"/>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质量保障目标不够明确、或保障措施欠合理、缺乏针对性，得2分；不提供不得分。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1" w:hRule="atLeast"/>
          <w:jc w:val="center"/>
        </w:trPr>
        <w:tc>
          <w:tcPr>
            <w:tcW w:w="1074" w:type="dxa"/>
            <w:vMerge w:val="continue"/>
            <w:tcBorders>
              <w:right w:val="single" w:color="000000" w:sz="4" w:space="0"/>
            </w:tcBorders>
            <w:vAlign w:val="center"/>
          </w:tcPr>
          <w:p>
            <w:pPr>
              <w:pStyle w:val="19"/>
              <w:spacing w:line="240" w:lineRule="auto"/>
              <w:ind w:right="-19" w:rightChars="-9"/>
              <w:jc w:val="center"/>
              <w:rPr>
                <w:rFonts w:hint="eastAsia" w:ascii="仿宋" w:hAnsi="仿宋" w:eastAsia="仿宋" w:cs="仿宋"/>
                <w:sz w:val="21"/>
                <w:szCs w:val="21"/>
                <w:vertAlign w:val="baseline"/>
              </w:rPr>
            </w:pPr>
          </w:p>
        </w:tc>
        <w:tc>
          <w:tcPr>
            <w:tcW w:w="994" w:type="dxa"/>
            <w:tcBorders>
              <w:left w:val="single" w:color="000000" w:sz="4" w:space="0"/>
            </w:tcBorders>
            <w:vAlign w:val="center"/>
          </w:tcPr>
          <w:p>
            <w:pPr>
              <w:pStyle w:val="19"/>
              <w:spacing w:line="240" w:lineRule="auto"/>
              <w:ind w:right="31" w:rightChars="15"/>
              <w:jc w:val="center"/>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土方、地坪、电缆铺设等施工方案</w:t>
            </w:r>
          </w:p>
        </w:tc>
        <w:tc>
          <w:tcPr>
            <w:tcW w:w="843" w:type="dxa"/>
            <w:vAlign w:val="center"/>
          </w:tcPr>
          <w:p>
            <w:pPr>
              <w:pStyle w:val="19"/>
              <w:spacing w:line="240" w:lineRule="auto"/>
              <w:ind w:right="0" w:rightChars="0"/>
              <w:jc w:val="center"/>
              <w:rPr>
                <w:rFonts w:hint="default"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5</w:t>
            </w:r>
          </w:p>
        </w:tc>
        <w:tc>
          <w:tcPr>
            <w:tcW w:w="5611" w:type="dxa"/>
            <w:vAlign w:val="top"/>
          </w:tcPr>
          <w:p>
            <w:pPr>
              <w:pStyle w:val="19"/>
              <w:numPr>
                <w:ilvl w:val="0"/>
                <w:numId w:val="0"/>
              </w:numPr>
              <w:spacing w:line="240" w:lineRule="auto"/>
              <w:ind w:left="0" w:leftChars="0" w:right="-31" w:rightChars="-15" w:firstLine="0" w:firstLineChars="0"/>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包括施工方案计划、施工进度计划、人员配置计划、材料供应计划、安全文明施工方案等，以上5项内容完整、编制合理得满分，其中，缺1项扣1分，1项不完整扣0.5分，未提供为0分。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1" w:hRule="atLeast"/>
          <w:jc w:val="center"/>
        </w:trPr>
        <w:tc>
          <w:tcPr>
            <w:tcW w:w="1074" w:type="dxa"/>
            <w:vMerge w:val="continue"/>
            <w:tcBorders>
              <w:right w:val="single" w:color="000000" w:sz="4" w:space="0"/>
            </w:tcBorders>
            <w:vAlign w:val="center"/>
          </w:tcPr>
          <w:p>
            <w:pPr>
              <w:pStyle w:val="19"/>
              <w:spacing w:line="240" w:lineRule="auto"/>
              <w:ind w:right="-19" w:rightChars="-9"/>
              <w:jc w:val="center"/>
              <w:rPr>
                <w:rFonts w:hint="eastAsia" w:ascii="仿宋" w:hAnsi="仿宋" w:eastAsia="仿宋" w:cs="仿宋"/>
                <w:sz w:val="21"/>
                <w:szCs w:val="21"/>
                <w:vertAlign w:val="baseline"/>
              </w:rPr>
            </w:pPr>
          </w:p>
        </w:tc>
        <w:tc>
          <w:tcPr>
            <w:tcW w:w="994" w:type="dxa"/>
            <w:tcBorders>
              <w:left w:val="single" w:color="000000" w:sz="4" w:space="0"/>
            </w:tcBorders>
            <w:vAlign w:val="center"/>
          </w:tcPr>
          <w:p>
            <w:pPr>
              <w:pStyle w:val="19"/>
              <w:spacing w:line="240" w:lineRule="auto"/>
              <w:ind w:right="31" w:rightChars="15"/>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垃圾分类收集点安装方案</w:t>
            </w:r>
          </w:p>
        </w:tc>
        <w:tc>
          <w:tcPr>
            <w:tcW w:w="843" w:type="dxa"/>
            <w:vAlign w:val="center"/>
          </w:tcPr>
          <w:p>
            <w:pPr>
              <w:pStyle w:val="19"/>
              <w:spacing w:line="240" w:lineRule="auto"/>
              <w:ind w:right="0" w:rightChars="0"/>
              <w:jc w:val="center"/>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5</w:t>
            </w:r>
          </w:p>
        </w:tc>
        <w:tc>
          <w:tcPr>
            <w:tcW w:w="5611" w:type="dxa"/>
            <w:vAlign w:val="top"/>
          </w:tcPr>
          <w:p>
            <w:pPr>
              <w:pStyle w:val="19"/>
              <w:numPr>
                <w:ilvl w:val="0"/>
                <w:numId w:val="0"/>
              </w:numPr>
              <w:spacing w:line="240" w:lineRule="auto"/>
              <w:ind w:left="0" w:leftChars="0" w:right="-31" w:rightChars="-15" w:firstLine="0" w:firstLineChars="0"/>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 xml:space="preserve">投标人提供的安装方案，包括对安装对象、安装内容、安装方式等方面进行阐述，根据方案的科学性、针对性和可操作性等进行综合评分： </w:t>
            </w:r>
          </w:p>
          <w:p>
            <w:pPr>
              <w:pStyle w:val="19"/>
              <w:numPr>
                <w:ilvl w:val="0"/>
                <w:numId w:val="0"/>
              </w:numPr>
              <w:spacing w:line="240" w:lineRule="auto"/>
              <w:ind w:left="0" w:leftChars="0" w:right="-31" w:rightChars="-15" w:firstLine="0" w:firstLineChars="0"/>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 xml:space="preserve">整体安装方案合理，对安装对象、安装内容、安装方式等的计划安排科学明确，针对性和可操作性强的,得 5分； </w:t>
            </w:r>
          </w:p>
          <w:p>
            <w:pPr>
              <w:pStyle w:val="19"/>
              <w:numPr>
                <w:ilvl w:val="0"/>
                <w:numId w:val="0"/>
              </w:numPr>
              <w:spacing w:line="240" w:lineRule="auto"/>
              <w:ind w:left="0" w:leftChars="0" w:right="-31" w:rightChars="-15" w:firstLine="0" w:firstLineChars="0"/>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 xml:space="preserve">整体安装方案合理，对安装对象、安装内容、安装方式等的计划安排科学，针对性和可操作性较强的,得 3分； </w:t>
            </w:r>
          </w:p>
          <w:p>
            <w:pPr>
              <w:pStyle w:val="19"/>
              <w:numPr>
                <w:ilvl w:val="0"/>
                <w:numId w:val="0"/>
              </w:numPr>
              <w:spacing w:line="240" w:lineRule="auto"/>
              <w:ind w:left="0" w:leftChars="0" w:right="-31" w:rightChars="-15" w:firstLine="0" w:firstLineChars="0"/>
              <w:jc w:val="both"/>
              <w:rPr>
                <w:rFonts w:hint="eastAsia" w:ascii="仿宋" w:hAnsi="仿宋" w:eastAsia="仿宋" w:cs="仿宋"/>
                <w:sz w:val="21"/>
                <w:szCs w:val="21"/>
                <w:highlight w:val="none"/>
                <w:vertAlign w:val="baseline"/>
                <w:lang w:val="en-US" w:eastAsia="zh-CN"/>
              </w:rPr>
            </w:pPr>
            <w:r>
              <w:rPr>
                <w:rFonts w:hint="eastAsia" w:ascii="仿宋" w:hAnsi="仿宋" w:eastAsia="仿宋" w:cs="仿宋"/>
                <w:sz w:val="21"/>
                <w:szCs w:val="21"/>
                <w:highlight w:val="none"/>
                <w:vertAlign w:val="baseline"/>
                <w:lang w:val="en-US" w:eastAsia="zh-CN"/>
              </w:rPr>
              <w:t>整体安装方案一般或不尽合理，对安装对象、安装内容、安装方式等的计划安排,针对性和可操作性一般或不强的，得 1分；不提供不得分</w:t>
            </w:r>
          </w:p>
        </w:tc>
      </w:tr>
    </w:tbl>
    <w:p>
      <w:pPr>
        <w:pStyle w:val="15"/>
        <w:rPr>
          <w:rFonts w:hint="eastAsia"/>
          <w:lang w:val="en-US" w:eastAsia="zh-CN"/>
        </w:rPr>
      </w:pPr>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评标委员会每位成员独立对每个有效投标人的投标文件进行评价、打分；然后汇总每个投标人的得分，计算得分平均值，以平均值由高到低进行排序，按排序顺序推荐中标候选人。分值计算保留小数点后二位，第三位四舍五入。</w:t>
      </w:r>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落实中小企业政府采购政策的价格调整：</w:t>
      </w:r>
    </w:p>
    <w:p>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对于未预留份额专门面向中小企业采购的采购项目，以及预留份额项目中的非预留部分采购包，根据《关于进一步加大政府采购支持中小企业力度的通知》（财库〔2022〕19号）、《关于印发《政府采购促进中小企业发展管理办法》的通知》（财库〔2020〕46号）、《财政部 司法部关于政府采购支持监狱企业发展有关问题的通知》（财库〔2014〕68号）和《三部门联合发布关于促进残疾人就业政府采购政策的通知》（财库〔2017〕141号）的规定，对满足价格扣除条件且在投标文件中提交了《中小企业声明函》、《残疾人福利性单位声明函》或省级以上监狱管理局、戒毒管理局（含新疆生产建设兵团）出具的属于监狱企业的证明文件的投标人，其投标报价扣除</w:t>
      </w:r>
      <w:r>
        <w:rPr>
          <w:rFonts w:hint="eastAsia" w:ascii="仿宋" w:hAnsi="仿宋" w:eastAsia="仿宋" w:cs="仿宋"/>
          <w:b w:val="0"/>
          <w:bCs w:val="0"/>
          <w:sz w:val="24"/>
          <w:szCs w:val="24"/>
          <w:u w:val="single"/>
          <w:lang w:val="en-US" w:eastAsia="zh-CN"/>
        </w:rPr>
        <w:t xml:space="preserve"> 10 % </w:t>
      </w:r>
      <w:r>
        <w:rPr>
          <w:rFonts w:hint="eastAsia" w:ascii="仿宋" w:hAnsi="仿宋" w:eastAsia="仿宋" w:cs="仿宋"/>
          <w:b w:val="0"/>
          <w:bCs w:val="0"/>
          <w:sz w:val="24"/>
          <w:szCs w:val="24"/>
          <w:lang w:val="en-US" w:eastAsia="zh-CN"/>
        </w:rPr>
        <w:t>后参与评审。对于同时属于小微企业、监狱企业或残疾人福利性单位的，不重复进行投标报价扣除。</w:t>
      </w:r>
    </w:p>
    <w:p>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w:t>
      </w:r>
      <w:r>
        <w:rPr>
          <w:rFonts w:hint="eastAsia" w:ascii="仿宋" w:hAnsi="仿宋" w:eastAsia="仿宋" w:cs="仿宋"/>
          <w:b w:val="0"/>
          <w:bCs w:val="0"/>
          <w:sz w:val="24"/>
          <w:szCs w:val="24"/>
          <w:u w:val="single"/>
          <w:lang w:val="en-US" w:eastAsia="zh-CN"/>
        </w:rPr>
        <w:t xml:space="preserve"> 4% </w:t>
      </w:r>
      <w:r>
        <w:rPr>
          <w:rFonts w:hint="eastAsia" w:ascii="仿宋" w:hAnsi="仿宋" w:eastAsia="仿宋" w:cs="仿宋"/>
          <w:b w:val="0"/>
          <w:bCs w:val="0"/>
          <w:sz w:val="24"/>
          <w:szCs w:val="24"/>
          <w:lang w:val="en-US" w:eastAsia="zh-CN"/>
        </w:rPr>
        <w:t>的扣除，用扣除后的价格参加评审。</w:t>
      </w:r>
    </w:p>
    <w:p>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组成联合体或者接受分包的小微企业与联合体内其他企业、分包企业之间存在直接控股、管理关系的，不享受价格扣除优惠政策。</w:t>
      </w:r>
    </w:p>
    <w:p>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价格扣除比例对小型企业和微型企业同等对待，不作区分。</w:t>
      </w:r>
    </w:p>
    <w:p>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中小企业参加政府采购活动，应当按照招标文件给定的格式出具《中小企业声明函》，否则不得享受相关中小企业扶持政策。</w:t>
      </w:r>
    </w:p>
    <w:p>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监狱企业提供了由省级以上监狱管理局、戒毒管理局（含新疆生产建设兵团）出具的属于监狱企业的证明文件的，视同小微企业。</w:t>
      </w:r>
    </w:p>
    <w:p>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残疾人福利性单位按招标文件要求提供了《残疾人福利性单位声明函》（见附件）的，视同小微企业。</w:t>
      </w:r>
    </w:p>
    <w:p>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lang w:val="en-US" w:eastAsia="zh-CN"/>
        </w:rPr>
      </w:pPr>
      <w:r>
        <w:rPr>
          <w:rFonts w:hint="eastAsia" w:ascii="仿宋" w:hAnsi="仿宋" w:eastAsia="仿宋" w:cs="仿宋"/>
          <w:b w:val="0"/>
          <w:bCs w:val="0"/>
          <w:sz w:val="24"/>
          <w:szCs w:val="24"/>
          <w:lang w:val="en-US" w:eastAsia="zh-CN"/>
        </w:rPr>
        <w:t>若投标人同时属于小型或微型企业、监狱企业、残疾人福利性单位中的两种及以上，将不重复享受小微企业价格扣减的优惠政策。</w:t>
      </w:r>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u w:val="single"/>
          <w:lang w:val="en-US" w:eastAsia="zh-CN"/>
        </w:rPr>
      </w:pPr>
      <w:r>
        <w:rPr>
          <w:rFonts w:hint="eastAsia" w:ascii="仿宋" w:hAnsi="仿宋" w:eastAsia="仿宋" w:cs="仿宋"/>
          <w:b w:val="0"/>
          <w:bCs w:val="0"/>
          <w:sz w:val="24"/>
          <w:szCs w:val="24"/>
          <w:lang w:val="en-US" w:eastAsia="zh-CN"/>
        </w:rPr>
        <w:t>投标人所投产品如被列入财政部与国家主管部门颁发的节能产品目录或环境标志产品目录或无线局域网产品目录，应提供相关证明，在评标时予以优先采购，具体优惠措施为：</w:t>
      </w:r>
      <w:r>
        <w:rPr>
          <w:rFonts w:hint="eastAsia" w:ascii="仿宋" w:hAnsi="仿宋" w:eastAsia="仿宋" w:cs="仿宋"/>
          <w:b w:val="0"/>
          <w:bCs w:val="0"/>
          <w:sz w:val="24"/>
          <w:szCs w:val="24"/>
          <w:u w:val="single"/>
          <w:lang w:val="en-US" w:eastAsia="zh-CN"/>
        </w:rPr>
        <w:t>综合得分相同时排名优先。</w:t>
      </w:r>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u w:val="single"/>
          <w:lang w:val="en-US" w:eastAsia="zh-CN"/>
        </w:rPr>
      </w:pPr>
      <w:r>
        <w:rPr>
          <w:rFonts w:hint="eastAsia" w:ascii="仿宋" w:hAnsi="仿宋" w:eastAsia="仿宋" w:cs="仿宋"/>
          <w:b w:val="0"/>
          <w:bCs w:val="0"/>
          <w:sz w:val="24"/>
          <w:szCs w:val="24"/>
          <w:u w:val="none"/>
          <w:lang w:val="en-US" w:eastAsia="zh-CN"/>
        </w:rPr>
        <w:t>如采购人所采购产品为政府强制采购的节能产品，投标人所投产品的品牌及型号必须为清单中有效期内产品并提供证明文件，否则其投标将作为</w:t>
      </w:r>
      <w:r>
        <w:rPr>
          <w:rFonts w:hint="eastAsia" w:ascii="仿宋" w:hAnsi="仿宋" w:eastAsia="仿宋" w:cs="仿宋"/>
          <w:b/>
          <w:bCs/>
          <w:sz w:val="24"/>
          <w:szCs w:val="24"/>
          <w:u w:val="none"/>
          <w:lang w:val="en-US" w:eastAsia="zh-CN"/>
        </w:rPr>
        <w:t>无效投标</w:t>
      </w:r>
      <w:r>
        <w:rPr>
          <w:rFonts w:hint="eastAsia" w:ascii="仿宋" w:hAnsi="仿宋" w:eastAsia="仿宋" w:cs="仿宋"/>
          <w:b w:val="0"/>
          <w:bCs w:val="0"/>
          <w:sz w:val="24"/>
          <w:szCs w:val="24"/>
          <w:u w:val="none"/>
          <w:lang w:val="en-US" w:eastAsia="zh-CN"/>
        </w:rPr>
        <w:t>被拒绝。</w:t>
      </w:r>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投标人所投产品列入无线局域网产品清单，应提供相关证明，在评标时予以优先采购，具体优惠措施为：</w:t>
      </w:r>
      <w:r>
        <w:rPr>
          <w:rFonts w:hint="eastAsia" w:ascii="仿宋" w:hAnsi="仿宋" w:eastAsia="仿宋" w:cs="仿宋"/>
          <w:b w:val="0"/>
          <w:bCs w:val="0"/>
          <w:sz w:val="24"/>
          <w:szCs w:val="24"/>
          <w:u w:val="single"/>
          <w:lang w:val="en-US" w:eastAsia="zh-CN"/>
        </w:rPr>
        <w:t>综合得分相同时排名优先 。</w:t>
      </w:r>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同品牌处理办法：</w:t>
      </w:r>
    </w:p>
    <w:p>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如采用最低评标办法，则：</w:t>
      </w:r>
      <w:r>
        <w:rPr>
          <w:rFonts w:hint="eastAsia" w:ascii="仿宋" w:hAnsi="仿宋" w:eastAsia="仿宋" w:cs="仿宋"/>
          <w:b w:val="0"/>
          <w:bCs w:val="0"/>
          <w:sz w:val="24"/>
          <w:szCs w:val="24"/>
          <w:u w:val="single"/>
          <w:lang w:val="en-US" w:eastAsia="zh-CN"/>
        </w:rPr>
        <w:t>提供相同品牌产品的不同投标人以其中通过资格审查、符合性审查且报价最低的参加评标；报价相同的，由评标委员会采取随机抽取方式确定，其他同品牌投标人不作为中标候选人。</w:t>
      </w:r>
    </w:p>
    <w:p>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如采用综合评标法，则：</w:t>
      </w:r>
      <w:r>
        <w:rPr>
          <w:rFonts w:hint="eastAsia" w:ascii="仿宋" w:hAnsi="仿宋" w:eastAsia="仿宋" w:cs="仿宋"/>
          <w:b w:val="0"/>
          <w:bCs w:val="0"/>
          <w:sz w:val="24"/>
          <w:szCs w:val="24"/>
          <w:u w:val="single"/>
          <w:lang w:val="en-US" w:eastAsia="zh-CN"/>
        </w:rPr>
        <w:t>提供相同品牌产品且通过资格审查、符合性审查的不同投标人，按一家投标人计算，评审后得分最高的同品牌投标人获得中标人推荐资格；评审得分相同的，按投标报价最低的获得中标人推荐资格；评审得分和投标报价均相同的，按技术评审得分最高的获得中标人推荐资格，评审得分、投标报价和技术评审得分三项均相同的由评标委员会采取随机抽取方式确定，其他同品牌投标人不作为中标候选人</w:t>
      </w:r>
      <w:r>
        <w:rPr>
          <w:rFonts w:hint="eastAsia" w:ascii="仿宋" w:hAnsi="仿宋" w:eastAsia="仿宋" w:cs="仿宋"/>
          <w:b w:val="0"/>
          <w:bCs w:val="0"/>
          <w:sz w:val="24"/>
          <w:szCs w:val="24"/>
          <w:u w:val="none"/>
          <w:lang w:val="en-US" w:eastAsia="zh-CN"/>
        </w:rPr>
        <w:t>。</w:t>
      </w:r>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如一个分包内包含多种产品的，采购人或采购代理机构将在</w:t>
      </w:r>
      <w:r>
        <w:rPr>
          <w:rFonts w:hint="eastAsia" w:ascii="仿宋" w:hAnsi="仿宋" w:eastAsia="仿宋" w:cs="仿宋"/>
          <w:b w:val="0"/>
          <w:bCs w:val="0"/>
          <w:sz w:val="24"/>
          <w:szCs w:val="24"/>
          <w:u w:val="single"/>
          <w:lang w:val="en-US" w:eastAsia="zh-CN"/>
        </w:rPr>
        <w:t>投标人须知前附表</w:t>
      </w:r>
      <w:r>
        <w:rPr>
          <w:rFonts w:hint="eastAsia" w:ascii="仿宋" w:hAnsi="仿宋" w:eastAsia="仿宋" w:cs="仿宋"/>
          <w:b w:val="0"/>
          <w:bCs w:val="0"/>
          <w:sz w:val="24"/>
          <w:szCs w:val="24"/>
          <w:u w:val="none"/>
          <w:lang w:val="en-US" w:eastAsia="zh-CN"/>
        </w:rPr>
        <w:t xml:space="preserve">中载明核心产品，多家投标人提供的所有核心产品品牌均相同的，按第六章  评标程序、评标方法和评标标准第6.6条规定处理。 </w:t>
      </w:r>
    </w:p>
    <w:p>
      <w:pPr>
        <w:keepNext w:val="0"/>
        <w:keepLines w:val="0"/>
        <w:pageBreakBefore w:val="0"/>
        <w:widowControl w:val="0"/>
        <w:numPr>
          <w:ilvl w:val="1"/>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确定中标候选人名单</w:t>
      </w:r>
    </w:p>
    <w:p>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u w:val="none"/>
          <w:lang w:val="en-US" w:eastAsia="zh-CN"/>
        </w:rPr>
      </w:pPr>
      <w:r>
        <w:rPr>
          <w:rFonts w:hint="eastAsia" w:ascii="仿宋" w:hAnsi="仿宋" w:eastAsia="仿宋" w:cs="仿宋"/>
          <w:b w:val="0"/>
          <w:bCs w:val="0"/>
          <w:sz w:val="24"/>
          <w:szCs w:val="24"/>
          <w:highlight w:val="none"/>
          <w:u w:val="none"/>
          <w:lang w:val="en-US" w:eastAsia="zh-CN"/>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u w:val="none"/>
          <w:lang w:val="en-US" w:eastAsia="zh-CN"/>
        </w:rPr>
      </w:pPr>
      <w:r>
        <w:rPr>
          <w:rFonts w:hint="eastAsia" w:ascii="仿宋" w:hAnsi="仿宋" w:eastAsia="仿宋" w:cs="仿宋"/>
          <w:b w:val="0"/>
          <w:bCs w:val="0"/>
          <w:sz w:val="24"/>
          <w:szCs w:val="24"/>
          <w:highlight w:val="none"/>
          <w:u w:val="none"/>
          <w:lang w:val="en-US" w:eastAsia="zh-CN"/>
        </w:rPr>
        <w:t>采用最低评标价法的，评标结果按投标报价由低到高顺序排列。投标报价相同的并列。投标文件满足招标文件全部实质性要求且投标报价最低的投标人为排名第一的中标候选人。</w:t>
      </w:r>
    </w:p>
    <w:p>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u w:val="none"/>
          <w:lang w:val="en-US" w:eastAsia="zh-CN"/>
        </w:rPr>
      </w:pPr>
      <w:r>
        <w:rPr>
          <w:rFonts w:hint="eastAsia" w:ascii="仿宋" w:hAnsi="仿宋" w:eastAsia="仿宋" w:cs="仿宋"/>
          <w:b w:val="0"/>
          <w:bCs w:val="0"/>
          <w:sz w:val="24"/>
          <w:szCs w:val="24"/>
          <w:highlight w:val="none"/>
          <w:u w:val="none"/>
          <w:lang w:val="en-US" w:eastAsia="zh-CN"/>
        </w:rPr>
        <w:t>评标委员会要对评分汇总情况进行复核，特别是对排名第一的、报价最低的、投标或响应文件被认定为无效的情形进行重点复核。</w:t>
      </w:r>
    </w:p>
    <w:p>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u w:val="none"/>
          <w:lang w:val="en-US" w:eastAsia="zh-CN"/>
        </w:rPr>
      </w:pPr>
      <w:r>
        <w:rPr>
          <w:rFonts w:hint="eastAsia" w:ascii="仿宋" w:hAnsi="仿宋" w:eastAsia="仿宋" w:cs="仿宋"/>
          <w:b w:val="0"/>
          <w:bCs w:val="0"/>
          <w:sz w:val="24"/>
          <w:szCs w:val="24"/>
          <w:highlight w:val="none"/>
          <w:u w:val="none"/>
          <w:lang w:val="en-US" w:eastAsia="zh-CN"/>
        </w:rPr>
        <w:t>评标委员会将根据各投标人的评标排序，依次推荐本项目（各采购包/标项）的中标候选人，起草并签署评标报告。本项目（各采购包/标项）评标委员会共（各）推荐 1 名中标候选人。</w:t>
      </w:r>
    </w:p>
    <w:p>
      <w:pPr>
        <w:keepNext w:val="0"/>
        <w:keepLines w:val="0"/>
        <w:pageBreakBefore w:val="0"/>
        <w:widowControl w:val="0"/>
        <w:numPr>
          <w:ilvl w:val="2"/>
          <w:numId w:val="14"/>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highlight w:val="none"/>
          <w:u w:val="none"/>
          <w:lang w:val="en-US" w:eastAsia="zh-CN"/>
        </w:rPr>
      </w:pPr>
      <w:r>
        <w:rPr>
          <w:rFonts w:hint="eastAsia" w:ascii="仿宋" w:hAnsi="仿宋" w:eastAsia="仿宋" w:cs="仿宋"/>
          <w:b w:val="0"/>
          <w:bCs w:val="0"/>
          <w:sz w:val="24"/>
          <w:szCs w:val="24"/>
          <w:highlight w:val="none"/>
          <w:u w:val="none"/>
          <w:lang w:val="en-US" w:eastAsia="zh-CN"/>
        </w:rPr>
        <w:br w:type="page"/>
      </w:r>
    </w:p>
    <w:p>
      <w:pPr>
        <w:pStyle w:val="11"/>
        <w:numPr>
          <w:ilvl w:val="0"/>
          <w:numId w:val="1"/>
        </w:numPr>
        <w:bidi w:val="0"/>
        <w:jc w:val="center"/>
        <w:rPr>
          <w:rFonts w:hint="eastAsia" w:ascii="仿宋" w:hAnsi="仿宋" w:eastAsia="仿宋" w:cs="仿宋"/>
          <w:sz w:val="32"/>
          <w:szCs w:val="32"/>
          <w:lang w:val="en-US" w:eastAsia="zh-CN"/>
        </w:rPr>
      </w:pPr>
      <w:bookmarkStart w:id="27" w:name="_Toc31337"/>
      <w:r>
        <w:rPr>
          <w:rFonts w:hint="eastAsia" w:ascii="仿宋" w:hAnsi="仿宋" w:eastAsia="仿宋" w:cs="仿宋"/>
          <w:sz w:val="32"/>
          <w:szCs w:val="32"/>
          <w:lang w:val="en-US" w:eastAsia="zh-CN"/>
        </w:rPr>
        <w:t>投标文件格式</w:t>
      </w:r>
      <w:bookmarkEnd w:id="27"/>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val="0"/>
          <w:bCs w:val="0"/>
          <w:sz w:val="24"/>
          <w:szCs w:val="24"/>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ind w:leftChars="0"/>
        <w:jc w:val="both"/>
        <w:textAlignment w:val="auto"/>
        <w:rPr>
          <w:rFonts w:hint="eastAsia" w:ascii="仿宋" w:hAnsi="仿宋" w:eastAsia="仿宋" w:cs="仿宋"/>
          <w:b/>
          <w:bCs/>
          <w:sz w:val="24"/>
          <w:szCs w:val="24"/>
          <w:u w:val="none"/>
          <w:lang w:val="en-US" w:eastAsia="zh-CN"/>
        </w:rPr>
      </w:pPr>
      <w:r>
        <w:rPr>
          <w:rFonts w:hint="eastAsia" w:ascii="仿宋" w:hAnsi="仿宋" w:eastAsia="仿宋" w:cs="仿宋"/>
          <w:b/>
          <w:bCs/>
          <w:sz w:val="24"/>
          <w:szCs w:val="24"/>
          <w:u w:val="none"/>
          <w:lang w:val="en-US" w:eastAsia="zh-CN"/>
        </w:rPr>
        <w:t>投标人编制文件须知</w:t>
      </w:r>
    </w:p>
    <w:p>
      <w:pPr>
        <w:keepNext w:val="0"/>
        <w:keepLines w:val="0"/>
        <w:pageBreakBefore w:val="0"/>
        <w:widowControl w:val="0"/>
        <w:numPr>
          <w:ilvl w:val="0"/>
          <w:numId w:val="16"/>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为保证评标工作的顺利进行，各投标人需参照如下的格式，认真进行投标文件的编写工作。需建立详细的目录。</w:t>
      </w:r>
    </w:p>
    <w:p>
      <w:pPr>
        <w:keepNext w:val="0"/>
        <w:keepLines w:val="0"/>
        <w:pageBreakBefore w:val="0"/>
        <w:widowControl w:val="0"/>
        <w:numPr>
          <w:ilvl w:val="0"/>
          <w:numId w:val="16"/>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各投标人提交文件中涉及商业机密的，应明确标明，采购人及最终用户将给予保密处理，否则视为公开资料。</w:t>
      </w:r>
    </w:p>
    <w:p>
      <w:pPr>
        <w:keepNext w:val="0"/>
        <w:keepLines w:val="0"/>
        <w:pageBreakBefore w:val="0"/>
        <w:widowControl w:val="0"/>
        <w:numPr>
          <w:ilvl w:val="0"/>
          <w:numId w:val="16"/>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全部声明和问题的回答及所附材料必须是真实的、准确的和完整的。</w:t>
      </w:r>
    </w:p>
    <w:p>
      <w:pPr>
        <w:keepNext w:val="0"/>
        <w:keepLines w:val="0"/>
        <w:pageBreakBefore w:val="0"/>
        <w:widowControl w:val="0"/>
        <w:numPr>
          <w:ilvl w:val="0"/>
          <w:numId w:val="16"/>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本采购文件中所要求加盖的投标人公章是指与供应商名称全称相一致的“行政公章”，不得加盖其它“合同专用章、投标专用章、财务专用章”等非行政公章；“签字”是指供应商法定代表人（单位负责人）或授权委托人在采购文件规定处亲笔写上本人姓名（含电子签名）；“法定代表人（单位负责人）签章或印鉴”是指供应商法定代表人（单位负责人）在采购文件规定处加盖个人名章、手签章、印鉴等。</w:t>
      </w:r>
    </w:p>
    <w:p>
      <w:pPr>
        <w:keepNext w:val="0"/>
        <w:keepLines w:val="0"/>
        <w:pageBreakBefore w:val="0"/>
        <w:widowControl w:val="0"/>
        <w:numPr>
          <w:ilvl w:val="0"/>
          <w:numId w:val="16"/>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“法定代表人（单位负责人）”指供应商营业执照或登记证书载明的“法定代表人”、“负责人”、“执行事务合伙人”、“投资人”等。</w:t>
      </w:r>
    </w:p>
    <w:p>
      <w:pPr>
        <w:keepNext w:val="0"/>
        <w:keepLines w:val="0"/>
        <w:pageBreakBefore w:val="0"/>
        <w:widowControl w:val="0"/>
        <w:numPr>
          <w:ilvl w:val="0"/>
          <w:numId w:val="16"/>
        </w:numPr>
        <w:kinsoku/>
        <w:wordWrap/>
        <w:overflowPunct/>
        <w:topLinePunct w:val="0"/>
        <w:autoSpaceDE/>
        <w:autoSpaceDN/>
        <w:bidi w:val="0"/>
        <w:adjustRightInd/>
        <w:snapToGrid/>
        <w:spacing w:line="500" w:lineRule="exact"/>
        <w:ind w:left="0" w:leftChars="0" w:firstLine="0" w:firstLineChars="0"/>
        <w:jc w:val="both"/>
        <w:textAlignment w:val="auto"/>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t>以联合体参加的，除采购文件格式中要求外，采购文件要求的供应商盖章处应按加盖联合体协议中约定的联合体牵头人公章或所有联合体成员公章。</w:t>
      </w:r>
    </w:p>
    <w:p>
      <w:pPr>
        <w:keepNext w:val="0"/>
        <w:keepLines w:val="0"/>
        <w:pageBreakBefore w:val="0"/>
        <w:widowControl w:val="0"/>
        <w:numPr>
          <w:ilvl w:val="0"/>
          <w:numId w:val="0"/>
        </w:numPr>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sz w:val="24"/>
          <w:szCs w:val="24"/>
          <w:u w:val="none"/>
          <w:lang w:val="en-US" w:eastAsia="zh-CN"/>
        </w:rPr>
      </w:pPr>
    </w:p>
    <w:p>
      <w:pPr>
        <w:rPr>
          <w:rFonts w:hint="eastAsia" w:ascii="仿宋" w:hAnsi="仿宋" w:eastAsia="仿宋" w:cs="仿宋"/>
          <w:b w:val="0"/>
          <w:bCs w:val="0"/>
          <w:sz w:val="24"/>
          <w:szCs w:val="24"/>
          <w:u w:val="none"/>
          <w:lang w:val="en-US" w:eastAsia="zh-CN"/>
        </w:rPr>
      </w:pPr>
      <w:r>
        <w:rPr>
          <w:rFonts w:hint="eastAsia" w:ascii="仿宋" w:hAnsi="仿宋" w:eastAsia="仿宋" w:cs="仿宋"/>
          <w:b w:val="0"/>
          <w:bCs w:val="0"/>
          <w:sz w:val="24"/>
          <w:szCs w:val="24"/>
          <w:u w:val="none"/>
          <w:lang w:val="en-US" w:eastAsia="zh-CN"/>
        </w:rPr>
        <w:br w:type="page"/>
      </w:r>
    </w:p>
    <w:p>
      <w:pPr>
        <w:keepNext w:val="0"/>
        <w:keepLines w:val="0"/>
        <w:widowControl/>
        <w:suppressLineNumbers w:val="0"/>
        <w:jc w:val="left"/>
        <w:rPr>
          <w:rFonts w:hint="eastAsia" w:ascii="仿宋" w:hAnsi="仿宋" w:eastAsia="仿宋" w:cs="仿宋"/>
          <w:b/>
          <w:bCs/>
          <w:color w:val="000000"/>
          <w:kern w:val="0"/>
          <w:sz w:val="24"/>
          <w:szCs w:val="24"/>
          <w:lang w:val="en-US" w:eastAsia="zh-CN" w:bidi="ar"/>
        </w:rPr>
      </w:pPr>
    </w:p>
    <w:p>
      <w:pPr>
        <w:keepNext w:val="0"/>
        <w:keepLines w:val="0"/>
        <w:widowControl/>
        <w:suppressLineNumbers w:val="0"/>
        <w:jc w:val="left"/>
        <w:outlineLvl w:val="1"/>
        <w:rPr>
          <w:rFonts w:hint="eastAsia" w:ascii="仿宋" w:hAnsi="仿宋" w:eastAsia="仿宋" w:cs="仿宋"/>
          <w:b/>
          <w:bCs/>
          <w:color w:val="000000"/>
          <w:kern w:val="0"/>
          <w:sz w:val="24"/>
          <w:szCs w:val="24"/>
          <w:lang w:val="en-US" w:eastAsia="zh-CN" w:bidi="ar"/>
        </w:rPr>
      </w:pPr>
      <w:bookmarkStart w:id="28" w:name="_Toc10196"/>
      <w:r>
        <w:rPr>
          <w:rFonts w:hint="eastAsia" w:ascii="仿宋" w:hAnsi="仿宋" w:eastAsia="仿宋" w:cs="仿宋"/>
          <w:b/>
          <w:bCs/>
          <w:color w:val="000000"/>
          <w:kern w:val="0"/>
          <w:sz w:val="24"/>
          <w:szCs w:val="24"/>
          <w:lang w:val="en-US" w:eastAsia="zh-CN" w:bidi="ar"/>
        </w:rPr>
        <w:t>投标文件封面（参考格式）</w:t>
      </w:r>
      <w:bookmarkEnd w:id="28"/>
    </w:p>
    <w:p>
      <w:pPr>
        <w:keepNext w:val="0"/>
        <w:keepLines w:val="0"/>
        <w:widowControl/>
        <w:suppressLineNumbers w:val="0"/>
        <w:jc w:val="left"/>
        <w:rPr>
          <w:rFonts w:hint="eastAsia" w:ascii="仿宋" w:hAnsi="仿宋" w:eastAsia="仿宋" w:cs="仿宋"/>
          <w:b/>
          <w:bCs/>
          <w:color w:val="000000"/>
          <w:kern w:val="0"/>
          <w:sz w:val="84"/>
          <w:szCs w:val="84"/>
          <w:lang w:val="en-US" w:eastAsia="zh-CN" w:bidi="ar"/>
        </w:rPr>
      </w:pPr>
    </w:p>
    <w:p>
      <w:pPr>
        <w:keepNext w:val="0"/>
        <w:keepLines w:val="0"/>
        <w:widowControl/>
        <w:suppressLineNumbers w:val="0"/>
        <w:jc w:val="left"/>
        <w:rPr>
          <w:rFonts w:hint="eastAsia" w:ascii="仿宋" w:hAnsi="仿宋" w:eastAsia="仿宋" w:cs="仿宋"/>
          <w:b/>
          <w:bCs/>
          <w:color w:val="000000"/>
          <w:kern w:val="0"/>
          <w:sz w:val="84"/>
          <w:szCs w:val="84"/>
          <w:lang w:val="en-US" w:eastAsia="zh-CN" w:bidi="ar"/>
        </w:rPr>
      </w:pPr>
    </w:p>
    <w:p>
      <w:pPr>
        <w:keepNext w:val="0"/>
        <w:keepLines w:val="0"/>
        <w:widowControl/>
        <w:suppressLineNumbers w:val="0"/>
        <w:jc w:val="center"/>
        <w:rPr>
          <w:rFonts w:hint="eastAsia" w:ascii="仿宋" w:hAnsi="仿宋" w:eastAsia="仿宋" w:cs="仿宋"/>
        </w:rPr>
      </w:pPr>
      <w:r>
        <w:rPr>
          <w:rFonts w:hint="eastAsia" w:ascii="仿宋" w:hAnsi="仿宋" w:eastAsia="仿宋" w:cs="仿宋"/>
          <w:b/>
          <w:bCs/>
          <w:color w:val="000000"/>
          <w:kern w:val="0"/>
          <w:sz w:val="84"/>
          <w:szCs w:val="84"/>
          <w:lang w:val="en-US" w:eastAsia="zh-CN" w:bidi="ar"/>
        </w:rPr>
        <w:t>投标文件</w:t>
      </w:r>
    </w:p>
    <w:p>
      <w:pPr>
        <w:keepNext w:val="0"/>
        <w:keepLines w:val="0"/>
        <w:widowControl/>
        <w:suppressLineNumbers w:val="0"/>
        <w:jc w:val="left"/>
        <w:rPr>
          <w:rFonts w:hint="eastAsia" w:ascii="仿宋" w:hAnsi="仿宋" w:eastAsia="仿宋" w:cs="仿宋"/>
          <w:b/>
          <w:bCs/>
          <w:color w:val="000000"/>
          <w:kern w:val="0"/>
          <w:sz w:val="52"/>
          <w:szCs w:val="52"/>
          <w:lang w:val="en-US" w:eastAsia="zh-CN" w:bidi="ar"/>
        </w:rPr>
      </w:pPr>
    </w:p>
    <w:p>
      <w:pPr>
        <w:keepNext w:val="0"/>
        <w:keepLines w:val="0"/>
        <w:widowControl/>
        <w:suppressLineNumbers w:val="0"/>
        <w:jc w:val="left"/>
        <w:rPr>
          <w:rFonts w:hint="eastAsia" w:ascii="仿宋" w:hAnsi="仿宋" w:eastAsia="仿宋" w:cs="仿宋"/>
          <w:b/>
          <w:bCs/>
          <w:color w:val="000000"/>
          <w:kern w:val="0"/>
          <w:sz w:val="52"/>
          <w:szCs w:val="52"/>
          <w:lang w:val="en-US" w:eastAsia="zh-CN" w:bidi="ar"/>
        </w:rPr>
      </w:pPr>
    </w:p>
    <w:p>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52"/>
          <w:szCs w:val="52"/>
          <w:lang w:val="en-US" w:eastAsia="zh-CN" w:bidi="ar"/>
        </w:rPr>
        <w:t xml:space="preserve"> </w:t>
      </w:r>
    </w:p>
    <w:p>
      <w:pPr>
        <w:keepNext w:val="0"/>
        <w:keepLines w:val="0"/>
        <w:widowControl/>
        <w:suppressLineNumbers w:val="0"/>
        <w:jc w:val="left"/>
        <w:rPr>
          <w:rFonts w:hint="eastAsia" w:ascii="仿宋" w:hAnsi="仿宋" w:eastAsia="仿宋" w:cs="仿宋"/>
          <w:b/>
          <w:bCs/>
          <w:color w:val="000000"/>
          <w:kern w:val="0"/>
          <w:sz w:val="31"/>
          <w:szCs w:val="31"/>
          <w:lang w:val="en-US" w:eastAsia="zh-CN" w:bidi="ar"/>
        </w:rPr>
      </w:pPr>
    </w:p>
    <w:p>
      <w:pPr>
        <w:keepNext w:val="0"/>
        <w:keepLines w:val="0"/>
        <w:widowControl/>
        <w:suppressLineNumbers w:val="0"/>
        <w:jc w:val="left"/>
        <w:rPr>
          <w:rFonts w:hint="eastAsia" w:ascii="仿宋" w:hAnsi="仿宋" w:eastAsia="仿宋" w:cs="仿宋"/>
          <w:b/>
          <w:bCs/>
          <w:color w:val="000000"/>
          <w:kern w:val="0"/>
          <w:sz w:val="31"/>
          <w:szCs w:val="31"/>
          <w:lang w:val="en-US" w:eastAsia="zh-CN" w:bidi="ar"/>
        </w:rPr>
      </w:pPr>
    </w:p>
    <w:p>
      <w:pPr>
        <w:keepNext w:val="0"/>
        <w:keepLines w:val="0"/>
        <w:widowControl/>
        <w:suppressLineNumbers w:val="0"/>
        <w:jc w:val="left"/>
        <w:rPr>
          <w:rFonts w:hint="eastAsia" w:ascii="仿宋" w:hAnsi="仿宋" w:eastAsia="仿宋" w:cs="仿宋"/>
          <w:b/>
          <w:bCs/>
          <w:color w:val="000000"/>
          <w:kern w:val="0"/>
          <w:sz w:val="31"/>
          <w:szCs w:val="31"/>
          <w:lang w:val="en-US" w:eastAsia="zh-CN" w:bidi="ar"/>
        </w:rPr>
      </w:pPr>
    </w:p>
    <w:p>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31"/>
          <w:szCs w:val="31"/>
          <w:lang w:val="en-US" w:eastAsia="zh-CN" w:bidi="ar"/>
        </w:rPr>
        <w:t xml:space="preserve">项目名称: </w:t>
      </w:r>
    </w:p>
    <w:p>
      <w:pPr>
        <w:keepNext w:val="0"/>
        <w:keepLines w:val="0"/>
        <w:widowControl/>
        <w:suppressLineNumbers w:val="0"/>
        <w:jc w:val="left"/>
        <w:rPr>
          <w:rFonts w:hint="eastAsia" w:ascii="仿宋" w:hAnsi="仿宋" w:eastAsia="仿宋" w:cs="仿宋"/>
        </w:rPr>
      </w:pPr>
      <w:r>
        <w:rPr>
          <w:rFonts w:hint="eastAsia" w:ascii="仿宋" w:hAnsi="仿宋" w:eastAsia="仿宋" w:cs="仿宋"/>
          <w:b/>
          <w:bCs/>
          <w:color w:val="000000"/>
          <w:kern w:val="0"/>
          <w:sz w:val="31"/>
          <w:szCs w:val="31"/>
          <w:lang w:val="en-US" w:eastAsia="zh-CN" w:bidi="ar"/>
        </w:rPr>
        <w:t xml:space="preserve">项目编号/包号： </w:t>
      </w:r>
    </w:p>
    <w:p>
      <w:pPr>
        <w:keepNext w:val="0"/>
        <w:keepLines w:val="0"/>
        <w:widowControl/>
        <w:suppressLineNumbers w:val="0"/>
        <w:jc w:val="left"/>
        <w:rPr>
          <w:rFonts w:hint="eastAsia" w:ascii="仿宋" w:hAnsi="仿宋" w:eastAsia="仿宋" w:cs="仿宋"/>
          <w:b/>
          <w:bCs/>
          <w:color w:val="000000"/>
          <w:kern w:val="0"/>
          <w:sz w:val="31"/>
          <w:szCs w:val="31"/>
          <w:lang w:val="en-US" w:eastAsia="zh-CN" w:bidi="ar"/>
        </w:rPr>
      </w:pPr>
    </w:p>
    <w:p>
      <w:pPr>
        <w:keepNext w:val="0"/>
        <w:keepLines w:val="0"/>
        <w:widowControl/>
        <w:suppressLineNumbers w:val="0"/>
        <w:jc w:val="left"/>
        <w:rPr>
          <w:rFonts w:hint="eastAsia" w:ascii="仿宋" w:hAnsi="仿宋" w:eastAsia="仿宋" w:cs="仿宋"/>
          <w:b/>
          <w:bCs/>
          <w:color w:val="000000"/>
          <w:kern w:val="0"/>
          <w:sz w:val="31"/>
          <w:szCs w:val="31"/>
          <w:lang w:val="en-US" w:eastAsia="zh-CN" w:bidi="ar"/>
        </w:rPr>
      </w:pPr>
    </w:p>
    <w:p>
      <w:pPr>
        <w:keepNext w:val="0"/>
        <w:keepLines w:val="0"/>
        <w:widowControl/>
        <w:suppressLineNumbers w:val="0"/>
        <w:jc w:val="left"/>
        <w:rPr>
          <w:rFonts w:hint="eastAsia" w:ascii="仿宋" w:hAnsi="仿宋" w:eastAsia="仿宋" w:cs="仿宋"/>
          <w:b/>
          <w:bCs/>
          <w:color w:val="000000"/>
          <w:kern w:val="0"/>
          <w:sz w:val="31"/>
          <w:szCs w:val="31"/>
          <w:lang w:val="en-US" w:eastAsia="zh-CN" w:bidi="ar"/>
        </w:rPr>
      </w:pPr>
    </w:p>
    <w:p>
      <w:pPr>
        <w:keepNext w:val="0"/>
        <w:keepLines w:val="0"/>
        <w:widowControl/>
        <w:suppressLineNumbers w:val="0"/>
        <w:jc w:val="left"/>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投标人名称（盖公章）：</w:t>
      </w:r>
    </w:p>
    <w:p>
      <w:pPr>
        <w:keepNext w:val="0"/>
        <w:keepLines w:val="0"/>
        <w:widowControl/>
        <w:suppressLineNumbers w:val="0"/>
        <w:jc w:val="left"/>
        <w:rPr>
          <w:rFonts w:hint="eastAsia" w:ascii="仿宋" w:hAnsi="仿宋" w:eastAsia="仿宋" w:cs="仿宋"/>
          <w:b/>
          <w:bCs/>
          <w:color w:val="000000"/>
          <w:kern w:val="0"/>
          <w:sz w:val="31"/>
          <w:szCs w:val="31"/>
          <w:lang w:val="en-US" w:eastAsia="zh-CN" w:bidi="ar"/>
        </w:rPr>
      </w:pPr>
      <w:r>
        <w:rPr>
          <w:rFonts w:hint="eastAsia" w:ascii="仿宋" w:hAnsi="仿宋" w:eastAsia="仿宋" w:cs="仿宋"/>
          <w:b/>
          <w:bCs/>
          <w:color w:val="000000"/>
          <w:kern w:val="0"/>
          <w:sz w:val="31"/>
          <w:szCs w:val="31"/>
          <w:lang w:val="en-US" w:eastAsia="zh-CN" w:bidi="ar"/>
        </w:rPr>
        <w:t>法定代表人或其授权代表签字（或签章）：</w:t>
      </w:r>
    </w:p>
    <w:p>
      <w:pPr>
        <w:keepNext w:val="0"/>
        <w:keepLines w:val="0"/>
        <w:widowControl/>
        <w:suppressLineNumbers w:val="0"/>
        <w:jc w:val="left"/>
        <w:rPr>
          <w:rFonts w:hint="eastAsia" w:ascii="仿宋" w:hAnsi="仿宋" w:eastAsia="仿宋" w:cs="仿宋"/>
          <w:b/>
          <w:bCs/>
          <w:color w:val="000000"/>
          <w:kern w:val="0"/>
          <w:sz w:val="31"/>
          <w:szCs w:val="31"/>
          <w:lang w:val="en-US" w:eastAsia="zh-CN" w:bidi="ar"/>
        </w:rPr>
      </w:pPr>
    </w:p>
    <w:p>
      <w:pPr>
        <w:keepNext w:val="0"/>
        <w:keepLines w:val="0"/>
        <w:widowControl/>
        <w:suppressLineNumbers w:val="0"/>
        <w:jc w:val="left"/>
        <w:rPr>
          <w:rFonts w:hint="eastAsia" w:ascii="仿宋" w:hAnsi="仿宋" w:eastAsia="仿宋" w:cs="仿宋"/>
          <w:b/>
          <w:bCs/>
          <w:color w:val="000000"/>
          <w:kern w:val="0"/>
          <w:sz w:val="31"/>
          <w:szCs w:val="31"/>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 xml:space="preserve">1   满足《中华人民共和国政府采购法》第二十二条规定及法律法规的其他规定 </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t>附件 1-1 法人或者其他组织的营业执照等证明文件或自然人的身份证明复印件;</w:t>
      </w:r>
    </w:p>
    <w:p>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val="0"/>
          <w:bCs w:val="0"/>
          <w:color w:val="000000"/>
          <w:kern w:val="0"/>
          <w:sz w:val="24"/>
          <w:szCs w:val="24"/>
          <w:lang w:val="en-US" w:eastAsia="zh-CN" w:bidi="ar"/>
        </w:rPr>
      </w:pPr>
    </w:p>
    <w:p>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t xml:space="preserve">附件 </w:t>
      </w:r>
      <w:r>
        <w:rPr>
          <w:rFonts w:hint="eastAsia" w:ascii="仿宋" w:hAnsi="仿宋" w:eastAsia="仿宋" w:cs="仿宋"/>
          <w:color w:val="000000"/>
          <w:kern w:val="0"/>
          <w:sz w:val="24"/>
          <w:u w:val="none"/>
          <w:lang w:val="en-US" w:eastAsia="zh-CN" w:bidi="ar"/>
        </w:rPr>
        <w:t>1</w:t>
      </w:r>
      <w:r>
        <w:rPr>
          <w:rFonts w:hint="eastAsia" w:ascii="仿宋" w:hAnsi="仿宋" w:eastAsia="仿宋" w:cs="仿宋"/>
          <w:color w:val="000000"/>
          <w:kern w:val="0"/>
          <w:sz w:val="24"/>
          <w:u w:val="none"/>
          <w:lang w:bidi="ar"/>
        </w:rPr>
        <w:t>-</w:t>
      </w:r>
      <w:r>
        <w:rPr>
          <w:rFonts w:hint="eastAsia" w:ascii="仿宋" w:hAnsi="仿宋" w:eastAsia="仿宋" w:cs="仿宋"/>
          <w:color w:val="000000"/>
          <w:kern w:val="0"/>
          <w:sz w:val="24"/>
          <w:u w:val="none"/>
          <w:lang w:val="en-US" w:eastAsia="zh-CN" w:bidi="ar"/>
        </w:rPr>
        <w:t>2</w:t>
      </w:r>
      <w:r>
        <w:rPr>
          <w:rFonts w:hint="eastAsia" w:ascii="仿宋" w:hAnsi="仿宋" w:eastAsia="仿宋" w:cs="仿宋"/>
          <w:color w:val="000000"/>
          <w:kern w:val="0"/>
          <w:sz w:val="24"/>
          <w:u w:val="none"/>
          <w:lang w:bidi="ar"/>
        </w:rPr>
        <w:t xml:space="preserve"> 投标人具有良好的商业信誉和健全的财务会计制度的证明文件</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t>说明：</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u w:val="none"/>
          <w:lang w:bidi="ar"/>
        </w:rPr>
      </w:pPr>
      <w:bookmarkStart w:id="29" w:name="_Toc16703"/>
      <w:r>
        <w:rPr>
          <w:rFonts w:hint="eastAsia" w:ascii="仿宋" w:hAnsi="仿宋" w:eastAsia="仿宋" w:cs="仿宋"/>
          <w:color w:val="000000"/>
          <w:kern w:val="0"/>
          <w:sz w:val="24"/>
          <w:u w:val="none"/>
          <w:lang w:bidi="ar"/>
        </w:rPr>
        <w:t>1、复印件并加盖本单位公章</w:t>
      </w:r>
      <w:bookmarkEnd w:id="29"/>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t>2、若提供的是复印件，采购人、采购代理机构保留审核原件的权利。</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u w:val="none"/>
          <w:lang w:bidi="ar"/>
        </w:rPr>
      </w:pPr>
      <w:bookmarkStart w:id="30" w:name="_Toc32425"/>
      <w:r>
        <w:rPr>
          <w:rFonts w:hint="eastAsia" w:ascii="仿宋" w:hAnsi="仿宋" w:eastAsia="仿宋" w:cs="仿宋"/>
          <w:color w:val="000000"/>
          <w:kern w:val="0"/>
          <w:sz w:val="24"/>
          <w:u w:val="none"/>
          <w:lang w:bidi="ar"/>
        </w:rPr>
        <w:t>3、如果是联合体投标，联合体各方均需提供上述证明。</w:t>
      </w:r>
      <w:bookmarkEnd w:id="30"/>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br w:type="page"/>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t>附件</w:t>
      </w:r>
      <w:r>
        <w:rPr>
          <w:rFonts w:hint="eastAsia" w:ascii="仿宋" w:hAnsi="仿宋" w:eastAsia="仿宋" w:cs="仿宋"/>
          <w:color w:val="000000"/>
          <w:kern w:val="0"/>
          <w:sz w:val="24"/>
          <w:u w:val="none"/>
          <w:lang w:val="en-US" w:eastAsia="zh-CN" w:bidi="ar"/>
        </w:rPr>
        <w:t>1</w:t>
      </w:r>
      <w:r>
        <w:rPr>
          <w:rFonts w:hint="eastAsia" w:ascii="仿宋" w:hAnsi="仿宋" w:eastAsia="仿宋" w:cs="仿宋"/>
          <w:color w:val="000000"/>
          <w:kern w:val="0"/>
          <w:sz w:val="24"/>
          <w:u w:val="none"/>
          <w:lang w:bidi="ar"/>
        </w:rPr>
        <w:t>-</w:t>
      </w:r>
      <w:r>
        <w:rPr>
          <w:rFonts w:hint="eastAsia" w:ascii="仿宋" w:hAnsi="仿宋" w:eastAsia="仿宋" w:cs="仿宋"/>
          <w:color w:val="000000"/>
          <w:kern w:val="0"/>
          <w:sz w:val="24"/>
          <w:u w:val="none"/>
          <w:lang w:val="en-US" w:eastAsia="zh-CN" w:bidi="ar"/>
        </w:rPr>
        <w:t>3</w:t>
      </w:r>
      <w:r>
        <w:rPr>
          <w:rFonts w:hint="eastAsia" w:ascii="仿宋" w:hAnsi="仿宋" w:eastAsia="仿宋" w:cs="仿宋"/>
          <w:color w:val="000000"/>
          <w:kern w:val="0"/>
          <w:sz w:val="24"/>
          <w:u w:val="none"/>
          <w:lang w:bidi="ar"/>
        </w:rPr>
        <w:t xml:space="preserve"> </w:t>
      </w:r>
      <w:r>
        <w:rPr>
          <w:rFonts w:hint="eastAsia" w:ascii="仿宋" w:hAnsi="仿宋" w:eastAsia="仿宋" w:cs="仿宋"/>
          <w:color w:val="000000"/>
          <w:kern w:val="0"/>
          <w:sz w:val="24"/>
          <w:u w:val="none"/>
          <w:lang w:val="en-US" w:eastAsia="zh-CN" w:bidi="ar"/>
        </w:rPr>
        <w:t xml:space="preserve"> </w:t>
      </w:r>
      <w:r>
        <w:rPr>
          <w:rFonts w:hint="eastAsia" w:ascii="仿宋" w:hAnsi="仿宋" w:eastAsia="仿宋" w:cs="仿宋"/>
          <w:color w:val="000000"/>
          <w:kern w:val="0"/>
          <w:sz w:val="24"/>
          <w:u w:val="none"/>
          <w:lang w:bidi="ar"/>
        </w:rPr>
        <w:t>投标人缴纳税收的证明</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t>说明：</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u w:val="none"/>
          <w:lang w:bidi="ar"/>
        </w:rPr>
      </w:pPr>
      <w:bookmarkStart w:id="31" w:name="_Toc7512"/>
      <w:r>
        <w:rPr>
          <w:rFonts w:hint="eastAsia" w:ascii="仿宋" w:hAnsi="仿宋" w:eastAsia="仿宋" w:cs="仿宋"/>
          <w:color w:val="000000"/>
          <w:kern w:val="0"/>
          <w:sz w:val="24"/>
          <w:u w:val="none"/>
          <w:lang w:bidi="ar"/>
        </w:rPr>
        <w:t>1、复印件并加盖本单位公章</w:t>
      </w:r>
      <w:bookmarkEnd w:id="31"/>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t>2、若提供的是复印件，采购人、采购代理机构保留审核原件的权利。</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u w:val="none"/>
          <w:lang w:bidi="ar"/>
        </w:rPr>
      </w:pPr>
      <w:bookmarkStart w:id="32" w:name="_Toc8376"/>
      <w:r>
        <w:rPr>
          <w:rFonts w:hint="eastAsia" w:ascii="仿宋" w:hAnsi="仿宋" w:eastAsia="仿宋" w:cs="仿宋"/>
          <w:color w:val="000000"/>
          <w:kern w:val="0"/>
          <w:sz w:val="24"/>
          <w:u w:val="none"/>
          <w:lang w:bidi="ar"/>
        </w:rPr>
        <w:t>3、如果是联合体投标，联合体各方均需提供上述证明。</w:t>
      </w:r>
      <w:r>
        <w:rPr>
          <w:rFonts w:hint="eastAsia" w:ascii="仿宋" w:hAnsi="仿宋" w:eastAsia="仿宋" w:cs="仿宋"/>
          <w:color w:val="000000"/>
          <w:kern w:val="0"/>
          <w:sz w:val="24"/>
          <w:u w:val="none"/>
          <w:lang w:bidi="ar"/>
        </w:rPr>
        <w:br w:type="page"/>
      </w:r>
      <w:bookmarkEnd w:id="32"/>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t>附件</w:t>
      </w:r>
      <w:r>
        <w:rPr>
          <w:rFonts w:hint="eastAsia" w:ascii="仿宋" w:hAnsi="仿宋" w:eastAsia="仿宋" w:cs="仿宋"/>
          <w:color w:val="000000"/>
          <w:kern w:val="0"/>
          <w:sz w:val="24"/>
          <w:u w:val="none"/>
          <w:lang w:val="en-US" w:eastAsia="zh-CN" w:bidi="ar"/>
        </w:rPr>
        <w:t>1</w:t>
      </w:r>
      <w:r>
        <w:rPr>
          <w:rFonts w:hint="eastAsia" w:ascii="仿宋" w:hAnsi="仿宋" w:eastAsia="仿宋" w:cs="仿宋"/>
          <w:color w:val="000000"/>
          <w:kern w:val="0"/>
          <w:sz w:val="24"/>
          <w:u w:val="none"/>
          <w:lang w:bidi="ar"/>
        </w:rPr>
        <w:t>-</w:t>
      </w:r>
      <w:r>
        <w:rPr>
          <w:rFonts w:hint="eastAsia" w:ascii="仿宋" w:hAnsi="仿宋" w:eastAsia="仿宋" w:cs="仿宋"/>
          <w:color w:val="000000"/>
          <w:kern w:val="0"/>
          <w:sz w:val="24"/>
          <w:u w:val="none"/>
          <w:lang w:val="en-US" w:eastAsia="zh-CN" w:bidi="ar"/>
        </w:rPr>
        <w:t>4</w:t>
      </w:r>
      <w:r>
        <w:rPr>
          <w:rFonts w:hint="eastAsia" w:ascii="仿宋" w:hAnsi="仿宋" w:eastAsia="仿宋" w:cs="仿宋"/>
          <w:color w:val="000000"/>
          <w:kern w:val="0"/>
          <w:sz w:val="24"/>
          <w:u w:val="none"/>
          <w:lang w:bidi="ar"/>
        </w:rPr>
        <w:t xml:space="preserve"> </w:t>
      </w:r>
      <w:r>
        <w:rPr>
          <w:rFonts w:hint="eastAsia" w:ascii="仿宋" w:hAnsi="仿宋" w:eastAsia="仿宋" w:cs="仿宋"/>
          <w:color w:val="000000"/>
          <w:kern w:val="0"/>
          <w:sz w:val="24"/>
          <w:u w:val="none"/>
          <w:lang w:val="en-US" w:eastAsia="zh-CN" w:bidi="ar"/>
        </w:rPr>
        <w:t xml:space="preserve"> </w:t>
      </w:r>
      <w:r>
        <w:rPr>
          <w:rFonts w:hint="eastAsia" w:ascii="仿宋" w:hAnsi="仿宋" w:eastAsia="仿宋" w:cs="仿宋"/>
          <w:color w:val="000000"/>
          <w:kern w:val="0"/>
          <w:sz w:val="24"/>
          <w:u w:val="none"/>
          <w:lang w:bidi="ar"/>
        </w:rPr>
        <w:t>投标人为职工缴纳社会保险的证明</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t>说明：</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u w:val="none"/>
          <w:lang w:bidi="ar"/>
        </w:rPr>
      </w:pPr>
      <w:bookmarkStart w:id="33" w:name="_Toc3006"/>
      <w:r>
        <w:rPr>
          <w:rFonts w:hint="eastAsia" w:ascii="仿宋" w:hAnsi="仿宋" w:eastAsia="仿宋" w:cs="仿宋"/>
          <w:color w:val="000000"/>
          <w:kern w:val="0"/>
          <w:sz w:val="24"/>
          <w:u w:val="none"/>
          <w:lang w:bidi="ar"/>
        </w:rPr>
        <w:t>1、复印件并加盖本单位公章</w:t>
      </w:r>
      <w:bookmarkEnd w:id="33"/>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t>2、若提供的是复印件，采购人、采购代理机构保留审核原件的权利。</w:t>
      </w:r>
    </w:p>
    <w:p>
      <w:pPr>
        <w:keepNext w:val="0"/>
        <w:keepLines w:val="0"/>
        <w:pageBreakBefore w:val="0"/>
        <w:widowControl w:val="0"/>
        <w:kinsoku/>
        <w:wordWrap/>
        <w:overflowPunct/>
        <w:topLinePunct w:val="0"/>
        <w:autoSpaceDE/>
        <w:autoSpaceDN/>
        <w:bidi w:val="0"/>
        <w:adjustRightInd/>
        <w:snapToGrid/>
        <w:spacing w:line="500" w:lineRule="exact"/>
        <w:textAlignment w:val="auto"/>
        <w:outlineLvl w:val="1"/>
        <w:rPr>
          <w:rFonts w:hint="eastAsia" w:ascii="仿宋" w:hAnsi="仿宋" w:eastAsia="仿宋" w:cs="仿宋"/>
          <w:color w:val="000000"/>
          <w:kern w:val="0"/>
          <w:sz w:val="24"/>
          <w:u w:val="none"/>
          <w:lang w:bidi="ar"/>
        </w:rPr>
      </w:pPr>
      <w:bookmarkStart w:id="34" w:name="_Toc28907"/>
      <w:r>
        <w:rPr>
          <w:rFonts w:hint="eastAsia" w:ascii="仿宋" w:hAnsi="仿宋" w:eastAsia="仿宋" w:cs="仿宋"/>
          <w:color w:val="000000"/>
          <w:kern w:val="0"/>
          <w:sz w:val="24"/>
          <w:u w:val="none"/>
          <w:lang w:bidi="ar"/>
        </w:rPr>
        <w:t>3、如果是联合体投标，联合体各方均需提供上述证明。</w:t>
      </w:r>
      <w:bookmarkEnd w:id="34"/>
    </w:p>
    <w:p>
      <w:pPr>
        <w:rPr>
          <w:rFonts w:hint="eastAsia" w:ascii="仿宋" w:hAnsi="仿宋" w:eastAsia="仿宋" w:cs="仿宋"/>
          <w:color w:val="000000"/>
          <w:kern w:val="0"/>
          <w:sz w:val="24"/>
          <w:u w:val="none"/>
          <w:lang w:bidi="ar"/>
        </w:rPr>
      </w:pPr>
    </w:p>
    <w:p>
      <w:pP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br w:type="page"/>
      </w:r>
    </w:p>
    <w:p>
      <w:pPr>
        <w:rPr>
          <w:rFonts w:hint="eastAsia" w:ascii="仿宋" w:hAnsi="仿宋" w:eastAsia="仿宋" w:cs="仿宋"/>
          <w:color w:val="000000"/>
          <w:kern w:val="0"/>
          <w:sz w:val="24"/>
          <w:u w:val="none"/>
          <w:lang w:bidi="ar"/>
        </w:rPr>
      </w:pPr>
      <w:r>
        <w:rPr>
          <w:rFonts w:hint="eastAsia" w:ascii="仿宋" w:hAnsi="仿宋" w:eastAsia="仿宋" w:cs="仿宋"/>
          <w:color w:val="000000"/>
          <w:kern w:val="0"/>
          <w:sz w:val="24"/>
          <w:u w:val="none"/>
          <w:lang w:bidi="ar"/>
        </w:rPr>
        <w:t xml:space="preserve">附件 </w:t>
      </w:r>
      <w:r>
        <w:rPr>
          <w:rFonts w:hint="eastAsia" w:ascii="仿宋" w:hAnsi="仿宋" w:eastAsia="仿宋" w:cs="仿宋"/>
          <w:color w:val="000000"/>
          <w:kern w:val="0"/>
          <w:sz w:val="24"/>
          <w:u w:val="none"/>
          <w:lang w:val="en-US" w:eastAsia="zh-CN" w:bidi="ar"/>
        </w:rPr>
        <w:t>1</w:t>
      </w:r>
      <w:r>
        <w:rPr>
          <w:rFonts w:hint="eastAsia" w:ascii="仿宋" w:hAnsi="仿宋" w:eastAsia="仿宋" w:cs="仿宋"/>
          <w:color w:val="000000"/>
          <w:kern w:val="0"/>
          <w:sz w:val="24"/>
          <w:u w:val="none"/>
          <w:lang w:bidi="ar"/>
        </w:rPr>
        <w:t>-</w:t>
      </w:r>
      <w:r>
        <w:rPr>
          <w:rFonts w:hint="eastAsia" w:ascii="仿宋" w:hAnsi="仿宋" w:eastAsia="仿宋" w:cs="仿宋"/>
          <w:color w:val="000000"/>
          <w:kern w:val="0"/>
          <w:sz w:val="24"/>
          <w:u w:val="none"/>
          <w:lang w:val="en-US" w:eastAsia="zh-CN" w:bidi="ar"/>
        </w:rPr>
        <w:t>5</w:t>
      </w:r>
      <w:r>
        <w:rPr>
          <w:rFonts w:hint="eastAsia" w:ascii="仿宋" w:hAnsi="仿宋" w:eastAsia="仿宋" w:cs="仿宋"/>
          <w:color w:val="000000"/>
          <w:kern w:val="0"/>
          <w:sz w:val="24"/>
          <w:u w:val="none"/>
          <w:lang w:bidi="ar"/>
        </w:rPr>
        <w:t xml:space="preserve"> 投标人资格声明书</w:t>
      </w:r>
    </w:p>
    <w:p>
      <w:pPr>
        <w:rPr>
          <w:rFonts w:hint="eastAsia" w:ascii="仿宋" w:hAnsi="仿宋" w:eastAsia="仿宋" w:cs="仿宋"/>
          <w:color w:val="000000"/>
          <w:kern w:val="0"/>
          <w:sz w:val="24"/>
          <w:u w:val="none"/>
          <w:lang w:bidi="ar"/>
        </w:rPr>
      </w:pPr>
    </w:p>
    <w:p>
      <w:pPr>
        <w:keepNext w:val="0"/>
        <w:keepLines w:val="0"/>
        <w:widowControl/>
        <w:suppressLineNumbers w:val="0"/>
        <w:jc w:val="center"/>
        <w:rPr>
          <w:rFonts w:hint="eastAsia" w:ascii="仿宋" w:hAnsi="仿宋" w:eastAsia="仿宋" w:cs="仿宋"/>
          <w:b w:val="0"/>
          <w:bCs w:val="0"/>
          <w:sz w:val="32"/>
          <w:szCs w:val="32"/>
        </w:rPr>
      </w:pPr>
      <w:r>
        <w:rPr>
          <w:rFonts w:hint="eastAsia" w:ascii="仿宋" w:hAnsi="仿宋" w:eastAsia="仿宋" w:cs="仿宋"/>
          <w:b w:val="0"/>
          <w:bCs w:val="0"/>
          <w:color w:val="000000"/>
          <w:kern w:val="0"/>
          <w:sz w:val="32"/>
          <w:szCs w:val="32"/>
          <w:lang w:val="en-US" w:eastAsia="zh-CN" w:bidi="ar"/>
        </w:rPr>
        <w:t>投标人资格声明书</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致：</w:t>
      </w:r>
      <w:r>
        <w:rPr>
          <w:rFonts w:hint="eastAsia" w:ascii="仿宋" w:hAnsi="仿宋" w:eastAsia="仿宋" w:cs="仿宋"/>
          <w:color w:val="000000"/>
          <w:kern w:val="0"/>
          <w:sz w:val="24"/>
          <w:szCs w:val="24"/>
          <w:u w:val="single"/>
          <w:lang w:val="en-US" w:eastAsia="zh-CN" w:bidi="ar"/>
        </w:rPr>
        <w:t xml:space="preserve">采购人或采购代理机构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在参与本次项目投标中，我单位承诺：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（一）具有良好的商业信誉和健全的财务会计制度；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（二）具有履行合同所必需的设备和专业技术能力；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（三）有依法缴纳税收和社会保障资金的良好记录；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（五）我单位不属于政府采购法律、行政法规规定的公益一类事业单位、或使用事业编制且由财政拨款保障的群团组织（仅适用于政府购买服务项目）；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（六）我单位不存在为采购项目提供整体设计、规范编制或者项目管理、监理、检测等服务后，再参加该采购项目的其他采购活动的情形（单一来源采购项目除外）；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（七）与我单位存在“单位负责人为同一人或者存在直接控股、管理关系”的其他法人单位信息如下（如有，不论其是否参加同一合同项下的政府采购活动均须填写）： </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5"/>
        <w:gridCol w:w="3798"/>
        <w:gridCol w:w="3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pPr>
              <w:keepNext w:val="0"/>
              <w:keepLines w:val="0"/>
              <w:widowControl/>
              <w:suppressLineNumbers w:val="0"/>
              <w:jc w:val="center"/>
              <w:rPr>
                <w:rFonts w:hint="eastAsia" w:ascii="仿宋" w:hAnsi="仿宋" w:eastAsia="仿宋" w:cs="仿宋"/>
                <w:color w:val="000000"/>
                <w:kern w:val="0"/>
                <w:sz w:val="24"/>
                <w:szCs w:val="24"/>
                <w:vertAlign w:val="baseline"/>
                <w:lang w:val="en-US" w:eastAsia="zh-CN" w:bidi="ar"/>
              </w:rPr>
            </w:pPr>
            <w:r>
              <w:rPr>
                <w:rFonts w:hint="eastAsia" w:ascii="仿宋" w:hAnsi="仿宋" w:eastAsia="仿宋" w:cs="仿宋"/>
                <w:color w:val="000000"/>
                <w:kern w:val="0"/>
                <w:sz w:val="24"/>
                <w:szCs w:val="24"/>
                <w:vertAlign w:val="baseline"/>
                <w:lang w:val="en-US" w:eastAsia="zh-CN" w:bidi="ar"/>
              </w:rPr>
              <w:t>序号</w:t>
            </w:r>
          </w:p>
        </w:tc>
        <w:tc>
          <w:tcPr>
            <w:tcW w:w="3798" w:type="dxa"/>
            <w:vAlign w:val="center"/>
          </w:tcPr>
          <w:p>
            <w:pPr>
              <w:keepNext w:val="0"/>
              <w:keepLines w:val="0"/>
              <w:widowControl/>
              <w:suppressLineNumbers w:val="0"/>
              <w:jc w:val="center"/>
              <w:rPr>
                <w:rFonts w:hint="eastAsia" w:ascii="仿宋" w:hAnsi="仿宋" w:eastAsia="仿宋" w:cs="仿宋"/>
                <w:color w:val="000000"/>
                <w:kern w:val="0"/>
                <w:sz w:val="24"/>
                <w:szCs w:val="24"/>
                <w:vertAlign w:val="baseline"/>
                <w:lang w:val="en-US" w:eastAsia="zh-CN" w:bidi="ar"/>
              </w:rPr>
            </w:pPr>
            <w:r>
              <w:rPr>
                <w:rFonts w:hint="eastAsia" w:ascii="仿宋" w:hAnsi="仿宋" w:eastAsia="仿宋" w:cs="仿宋"/>
                <w:color w:val="000000"/>
                <w:kern w:val="0"/>
                <w:sz w:val="24"/>
                <w:szCs w:val="24"/>
                <w:vertAlign w:val="baseline"/>
                <w:lang w:val="en-US" w:eastAsia="zh-CN" w:bidi="ar"/>
              </w:rPr>
              <w:t>单位名称</w:t>
            </w:r>
          </w:p>
        </w:tc>
        <w:tc>
          <w:tcPr>
            <w:tcW w:w="3406" w:type="dxa"/>
            <w:vAlign w:val="center"/>
          </w:tcPr>
          <w:p>
            <w:pPr>
              <w:keepNext w:val="0"/>
              <w:keepLines w:val="0"/>
              <w:widowControl/>
              <w:suppressLineNumbers w:val="0"/>
              <w:jc w:val="center"/>
              <w:rPr>
                <w:rFonts w:hint="eastAsia" w:ascii="仿宋" w:hAnsi="仿宋" w:eastAsia="仿宋" w:cs="仿宋"/>
                <w:color w:val="000000"/>
                <w:kern w:val="0"/>
                <w:sz w:val="24"/>
                <w:szCs w:val="24"/>
                <w:vertAlign w:val="baseline"/>
                <w:lang w:val="en-US" w:eastAsia="zh-CN" w:bidi="ar"/>
              </w:rPr>
            </w:pPr>
            <w:r>
              <w:rPr>
                <w:rFonts w:hint="eastAsia" w:ascii="仿宋" w:hAnsi="仿宋" w:eastAsia="仿宋" w:cs="仿宋"/>
                <w:color w:val="000000"/>
                <w:kern w:val="0"/>
                <w:sz w:val="24"/>
                <w:szCs w:val="24"/>
                <w:vertAlign w:val="baseline"/>
                <w:lang w:val="en-US" w:eastAsia="zh-CN" w:bidi="ar"/>
              </w:rPr>
              <w:t>相互关系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pPr>
              <w:keepNext w:val="0"/>
              <w:keepLines w:val="0"/>
              <w:widowControl/>
              <w:suppressLineNumbers w:val="0"/>
              <w:jc w:val="center"/>
              <w:rPr>
                <w:rFonts w:hint="eastAsia" w:ascii="仿宋" w:hAnsi="仿宋" w:eastAsia="仿宋" w:cs="仿宋"/>
                <w:color w:val="000000"/>
                <w:kern w:val="0"/>
                <w:sz w:val="24"/>
                <w:szCs w:val="24"/>
                <w:vertAlign w:val="baseline"/>
                <w:lang w:val="en-US" w:eastAsia="zh-CN" w:bidi="ar"/>
              </w:rPr>
            </w:pPr>
            <w:r>
              <w:rPr>
                <w:rFonts w:hint="eastAsia" w:ascii="仿宋" w:hAnsi="仿宋" w:eastAsia="仿宋" w:cs="仿宋"/>
                <w:color w:val="000000"/>
                <w:kern w:val="0"/>
                <w:sz w:val="24"/>
                <w:szCs w:val="24"/>
                <w:vertAlign w:val="baseline"/>
                <w:lang w:val="en-US" w:eastAsia="zh-CN" w:bidi="ar"/>
              </w:rPr>
              <w:t>1</w:t>
            </w:r>
          </w:p>
        </w:tc>
        <w:tc>
          <w:tcPr>
            <w:tcW w:w="3798" w:type="dxa"/>
          </w:tcPr>
          <w:p>
            <w:pPr>
              <w:keepNext w:val="0"/>
              <w:keepLines w:val="0"/>
              <w:widowControl/>
              <w:suppressLineNumbers w:val="0"/>
              <w:jc w:val="left"/>
              <w:rPr>
                <w:rFonts w:hint="eastAsia" w:ascii="仿宋" w:hAnsi="仿宋" w:eastAsia="仿宋" w:cs="仿宋"/>
                <w:color w:val="000000"/>
                <w:kern w:val="0"/>
                <w:sz w:val="24"/>
                <w:szCs w:val="24"/>
                <w:vertAlign w:val="baseline"/>
                <w:lang w:val="en-US" w:eastAsia="zh-CN" w:bidi="ar"/>
              </w:rPr>
            </w:pPr>
          </w:p>
        </w:tc>
        <w:tc>
          <w:tcPr>
            <w:tcW w:w="3406" w:type="dxa"/>
          </w:tcPr>
          <w:p>
            <w:pPr>
              <w:keepNext w:val="0"/>
              <w:keepLines w:val="0"/>
              <w:widowControl/>
              <w:suppressLineNumbers w:val="0"/>
              <w:jc w:val="left"/>
              <w:rPr>
                <w:rFonts w:hint="eastAsia" w:ascii="仿宋" w:hAnsi="仿宋" w:eastAsia="仿宋" w:cs="仿宋"/>
                <w:color w:val="000000"/>
                <w:kern w:val="0"/>
                <w:sz w:val="24"/>
                <w:szCs w:val="24"/>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1315" w:type="dxa"/>
            <w:vAlign w:val="center"/>
          </w:tcPr>
          <w:p>
            <w:pPr>
              <w:keepNext w:val="0"/>
              <w:keepLines w:val="0"/>
              <w:widowControl/>
              <w:suppressLineNumbers w:val="0"/>
              <w:jc w:val="center"/>
              <w:rPr>
                <w:rFonts w:hint="eastAsia" w:ascii="仿宋" w:hAnsi="仿宋" w:eastAsia="仿宋" w:cs="仿宋"/>
                <w:color w:val="000000"/>
                <w:kern w:val="0"/>
                <w:sz w:val="24"/>
                <w:szCs w:val="24"/>
                <w:vertAlign w:val="baseline"/>
                <w:lang w:val="en-US" w:eastAsia="zh-CN" w:bidi="ar"/>
              </w:rPr>
            </w:pPr>
            <w:r>
              <w:rPr>
                <w:rFonts w:hint="eastAsia" w:ascii="仿宋" w:hAnsi="仿宋" w:eastAsia="仿宋" w:cs="仿宋"/>
                <w:color w:val="000000"/>
                <w:kern w:val="0"/>
                <w:sz w:val="24"/>
                <w:szCs w:val="24"/>
                <w:vertAlign w:val="baseline"/>
                <w:lang w:val="en-US" w:eastAsia="zh-CN" w:bidi="ar"/>
              </w:rPr>
              <w:t>2</w:t>
            </w:r>
          </w:p>
        </w:tc>
        <w:tc>
          <w:tcPr>
            <w:tcW w:w="3798" w:type="dxa"/>
          </w:tcPr>
          <w:p>
            <w:pPr>
              <w:keepNext w:val="0"/>
              <w:keepLines w:val="0"/>
              <w:widowControl/>
              <w:suppressLineNumbers w:val="0"/>
              <w:jc w:val="left"/>
              <w:rPr>
                <w:rFonts w:hint="eastAsia" w:ascii="仿宋" w:hAnsi="仿宋" w:eastAsia="仿宋" w:cs="仿宋"/>
                <w:color w:val="000000"/>
                <w:kern w:val="0"/>
                <w:sz w:val="24"/>
                <w:szCs w:val="24"/>
                <w:vertAlign w:val="baseline"/>
                <w:lang w:val="en-US" w:eastAsia="zh-CN" w:bidi="ar"/>
              </w:rPr>
            </w:pPr>
          </w:p>
        </w:tc>
        <w:tc>
          <w:tcPr>
            <w:tcW w:w="3406" w:type="dxa"/>
          </w:tcPr>
          <w:p>
            <w:pPr>
              <w:keepNext w:val="0"/>
              <w:keepLines w:val="0"/>
              <w:widowControl/>
              <w:suppressLineNumbers w:val="0"/>
              <w:jc w:val="left"/>
              <w:rPr>
                <w:rFonts w:hint="eastAsia" w:ascii="仿宋" w:hAnsi="仿宋" w:eastAsia="仿宋" w:cs="仿宋"/>
                <w:color w:val="000000"/>
                <w:kern w:val="0"/>
                <w:sz w:val="24"/>
                <w:szCs w:val="24"/>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315" w:type="dxa"/>
            <w:vAlign w:val="center"/>
          </w:tcPr>
          <w:p>
            <w:pPr>
              <w:keepNext w:val="0"/>
              <w:keepLines w:val="0"/>
              <w:widowControl/>
              <w:suppressLineNumbers w:val="0"/>
              <w:jc w:val="center"/>
              <w:rPr>
                <w:rFonts w:hint="eastAsia" w:ascii="仿宋" w:hAnsi="仿宋" w:eastAsia="仿宋" w:cs="仿宋"/>
                <w:color w:val="000000"/>
                <w:kern w:val="0"/>
                <w:sz w:val="24"/>
                <w:szCs w:val="24"/>
                <w:vertAlign w:val="baseline"/>
                <w:lang w:val="en-US" w:eastAsia="zh-CN" w:bidi="ar"/>
              </w:rPr>
            </w:pPr>
            <w:r>
              <w:rPr>
                <w:rFonts w:hint="eastAsia" w:ascii="仿宋" w:hAnsi="仿宋" w:eastAsia="仿宋" w:cs="仿宋"/>
                <w:color w:val="000000"/>
                <w:kern w:val="0"/>
                <w:sz w:val="24"/>
                <w:szCs w:val="24"/>
                <w:vertAlign w:val="baseline"/>
                <w:lang w:val="en-US" w:eastAsia="zh-CN" w:bidi="ar"/>
              </w:rPr>
              <w:t>...</w:t>
            </w:r>
          </w:p>
        </w:tc>
        <w:tc>
          <w:tcPr>
            <w:tcW w:w="3798" w:type="dxa"/>
          </w:tcPr>
          <w:p>
            <w:pPr>
              <w:keepNext w:val="0"/>
              <w:keepLines w:val="0"/>
              <w:widowControl/>
              <w:suppressLineNumbers w:val="0"/>
              <w:jc w:val="left"/>
              <w:rPr>
                <w:rFonts w:hint="eastAsia" w:ascii="仿宋" w:hAnsi="仿宋" w:eastAsia="仿宋" w:cs="仿宋"/>
                <w:color w:val="000000"/>
                <w:kern w:val="0"/>
                <w:sz w:val="24"/>
                <w:szCs w:val="24"/>
                <w:vertAlign w:val="baseline"/>
                <w:lang w:val="en-US" w:eastAsia="zh-CN" w:bidi="ar"/>
              </w:rPr>
            </w:pPr>
          </w:p>
        </w:tc>
        <w:tc>
          <w:tcPr>
            <w:tcW w:w="3406" w:type="dxa"/>
          </w:tcPr>
          <w:p>
            <w:pPr>
              <w:keepNext w:val="0"/>
              <w:keepLines w:val="0"/>
              <w:widowControl/>
              <w:suppressLineNumbers w:val="0"/>
              <w:jc w:val="left"/>
              <w:rPr>
                <w:rFonts w:hint="eastAsia" w:ascii="仿宋" w:hAnsi="仿宋" w:eastAsia="仿宋" w:cs="仿宋"/>
                <w:color w:val="000000"/>
                <w:kern w:val="0"/>
                <w:sz w:val="24"/>
                <w:szCs w:val="24"/>
                <w:vertAlign w:val="baseline"/>
                <w:lang w:val="en-US" w:eastAsia="zh-CN" w:bidi="ar"/>
              </w:rPr>
            </w:pPr>
          </w:p>
        </w:tc>
      </w:tr>
    </w:tbl>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上述声明真实有效，否则我方负全部责任。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投标人名称：  </w:t>
      </w:r>
      <w:r>
        <w:rPr>
          <w:rFonts w:hint="eastAsia" w:ascii="仿宋" w:hAnsi="仿宋" w:eastAsia="仿宋" w:cs="仿宋"/>
          <w:i w:val="0"/>
          <w:iCs w:val="0"/>
          <w:color w:val="000000"/>
          <w:kern w:val="0"/>
          <w:sz w:val="24"/>
          <w:szCs w:val="24"/>
          <w:u w:val="single"/>
          <w:lang w:val="en-US" w:eastAsia="zh-CN" w:bidi="ar"/>
        </w:rPr>
        <w:t xml:space="preserve">                       </w:t>
      </w:r>
      <w:r>
        <w:rPr>
          <w:rFonts w:hint="eastAsia" w:ascii="仿宋" w:hAnsi="仿宋" w:eastAsia="仿宋" w:cs="仿宋"/>
          <w:color w:val="000000"/>
          <w:kern w:val="0"/>
          <w:sz w:val="24"/>
          <w:szCs w:val="24"/>
          <w:u w:val="single"/>
          <w:lang w:val="en-US" w:eastAsia="zh-CN" w:bidi="ar"/>
        </w:rPr>
        <w:t>（加盖公章）</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法定代表人或其授权代理人：</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u w:val="single"/>
          <w:lang w:val="en-US" w:eastAsia="zh-CN" w:bidi="ar"/>
        </w:rPr>
        <w:tab/>
      </w:r>
      <w:r>
        <w:rPr>
          <w:rFonts w:hint="eastAsia" w:ascii="仿宋" w:hAnsi="仿宋" w:eastAsia="仿宋" w:cs="仿宋"/>
          <w:color w:val="000000"/>
          <w:kern w:val="0"/>
          <w:sz w:val="24"/>
          <w:szCs w:val="24"/>
          <w:u w:val="single"/>
          <w:lang w:val="en-US" w:eastAsia="zh-CN" w:bidi="ar"/>
        </w:rPr>
        <w:t>（签字或签章）</w:t>
      </w:r>
      <w:r>
        <w:rPr>
          <w:rFonts w:hint="eastAsia" w:ascii="仿宋" w:hAnsi="仿宋" w:eastAsia="仿宋" w:cs="仿宋"/>
          <w:color w:val="000000"/>
          <w:kern w:val="0"/>
          <w:sz w:val="24"/>
          <w:szCs w:val="24"/>
          <w:lang w:val="en-US" w:eastAsia="zh-CN" w:bidi="ar"/>
        </w:rPr>
        <w:tab/>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日期：</w:t>
      </w:r>
      <w:r>
        <w:rPr>
          <w:rFonts w:hint="eastAsia" w:ascii="仿宋" w:hAnsi="仿宋" w:eastAsia="仿宋" w:cs="仿宋"/>
          <w:color w:val="000000"/>
          <w:kern w:val="0"/>
          <w:sz w:val="24"/>
          <w:szCs w:val="24"/>
          <w:u w:val="single"/>
          <w:lang w:val="en-US" w:eastAsia="zh-CN" w:bidi="ar"/>
        </w:rPr>
        <w:t xml:space="preserve">    年    月    日</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color w:val="000000"/>
          <w:kern w:val="0"/>
          <w:sz w:val="24"/>
          <w:u w:val="none"/>
          <w:lang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说明：（1）单位负责人为同一人或者存在直接控股、管理关系的不同供应商，不得参加同一合同项下的政府采购活动。</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（2）本条所指单位负责人为同一人指单位法定代表人或者法律、行政法规规定代表单位行使职权的主要负责人。</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（3）本条所指控股关系指单位或股东的控股关系。控股股东指:</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a.出资额占有限责任公司资本总额百分之五十以上或者其持有的股份占股份有限公司股本总额百分之五十以上的股东；</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b.出资额或者持有股份的比例不足百分之五十，但其出资额或者持有的股份所享有的表决权已足以对股东会、股东大会的决议产生重大影响的股东。</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（4）本条所指管理关系指不具有出资持股关系的其他单位之间存在的管理与被管理关系。</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（5）本条所指的控股、管理关系仅限于直接控股、直接管理关系，不包括间接控股或管理关系。</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（6）如无相关情况，请在相应栏填写“无”。</w:t>
      </w:r>
    </w:p>
    <w:p>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rPr>
      </w:pPr>
      <w:bookmarkStart w:id="35" w:name="_Toc32152"/>
      <w:r>
        <w:rPr>
          <w:rFonts w:hint="eastAsia" w:ascii="仿宋" w:hAnsi="仿宋" w:eastAsia="仿宋" w:cs="仿宋"/>
          <w:color w:val="000000"/>
          <w:kern w:val="0"/>
          <w:sz w:val="24"/>
          <w:szCs w:val="24"/>
          <w:lang w:val="en-US" w:eastAsia="zh-CN" w:bidi="ar"/>
        </w:rPr>
        <w:t>2 落实政府采购政策需满足的资格要求（如有）</w:t>
      </w:r>
      <w:bookmarkEnd w:id="35"/>
      <w:r>
        <w:rPr>
          <w:rFonts w:hint="eastAsia" w:ascii="仿宋" w:hAnsi="仿宋" w:eastAsia="仿宋" w:cs="仿宋"/>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2-1 中小企业声明函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说明：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（1）如本项目（包）不专门面向中小企业预留采购份额，资格证明文件部分无需提供《中小企业声明函》。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（2）如本项目（包）专门面向中小/小微企业采购，须提供《中小企业声明函》，申明函格式不得修改，否则不得享受相关中小企业扶持政策。投标人根据项目属性选择申明函格式。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3）如本项目（包）预留部分采购项目预算专门面向中小企业采购，要求供应商以联合体形式参加采购活动，且联合体中中小企业承担的部分达到一定比例的，须提供《联合协议》；要求获得采购合同的供应商将采购项目中的一定比例分包给一家或者多家中小企业的，须提供《拟分包情况说明及分包意向协议》。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（4）其他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1）中小企业参加政府采购活动，应当出具此格式文件。《中小企业声明函》由参加政府采购活动的投标人出具。联合体投标的，《中小企业声明函》由牵头人出具。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2）对于联合体中由中小企业承担的部分，或者分包给中小企业的部分，必须全部由中小企业制造、承建或者承接。供应商应当在声明函“项目名称”部分标明联合体中中小企业承担的具体内容或者中小企业的具体分包内容。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3）对于多标的的采购项目，投标人应充分、准确地了解所投产品制造企业信息。对相关情况了解不清楚的，不建议填报本声明函。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5）温馨提示：为方便广大中小企业识别企业规模类型，工业和信息化部组织开发了中小企业规模类型自测小程序，在国务院客户端和工业和信息化部网站上均有链接，投标人填写所属的行业和指标数据可自动生成企业规模类型测试结果。</w:t>
      </w:r>
    </w:p>
    <w:p>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pPr>
        <w:pStyle w:val="21"/>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32"/>
          <w:szCs w:val="32"/>
          <w:lang w:val="en-US" w:eastAsia="zh-CN"/>
        </w:rPr>
      </w:pPr>
      <w:r>
        <w:rPr>
          <w:rStyle w:val="25"/>
          <w:rFonts w:hint="eastAsia" w:ascii="仿宋_GB2312" w:hAnsi="仿宋_GB2312" w:eastAsia="仿宋_GB2312" w:cs="仿宋_GB2312"/>
          <w:i w:val="0"/>
          <w:iCs w:val="0"/>
          <w:caps w:val="0"/>
          <w:color w:val="000000"/>
          <w:spacing w:val="0"/>
          <w:kern w:val="2"/>
          <w:sz w:val="32"/>
          <w:szCs w:val="32"/>
          <w:lang w:bidi="ar-SA"/>
        </w:rPr>
        <w:t>中小企业声明函</w:t>
      </w:r>
      <w:r>
        <w:rPr>
          <w:rStyle w:val="25"/>
          <w:rFonts w:hint="eastAsia" w:ascii="仿宋_GB2312" w:hAnsi="仿宋_GB2312" w:eastAsia="仿宋_GB2312" w:cs="仿宋_GB2312"/>
          <w:i w:val="0"/>
          <w:iCs w:val="0"/>
          <w:caps w:val="0"/>
          <w:color w:val="000000"/>
          <w:spacing w:val="0"/>
          <w:kern w:val="2"/>
          <w:sz w:val="32"/>
          <w:szCs w:val="32"/>
          <w:lang w:eastAsia="zh-CN" w:bidi="ar-SA"/>
        </w:rPr>
        <w:t>（</w:t>
      </w:r>
      <w:r>
        <w:rPr>
          <w:rStyle w:val="25"/>
          <w:rFonts w:hint="eastAsia" w:ascii="仿宋_GB2312" w:hAnsi="仿宋_GB2312" w:eastAsia="仿宋_GB2312" w:cs="仿宋_GB2312"/>
          <w:i w:val="0"/>
          <w:iCs w:val="0"/>
          <w:caps w:val="0"/>
          <w:color w:val="000000"/>
          <w:spacing w:val="0"/>
          <w:kern w:val="2"/>
          <w:sz w:val="32"/>
          <w:szCs w:val="32"/>
          <w:lang w:bidi="ar-SA"/>
        </w:rPr>
        <w:t>货物</w:t>
      </w:r>
      <w:r>
        <w:rPr>
          <w:rStyle w:val="25"/>
          <w:rFonts w:hint="eastAsia" w:ascii="仿宋_GB2312" w:hAnsi="仿宋_GB2312" w:eastAsia="仿宋_GB2312" w:cs="仿宋_GB2312"/>
          <w:i w:val="0"/>
          <w:iCs w:val="0"/>
          <w:caps w:val="0"/>
          <w:color w:val="000000"/>
          <w:spacing w:val="0"/>
          <w:kern w:val="2"/>
          <w:sz w:val="32"/>
          <w:szCs w:val="32"/>
          <w:lang w:eastAsia="zh-CN" w:bidi="ar-SA"/>
        </w:rPr>
        <w:t>）</w:t>
      </w:r>
    </w:p>
    <w:p>
      <w:pPr>
        <w:pStyle w:val="21"/>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7"/>
          <w:szCs w:val="27"/>
        </w:rPr>
      </w:pPr>
      <w:r>
        <w:rPr>
          <w:rFonts w:hint="eastAsia" w:ascii="仿宋_GB2312" w:hAnsi="仿宋_GB2312" w:eastAsia="仿宋_GB2312" w:cs="仿宋_GB2312"/>
          <w:i w:val="0"/>
          <w:iCs w:val="0"/>
          <w:caps w:val="0"/>
          <w:color w:val="000000"/>
          <w:spacing w:val="0"/>
          <w:sz w:val="27"/>
          <w:szCs w:val="27"/>
        </w:rPr>
        <w:t> </w:t>
      </w:r>
    </w:p>
    <w:p>
      <w:pPr>
        <w:pStyle w:val="21"/>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720" w:firstLineChars="30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本公司（联合体）郑重声明，根据《政府采购促进中小企业发展管理办法》（财库〔2020〕[2020]46号）的规定，本公司（联合体）参加</w:t>
      </w:r>
      <w:r>
        <w:rPr>
          <w:rFonts w:hint="eastAsia" w:ascii="仿宋_GB2312" w:hAnsi="仿宋_GB2312" w:eastAsia="仿宋_GB2312" w:cs="仿宋_GB2312"/>
          <w:i/>
          <w:iCs/>
          <w:caps w:val="0"/>
          <w:color w:val="000000"/>
          <w:spacing w:val="0"/>
          <w:sz w:val="24"/>
          <w:szCs w:val="24"/>
          <w:u w:val="single"/>
        </w:rPr>
        <w:t>（单位名称）</w:t>
      </w:r>
      <w:r>
        <w:rPr>
          <w:rFonts w:hint="eastAsia" w:ascii="仿宋_GB2312" w:hAnsi="仿宋_GB2312" w:eastAsia="仿宋_GB2312" w:cs="仿宋_GB2312"/>
          <w:i w:val="0"/>
          <w:iCs w:val="0"/>
          <w:caps w:val="0"/>
          <w:color w:val="000000"/>
          <w:spacing w:val="0"/>
          <w:sz w:val="24"/>
          <w:szCs w:val="24"/>
        </w:rPr>
        <w:t>的</w:t>
      </w:r>
      <w:r>
        <w:rPr>
          <w:rFonts w:hint="eastAsia" w:ascii="仿宋_GB2312" w:hAnsi="仿宋_GB2312" w:eastAsia="仿宋_GB2312" w:cs="仿宋_GB2312"/>
          <w:i/>
          <w:iCs/>
          <w:caps w:val="0"/>
          <w:color w:val="000000"/>
          <w:spacing w:val="0"/>
          <w:sz w:val="24"/>
          <w:szCs w:val="24"/>
          <w:u w:val="single"/>
        </w:rPr>
        <w:t>（项目名称）</w:t>
      </w:r>
      <w:r>
        <w:rPr>
          <w:rFonts w:hint="eastAsia" w:ascii="仿宋_GB2312" w:hAnsi="仿宋_GB2312" w:eastAsia="仿宋_GB2312" w:cs="仿宋_GB2312"/>
          <w:i w:val="0"/>
          <w:iCs w:val="0"/>
          <w:caps w:val="0"/>
          <w:color w:val="000000"/>
          <w:spacing w:val="0"/>
          <w:sz w:val="24"/>
          <w:szCs w:val="24"/>
        </w:rPr>
        <w:t>采购活动，提供的货物全部由符合政策要求的中小企业制造。相关企业（含联合体中的中小企业、签订分包意向协议的中小企业）的具体情况如下：</w:t>
      </w:r>
    </w:p>
    <w:p>
      <w:pPr>
        <w:pStyle w:val="21"/>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1.</w:t>
      </w:r>
      <w:r>
        <w:rPr>
          <w:rFonts w:hint="eastAsia" w:ascii="仿宋_GB2312" w:hAnsi="仿宋_GB2312" w:eastAsia="仿宋_GB2312" w:cs="仿宋_GB2312"/>
          <w:i/>
          <w:iCs/>
          <w:caps w:val="0"/>
          <w:color w:val="000000"/>
          <w:spacing w:val="0"/>
          <w:sz w:val="24"/>
          <w:szCs w:val="24"/>
          <w:u w:val="single"/>
        </w:rPr>
        <w:t>（标的名称）</w:t>
      </w:r>
      <w:r>
        <w:rPr>
          <w:rFonts w:hint="eastAsia" w:ascii="仿宋_GB2312" w:hAnsi="仿宋_GB2312" w:eastAsia="仿宋_GB2312" w:cs="仿宋_GB2312"/>
          <w:i w:val="0"/>
          <w:iCs w:val="0"/>
          <w:caps w:val="0"/>
          <w:color w:val="000000"/>
          <w:spacing w:val="0"/>
          <w:sz w:val="24"/>
          <w:szCs w:val="24"/>
        </w:rPr>
        <w:t>，属于</w:t>
      </w:r>
      <w:r>
        <w:rPr>
          <w:rFonts w:hint="eastAsia" w:ascii="仿宋_GB2312" w:hAnsi="仿宋_GB2312" w:eastAsia="仿宋_GB2312" w:cs="仿宋_GB2312"/>
          <w:i/>
          <w:iCs/>
          <w:caps w:val="0"/>
          <w:color w:val="000000"/>
          <w:spacing w:val="0"/>
          <w:sz w:val="24"/>
          <w:szCs w:val="24"/>
          <w:u w:val="single"/>
        </w:rPr>
        <w:t>（采购文件中明确的所属行业）</w:t>
      </w:r>
      <w:r>
        <w:rPr>
          <w:rFonts w:hint="eastAsia" w:ascii="仿宋_GB2312" w:hAnsi="仿宋_GB2312" w:eastAsia="仿宋_GB2312" w:cs="仿宋_GB2312"/>
          <w:i w:val="0"/>
          <w:iCs w:val="0"/>
          <w:caps w:val="0"/>
          <w:color w:val="000000"/>
          <w:spacing w:val="0"/>
          <w:sz w:val="24"/>
          <w:szCs w:val="24"/>
        </w:rPr>
        <w:t>；制造商为</w:t>
      </w:r>
      <w:r>
        <w:rPr>
          <w:rFonts w:hint="eastAsia" w:ascii="仿宋_GB2312" w:hAnsi="仿宋_GB2312" w:eastAsia="仿宋_GB2312" w:cs="仿宋_GB2312"/>
          <w:i/>
          <w:iCs/>
          <w:caps w:val="0"/>
          <w:color w:val="000000"/>
          <w:spacing w:val="0"/>
          <w:sz w:val="24"/>
          <w:szCs w:val="24"/>
          <w:u w:val="single"/>
        </w:rPr>
        <w:t>（企业名称）</w:t>
      </w:r>
      <w:r>
        <w:rPr>
          <w:rFonts w:hint="eastAsia" w:ascii="仿宋_GB2312" w:hAnsi="仿宋_GB2312" w:eastAsia="仿宋_GB2312" w:cs="仿宋_GB2312"/>
          <w:i w:val="0"/>
          <w:iCs w:val="0"/>
          <w:caps w:val="0"/>
          <w:color w:val="000000"/>
          <w:spacing w:val="0"/>
          <w:sz w:val="24"/>
          <w:szCs w:val="24"/>
        </w:rPr>
        <w:t>，从业人员</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人，营业收入为</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 万元，资产总额为</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 万元，属于</w:t>
      </w:r>
      <w:r>
        <w:rPr>
          <w:rFonts w:hint="eastAsia" w:ascii="仿宋_GB2312" w:hAnsi="仿宋_GB2312" w:eastAsia="仿宋_GB2312" w:cs="仿宋_GB2312"/>
          <w:i/>
          <w:iCs/>
          <w:caps w:val="0"/>
          <w:color w:val="000000"/>
          <w:spacing w:val="0"/>
          <w:sz w:val="24"/>
          <w:szCs w:val="24"/>
          <w:u w:val="single"/>
        </w:rPr>
        <w:t>（中型企业、小型企业、微型企业）</w:t>
      </w:r>
      <w:r>
        <w:rPr>
          <w:rFonts w:hint="eastAsia" w:ascii="仿宋_GB2312" w:hAnsi="仿宋_GB2312" w:eastAsia="仿宋_GB2312" w:cs="仿宋_GB2312"/>
          <w:i w:val="0"/>
          <w:iCs w:val="0"/>
          <w:caps w:val="0"/>
          <w:color w:val="000000"/>
          <w:spacing w:val="0"/>
          <w:sz w:val="24"/>
          <w:szCs w:val="24"/>
        </w:rPr>
        <w:t>；</w:t>
      </w:r>
    </w:p>
    <w:p>
      <w:pPr>
        <w:pStyle w:val="21"/>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2.</w:t>
      </w:r>
      <w:r>
        <w:rPr>
          <w:rFonts w:hint="eastAsia" w:ascii="仿宋_GB2312" w:hAnsi="仿宋_GB2312" w:eastAsia="仿宋_GB2312" w:cs="仿宋_GB2312"/>
          <w:i/>
          <w:iCs/>
          <w:caps w:val="0"/>
          <w:color w:val="000000"/>
          <w:spacing w:val="0"/>
          <w:sz w:val="24"/>
          <w:szCs w:val="24"/>
          <w:u w:val="single"/>
        </w:rPr>
        <w:t>（标的名称）</w:t>
      </w:r>
      <w:r>
        <w:rPr>
          <w:rFonts w:hint="eastAsia" w:ascii="仿宋_GB2312" w:hAnsi="仿宋_GB2312" w:eastAsia="仿宋_GB2312" w:cs="仿宋_GB2312"/>
          <w:i w:val="0"/>
          <w:iCs w:val="0"/>
          <w:caps w:val="0"/>
          <w:color w:val="000000"/>
          <w:spacing w:val="0"/>
          <w:sz w:val="24"/>
          <w:szCs w:val="24"/>
        </w:rPr>
        <w:t>，属于</w:t>
      </w:r>
      <w:r>
        <w:rPr>
          <w:rFonts w:hint="eastAsia" w:ascii="仿宋_GB2312" w:hAnsi="仿宋_GB2312" w:eastAsia="仿宋_GB2312" w:cs="仿宋_GB2312"/>
          <w:i/>
          <w:iCs/>
          <w:caps w:val="0"/>
          <w:color w:val="000000"/>
          <w:spacing w:val="0"/>
          <w:sz w:val="24"/>
          <w:szCs w:val="24"/>
          <w:u w:val="single"/>
        </w:rPr>
        <w:t>（采购文件中明确的所属行业）</w:t>
      </w:r>
      <w:r>
        <w:rPr>
          <w:rFonts w:hint="eastAsia" w:ascii="仿宋_GB2312" w:hAnsi="仿宋_GB2312" w:eastAsia="仿宋_GB2312" w:cs="仿宋_GB2312"/>
          <w:i w:val="0"/>
          <w:iCs w:val="0"/>
          <w:caps w:val="0"/>
          <w:color w:val="000000"/>
          <w:spacing w:val="0"/>
          <w:sz w:val="24"/>
          <w:szCs w:val="24"/>
        </w:rPr>
        <w:t>；制造商为</w:t>
      </w:r>
      <w:r>
        <w:rPr>
          <w:rFonts w:hint="eastAsia" w:ascii="仿宋_GB2312" w:hAnsi="仿宋_GB2312" w:eastAsia="仿宋_GB2312" w:cs="仿宋_GB2312"/>
          <w:i/>
          <w:iCs/>
          <w:caps w:val="0"/>
          <w:color w:val="000000"/>
          <w:spacing w:val="0"/>
          <w:sz w:val="24"/>
          <w:szCs w:val="24"/>
          <w:u w:val="single"/>
        </w:rPr>
        <w:t>（企业名称）</w:t>
      </w:r>
      <w:r>
        <w:rPr>
          <w:rFonts w:hint="eastAsia" w:ascii="仿宋_GB2312" w:hAnsi="仿宋_GB2312" w:eastAsia="仿宋_GB2312" w:cs="仿宋_GB2312"/>
          <w:i w:val="0"/>
          <w:iCs w:val="0"/>
          <w:caps w:val="0"/>
          <w:color w:val="000000"/>
          <w:spacing w:val="0"/>
          <w:sz w:val="24"/>
          <w:szCs w:val="24"/>
        </w:rPr>
        <w:t>，从业人员</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人，营业收入为</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 万元，资产总额为</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r>
        <w:rPr>
          <w:rFonts w:hint="eastAsia" w:ascii="仿宋_GB2312" w:hAnsi="仿宋_GB2312" w:eastAsia="仿宋_GB2312" w:cs="仿宋_GB2312"/>
          <w:i w:val="0"/>
          <w:iCs w:val="0"/>
          <w:caps w:val="0"/>
          <w:color w:val="000000"/>
          <w:spacing w:val="0"/>
          <w:sz w:val="24"/>
          <w:szCs w:val="24"/>
        </w:rPr>
        <w:t> 万元，属于</w:t>
      </w:r>
      <w:r>
        <w:rPr>
          <w:rFonts w:hint="eastAsia" w:ascii="仿宋_GB2312" w:hAnsi="仿宋_GB2312" w:eastAsia="仿宋_GB2312" w:cs="仿宋_GB2312"/>
          <w:i/>
          <w:iCs/>
          <w:caps w:val="0"/>
          <w:color w:val="000000"/>
          <w:spacing w:val="0"/>
          <w:sz w:val="24"/>
          <w:szCs w:val="24"/>
          <w:u w:val="single"/>
        </w:rPr>
        <w:t>（中型企业、小型企业、微型企业）</w:t>
      </w:r>
      <w:r>
        <w:rPr>
          <w:rFonts w:hint="eastAsia" w:ascii="仿宋_GB2312" w:hAnsi="仿宋_GB2312" w:eastAsia="仿宋_GB2312" w:cs="仿宋_GB2312"/>
          <w:i w:val="0"/>
          <w:iCs w:val="0"/>
          <w:caps w:val="0"/>
          <w:color w:val="000000"/>
          <w:spacing w:val="0"/>
          <w:sz w:val="24"/>
          <w:szCs w:val="24"/>
        </w:rPr>
        <w:t>；</w:t>
      </w:r>
    </w:p>
    <w:p>
      <w:pPr>
        <w:pStyle w:val="21"/>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w:t>
      </w:r>
    </w:p>
    <w:p>
      <w:pPr>
        <w:pStyle w:val="21"/>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以上企业，不属于大企业的分支机构，不存在控股股东为大企业的情形，也不存在与大企业的负责人为同一人的情形。</w:t>
      </w:r>
    </w:p>
    <w:p>
      <w:pPr>
        <w:pStyle w:val="21"/>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本企业对上述声明内容的真实性负责。如有虚假，将依法承担相应责任。</w:t>
      </w:r>
    </w:p>
    <w:p>
      <w:pPr>
        <w:pStyle w:val="21"/>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textAlignment w:val="auto"/>
        <w:rPr>
          <w:rFonts w:hint="eastAsia" w:ascii="仿宋_GB2312" w:hAnsi="仿宋_GB2312" w:eastAsia="仿宋_GB2312" w:cs="仿宋_GB2312"/>
          <w:i w:val="0"/>
          <w:iCs w:val="0"/>
          <w:caps w:val="0"/>
          <w:color w:val="000000"/>
          <w:spacing w:val="0"/>
          <w:sz w:val="24"/>
          <w:szCs w:val="24"/>
        </w:rPr>
      </w:pPr>
      <w:r>
        <w:rPr>
          <w:rFonts w:hint="eastAsia" w:ascii="仿宋_GB2312" w:hAnsi="仿宋_GB2312" w:eastAsia="仿宋_GB2312" w:cs="仿宋_GB2312"/>
          <w:i w:val="0"/>
          <w:iCs w:val="0"/>
          <w:caps w:val="0"/>
          <w:color w:val="000000"/>
          <w:spacing w:val="0"/>
          <w:sz w:val="24"/>
          <w:szCs w:val="24"/>
        </w:rPr>
        <w:t> </w:t>
      </w:r>
    </w:p>
    <w:p>
      <w:pPr>
        <w:pStyle w:val="21"/>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u w:val="single"/>
          <w:lang w:val="en-US" w:eastAsia="zh-CN"/>
        </w:rPr>
      </w:pPr>
      <w:r>
        <w:rPr>
          <w:rFonts w:hint="eastAsia" w:ascii="仿宋_GB2312" w:hAnsi="仿宋_GB2312" w:eastAsia="仿宋_GB2312" w:cs="仿宋_GB2312"/>
          <w:i w:val="0"/>
          <w:iCs w:val="0"/>
          <w:caps w:val="0"/>
          <w:color w:val="000000"/>
          <w:spacing w:val="0"/>
          <w:sz w:val="24"/>
          <w:szCs w:val="24"/>
          <w:lang w:val="en-US" w:eastAsia="zh-CN"/>
        </w:rPr>
        <w:t xml:space="preserve">           </w:t>
      </w:r>
      <w:r>
        <w:rPr>
          <w:rFonts w:hint="eastAsia" w:ascii="仿宋_GB2312" w:hAnsi="仿宋_GB2312" w:eastAsia="仿宋_GB2312" w:cs="仿宋_GB2312"/>
          <w:i w:val="0"/>
          <w:iCs w:val="0"/>
          <w:caps w:val="0"/>
          <w:color w:val="000000"/>
          <w:spacing w:val="0"/>
          <w:sz w:val="24"/>
          <w:szCs w:val="24"/>
        </w:rPr>
        <w:t>企业名称（盖章）：</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p>
    <w:p>
      <w:pPr>
        <w:pStyle w:val="21"/>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_GB2312" w:hAnsi="仿宋_GB2312" w:eastAsia="仿宋_GB2312" w:cs="仿宋_GB2312"/>
          <w:i w:val="0"/>
          <w:iCs w:val="0"/>
          <w:caps w:val="0"/>
          <w:color w:val="000000"/>
          <w:spacing w:val="0"/>
          <w:sz w:val="27"/>
          <w:szCs w:val="27"/>
          <w:u w:val="single"/>
          <w:lang w:val="en-US" w:eastAsia="zh-CN"/>
        </w:rPr>
      </w:pPr>
      <w:r>
        <w:rPr>
          <w:rFonts w:hint="eastAsia" w:ascii="仿宋_GB2312" w:hAnsi="仿宋_GB2312" w:eastAsia="仿宋_GB2312" w:cs="仿宋_GB2312"/>
          <w:i w:val="0"/>
          <w:iCs w:val="0"/>
          <w:caps w:val="0"/>
          <w:color w:val="000000"/>
          <w:spacing w:val="0"/>
          <w:sz w:val="24"/>
          <w:szCs w:val="24"/>
        </w:rPr>
        <w:t>日期：</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p>
    <w:p>
      <w:pPr>
        <w:rPr>
          <w:rFonts w:hint="eastAsia" w:ascii="仿宋_GB2312" w:hAnsi="仿宋_GB2312" w:eastAsia="仿宋_GB2312" w:cs="仿宋_GB2312"/>
          <w:b w:val="0"/>
          <w:bCs w:val="0"/>
          <w:color w:val="000000"/>
          <w:kern w:val="0"/>
          <w:sz w:val="21"/>
          <w:szCs w:val="21"/>
          <w:lang w:val="en-US" w:eastAsia="zh-CN" w:bidi="ar"/>
        </w:rPr>
      </w:pPr>
    </w:p>
    <w:p>
      <w:pPr>
        <w:rPr>
          <w:rFonts w:hint="eastAsia" w:ascii="仿宋_GB2312" w:hAnsi="仿宋_GB2312" w:eastAsia="仿宋_GB2312" w:cs="仿宋_GB2312"/>
          <w:b w:val="0"/>
          <w:bCs w:val="0"/>
          <w:color w:val="000000"/>
          <w:kern w:val="0"/>
          <w:sz w:val="21"/>
          <w:szCs w:val="21"/>
          <w:lang w:val="en-US" w:eastAsia="zh-CN" w:bidi="ar"/>
        </w:rPr>
      </w:pPr>
    </w:p>
    <w:p>
      <w:pPr>
        <w:rPr>
          <w:rFonts w:hint="eastAsia" w:ascii="仿宋_GB2312" w:hAnsi="仿宋_GB2312" w:eastAsia="仿宋_GB2312" w:cs="仿宋_GB2312"/>
          <w:b w:val="0"/>
          <w:bCs w:val="0"/>
          <w:color w:val="000000"/>
          <w:kern w:val="0"/>
          <w:sz w:val="21"/>
          <w:szCs w:val="21"/>
          <w:lang w:val="en-US" w:eastAsia="zh-CN" w:bidi="ar"/>
        </w:rPr>
      </w:pPr>
    </w:p>
    <w:p>
      <w:pPr>
        <w:rPr>
          <w:rFonts w:hint="eastAsia" w:ascii="仿宋_GB2312" w:hAnsi="仿宋_GB2312" w:eastAsia="仿宋_GB2312" w:cs="仿宋_GB2312"/>
          <w:b w:val="0"/>
          <w:bCs w:val="0"/>
          <w:color w:val="000000"/>
          <w:kern w:val="0"/>
          <w:sz w:val="21"/>
          <w:szCs w:val="21"/>
          <w:lang w:val="en-US" w:eastAsia="zh-CN" w:bidi="ar"/>
        </w:rPr>
      </w:pPr>
    </w:p>
    <w:p>
      <w:pPr>
        <w:rPr>
          <w:rFonts w:hint="eastAsia" w:ascii="仿宋_GB2312" w:hAnsi="仿宋_GB2312" w:eastAsia="仿宋_GB2312" w:cs="仿宋_GB2312"/>
          <w:b w:val="0"/>
          <w:bCs w:val="0"/>
          <w:color w:val="000000"/>
          <w:kern w:val="0"/>
          <w:sz w:val="21"/>
          <w:szCs w:val="21"/>
          <w:lang w:val="en-US" w:eastAsia="zh-CN" w:bidi="ar"/>
        </w:rPr>
      </w:pPr>
    </w:p>
    <w:p>
      <w:pPr>
        <w:rPr>
          <w:rFonts w:hint="eastAsia" w:ascii="仿宋_GB2312" w:hAnsi="仿宋_GB2312" w:eastAsia="仿宋_GB2312" w:cs="仿宋_GB2312"/>
          <w:b w:val="0"/>
          <w:bCs w:val="0"/>
          <w:color w:val="000000"/>
          <w:kern w:val="0"/>
          <w:sz w:val="21"/>
          <w:szCs w:val="21"/>
          <w:lang w:val="en-US" w:eastAsia="zh-CN" w:bidi="ar"/>
        </w:rPr>
      </w:pPr>
    </w:p>
    <w:p>
      <w:pPr>
        <w:rPr>
          <w:rFonts w:hint="eastAsia" w:ascii="仿宋_GB2312" w:hAnsi="仿宋_GB2312" w:eastAsia="仿宋_GB2312" w:cs="仿宋_GB2312"/>
          <w:b w:val="0"/>
          <w:bCs w:val="0"/>
          <w:color w:val="000000"/>
          <w:kern w:val="0"/>
          <w:sz w:val="21"/>
          <w:szCs w:val="21"/>
          <w:lang w:val="en-US" w:eastAsia="zh-CN" w:bidi="ar"/>
        </w:rPr>
      </w:pPr>
    </w:p>
    <w:p>
      <w:pPr>
        <w:rPr>
          <w:rFonts w:hint="eastAsia" w:ascii="仿宋_GB2312" w:hAnsi="仿宋_GB2312" w:eastAsia="仿宋_GB2312" w:cs="仿宋_GB2312"/>
          <w:b w:val="0"/>
          <w:bCs w:val="0"/>
          <w:color w:val="000000"/>
          <w:kern w:val="0"/>
          <w:sz w:val="21"/>
          <w:szCs w:val="21"/>
          <w:lang w:val="en-US" w:eastAsia="zh-CN" w:bidi="ar"/>
        </w:rPr>
      </w:pPr>
      <w:r>
        <w:rPr>
          <w:rFonts w:hint="eastAsia" w:ascii="仿宋_GB2312" w:hAnsi="仿宋_GB2312" w:eastAsia="仿宋_GB2312" w:cs="仿宋_GB2312"/>
          <w:b w:val="0"/>
          <w:bCs w:val="0"/>
          <w:color w:val="000000"/>
          <w:kern w:val="0"/>
          <w:sz w:val="21"/>
          <w:szCs w:val="21"/>
          <w:lang w:val="en-US" w:eastAsia="zh-CN" w:bidi="ar"/>
        </w:rPr>
        <w:t>从业人员、营业收入、资产总额填报上一年度数据，无上一年度数据的新成立企业可不填报。</w:t>
      </w:r>
    </w:p>
    <w:p>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_GB2312" w:hAnsi="仿宋_GB2312" w:eastAsia="仿宋_GB2312" w:cs="仿宋_GB2312"/>
          <w:sz w:val="32"/>
          <w:szCs w:val="32"/>
        </w:rPr>
      </w:pPr>
      <w:r>
        <w:rPr>
          <w:rFonts w:hint="eastAsia" w:ascii="仿宋_GB2312" w:hAnsi="仿宋_GB2312" w:eastAsia="仿宋_GB2312" w:cs="仿宋_GB2312"/>
          <w:b/>
          <w:bCs/>
          <w:color w:val="000000"/>
          <w:kern w:val="0"/>
          <w:sz w:val="32"/>
          <w:szCs w:val="32"/>
          <w:lang w:val="en-US" w:eastAsia="zh-CN" w:bidi="ar"/>
        </w:rPr>
        <w:t>中小企业声明函（工程、服务）</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本公司（联合体）郑重声明，根据《政府采购促进中小企业发展管理办法》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（财库﹝2020﹞46号）的规定，本公司（联合体）参加</w:t>
      </w:r>
      <w:r>
        <w:rPr>
          <w:rFonts w:hint="eastAsia" w:ascii="仿宋_GB2312" w:hAnsi="仿宋_GB2312" w:eastAsia="仿宋_GB2312" w:cs="仿宋_GB2312"/>
          <w:i/>
          <w:iCs/>
          <w:color w:val="000000"/>
          <w:kern w:val="0"/>
          <w:sz w:val="24"/>
          <w:szCs w:val="24"/>
          <w:u w:val="single"/>
          <w:lang w:val="en-US" w:eastAsia="zh-CN" w:bidi="ar"/>
        </w:rPr>
        <w:t>（单位名称）</w:t>
      </w:r>
      <w:r>
        <w:rPr>
          <w:rFonts w:hint="eastAsia" w:ascii="仿宋_GB2312" w:hAnsi="仿宋_GB2312" w:eastAsia="仿宋_GB2312" w:cs="仿宋_GB2312"/>
          <w:color w:val="000000"/>
          <w:kern w:val="0"/>
          <w:sz w:val="24"/>
          <w:szCs w:val="24"/>
          <w:lang w:val="en-US" w:eastAsia="zh-CN" w:bidi="ar"/>
        </w:rPr>
        <w:t>的</w:t>
      </w:r>
      <w:r>
        <w:rPr>
          <w:rFonts w:hint="eastAsia" w:ascii="仿宋_GB2312" w:hAnsi="仿宋_GB2312" w:eastAsia="仿宋_GB2312" w:cs="仿宋_GB2312"/>
          <w:i/>
          <w:iCs/>
          <w:color w:val="000000"/>
          <w:kern w:val="0"/>
          <w:sz w:val="24"/>
          <w:szCs w:val="24"/>
          <w:u w:val="single"/>
          <w:lang w:val="en-US" w:eastAsia="zh-CN" w:bidi="ar"/>
        </w:rPr>
        <w:t>（项目名称）</w:t>
      </w:r>
      <w:r>
        <w:rPr>
          <w:rFonts w:hint="eastAsia" w:ascii="仿宋_GB2312" w:hAnsi="仿宋_GB2312" w:eastAsia="仿宋_GB2312" w:cs="仿宋_GB2312"/>
          <w:color w:val="000000"/>
          <w:kern w:val="0"/>
          <w:sz w:val="24"/>
          <w:szCs w:val="24"/>
          <w:lang w:val="en-US" w:eastAsia="zh-CN" w:bidi="ar"/>
        </w:rPr>
        <w:t xml:space="preserve">采购活动，工程的施工单位全部为符合政策要求的中小企业（或者：服务全部由符合政策要求的中小企业承接）。相关企业（含联合体中的中小企业、签订分包意向协议的中小企业）的具体情况如下：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1. </w:t>
      </w:r>
      <w:r>
        <w:rPr>
          <w:rFonts w:hint="eastAsia" w:ascii="仿宋_GB2312" w:hAnsi="仿宋_GB2312" w:eastAsia="仿宋_GB2312" w:cs="仿宋_GB2312"/>
          <w:i/>
          <w:iCs/>
          <w:color w:val="000000"/>
          <w:kern w:val="0"/>
          <w:sz w:val="24"/>
          <w:szCs w:val="24"/>
          <w:u w:val="single"/>
          <w:lang w:val="en-US" w:eastAsia="zh-CN" w:bidi="ar"/>
        </w:rPr>
        <w:t>（标的名称）</w:t>
      </w:r>
      <w:r>
        <w:rPr>
          <w:rFonts w:hint="eastAsia" w:ascii="仿宋_GB2312" w:hAnsi="仿宋_GB2312" w:eastAsia="仿宋_GB2312" w:cs="仿宋_GB2312"/>
          <w:color w:val="000000"/>
          <w:kern w:val="0"/>
          <w:sz w:val="24"/>
          <w:szCs w:val="24"/>
          <w:lang w:val="en-US" w:eastAsia="zh-CN" w:bidi="ar"/>
        </w:rPr>
        <w:t>，属于</w:t>
      </w:r>
      <w:r>
        <w:rPr>
          <w:rFonts w:hint="eastAsia" w:ascii="仿宋_GB2312" w:hAnsi="仿宋_GB2312" w:eastAsia="仿宋_GB2312" w:cs="仿宋_GB2312"/>
          <w:i/>
          <w:iCs/>
          <w:color w:val="000000"/>
          <w:kern w:val="0"/>
          <w:sz w:val="24"/>
          <w:szCs w:val="24"/>
          <w:u w:val="single"/>
          <w:lang w:val="en-US" w:eastAsia="zh-CN" w:bidi="ar"/>
        </w:rPr>
        <w:t>（采购文件中明确的所属行业）</w:t>
      </w:r>
      <w:r>
        <w:rPr>
          <w:rFonts w:hint="eastAsia" w:ascii="仿宋_GB2312" w:hAnsi="仿宋_GB2312" w:eastAsia="仿宋_GB2312" w:cs="仿宋_GB2312"/>
          <w:color w:val="000000"/>
          <w:kern w:val="0"/>
          <w:sz w:val="24"/>
          <w:szCs w:val="24"/>
          <w:lang w:val="en-US" w:eastAsia="zh-CN" w:bidi="ar"/>
        </w:rPr>
        <w:t xml:space="preserve">；承建（承接）企业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为</w:t>
      </w:r>
      <w:r>
        <w:rPr>
          <w:rFonts w:hint="eastAsia" w:ascii="仿宋_GB2312" w:hAnsi="仿宋_GB2312" w:eastAsia="仿宋_GB2312" w:cs="仿宋_GB2312"/>
          <w:i/>
          <w:iCs/>
          <w:color w:val="000000"/>
          <w:kern w:val="0"/>
          <w:sz w:val="24"/>
          <w:szCs w:val="24"/>
          <w:u w:val="single"/>
          <w:lang w:val="en-US" w:eastAsia="zh-CN" w:bidi="ar"/>
        </w:rPr>
        <w:t>（企业名称）</w:t>
      </w:r>
      <w:r>
        <w:rPr>
          <w:rFonts w:hint="eastAsia" w:ascii="仿宋_GB2312" w:hAnsi="仿宋_GB2312" w:eastAsia="仿宋_GB2312" w:cs="仿宋_GB2312"/>
          <w:color w:val="000000"/>
          <w:kern w:val="0"/>
          <w:sz w:val="24"/>
          <w:szCs w:val="24"/>
          <w:lang w:val="en-US" w:eastAsia="zh-CN" w:bidi="ar"/>
        </w:rPr>
        <w:t>，从业人员</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人，营业收入为</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万元，资产总额</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为万元，属于</w:t>
      </w:r>
      <w:r>
        <w:rPr>
          <w:rFonts w:hint="eastAsia" w:ascii="仿宋_GB2312" w:hAnsi="仿宋_GB2312" w:eastAsia="仿宋_GB2312" w:cs="仿宋_GB2312"/>
          <w:i/>
          <w:iCs/>
          <w:color w:val="000000"/>
          <w:kern w:val="0"/>
          <w:sz w:val="24"/>
          <w:szCs w:val="24"/>
          <w:u w:val="single"/>
          <w:lang w:val="en-US" w:eastAsia="zh-CN" w:bidi="ar"/>
        </w:rPr>
        <w:t>（中型企业、小型企业、微型企业）</w:t>
      </w:r>
      <w:r>
        <w:rPr>
          <w:rFonts w:hint="eastAsia" w:ascii="仿宋_GB2312" w:hAnsi="仿宋_GB2312" w:eastAsia="仿宋_GB2312" w:cs="仿宋_GB2312"/>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2. </w:t>
      </w:r>
      <w:r>
        <w:rPr>
          <w:rFonts w:hint="eastAsia" w:ascii="仿宋_GB2312" w:hAnsi="仿宋_GB2312" w:eastAsia="仿宋_GB2312" w:cs="仿宋_GB2312"/>
          <w:i/>
          <w:iCs/>
          <w:color w:val="000000"/>
          <w:kern w:val="0"/>
          <w:sz w:val="24"/>
          <w:szCs w:val="24"/>
          <w:u w:val="single"/>
          <w:lang w:val="en-US" w:eastAsia="zh-CN" w:bidi="ar"/>
        </w:rPr>
        <w:t>（标的名称）</w:t>
      </w:r>
      <w:r>
        <w:rPr>
          <w:rFonts w:hint="eastAsia" w:ascii="仿宋_GB2312" w:hAnsi="仿宋_GB2312" w:eastAsia="仿宋_GB2312" w:cs="仿宋_GB2312"/>
          <w:color w:val="000000"/>
          <w:kern w:val="0"/>
          <w:sz w:val="24"/>
          <w:szCs w:val="24"/>
          <w:lang w:val="en-US" w:eastAsia="zh-CN" w:bidi="ar"/>
        </w:rPr>
        <w:t>，属于</w:t>
      </w:r>
      <w:r>
        <w:rPr>
          <w:rFonts w:hint="eastAsia" w:ascii="仿宋_GB2312" w:hAnsi="仿宋_GB2312" w:eastAsia="仿宋_GB2312" w:cs="仿宋_GB2312"/>
          <w:i/>
          <w:iCs/>
          <w:color w:val="000000"/>
          <w:kern w:val="0"/>
          <w:sz w:val="24"/>
          <w:szCs w:val="24"/>
          <w:u w:val="single"/>
          <w:lang w:val="en-US" w:eastAsia="zh-CN" w:bidi="ar"/>
        </w:rPr>
        <w:t>（采购文件中明确的所属行业）</w:t>
      </w:r>
      <w:r>
        <w:rPr>
          <w:rFonts w:hint="eastAsia" w:ascii="仿宋_GB2312" w:hAnsi="仿宋_GB2312" w:eastAsia="仿宋_GB2312" w:cs="仿宋_GB2312"/>
          <w:color w:val="000000"/>
          <w:kern w:val="0"/>
          <w:sz w:val="24"/>
          <w:szCs w:val="24"/>
          <w:lang w:val="en-US" w:eastAsia="zh-CN" w:bidi="ar"/>
        </w:rPr>
        <w:t>；承建（承接）企业</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为</w:t>
      </w:r>
      <w:r>
        <w:rPr>
          <w:rFonts w:hint="eastAsia" w:ascii="仿宋_GB2312" w:hAnsi="仿宋_GB2312" w:eastAsia="仿宋_GB2312" w:cs="仿宋_GB2312"/>
          <w:i/>
          <w:iCs/>
          <w:color w:val="000000"/>
          <w:kern w:val="0"/>
          <w:sz w:val="24"/>
          <w:szCs w:val="24"/>
          <w:u w:val="single"/>
          <w:lang w:val="en-US" w:eastAsia="zh-CN" w:bidi="ar"/>
        </w:rPr>
        <w:t>（企业名称）</w:t>
      </w:r>
      <w:r>
        <w:rPr>
          <w:rFonts w:hint="eastAsia" w:ascii="仿宋_GB2312" w:hAnsi="仿宋_GB2312" w:eastAsia="仿宋_GB2312" w:cs="仿宋_GB2312"/>
          <w:color w:val="000000"/>
          <w:kern w:val="0"/>
          <w:sz w:val="24"/>
          <w:szCs w:val="24"/>
          <w:lang w:val="en-US" w:eastAsia="zh-CN" w:bidi="ar"/>
        </w:rPr>
        <w:t>，从业人员</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人，营业收入为</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万元，资产总额</w:t>
      </w:r>
      <w:r>
        <w:rPr>
          <w:rFonts w:hint="eastAsia" w:ascii="仿宋_GB2312" w:hAnsi="仿宋_GB2312" w:eastAsia="仿宋_GB2312" w:cs="仿宋_GB2312"/>
          <w:color w:val="000000"/>
          <w:kern w:val="0"/>
          <w:sz w:val="24"/>
          <w:szCs w:val="24"/>
          <w:u w:val="single"/>
          <w:lang w:val="en-US" w:eastAsia="zh-CN" w:bidi="ar"/>
        </w:rPr>
        <w:t xml:space="preserve">     </w:t>
      </w:r>
      <w:r>
        <w:rPr>
          <w:rFonts w:hint="eastAsia" w:ascii="仿宋_GB2312" w:hAnsi="仿宋_GB2312" w:eastAsia="仿宋_GB2312" w:cs="仿宋_GB2312"/>
          <w:color w:val="000000"/>
          <w:kern w:val="0"/>
          <w:sz w:val="24"/>
          <w:szCs w:val="24"/>
          <w:lang w:val="en-US" w:eastAsia="zh-CN" w:bidi="ar"/>
        </w:rPr>
        <w:t>为万元，属于</w:t>
      </w:r>
      <w:r>
        <w:rPr>
          <w:rFonts w:hint="eastAsia" w:ascii="仿宋_GB2312" w:hAnsi="仿宋_GB2312" w:eastAsia="仿宋_GB2312" w:cs="仿宋_GB2312"/>
          <w:i/>
          <w:iCs/>
          <w:color w:val="000000"/>
          <w:kern w:val="0"/>
          <w:sz w:val="24"/>
          <w:szCs w:val="24"/>
          <w:u w:val="single"/>
          <w:lang w:val="en-US" w:eastAsia="zh-CN" w:bidi="ar"/>
        </w:rPr>
        <w:t>（中型企业、小型企业、微型企业）</w:t>
      </w:r>
      <w:r>
        <w:rPr>
          <w:rFonts w:hint="eastAsia" w:ascii="仿宋_GB2312" w:hAnsi="仿宋_GB2312" w:eastAsia="仿宋_GB2312" w:cs="仿宋_GB2312"/>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以上企业，不属于大企业的分支机构，不存在控股股东为大企业的情形，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 xml:space="preserve">也不存在与大企业的负责人为同一人的情形。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val="en-US" w:eastAsia="zh-CN" w:bidi="ar"/>
        </w:rPr>
        <w:t>本企业对上述声明内容的真实性负责。如有虚假，将依法承担相应责任。</w:t>
      </w:r>
    </w:p>
    <w:p>
      <w:pPr>
        <w:pStyle w:val="21"/>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lang w:val="en-US" w:eastAsia="zh-CN"/>
        </w:rPr>
      </w:pPr>
      <w:r>
        <w:rPr>
          <w:rFonts w:hint="eastAsia" w:ascii="仿宋_GB2312" w:hAnsi="仿宋_GB2312" w:eastAsia="仿宋_GB2312" w:cs="仿宋_GB2312"/>
          <w:i w:val="0"/>
          <w:iCs w:val="0"/>
          <w:caps w:val="0"/>
          <w:color w:val="000000"/>
          <w:spacing w:val="0"/>
          <w:sz w:val="24"/>
          <w:szCs w:val="24"/>
          <w:lang w:val="en-US" w:eastAsia="zh-CN"/>
        </w:rPr>
        <w:t xml:space="preserve"> </w:t>
      </w:r>
    </w:p>
    <w:p>
      <w:pPr>
        <w:pStyle w:val="21"/>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420"/>
        <w:jc w:val="center"/>
        <w:textAlignment w:val="auto"/>
        <w:rPr>
          <w:rFonts w:hint="eastAsia" w:ascii="仿宋_GB2312" w:hAnsi="仿宋_GB2312" w:eastAsia="仿宋_GB2312" w:cs="仿宋_GB2312"/>
          <w:i w:val="0"/>
          <w:iCs w:val="0"/>
          <w:caps w:val="0"/>
          <w:color w:val="000000"/>
          <w:spacing w:val="0"/>
          <w:sz w:val="24"/>
          <w:szCs w:val="24"/>
          <w:u w:val="single"/>
          <w:lang w:val="en-US" w:eastAsia="zh-CN"/>
        </w:rPr>
      </w:pPr>
      <w:r>
        <w:rPr>
          <w:rFonts w:hint="eastAsia" w:ascii="仿宋_GB2312" w:hAnsi="仿宋_GB2312" w:eastAsia="仿宋_GB2312" w:cs="仿宋_GB2312"/>
          <w:i w:val="0"/>
          <w:iCs w:val="0"/>
          <w:caps w:val="0"/>
          <w:color w:val="000000"/>
          <w:spacing w:val="0"/>
          <w:sz w:val="24"/>
          <w:szCs w:val="24"/>
          <w:lang w:val="en-US" w:eastAsia="zh-CN"/>
        </w:rPr>
        <w:t xml:space="preserve">             </w:t>
      </w:r>
      <w:r>
        <w:rPr>
          <w:rFonts w:hint="eastAsia" w:ascii="仿宋_GB2312" w:hAnsi="仿宋_GB2312" w:eastAsia="仿宋_GB2312" w:cs="仿宋_GB2312"/>
          <w:i w:val="0"/>
          <w:iCs w:val="0"/>
          <w:caps w:val="0"/>
          <w:color w:val="000000"/>
          <w:spacing w:val="0"/>
          <w:sz w:val="24"/>
          <w:szCs w:val="24"/>
        </w:rPr>
        <w:t>企业名称（盖章）：</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p>
    <w:p>
      <w:pPr>
        <w:pStyle w:val="21"/>
        <w:keepNext w:val="0"/>
        <w:keepLines w:val="0"/>
        <w:pageBreakBefore w:val="0"/>
        <w:widowControl/>
        <w:suppressLineNumbers w:val="0"/>
        <w:kinsoku/>
        <w:wordWrap/>
        <w:overflowPunct/>
        <w:topLinePunct w:val="0"/>
        <w:autoSpaceDE/>
        <w:autoSpaceDN/>
        <w:bidi w:val="0"/>
        <w:adjustRightInd/>
        <w:snapToGrid/>
        <w:spacing w:beforeAutospacing="0" w:afterAutospacing="0" w:line="500" w:lineRule="exact"/>
        <w:ind w:left="0" w:firstLine="5520" w:firstLineChars="2300"/>
        <w:jc w:val="both"/>
        <w:textAlignment w:val="auto"/>
        <w:rPr>
          <w:rFonts w:hint="eastAsia" w:ascii="仿宋_GB2312" w:hAnsi="仿宋_GB2312" w:eastAsia="仿宋_GB2312" w:cs="仿宋_GB2312"/>
          <w:i w:val="0"/>
          <w:iCs w:val="0"/>
          <w:caps w:val="0"/>
          <w:color w:val="000000"/>
          <w:spacing w:val="0"/>
          <w:sz w:val="27"/>
          <w:szCs w:val="27"/>
          <w:u w:val="single"/>
          <w:lang w:val="en-US" w:eastAsia="zh-CN"/>
        </w:rPr>
      </w:pPr>
      <w:r>
        <w:rPr>
          <w:rFonts w:hint="eastAsia" w:ascii="仿宋_GB2312" w:hAnsi="仿宋_GB2312" w:eastAsia="仿宋_GB2312" w:cs="仿宋_GB2312"/>
          <w:i w:val="0"/>
          <w:iCs w:val="0"/>
          <w:caps w:val="0"/>
          <w:color w:val="000000"/>
          <w:spacing w:val="0"/>
          <w:sz w:val="24"/>
          <w:szCs w:val="24"/>
        </w:rPr>
        <w:t>日期：</w:t>
      </w:r>
      <w:r>
        <w:rPr>
          <w:rFonts w:hint="eastAsia" w:ascii="仿宋_GB2312" w:hAnsi="仿宋_GB2312" w:eastAsia="仿宋_GB2312" w:cs="仿宋_GB2312"/>
          <w:i w:val="0"/>
          <w:iCs w:val="0"/>
          <w:caps w:val="0"/>
          <w:color w:val="000000"/>
          <w:spacing w:val="0"/>
          <w:sz w:val="24"/>
          <w:szCs w:val="24"/>
          <w:u w:val="single"/>
          <w:lang w:val="en-US" w:eastAsia="zh-CN"/>
        </w:rPr>
        <w:t xml:space="preserve">         </w:t>
      </w:r>
    </w:p>
    <w:p>
      <w:pPr>
        <w:rPr>
          <w:rFonts w:hint="eastAsia" w:ascii="仿宋_GB2312" w:hAnsi="仿宋_GB2312" w:eastAsia="仿宋_GB2312" w:cs="仿宋_GB2312"/>
          <w:b w:val="0"/>
          <w:bCs w:val="0"/>
          <w:color w:val="000000"/>
          <w:kern w:val="0"/>
          <w:sz w:val="21"/>
          <w:szCs w:val="21"/>
          <w:lang w:val="en-US" w:eastAsia="zh-CN" w:bidi="ar"/>
        </w:rPr>
      </w:pPr>
    </w:p>
    <w:p>
      <w:pPr>
        <w:rPr>
          <w:rFonts w:hint="eastAsia" w:ascii="仿宋_GB2312" w:hAnsi="仿宋_GB2312" w:eastAsia="仿宋_GB2312" w:cs="仿宋_GB2312"/>
          <w:b w:val="0"/>
          <w:bCs w:val="0"/>
          <w:color w:val="000000"/>
          <w:kern w:val="0"/>
          <w:sz w:val="21"/>
          <w:szCs w:val="21"/>
          <w:lang w:val="en-US" w:eastAsia="zh-CN" w:bidi="ar"/>
        </w:rPr>
      </w:pPr>
    </w:p>
    <w:p>
      <w:pPr>
        <w:rPr>
          <w:rFonts w:hint="eastAsia" w:ascii="仿宋_GB2312" w:hAnsi="仿宋_GB2312" w:eastAsia="仿宋_GB2312" w:cs="仿宋_GB2312"/>
          <w:b w:val="0"/>
          <w:bCs w:val="0"/>
          <w:color w:val="000000"/>
          <w:kern w:val="0"/>
          <w:sz w:val="21"/>
          <w:szCs w:val="21"/>
          <w:lang w:val="en-US" w:eastAsia="zh-CN" w:bidi="ar"/>
        </w:rPr>
      </w:pPr>
    </w:p>
    <w:p>
      <w:pPr>
        <w:rPr>
          <w:rFonts w:hint="eastAsia" w:ascii="仿宋_GB2312" w:hAnsi="仿宋_GB2312" w:eastAsia="仿宋_GB2312" w:cs="仿宋_GB2312"/>
          <w:b w:val="0"/>
          <w:bCs w:val="0"/>
          <w:color w:val="000000"/>
          <w:kern w:val="0"/>
          <w:sz w:val="21"/>
          <w:szCs w:val="21"/>
          <w:lang w:val="en-US" w:eastAsia="zh-CN" w:bidi="ar"/>
        </w:rPr>
      </w:pPr>
    </w:p>
    <w:p>
      <w:pPr>
        <w:rPr>
          <w:rFonts w:hint="eastAsia" w:ascii="仿宋_GB2312" w:hAnsi="仿宋_GB2312" w:eastAsia="仿宋_GB2312" w:cs="仿宋_GB2312"/>
          <w:b w:val="0"/>
          <w:bCs w:val="0"/>
          <w:color w:val="000000"/>
          <w:kern w:val="0"/>
          <w:sz w:val="21"/>
          <w:szCs w:val="21"/>
          <w:lang w:val="en-US" w:eastAsia="zh-CN" w:bidi="ar"/>
        </w:rPr>
      </w:pPr>
    </w:p>
    <w:p>
      <w:pPr>
        <w:rPr>
          <w:rFonts w:hint="eastAsia" w:ascii="仿宋_GB2312" w:hAnsi="仿宋_GB2312" w:eastAsia="仿宋_GB2312" w:cs="仿宋_GB2312"/>
          <w:b w:val="0"/>
          <w:bCs w:val="0"/>
          <w:color w:val="000000"/>
          <w:kern w:val="0"/>
          <w:sz w:val="21"/>
          <w:szCs w:val="21"/>
          <w:lang w:val="en-US" w:eastAsia="zh-CN" w:bidi="ar"/>
        </w:rPr>
      </w:pPr>
    </w:p>
    <w:p>
      <w:pPr>
        <w:rPr>
          <w:rFonts w:hint="eastAsia" w:ascii="仿宋_GB2312" w:hAnsi="仿宋_GB2312" w:eastAsia="仿宋_GB2312" w:cs="仿宋_GB2312"/>
          <w:b w:val="0"/>
          <w:bCs w:val="0"/>
          <w:color w:val="000000"/>
          <w:kern w:val="0"/>
          <w:sz w:val="21"/>
          <w:szCs w:val="21"/>
          <w:lang w:val="en-US" w:eastAsia="zh-CN" w:bidi="ar"/>
        </w:rPr>
      </w:pPr>
    </w:p>
    <w:p>
      <w:pPr>
        <w:rPr>
          <w:rFonts w:hint="eastAsia" w:ascii="仿宋_GB2312" w:hAnsi="仿宋_GB2312" w:eastAsia="仿宋_GB2312" w:cs="仿宋_GB2312"/>
          <w:b w:val="0"/>
          <w:bCs w:val="0"/>
          <w:color w:val="000000"/>
          <w:kern w:val="0"/>
          <w:sz w:val="21"/>
          <w:szCs w:val="21"/>
          <w:lang w:val="en-US" w:eastAsia="zh-CN" w:bidi="ar"/>
        </w:rPr>
      </w:pPr>
      <w:r>
        <w:rPr>
          <w:rFonts w:hint="eastAsia" w:ascii="仿宋_GB2312" w:hAnsi="仿宋_GB2312" w:eastAsia="仿宋_GB2312" w:cs="仿宋_GB2312"/>
          <w:b w:val="0"/>
          <w:bCs w:val="0"/>
          <w:color w:val="000000"/>
          <w:kern w:val="0"/>
          <w:sz w:val="21"/>
          <w:szCs w:val="21"/>
          <w:lang w:val="en-US" w:eastAsia="zh-CN" w:bidi="ar"/>
        </w:rPr>
        <w:t>从业人员、营业收入、资产总额填报上一年度数据，无上一年度数据的新成立企业可不填报。</w:t>
      </w:r>
    </w:p>
    <w:p>
      <w:pPr>
        <w:rPr>
          <w:rFonts w:hint="eastAsia" w:ascii="仿宋_GB2312" w:hAnsi="仿宋_GB2312" w:eastAsia="仿宋_GB2312" w:cs="仿宋_GB2312"/>
          <w:b w:val="0"/>
          <w:bCs w:val="0"/>
          <w:color w:val="000000"/>
          <w:kern w:val="0"/>
          <w:sz w:val="24"/>
          <w:szCs w:val="24"/>
          <w:lang w:val="en-US" w:eastAsia="zh-CN" w:bidi="ar"/>
        </w:rPr>
      </w:pPr>
      <w:r>
        <w:rPr>
          <w:rFonts w:hint="eastAsia" w:ascii="仿宋_GB2312" w:hAnsi="仿宋_GB2312" w:eastAsia="仿宋_GB2312" w:cs="仿宋_GB2312"/>
          <w:b w:val="0"/>
          <w:bCs w:val="0"/>
          <w:color w:val="000000"/>
          <w:kern w:val="0"/>
          <w:sz w:val="24"/>
          <w:szCs w:val="24"/>
          <w:lang w:val="en-US" w:eastAsia="zh-CN" w:bidi="ar"/>
        </w:rPr>
        <w:br w:type="page"/>
      </w:r>
    </w:p>
    <w:p>
      <w:pPr>
        <w:rPr>
          <w:rFonts w:hint="eastAsia" w:ascii="仿宋" w:hAnsi="仿宋" w:eastAsia="仿宋" w:cs="仿宋"/>
          <w:b w:val="0"/>
          <w:bCs w:val="0"/>
          <w:color w:val="000000"/>
          <w:kern w:val="0"/>
          <w:sz w:val="24"/>
          <w:szCs w:val="24"/>
          <w:lang w:val="en-US" w:eastAsia="zh-CN" w:bidi="ar"/>
        </w:rPr>
      </w:pPr>
    </w:p>
    <w:p>
      <w:pPr>
        <w:keepNext w:val="0"/>
        <w:keepLines w:val="0"/>
        <w:widowControl/>
        <w:suppressLineNumbers w:val="0"/>
        <w:jc w:val="center"/>
        <w:rPr>
          <w:rFonts w:hint="eastAsia" w:ascii="仿宋" w:hAnsi="仿宋" w:eastAsia="仿宋" w:cs="仿宋"/>
          <w:b/>
          <w:bCs/>
          <w:color w:val="000000"/>
          <w:kern w:val="0"/>
          <w:sz w:val="32"/>
          <w:szCs w:val="32"/>
          <w:lang w:val="en-US" w:eastAsia="zh-CN" w:bidi="ar"/>
        </w:rPr>
      </w:pPr>
      <w:r>
        <w:rPr>
          <w:rFonts w:hint="eastAsia" w:ascii="仿宋" w:hAnsi="仿宋" w:eastAsia="仿宋" w:cs="仿宋"/>
          <w:b/>
          <w:bCs/>
          <w:color w:val="000000"/>
          <w:kern w:val="0"/>
          <w:sz w:val="32"/>
          <w:szCs w:val="32"/>
          <w:lang w:val="en-US" w:eastAsia="zh-CN" w:bidi="ar"/>
        </w:rPr>
        <w:t>残疾人福利性单位声明函格式</w:t>
      </w:r>
    </w:p>
    <w:p>
      <w:pPr>
        <w:keepNext w:val="0"/>
        <w:keepLines w:val="0"/>
        <w:widowControl/>
        <w:suppressLineNumbers w:val="0"/>
        <w:jc w:val="center"/>
        <w:rPr>
          <w:rFonts w:hint="eastAsia" w:ascii="仿宋" w:hAnsi="仿宋" w:eastAsia="仿宋" w:cs="仿宋"/>
          <w:b/>
          <w:bCs/>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本单位郑重声明，根据《财政部民政部中国残疾人联合会关于促进残疾人就业政府采购政策的通知》（财库〔2017〕 141 号）的规定，本单位</w:t>
      </w:r>
      <w:r>
        <w:rPr>
          <w:rFonts w:hint="eastAsia" w:ascii="仿宋" w:hAnsi="仿宋" w:eastAsia="仿宋" w:cs="仿宋"/>
          <w:b/>
          <w:bCs/>
          <w:color w:val="000000"/>
          <w:kern w:val="0"/>
          <w:sz w:val="24"/>
          <w:szCs w:val="24"/>
          <w:lang w:val="en-US" w:eastAsia="zh-CN" w:bidi="ar"/>
        </w:rPr>
        <w:t>（请进行勾选）</w:t>
      </w:r>
      <w:r>
        <w:rPr>
          <w:rFonts w:hint="eastAsia" w:ascii="仿宋" w:hAnsi="仿宋" w:eastAsia="仿宋" w:cs="仿宋"/>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 w:hAnsi="仿宋" w:eastAsia="仿宋" w:cs="仿宋"/>
          <w:sz w:val="24"/>
          <w:szCs w:val="24"/>
        </w:rPr>
      </w:pPr>
      <w:r>
        <w:rPr>
          <w:rFonts w:hint="eastAsia" w:ascii="仿宋" w:hAnsi="仿宋" w:eastAsia="仿宋" w:cs="仿宋"/>
          <w:b/>
          <w:bCs/>
          <w:color w:val="000000"/>
          <w:kern w:val="0"/>
          <w:sz w:val="24"/>
          <w:szCs w:val="24"/>
          <w:lang w:val="en-US" w:eastAsia="zh-CN" w:bidi="ar"/>
        </w:rPr>
        <w:t xml:space="preserve">□不属于符合条件的残疾人福利性单位。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2" w:firstLineChars="200"/>
        <w:jc w:val="left"/>
        <w:textAlignment w:val="auto"/>
        <w:rPr>
          <w:rFonts w:hint="eastAsia" w:ascii="仿宋" w:hAnsi="仿宋" w:eastAsia="仿宋" w:cs="仿宋"/>
          <w:sz w:val="24"/>
          <w:szCs w:val="24"/>
        </w:rPr>
      </w:pPr>
      <w:r>
        <w:rPr>
          <w:rFonts w:hint="eastAsia" w:ascii="仿宋" w:hAnsi="仿宋" w:eastAsia="仿宋" w:cs="仿宋"/>
          <w:b/>
          <w:bCs/>
          <w:color w:val="000000"/>
          <w:kern w:val="0"/>
          <w:sz w:val="24"/>
          <w:szCs w:val="24"/>
          <w:lang w:val="en-US" w:eastAsia="zh-CN" w:bidi="ar"/>
        </w:rPr>
        <w:t>□属于符合条件的残疾人福利性单位，</w:t>
      </w:r>
      <w:r>
        <w:rPr>
          <w:rFonts w:hint="eastAsia" w:ascii="仿宋" w:hAnsi="仿宋" w:eastAsia="仿宋" w:cs="仿宋"/>
          <w:color w:val="000000"/>
          <w:kern w:val="0"/>
          <w:sz w:val="24"/>
          <w:szCs w:val="24"/>
          <w:lang w:val="en-US" w:eastAsia="zh-CN" w:bidi="ar"/>
        </w:rPr>
        <w:t>且本单位参加</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单位的</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项目采购活动提供本单位制造的货物（由本单位承担工程/提供服务），或者提供其他残疾人福利性单位制造的货物（不包括使用非残疾人福利性单位注册商标的货物）。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723" w:firstLineChars="300"/>
        <w:jc w:val="left"/>
        <w:textAlignment w:val="auto"/>
        <w:rPr>
          <w:rFonts w:hint="eastAsia" w:ascii="仿宋" w:hAnsi="仿宋" w:eastAsia="仿宋" w:cs="仿宋"/>
          <w:sz w:val="24"/>
          <w:szCs w:val="24"/>
        </w:rPr>
      </w:pPr>
      <w:r>
        <w:rPr>
          <w:rFonts w:hint="eastAsia" w:ascii="仿宋" w:hAnsi="仿宋" w:eastAsia="仿宋" w:cs="仿宋"/>
          <w:b/>
          <w:bCs/>
          <w:color w:val="000000"/>
          <w:kern w:val="0"/>
          <w:sz w:val="24"/>
          <w:szCs w:val="24"/>
          <w:lang w:val="en-US" w:eastAsia="zh-CN" w:bidi="ar"/>
        </w:rPr>
        <w:t xml:space="preserve">本单位对上述声明的真实性负责。如有虚假，将依法承担相应责任。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             单位名称（盖章）：</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                         日期：</w:t>
      </w:r>
    </w:p>
    <w:p>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2-2 拟分包情况说明及分包意向协议 </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lang w:val="en-US" w:eastAsia="zh-CN" w:bidi="ar"/>
        </w:rPr>
      </w:pPr>
      <w:r>
        <w:rPr>
          <w:rFonts w:hint="eastAsia" w:ascii="仿宋" w:hAnsi="仿宋" w:eastAsia="仿宋" w:cs="仿宋"/>
          <w:b/>
          <w:bCs/>
          <w:color w:val="000000"/>
          <w:kern w:val="0"/>
          <w:sz w:val="32"/>
          <w:szCs w:val="32"/>
          <w:lang w:val="en-US" w:eastAsia="zh-CN" w:bidi="ar"/>
        </w:rPr>
        <w:t>拟分包情况说明</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致：</w:t>
      </w:r>
      <w:r>
        <w:rPr>
          <w:rFonts w:hint="eastAsia" w:ascii="仿宋" w:hAnsi="仿宋" w:eastAsia="仿宋" w:cs="仿宋"/>
          <w:color w:val="000000"/>
          <w:kern w:val="0"/>
          <w:sz w:val="24"/>
          <w:szCs w:val="24"/>
          <w:u w:val="single"/>
          <w:lang w:val="en-US" w:eastAsia="zh-CN" w:bidi="ar"/>
        </w:rPr>
        <w:t>（采购人或采购代理机构）</w:t>
      </w:r>
      <w:r>
        <w:rPr>
          <w:rFonts w:hint="eastAsia" w:ascii="仿宋" w:hAnsi="仿宋" w:eastAsia="仿宋" w:cs="仿宋"/>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我单位参加贵单位组织采购的项目编号为</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的</w:t>
      </w:r>
      <w:r>
        <w:rPr>
          <w:rFonts w:hint="eastAsia" w:ascii="仿宋" w:hAnsi="仿宋" w:eastAsia="仿宋" w:cs="仿宋"/>
          <w:color w:val="000000"/>
          <w:kern w:val="0"/>
          <w:sz w:val="24"/>
          <w:szCs w:val="24"/>
          <w:u w:val="single"/>
          <w:lang w:val="en-US" w:eastAsia="zh-CN" w:bidi="ar"/>
        </w:rPr>
        <w:t xml:space="preserve"> （填写采购项目名称）  </w:t>
      </w:r>
      <w:r>
        <w:rPr>
          <w:rFonts w:hint="eastAsia" w:ascii="仿宋" w:hAnsi="仿宋" w:eastAsia="仿宋" w:cs="仿宋"/>
          <w:color w:val="000000"/>
          <w:kern w:val="0"/>
          <w:sz w:val="24"/>
          <w:szCs w:val="24"/>
          <w:lang w:val="en-US" w:eastAsia="zh-CN" w:bidi="ar"/>
        </w:rPr>
        <w:t>项目中</w:t>
      </w:r>
      <w:r>
        <w:rPr>
          <w:rFonts w:hint="eastAsia" w:ascii="仿宋" w:hAnsi="仿宋" w:eastAsia="仿宋" w:cs="仿宋"/>
          <w:color w:val="000000"/>
          <w:kern w:val="0"/>
          <w:sz w:val="24"/>
          <w:szCs w:val="24"/>
          <w:u w:val="single"/>
          <w:lang w:val="en-US" w:eastAsia="zh-CN" w:bidi="ar"/>
        </w:rPr>
        <w:t xml:space="preserve"> （填写包号） </w:t>
      </w:r>
      <w:r>
        <w:rPr>
          <w:rFonts w:hint="eastAsia" w:ascii="仿宋" w:hAnsi="仿宋" w:eastAsia="仿宋" w:cs="仿宋"/>
          <w:color w:val="000000"/>
          <w:kern w:val="0"/>
          <w:sz w:val="24"/>
          <w:szCs w:val="24"/>
          <w:lang w:val="en-US" w:eastAsia="zh-CN" w:bidi="ar"/>
        </w:rPr>
        <w:t xml:space="preserve">包的投标。拟签订分包合同的单位情况如下表所示，我单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位承诺一旦在该项目中获得采购合同将按下表所列情况进行分包，同时承诺分包承担主体不再次分包。 </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323"/>
        <w:gridCol w:w="1338"/>
        <w:gridCol w:w="1123"/>
        <w:gridCol w:w="1154"/>
        <w:gridCol w:w="1439"/>
        <w:gridCol w:w="1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r>
              <w:rPr>
                <w:rFonts w:hint="eastAsia" w:ascii="仿宋" w:hAnsi="仿宋" w:eastAsia="仿宋" w:cs="仿宋"/>
                <w:b w:val="0"/>
                <w:bCs w:val="0"/>
                <w:color w:val="000000"/>
                <w:kern w:val="0"/>
                <w:sz w:val="21"/>
                <w:szCs w:val="21"/>
                <w:vertAlign w:val="baseline"/>
                <w:lang w:val="en-US" w:eastAsia="zh-CN" w:bidi="ar"/>
              </w:rPr>
              <w:t>序号</w:t>
            </w:r>
          </w:p>
        </w:tc>
        <w:tc>
          <w:tcPr>
            <w:tcW w:w="1323"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r>
              <w:rPr>
                <w:rFonts w:hint="eastAsia" w:ascii="仿宋" w:hAnsi="仿宋" w:eastAsia="仿宋" w:cs="仿宋"/>
                <w:b w:val="0"/>
                <w:bCs w:val="0"/>
                <w:color w:val="000000"/>
                <w:kern w:val="0"/>
                <w:sz w:val="21"/>
                <w:szCs w:val="21"/>
                <w:vertAlign w:val="baseline"/>
                <w:lang w:val="en-US" w:eastAsia="zh-CN" w:bidi="ar"/>
              </w:rPr>
              <w:t>分包承担</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r>
              <w:rPr>
                <w:rFonts w:hint="eastAsia" w:ascii="仿宋" w:hAnsi="仿宋" w:eastAsia="仿宋" w:cs="仿宋"/>
                <w:b w:val="0"/>
                <w:bCs w:val="0"/>
                <w:color w:val="000000"/>
                <w:kern w:val="0"/>
                <w:sz w:val="21"/>
                <w:szCs w:val="21"/>
                <w:vertAlign w:val="baseline"/>
                <w:lang w:val="en-US" w:eastAsia="zh-CN" w:bidi="ar"/>
              </w:rPr>
              <w:t>主体名称</w:t>
            </w:r>
          </w:p>
        </w:tc>
        <w:tc>
          <w:tcPr>
            <w:tcW w:w="1338" w:type="dxa"/>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分包承担</w:t>
            </w: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主体类型</w:t>
            </w: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r>
              <w:rPr>
                <w:rFonts w:hint="eastAsia" w:ascii="仿宋" w:hAnsi="仿宋" w:eastAsia="仿宋" w:cs="仿宋"/>
                <w:color w:val="000000"/>
                <w:kern w:val="0"/>
                <w:sz w:val="21"/>
                <w:szCs w:val="21"/>
                <w:lang w:val="en-US" w:eastAsia="zh-CN" w:bidi="ar"/>
              </w:rPr>
              <w:t>（勾选）</w:t>
            </w:r>
          </w:p>
        </w:tc>
        <w:tc>
          <w:tcPr>
            <w:tcW w:w="1123" w:type="dxa"/>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r>
              <w:rPr>
                <w:rFonts w:hint="eastAsia" w:ascii="仿宋" w:hAnsi="仿宋" w:eastAsia="仿宋" w:cs="仿宋"/>
                <w:b w:val="0"/>
                <w:bCs w:val="0"/>
                <w:color w:val="000000"/>
                <w:kern w:val="0"/>
                <w:sz w:val="21"/>
                <w:szCs w:val="21"/>
                <w:vertAlign w:val="baseline"/>
                <w:lang w:val="en-US" w:eastAsia="zh-CN" w:bidi="ar"/>
              </w:rPr>
              <w:t>资质等级</w:t>
            </w:r>
          </w:p>
        </w:tc>
        <w:tc>
          <w:tcPr>
            <w:tcW w:w="1154" w:type="dxa"/>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拟分包</w:t>
            </w: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r>
              <w:rPr>
                <w:rFonts w:hint="eastAsia" w:ascii="仿宋" w:hAnsi="仿宋" w:eastAsia="仿宋" w:cs="仿宋"/>
                <w:color w:val="000000"/>
                <w:kern w:val="0"/>
                <w:sz w:val="21"/>
                <w:szCs w:val="21"/>
                <w:lang w:val="en-US" w:eastAsia="zh-CN" w:bidi="ar"/>
              </w:rPr>
              <w:t>合同内容</w:t>
            </w:r>
          </w:p>
        </w:tc>
        <w:tc>
          <w:tcPr>
            <w:tcW w:w="1439" w:type="dxa"/>
            <w:vAlign w:val="center"/>
          </w:tcPr>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拟分包</w:t>
            </w: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合同金额</w:t>
            </w:r>
          </w:p>
          <w:p>
            <w:pPr>
              <w:keepNext w:val="0"/>
              <w:keepLines w:val="0"/>
              <w:pageBreakBefore w:val="0"/>
              <w:widowControl/>
              <w:suppressLineNumbers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r>
              <w:rPr>
                <w:rFonts w:hint="eastAsia" w:ascii="仿宋" w:hAnsi="仿宋" w:eastAsia="仿宋" w:cs="仿宋"/>
                <w:color w:val="000000"/>
                <w:kern w:val="0"/>
                <w:sz w:val="21"/>
                <w:szCs w:val="21"/>
                <w:lang w:val="en-US" w:eastAsia="zh-CN" w:bidi="ar"/>
              </w:rPr>
              <w:t>（人民币元）</w:t>
            </w:r>
          </w:p>
        </w:tc>
        <w:tc>
          <w:tcPr>
            <w:tcW w:w="1422" w:type="dxa"/>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b w:val="0"/>
                <w:bCs w:val="0"/>
                <w:color w:val="000000"/>
                <w:kern w:val="0"/>
                <w:sz w:val="21"/>
                <w:szCs w:val="21"/>
                <w:vertAlign w:val="baseline"/>
                <w:lang w:val="en-US" w:eastAsia="zh-CN" w:bidi="ar"/>
              </w:rPr>
            </w:pPr>
            <w:r>
              <w:rPr>
                <w:rFonts w:hint="eastAsia" w:ascii="仿宋" w:hAnsi="仿宋" w:eastAsia="仿宋" w:cs="仿宋"/>
                <w:color w:val="000000"/>
                <w:kern w:val="0"/>
                <w:sz w:val="21"/>
                <w:szCs w:val="21"/>
                <w:lang w:val="en-US" w:eastAsia="zh-CN" w:bidi="ar"/>
              </w:rPr>
              <w:t>占该采购包</w:t>
            </w:r>
            <w:r>
              <w:rPr>
                <w:rFonts w:hint="eastAsia" w:ascii="仿宋" w:hAnsi="仿宋" w:eastAsia="仿宋" w:cs="仿宋"/>
                <w:b/>
                <w:bCs/>
                <w:color w:val="000000"/>
                <w:kern w:val="0"/>
                <w:sz w:val="21"/>
                <w:szCs w:val="21"/>
                <w:lang w:val="en-US" w:eastAsia="zh-CN" w:bidi="ar"/>
              </w:rPr>
              <w:t>预算金额的</w:t>
            </w:r>
            <w:r>
              <w:rPr>
                <w:rFonts w:hint="eastAsia" w:ascii="仿宋" w:hAnsi="仿宋" w:eastAsia="仿宋" w:cs="仿宋"/>
                <w:color w:val="000000"/>
                <w:kern w:val="0"/>
                <w:sz w:val="21"/>
                <w:szCs w:val="21"/>
                <w:lang w:val="en-US" w:eastAsia="zh-CN" w:bidi="ar"/>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vertAlign w:val="baseline"/>
                <w:lang w:val="en-US" w:eastAsia="zh-CN" w:bidi="ar"/>
              </w:rPr>
            </w:pPr>
            <w:r>
              <w:rPr>
                <w:rFonts w:hint="eastAsia" w:ascii="仿宋" w:hAnsi="仿宋" w:eastAsia="仿宋" w:cs="仿宋"/>
                <w:b w:val="0"/>
                <w:bCs w:val="0"/>
                <w:color w:val="000000"/>
                <w:kern w:val="0"/>
                <w:sz w:val="24"/>
                <w:szCs w:val="24"/>
                <w:vertAlign w:val="baseline"/>
                <w:lang w:val="en-US" w:eastAsia="zh-CN" w:bidi="ar"/>
              </w:rPr>
              <w:t>1</w:t>
            </w:r>
          </w:p>
        </w:tc>
        <w:tc>
          <w:tcPr>
            <w:tcW w:w="1323" w:type="dxa"/>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vertAlign w:val="baseline"/>
                <w:lang w:val="en-US" w:eastAsia="zh-CN" w:bidi="ar"/>
              </w:rPr>
            </w:pPr>
          </w:p>
        </w:tc>
        <w:tc>
          <w:tcPr>
            <w:tcW w:w="1338" w:type="dxa"/>
            <w:vAlign w:val="center"/>
          </w:tcPr>
          <w:p>
            <w:pPr>
              <w:keepNext w:val="0"/>
              <w:keepLines w:val="0"/>
              <w:widowControl/>
              <w:suppressLineNumbers w:val="0"/>
              <w:jc w:val="center"/>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□中型企业</w:t>
            </w:r>
          </w:p>
          <w:p>
            <w:pPr>
              <w:keepNext w:val="0"/>
              <w:keepLines w:val="0"/>
              <w:widowControl/>
              <w:suppressLineNumbers w:val="0"/>
              <w:jc w:val="center"/>
              <w:rPr>
                <w:rFonts w:hint="eastAsia" w:ascii="仿宋" w:hAnsi="仿宋" w:eastAsia="仿宋" w:cs="仿宋"/>
                <w:b w:val="0"/>
                <w:bCs w:val="0"/>
                <w:color w:val="000000"/>
                <w:kern w:val="0"/>
                <w:sz w:val="21"/>
                <w:szCs w:val="21"/>
                <w:vertAlign w:val="baseline"/>
                <w:lang w:val="en-US" w:eastAsia="zh-CN" w:bidi="ar"/>
              </w:rPr>
            </w:pPr>
            <w:r>
              <w:rPr>
                <w:rFonts w:hint="eastAsia" w:ascii="仿宋" w:hAnsi="仿宋" w:eastAsia="仿宋" w:cs="仿宋"/>
                <w:color w:val="000000"/>
                <w:kern w:val="0"/>
                <w:sz w:val="21"/>
                <w:szCs w:val="21"/>
                <w:lang w:val="en-US" w:eastAsia="zh-CN" w:bidi="ar"/>
              </w:rPr>
              <w:t>□小微企业</w:t>
            </w:r>
          </w:p>
        </w:tc>
        <w:tc>
          <w:tcPr>
            <w:tcW w:w="1123" w:type="dxa"/>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vertAlign w:val="baseline"/>
                <w:lang w:val="en-US" w:eastAsia="zh-CN" w:bidi="ar"/>
              </w:rPr>
            </w:pPr>
          </w:p>
        </w:tc>
        <w:tc>
          <w:tcPr>
            <w:tcW w:w="1154" w:type="dxa"/>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vertAlign w:val="baseline"/>
                <w:lang w:val="en-US" w:eastAsia="zh-CN" w:bidi="ar"/>
              </w:rPr>
            </w:pPr>
          </w:p>
        </w:tc>
        <w:tc>
          <w:tcPr>
            <w:tcW w:w="1439" w:type="dxa"/>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vertAlign w:val="baseline"/>
                <w:lang w:val="en-US" w:eastAsia="zh-CN" w:bidi="ar"/>
              </w:rPr>
            </w:pPr>
          </w:p>
        </w:tc>
        <w:tc>
          <w:tcPr>
            <w:tcW w:w="1422" w:type="dxa"/>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vertAlign w:val="baseline"/>
                <w:lang w:val="en-US" w:eastAsia="zh-CN" w:bidi="ar"/>
              </w:rPr>
            </w:pPr>
            <w:r>
              <w:rPr>
                <w:rFonts w:hint="eastAsia" w:ascii="仿宋" w:hAnsi="仿宋" w:eastAsia="仿宋" w:cs="仿宋"/>
                <w:b w:val="0"/>
                <w:bCs w:val="0"/>
                <w:color w:val="000000"/>
                <w:kern w:val="0"/>
                <w:sz w:val="24"/>
                <w:szCs w:val="24"/>
                <w:vertAlign w:val="baseline"/>
                <w:lang w:val="en-US" w:eastAsia="zh-CN" w:bidi="ar"/>
              </w:rPr>
              <w:t>2</w:t>
            </w:r>
          </w:p>
        </w:tc>
        <w:tc>
          <w:tcPr>
            <w:tcW w:w="1323" w:type="dxa"/>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vertAlign w:val="baseline"/>
                <w:lang w:val="en-US" w:eastAsia="zh-CN" w:bidi="ar"/>
              </w:rPr>
            </w:pPr>
          </w:p>
        </w:tc>
        <w:tc>
          <w:tcPr>
            <w:tcW w:w="1338" w:type="dxa"/>
            <w:vAlign w:val="center"/>
          </w:tcPr>
          <w:p>
            <w:pPr>
              <w:keepNext w:val="0"/>
              <w:keepLines w:val="0"/>
              <w:widowControl/>
              <w:suppressLineNumbers w:val="0"/>
              <w:jc w:val="center"/>
              <w:rPr>
                <w:rFonts w:hint="eastAsia" w:ascii="仿宋" w:hAnsi="仿宋" w:eastAsia="仿宋" w:cs="仿宋"/>
                <w:sz w:val="21"/>
                <w:szCs w:val="21"/>
              </w:rPr>
            </w:pPr>
            <w:r>
              <w:rPr>
                <w:rFonts w:hint="eastAsia" w:ascii="仿宋" w:hAnsi="仿宋" w:eastAsia="仿宋" w:cs="仿宋"/>
                <w:color w:val="000000"/>
                <w:kern w:val="0"/>
                <w:sz w:val="21"/>
                <w:szCs w:val="21"/>
                <w:lang w:val="en-US" w:eastAsia="zh-CN" w:bidi="ar"/>
              </w:rPr>
              <w:t>□中型企业</w:t>
            </w:r>
          </w:p>
          <w:p>
            <w:pPr>
              <w:keepNext w:val="0"/>
              <w:keepLines w:val="0"/>
              <w:widowControl/>
              <w:suppressLineNumbers w:val="0"/>
              <w:jc w:val="center"/>
              <w:rPr>
                <w:rFonts w:hint="eastAsia" w:ascii="仿宋" w:hAnsi="仿宋" w:eastAsia="仿宋" w:cs="仿宋"/>
                <w:b w:val="0"/>
                <w:bCs w:val="0"/>
                <w:color w:val="000000"/>
                <w:kern w:val="0"/>
                <w:sz w:val="21"/>
                <w:szCs w:val="21"/>
                <w:vertAlign w:val="baseline"/>
                <w:lang w:val="en-US" w:eastAsia="zh-CN" w:bidi="ar"/>
              </w:rPr>
            </w:pPr>
            <w:r>
              <w:rPr>
                <w:rFonts w:hint="eastAsia" w:ascii="仿宋" w:hAnsi="仿宋" w:eastAsia="仿宋" w:cs="仿宋"/>
                <w:color w:val="000000"/>
                <w:kern w:val="0"/>
                <w:sz w:val="21"/>
                <w:szCs w:val="21"/>
                <w:lang w:val="en-US" w:eastAsia="zh-CN" w:bidi="ar"/>
              </w:rPr>
              <w:t>□小微企业</w:t>
            </w:r>
          </w:p>
        </w:tc>
        <w:tc>
          <w:tcPr>
            <w:tcW w:w="1123" w:type="dxa"/>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vertAlign w:val="baseline"/>
                <w:lang w:val="en-US" w:eastAsia="zh-CN" w:bidi="ar"/>
              </w:rPr>
            </w:pPr>
          </w:p>
        </w:tc>
        <w:tc>
          <w:tcPr>
            <w:tcW w:w="1154" w:type="dxa"/>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vertAlign w:val="baseline"/>
                <w:lang w:val="en-US" w:eastAsia="zh-CN" w:bidi="ar"/>
              </w:rPr>
            </w:pPr>
          </w:p>
        </w:tc>
        <w:tc>
          <w:tcPr>
            <w:tcW w:w="1439" w:type="dxa"/>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vertAlign w:val="baseline"/>
                <w:lang w:val="en-US" w:eastAsia="zh-CN" w:bidi="ar"/>
              </w:rPr>
            </w:pPr>
          </w:p>
        </w:tc>
        <w:tc>
          <w:tcPr>
            <w:tcW w:w="1422" w:type="dxa"/>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3" w:type="dxa"/>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vertAlign w:val="baseline"/>
                <w:lang w:val="en-US" w:eastAsia="zh-CN" w:bidi="ar"/>
              </w:rPr>
            </w:pPr>
            <w:r>
              <w:rPr>
                <w:rFonts w:hint="eastAsia" w:ascii="仿宋" w:hAnsi="仿宋" w:eastAsia="仿宋" w:cs="仿宋"/>
                <w:b w:val="0"/>
                <w:bCs w:val="0"/>
                <w:color w:val="000000"/>
                <w:kern w:val="0"/>
                <w:sz w:val="24"/>
                <w:szCs w:val="24"/>
                <w:vertAlign w:val="baseline"/>
                <w:lang w:val="en-US" w:eastAsia="zh-CN" w:bidi="ar"/>
              </w:rPr>
              <w:t>...</w:t>
            </w:r>
          </w:p>
        </w:tc>
        <w:tc>
          <w:tcPr>
            <w:tcW w:w="1323" w:type="dxa"/>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vertAlign w:val="baseline"/>
                <w:lang w:val="en-US" w:eastAsia="zh-CN" w:bidi="ar"/>
              </w:rPr>
            </w:pPr>
          </w:p>
        </w:tc>
        <w:tc>
          <w:tcPr>
            <w:tcW w:w="1338" w:type="dxa"/>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vertAlign w:val="baseline"/>
                <w:lang w:val="en-US" w:eastAsia="zh-CN" w:bidi="ar"/>
              </w:rPr>
            </w:pPr>
          </w:p>
        </w:tc>
        <w:tc>
          <w:tcPr>
            <w:tcW w:w="1123" w:type="dxa"/>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vertAlign w:val="baseline"/>
                <w:lang w:val="en-US" w:eastAsia="zh-CN" w:bidi="ar"/>
              </w:rPr>
            </w:pPr>
          </w:p>
        </w:tc>
        <w:tc>
          <w:tcPr>
            <w:tcW w:w="1154" w:type="dxa"/>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vertAlign w:val="baseline"/>
                <w:lang w:val="en-US" w:eastAsia="zh-CN" w:bidi="ar"/>
              </w:rPr>
            </w:pPr>
          </w:p>
        </w:tc>
        <w:tc>
          <w:tcPr>
            <w:tcW w:w="1439" w:type="dxa"/>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vertAlign w:val="baseline"/>
                <w:lang w:val="en-US" w:eastAsia="zh-CN" w:bidi="ar"/>
              </w:rPr>
            </w:pPr>
          </w:p>
        </w:tc>
        <w:tc>
          <w:tcPr>
            <w:tcW w:w="1422" w:type="dxa"/>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vertAlign w:val="baseli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1" w:type="dxa"/>
            <w:gridSpan w:val="5"/>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vertAlign w:val="baseline"/>
                <w:lang w:val="en-US" w:eastAsia="zh-CN" w:bidi="ar"/>
              </w:rPr>
            </w:pPr>
            <w:r>
              <w:rPr>
                <w:rFonts w:hint="eastAsia" w:ascii="仿宋" w:hAnsi="仿宋" w:eastAsia="仿宋" w:cs="仿宋"/>
                <w:b w:val="0"/>
                <w:bCs w:val="0"/>
                <w:color w:val="000000"/>
                <w:kern w:val="0"/>
                <w:sz w:val="24"/>
                <w:szCs w:val="24"/>
                <w:vertAlign w:val="baseline"/>
                <w:lang w:val="en-US" w:eastAsia="zh-CN" w:bidi="ar"/>
              </w:rPr>
              <w:t>合计</w:t>
            </w:r>
          </w:p>
        </w:tc>
        <w:tc>
          <w:tcPr>
            <w:tcW w:w="1439" w:type="dxa"/>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vertAlign w:val="baseline"/>
                <w:lang w:val="en-US" w:eastAsia="zh-CN" w:bidi="ar"/>
              </w:rPr>
            </w:pPr>
          </w:p>
        </w:tc>
        <w:tc>
          <w:tcPr>
            <w:tcW w:w="1422" w:type="dxa"/>
            <w:vAlign w:val="center"/>
          </w:tcPr>
          <w:p>
            <w:pPr>
              <w:keepNext w:val="0"/>
              <w:keepLines w:val="0"/>
              <w:pageBreakBefore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val="0"/>
                <w:bCs w:val="0"/>
                <w:color w:val="000000"/>
                <w:kern w:val="0"/>
                <w:sz w:val="24"/>
                <w:szCs w:val="24"/>
                <w:vertAlign w:val="baseline"/>
                <w:lang w:val="en-US" w:eastAsia="zh-CN" w:bidi="ar"/>
              </w:rPr>
            </w:pPr>
          </w:p>
        </w:tc>
      </w:tr>
    </w:tbl>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u w:val="single"/>
          <w:lang w:val="en-US"/>
        </w:rPr>
      </w:pPr>
      <w:r>
        <w:rPr>
          <w:rFonts w:hint="eastAsia" w:ascii="仿宋" w:hAnsi="仿宋" w:eastAsia="仿宋" w:cs="仿宋"/>
          <w:color w:val="000000"/>
          <w:kern w:val="0"/>
          <w:sz w:val="24"/>
          <w:szCs w:val="24"/>
          <w:lang w:val="en-US" w:eastAsia="zh-CN" w:bidi="ar"/>
        </w:rPr>
        <w:t>投标人名称（加盖公章）：</w:t>
      </w:r>
      <w:r>
        <w:rPr>
          <w:rFonts w:hint="eastAsia" w:ascii="仿宋" w:hAnsi="仿宋" w:eastAsia="仿宋" w:cs="仿宋"/>
          <w:color w:val="000000"/>
          <w:kern w:val="0"/>
          <w:sz w:val="24"/>
          <w:szCs w:val="24"/>
          <w:u w:val="singl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rPr>
      </w:pPr>
      <w:r>
        <w:rPr>
          <w:rFonts w:hint="eastAsia" w:ascii="仿宋" w:hAnsi="仿宋" w:eastAsia="仿宋" w:cs="仿宋"/>
          <w:color w:val="000000"/>
          <w:kern w:val="0"/>
          <w:sz w:val="24"/>
          <w:szCs w:val="24"/>
          <w:lang w:val="en-US" w:eastAsia="zh-CN" w:bidi="ar"/>
        </w:rPr>
        <w:t>日期：</w:t>
      </w:r>
      <w:r>
        <w:rPr>
          <w:rFonts w:hint="eastAsia" w:ascii="仿宋" w:hAnsi="仿宋" w:eastAsia="仿宋" w:cs="仿宋"/>
          <w:color w:val="000000"/>
          <w:kern w:val="0"/>
          <w:sz w:val="24"/>
          <w:szCs w:val="24"/>
          <w:u w:val="single"/>
          <w:lang w:val="en-US" w:eastAsia="zh-CN" w:bidi="ar"/>
        </w:rPr>
        <w:t xml:space="preserve">      年     月    日</w:t>
      </w:r>
      <w:r>
        <w:rPr>
          <w:rFonts w:hint="eastAsia" w:ascii="仿宋" w:hAnsi="仿宋" w:eastAsia="仿宋" w:cs="仿宋"/>
          <w:color w:val="000000"/>
          <w:kern w:val="0"/>
          <w:sz w:val="24"/>
          <w:szCs w:val="24"/>
          <w:lang w:val="en-US" w:eastAsia="zh-CN" w:bidi="ar"/>
        </w:rPr>
        <w:t xml:space="preserve"> </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说明： </w:t>
      </w:r>
    </w:p>
    <w:p>
      <w:pPr>
        <w:keepNext w:val="0"/>
        <w:keepLines w:val="0"/>
        <w:pageBreakBefore w:val="0"/>
        <w:widowControl/>
        <w:numPr>
          <w:ilvl w:val="0"/>
          <w:numId w:val="17"/>
        </w:numPr>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r>
        <w:rPr>
          <w:rFonts w:hint="eastAsia" w:ascii="仿宋" w:hAnsi="仿宋" w:eastAsia="仿宋" w:cs="仿宋"/>
          <w:color w:val="000000"/>
          <w:kern w:val="0"/>
          <w:sz w:val="24"/>
          <w:szCs w:val="24"/>
          <w:lang w:val="en-US" w:eastAsia="zh-CN" w:bidi="ar"/>
        </w:rPr>
        <w:t>本表仅在投标人“为落实政府采购政策”而向中小企业分包时填写。</w:t>
      </w:r>
    </w:p>
    <w:p>
      <w:pPr>
        <w:keepNext w:val="0"/>
        <w:keepLines w:val="0"/>
        <w:pageBreakBefore w:val="0"/>
        <w:widowControl/>
        <w:numPr>
          <w:ilvl w:val="0"/>
          <w:numId w:val="17"/>
        </w:numPr>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如本招标文件《投标人须知资料表》载明本项目分包承担主体应具备的相应资质条件，则投标人须在本表中列明分包承担主体的资质等级，并后附资质证书复印件加盖投标人公章，否则</w:t>
      </w:r>
      <w:r>
        <w:rPr>
          <w:rFonts w:hint="eastAsia" w:ascii="仿宋" w:hAnsi="仿宋" w:eastAsia="仿宋" w:cs="仿宋"/>
          <w:b/>
          <w:bCs/>
          <w:color w:val="000000"/>
          <w:kern w:val="0"/>
          <w:sz w:val="24"/>
          <w:szCs w:val="24"/>
          <w:lang w:val="en-US" w:eastAsia="zh-CN" w:bidi="ar"/>
        </w:rPr>
        <w:t>投标无效</w:t>
      </w:r>
      <w:r>
        <w:rPr>
          <w:rFonts w:hint="eastAsia" w:ascii="仿宋" w:hAnsi="仿宋" w:eastAsia="仿宋" w:cs="仿宋"/>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（3）投标人与上述拟分包承担主体签署的《分包意向协议》后附。</w:t>
      </w:r>
    </w:p>
    <w:p>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pPr>
        <w:keepNext w:val="0"/>
        <w:keepLines w:val="0"/>
        <w:widowControl/>
        <w:suppressLineNumbers w:val="0"/>
        <w:jc w:val="left"/>
        <w:rPr>
          <w:rFonts w:hint="eastAsia" w:ascii="仿宋" w:hAnsi="仿宋" w:eastAsia="仿宋" w:cs="仿宋"/>
          <w:b w:val="0"/>
          <w:bCs w:val="0"/>
          <w:sz w:val="24"/>
          <w:szCs w:val="24"/>
        </w:rPr>
      </w:pPr>
      <w:r>
        <w:rPr>
          <w:rFonts w:hint="eastAsia" w:ascii="仿宋" w:hAnsi="仿宋" w:eastAsia="仿宋" w:cs="仿宋"/>
          <w:b w:val="0"/>
          <w:bCs w:val="0"/>
          <w:color w:val="000000"/>
          <w:kern w:val="0"/>
          <w:sz w:val="24"/>
          <w:szCs w:val="24"/>
          <w:lang w:val="en-US" w:eastAsia="zh-CN" w:bidi="ar"/>
        </w:rPr>
        <w:t xml:space="preserve">附：分包意向协议（参考格式） </w:t>
      </w: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pPr>
        <w:keepNext w:val="0"/>
        <w:keepLines w:val="0"/>
        <w:widowControl/>
        <w:suppressLineNumbers w:val="0"/>
        <w:jc w:val="left"/>
        <w:rPr>
          <w:rFonts w:hint="eastAsia" w:ascii="仿宋" w:hAnsi="仿宋" w:eastAsia="仿宋" w:cs="仿宋"/>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u w:val="single"/>
          <w:lang w:val="en-US" w:eastAsia="zh-CN" w:bidi="ar"/>
        </w:rPr>
      </w:pPr>
      <w:r>
        <w:rPr>
          <w:rFonts w:hint="eastAsia" w:ascii="仿宋" w:hAnsi="仿宋" w:eastAsia="仿宋" w:cs="仿宋"/>
          <w:color w:val="000000"/>
          <w:kern w:val="0"/>
          <w:sz w:val="24"/>
          <w:szCs w:val="24"/>
          <w:lang w:val="en-US" w:eastAsia="zh-CN" w:bidi="ar"/>
        </w:rPr>
        <w:t>甲方（投标人）：</w:t>
      </w:r>
      <w:r>
        <w:rPr>
          <w:rFonts w:hint="eastAsia" w:ascii="仿宋" w:hAnsi="仿宋" w:eastAsia="仿宋" w:cs="仿宋"/>
          <w:color w:val="000000"/>
          <w:kern w:val="0"/>
          <w:sz w:val="24"/>
          <w:szCs w:val="24"/>
          <w:u w:val="singl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乙方（拟分包单位）：</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甲方承诺，一旦在</w:t>
      </w:r>
      <w:r>
        <w:rPr>
          <w:rFonts w:hint="eastAsia" w:ascii="仿宋" w:hAnsi="仿宋" w:eastAsia="仿宋" w:cs="仿宋"/>
          <w:color w:val="000000"/>
          <w:kern w:val="0"/>
          <w:sz w:val="24"/>
          <w:szCs w:val="24"/>
          <w:u w:val="single"/>
          <w:lang w:val="en-US" w:eastAsia="zh-CN" w:bidi="ar"/>
        </w:rPr>
        <w:t xml:space="preserve">（采购项目名称）（项目编号/包号为：     </w:t>
      </w:r>
      <w:r>
        <w:rPr>
          <w:rFonts w:hint="eastAsia" w:ascii="仿宋" w:hAnsi="仿宋" w:eastAsia="仿宋" w:cs="仿宋"/>
          <w:color w:val="000000"/>
          <w:kern w:val="0"/>
          <w:sz w:val="24"/>
          <w:szCs w:val="24"/>
          <w:lang w:val="en-US" w:eastAsia="zh-CN" w:bidi="ar"/>
        </w:rPr>
        <w:t xml:space="preserve">）招标采购项目中获得采购合同，将按照下述约定将合同项下部分内容分包给乙方：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rPr>
      </w:pPr>
      <w:bookmarkStart w:id="36" w:name="_Toc22054"/>
      <w:r>
        <w:rPr>
          <w:rFonts w:hint="eastAsia" w:ascii="仿宋" w:hAnsi="仿宋" w:eastAsia="仿宋" w:cs="仿宋"/>
          <w:color w:val="000000"/>
          <w:kern w:val="0"/>
          <w:sz w:val="24"/>
          <w:szCs w:val="24"/>
          <w:lang w:val="en-US" w:eastAsia="zh-CN" w:bidi="ar"/>
        </w:rPr>
        <w:t>1.分包内容：</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w:t>
      </w:r>
      <w:bookmarkEnd w:id="36"/>
      <w:r>
        <w:rPr>
          <w:rFonts w:hint="eastAsia" w:ascii="仿宋" w:hAnsi="仿宋" w:eastAsia="仿宋" w:cs="仿宋"/>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2.分包金额：</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，该金额占该采购包预算总金额的比例为</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乙方承诺将在上述情况下与甲方签订分包合同。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本协议自各方盖章之日起生效，如甲方未在该项目（采购包）中标，本协议自动终止。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甲方（盖章）：</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乙方（盖章）：</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日期： </w:t>
      </w:r>
      <w:r>
        <w:rPr>
          <w:rFonts w:hint="eastAsia" w:ascii="仿宋" w:hAnsi="仿宋" w:eastAsia="仿宋" w:cs="仿宋"/>
          <w:color w:val="000000"/>
          <w:kern w:val="0"/>
          <w:sz w:val="24"/>
          <w:szCs w:val="24"/>
          <w:u w:val="single"/>
          <w:lang w:val="en-US" w:eastAsia="zh-CN" w:bidi="ar"/>
        </w:rPr>
        <w:t xml:space="preserve">    年    月    日</w:t>
      </w:r>
      <w:r>
        <w:rPr>
          <w:rFonts w:hint="eastAsia" w:ascii="仿宋" w:hAnsi="仿宋" w:eastAsia="仿宋" w:cs="仿宋"/>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说明：投标人须与所有拟分包单位分别签订《分包意向协议》，每单位签订一份，并在投标文件中提交全部协议原件，否则</w:t>
      </w:r>
      <w:r>
        <w:rPr>
          <w:rFonts w:hint="eastAsia" w:ascii="仿宋" w:hAnsi="仿宋" w:eastAsia="仿宋" w:cs="仿宋"/>
          <w:b/>
          <w:bCs/>
          <w:color w:val="000000"/>
          <w:kern w:val="0"/>
          <w:sz w:val="24"/>
          <w:szCs w:val="24"/>
          <w:lang w:val="en-US" w:eastAsia="zh-CN" w:bidi="ar"/>
        </w:rPr>
        <w:t>投标无效</w:t>
      </w:r>
      <w:r>
        <w:rPr>
          <w:rFonts w:hint="eastAsia" w:ascii="仿宋" w:hAnsi="仿宋" w:eastAsia="仿宋" w:cs="仿宋"/>
          <w:color w:val="000000"/>
          <w:kern w:val="0"/>
          <w:sz w:val="24"/>
          <w:szCs w:val="24"/>
          <w:lang w:val="en-US" w:eastAsia="zh-CN" w:bidi="ar"/>
        </w:rPr>
        <w:t>。</w:t>
      </w:r>
    </w:p>
    <w:p>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2-3 其它落实政府采购政策的资格要求（如有）</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lang w:val="en-US" w:eastAsia="zh-CN" w:bidi="ar"/>
        </w:rPr>
      </w:pPr>
    </w:p>
    <w:p>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3  本项目的特定资格要求（如有） </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lang w:val="en-US" w:eastAsia="zh-CN" w:bidi="ar"/>
        </w:rPr>
      </w:pPr>
    </w:p>
    <w:p>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lang w:val="en-US" w:eastAsia="zh-CN" w:bidi="ar"/>
        </w:rPr>
      </w:pPr>
    </w:p>
    <w:p>
      <w:pPr>
        <w:keepNext w:val="0"/>
        <w:keepLines w:val="0"/>
        <w:widowControl/>
        <w:suppressLineNumbers w:val="0"/>
        <w:jc w:val="left"/>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4  投标保证金凭证/交款单据电子件</w:t>
      </w: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400" w:lineRule="exact"/>
        <w:textAlignment w:val="auto"/>
        <w:rPr>
          <w:rFonts w:hint="eastAsia" w:ascii="仿宋" w:hAnsi="仿宋" w:eastAsia="仿宋" w:cs="仿宋"/>
          <w:b w:val="0"/>
          <w:bCs w:val="0"/>
          <w:color w:val="000000"/>
          <w:kern w:val="0"/>
          <w:sz w:val="24"/>
          <w:szCs w:val="24"/>
          <w:lang w:val="en-US" w:eastAsia="zh-CN" w:bidi="ar"/>
        </w:rPr>
      </w:pPr>
    </w:p>
    <w:p>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pPr>
        <w:keepNext w:val="0"/>
        <w:keepLines w:val="0"/>
        <w:widowControl/>
        <w:suppressLineNumbers w:val="0"/>
        <w:jc w:val="left"/>
        <w:rPr>
          <w:rFonts w:hint="eastAsia" w:ascii="仿宋" w:hAnsi="仿宋" w:eastAsia="仿宋" w:cs="仿宋"/>
        </w:rPr>
      </w:pPr>
      <w:r>
        <w:rPr>
          <w:rFonts w:hint="eastAsia" w:ascii="仿宋" w:hAnsi="仿宋" w:eastAsia="仿宋" w:cs="仿宋"/>
          <w:color w:val="000000"/>
          <w:kern w:val="0"/>
          <w:sz w:val="24"/>
          <w:szCs w:val="24"/>
          <w:lang w:val="en-US" w:eastAsia="zh-CN" w:bidi="ar"/>
        </w:rPr>
        <w:t xml:space="preserve">5  投标书 </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32"/>
          <w:szCs w:val="32"/>
        </w:rPr>
      </w:pPr>
      <w:r>
        <w:rPr>
          <w:rFonts w:hint="eastAsia" w:ascii="仿宋" w:hAnsi="仿宋" w:eastAsia="仿宋" w:cs="仿宋"/>
          <w:b/>
          <w:bCs/>
          <w:color w:val="000000"/>
          <w:kern w:val="0"/>
          <w:sz w:val="32"/>
          <w:szCs w:val="32"/>
          <w:lang w:val="en-US" w:eastAsia="zh-CN" w:bidi="ar"/>
        </w:rPr>
        <w:t>投标书</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致：</w:t>
      </w:r>
      <w:r>
        <w:rPr>
          <w:rFonts w:hint="eastAsia" w:ascii="仿宋" w:hAnsi="仿宋" w:eastAsia="仿宋" w:cs="仿宋"/>
          <w:color w:val="000000"/>
          <w:kern w:val="0"/>
          <w:sz w:val="24"/>
          <w:szCs w:val="24"/>
          <w:u w:val="single"/>
          <w:lang w:val="en-US" w:eastAsia="zh-CN" w:bidi="ar"/>
        </w:rPr>
        <w:t>（采购人或采购代理机构）</w:t>
      </w:r>
      <w:r>
        <w:rPr>
          <w:rFonts w:hint="eastAsia" w:ascii="仿宋" w:hAnsi="仿宋" w:eastAsia="仿宋" w:cs="仿宋"/>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我方参加你方就</w:t>
      </w:r>
      <w:r>
        <w:rPr>
          <w:rFonts w:hint="eastAsia" w:ascii="仿宋" w:hAnsi="仿宋" w:eastAsia="仿宋" w:cs="仿宋"/>
          <w:color w:val="000000"/>
          <w:kern w:val="0"/>
          <w:sz w:val="24"/>
          <w:szCs w:val="24"/>
          <w:u w:val="single"/>
          <w:lang w:val="en-US" w:eastAsia="zh-CN" w:bidi="ar"/>
        </w:rPr>
        <w:t>（项目名称，项目编号/包号）</w:t>
      </w:r>
      <w:r>
        <w:rPr>
          <w:rFonts w:hint="eastAsia" w:ascii="仿宋" w:hAnsi="仿宋" w:eastAsia="仿宋" w:cs="仿宋"/>
          <w:color w:val="000000"/>
          <w:kern w:val="0"/>
          <w:sz w:val="24"/>
          <w:szCs w:val="24"/>
          <w:lang w:val="en-US" w:eastAsia="zh-CN" w:bidi="ar"/>
        </w:rPr>
        <w:t xml:space="preserve">组织的招标活动，并对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此项目进行投标。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rPr>
      </w:pPr>
      <w:bookmarkStart w:id="37" w:name="_Toc30504"/>
      <w:r>
        <w:rPr>
          <w:rFonts w:hint="eastAsia" w:ascii="仿宋" w:hAnsi="仿宋" w:eastAsia="仿宋" w:cs="仿宋"/>
          <w:color w:val="000000"/>
          <w:kern w:val="0"/>
          <w:sz w:val="24"/>
          <w:szCs w:val="24"/>
          <w:lang w:val="en-US" w:eastAsia="zh-CN" w:bidi="ar"/>
        </w:rPr>
        <w:t>1. 我方已详细审查全部招标文件，自愿参与投标并承诺如下：</w:t>
      </w:r>
      <w:bookmarkEnd w:id="37"/>
      <w:r>
        <w:rPr>
          <w:rFonts w:hint="eastAsia" w:ascii="仿宋" w:hAnsi="仿宋" w:eastAsia="仿宋" w:cs="仿宋"/>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（1）本投标有效期为自提交投标文件的截止之日起</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个日历日。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（2）除合同条款及采购需求偏离表列出的偏离外，我方响应招标文件的全部要求。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（3）我方已提供的全部文件资料是真实、准确的，并对此承担一切法律后果。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（4）如我方中标，我方将在法律规定的期限内与你方签订合同，按照招标文件要求提交履约保证金，并在合同约定的期限内完成合同规定的全部义务。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rPr>
      </w:pPr>
      <w:bookmarkStart w:id="38" w:name="_Toc24785"/>
      <w:r>
        <w:rPr>
          <w:rFonts w:hint="eastAsia" w:ascii="仿宋" w:hAnsi="仿宋" w:eastAsia="仿宋" w:cs="仿宋"/>
          <w:color w:val="000000"/>
          <w:kern w:val="0"/>
          <w:sz w:val="24"/>
          <w:szCs w:val="24"/>
          <w:lang w:val="en-US" w:eastAsia="zh-CN" w:bidi="ar"/>
        </w:rPr>
        <w:t>2. 其他补充条款（如有）：</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w:t>
      </w:r>
      <w:bookmarkEnd w:id="38"/>
      <w:r>
        <w:rPr>
          <w:rFonts w:hint="eastAsia" w:ascii="仿宋" w:hAnsi="仿宋" w:eastAsia="仿宋" w:cs="仿宋"/>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与本投标有关的一切正式往来信函请寄：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地址</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传真</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电话</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电子函件</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投标人名称（加盖公章） </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日期：</w:t>
      </w:r>
      <w:r>
        <w:rPr>
          <w:rFonts w:hint="eastAsia" w:ascii="仿宋" w:hAnsi="仿宋" w:eastAsia="仿宋" w:cs="仿宋"/>
          <w:color w:val="000000"/>
          <w:kern w:val="0"/>
          <w:sz w:val="24"/>
          <w:szCs w:val="24"/>
          <w:u w:val="single"/>
          <w:lang w:val="en-US" w:eastAsia="zh-CN" w:bidi="ar"/>
        </w:rPr>
        <w:t xml:space="preserve">     年     月    日</w:t>
      </w:r>
    </w:p>
    <w:p>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rPr>
      </w:pPr>
      <w:bookmarkStart w:id="39" w:name="_Toc6076"/>
      <w:r>
        <w:rPr>
          <w:rFonts w:hint="eastAsia" w:ascii="仿宋" w:hAnsi="仿宋" w:eastAsia="仿宋" w:cs="仿宋"/>
          <w:color w:val="000000"/>
          <w:kern w:val="0"/>
          <w:sz w:val="24"/>
          <w:szCs w:val="24"/>
          <w:lang w:val="en-US" w:eastAsia="zh-CN" w:bidi="ar"/>
        </w:rPr>
        <w:t>6  授权委托书</w:t>
      </w:r>
      <w:bookmarkEnd w:id="39"/>
      <w:r>
        <w:rPr>
          <w:rFonts w:hint="eastAsia" w:ascii="仿宋" w:hAnsi="仿宋" w:eastAsia="仿宋" w:cs="仿宋"/>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both"/>
        <w:textAlignment w:val="auto"/>
        <w:rPr>
          <w:rFonts w:hint="eastAsia" w:ascii="仿宋" w:hAnsi="仿宋" w:eastAsia="仿宋" w:cs="仿宋"/>
          <w:b/>
          <w:bCs/>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lang w:val="en-US" w:eastAsia="zh-CN" w:bidi="ar"/>
        </w:rPr>
      </w:pPr>
      <w:r>
        <w:rPr>
          <w:rFonts w:hint="eastAsia" w:ascii="仿宋" w:hAnsi="仿宋" w:eastAsia="仿宋" w:cs="仿宋"/>
          <w:b/>
          <w:bCs/>
          <w:color w:val="000000"/>
          <w:kern w:val="0"/>
          <w:sz w:val="32"/>
          <w:szCs w:val="32"/>
          <w:lang w:val="en-US" w:eastAsia="zh-CN" w:bidi="ar"/>
        </w:rPr>
        <w:t>授权委托书</w:t>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b/>
          <w:bCs/>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本人</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（姓名）系</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（投标人名称）的法定代表人（单位负责人），现委托</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（姓名）为我方代理人。代理人根据授权，以我方名义签署、澄清确认、递交、撤回、修改</w:t>
      </w:r>
      <w:r>
        <w:rPr>
          <w:rFonts w:hint="eastAsia" w:ascii="仿宋" w:hAnsi="仿宋" w:eastAsia="仿宋" w:cs="仿宋"/>
          <w:color w:val="000000"/>
          <w:kern w:val="0"/>
          <w:sz w:val="24"/>
          <w:szCs w:val="24"/>
          <w:u w:val="single"/>
          <w:lang w:val="en-US" w:eastAsia="zh-CN" w:bidi="ar"/>
        </w:rPr>
        <w:t xml:space="preserve">           （项目名称）</w:t>
      </w:r>
      <w:r>
        <w:rPr>
          <w:rFonts w:hint="eastAsia" w:ascii="仿宋" w:hAnsi="仿宋" w:eastAsia="仿宋" w:cs="仿宋"/>
          <w:color w:val="000000"/>
          <w:kern w:val="0"/>
          <w:sz w:val="24"/>
          <w:szCs w:val="24"/>
          <w:lang w:val="en-US" w:eastAsia="zh-CN" w:bidi="ar"/>
        </w:rPr>
        <w:t xml:space="preserve">投标文件和处理有关事宜，其法律后果由我方承担。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委托期限：自本授权委托书签署之日起至投标/响应有效期届满之日止。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代理人无转委托权。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投标人名称（加盖公章）：</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法定代表人（单位负责人）（（签字、签章或印鉴）：</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委托代理人（签字/签章）：</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日期：</w:t>
      </w:r>
      <w:r>
        <w:rPr>
          <w:rFonts w:hint="eastAsia" w:ascii="仿宋" w:hAnsi="仿宋" w:eastAsia="仿宋" w:cs="仿宋"/>
          <w:color w:val="000000"/>
          <w:kern w:val="0"/>
          <w:sz w:val="24"/>
          <w:szCs w:val="24"/>
          <w:u w:val="single"/>
          <w:lang w:val="en-US" w:eastAsia="zh-CN" w:bidi="ar"/>
        </w:rPr>
        <w:t xml:space="preserve">   年    月    日</w:t>
      </w:r>
      <w:r>
        <w:rPr>
          <w:rFonts w:hint="eastAsia" w:ascii="仿宋" w:hAnsi="仿宋" w:eastAsia="仿宋" w:cs="仿宋"/>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法定代表人（单位负责人）有效期内的身份证</w:t>
      </w:r>
      <w:r>
        <w:rPr>
          <w:rFonts w:hint="eastAsia" w:ascii="仿宋" w:hAnsi="仿宋" w:eastAsia="仿宋" w:cs="仿宋"/>
          <w:b/>
          <w:bCs/>
          <w:color w:val="000000"/>
          <w:kern w:val="0"/>
          <w:sz w:val="24"/>
          <w:szCs w:val="24"/>
          <w:lang w:val="en-US" w:eastAsia="zh-CN" w:bidi="ar"/>
        </w:rPr>
        <w:t>正反面</w:t>
      </w:r>
      <w:r>
        <w:rPr>
          <w:rFonts w:hint="eastAsia" w:ascii="仿宋" w:hAnsi="仿宋" w:eastAsia="仿宋" w:cs="仿宋"/>
          <w:color w:val="000000"/>
          <w:kern w:val="0"/>
          <w:sz w:val="24"/>
          <w:szCs w:val="24"/>
          <w:lang w:val="en-US" w:eastAsia="zh-CN" w:bidi="ar"/>
        </w:rPr>
        <w:t xml:space="preserve">复印件： </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07" w:hRule="atLeast"/>
        </w:trPr>
        <w:tc>
          <w:tcPr>
            <w:tcW w:w="4261" w:type="dxa"/>
          </w:tcPr>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vertAlign w:val="baseline"/>
                <w:lang w:val="en-US" w:eastAsia="zh-CN" w:bidi="ar"/>
              </w:rPr>
            </w:pPr>
          </w:p>
        </w:tc>
        <w:tc>
          <w:tcPr>
            <w:tcW w:w="4261" w:type="dxa"/>
          </w:tcPr>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vertAlign w:val="baseline"/>
                <w:lang w:val="en-US" w:eastAsia="zh-CN" w:bidi="ar"/>
              </w:rPr>
            </w:pPr>
          </w:p>
        </w:tc>
      </w:tr>
    </w:tbl>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委托代理人有效期内的身份证</w:t>
      </w:r>
      <w:r>
        <w:rPr>
          <w:rFonts w:hint="eastAsia" w:ascii="仿宋" w:hAnsi="仿宋" w:eastAsia="仿宋" w:cs="仿宋"/>
          <w:b/>
          <w:bCs/>
          <w:color w:val="000000"/>
          <w:kern w:val="0"/>
          <w:sz w:val="24"/>
          <w:szCs w:val="24"/>
          <w:lang w:val="en-US" w:eastAsia="zh-CN" w:bidi="ar"/>
        </w:rPr>
        <w:t>正反面</w:t>
      </w:r>
      <w:r>
        <w:rPr>
          <w:rFonts w:hint="eastAsia" w:ascii="仿宋" w:hAnsi="仿宋" w:eastAsia="仿宋" w:cs="仿宋"/>
          <w:color w:val="000000"/>
          <w:kern w:val="0"/>
          <w:sz w:val="24"/>
          <w:szCs w:val="24"/>
          <w:lang w:val="en-US" w:eastAsia="zh-CN" w:bidi="ar"/>
        </w:rPr>
        <w:t xml:space="preserve">复印件： </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3" w:hRule="atLeast"/>
        </w:trPr>
        <w:tc>
          <w:tcPr>
            <w:tcW w:w="4261" w:type="dxa"/>
          </w:tcPr>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vertAlign w:val="baseline"/>
                <w:lang w:val="en-US" w:eastAsia="zh-CN" w:bidi="ar"/>
              </w:rPr>
            </w:pPr>
          </w:p>
        </w:tc>
        <w:tc>
          <w:tcPr>
            <w:tcW w:w="4261" w:type="dxa"/>
          </w:tcPr>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vertAlign w:val="baseline"/>
                <w:lang w:val="en-US" w:eastAsia="zh-CN" w:bidi="ar"/>
              </w:rPr>
            </w:pPr>
          </w:p>
        </w:tc>
      </w:tr>
    </w:tbl>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说明：1.若供应商为事业单位或其他组织或分支机构（仅当招标文件注明允许分支机构投标的），则法定代表人（单位负责人）处的签署人可为单位负责人。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2.若投标文件中签字之处均为法定代表人（单位负责人）本人签署，则可不提供本《授权委托书》，但须提供《法定代表人（单位负责人）身份证明》。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outlineLvl w:val="1"/>
        <w:rPr>
          <w:rFonts w:hint="eastAsia" w:ascii="仿宋" w:hAnsi="仿宋" w:eastAsia="仿宋" w:cs="仿宋"/>
          <w:sz w:val="24"/>
          <w:szCs w:val="24"/>
        </w:rPr>
      </w:pPr>
      <w:bookmarkStart w:id="40" w:name="_Toc18807"/>
      <w:r>
        <w:rPr>
          <w:rFonts w:hint="eastAsia" w:ascii="仿宋" w:hAnsi="仿宋" w:eastAsia="仿宋" w:cs="仿宋"/>
          <w:color w:val="000000"/>
          <w:kern w:val="0"/>
          <w:sz w:val="24"/>
          <w:szCs w:val="24"/>
          <w:lang w:val="en-US" w:eastAsia="zh-CN" w:bidi="ar"/>
        </w:rPr>
        <w:t>3.供应商为自然人的情形，可不提供本《授权委托书》。</w:t>
      </w:r>
      <w:bookmarkEnd w:id="40"/>
    </w:p>
    <w:p>
      <w:pPr>
        <w:rPr>
          <w:rFonts w:hint="eastAsia" w:ascii="仿宋" w:hAnsi="仿宋" w:eastAsia="仿宋" w:cs="仿宋"/>
          <w:b w:val="0"/>
          <w:bCs w:val="0"/>
          <w:color w:val="000000"/>
          <w:kern w:val="0"/>
          <w:sz w:val="24"/>
          <w:szCs w:val="24"/>
          <w:lang w:val="en-US" w:eastAsia="zh-CN" w:bidi="ar"/>
        </w:rPr>
      </w:pPr>
      <w:r>
        <w:rPr>
          <w:rFonts w:hint="eastAsia" w:ascii="仿宋" w:hAnsi="仿宋" w:eastAsia="仿宋" w:cs="仿宋"/>
          <w:b w:val="0"/>
          <w:bCs w:val="0"/>
          <w:color w:val="000000"/>
          <w:kern w:val="0"/>
          <w:sz w:val="24"/>
          <w:szCs w:val="24"/>
          <w:lang w:val="en-US" w:eastAsia="zh-CN" w:bidi="ar"/>
        </w:rPr>
        <w:br w:type="page"/>
      </w:r>
    </w:p>
    <w:p>
      <w:pPr>
        <w:keepNext w:val="0"/>
        <w:keepLines w:val="0"/>
        <w:pageBreakBefore w:val="0"/>
        <w:widowControl/>
        <w:suppressLineNumbers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32"/>
          <w:szCs w:val="32"/>
        </w:rPr>
      </w:pPr>
      <w:r>
        <w:rPr>
          <w:rFonts w:hint="eastAsia" w:ascii="仿宋" w:hAnsi="仿宋" w:eastAsia="仿宋" w:cs="仿宋"/>
          <w:b/>
          <w:bCs/>
          <w:color w:val="000000"/>
          <w:kern w:val="0"/>
          <w:sz w:val="32"/>
          <w:szCs w:val="32"/>
          <w:lang w:val="en-US" w:eastAsia="zh-CN" w:bidi="ar"/>
        </w:rPr>
        <w:t>附：法定代表人（单位负责人）身份证明</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致：</w:t>
      </w:r>
      <w:r>
        <w:rPr>
          <w:rFonts w:hint="eastAsia" w:ascii="仿宋" w:hAnsi="仿宋" w:eastAsia="仿宋" w:cs="仿宋"/>
          <w:color w:val="000000"/>
          <w:kern w:val="0"/>
          <w:sz w:val="24"/>
          <w:szCs w:val="24"/>
          <w:u w:val="single"/>
          <w:lang w:val="en-US" w:eastAsia="zh-CN" w:bidi="ar"/>
        </w:rPr>
        <w:t xml:space="preserve">（采购人或采购代理机构）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 xml:space="preserve">兹证明，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color w:val="000000"/>
          <w:kern w:val="0"/>
          <w:sz w:val="24"/>
          <w:szCs w:val="24"/>
          <w:u w:val="single"/>
          <w:lang w:val="en-US" w:eastAsia="zh-CN" w:bidi="ar"/>
        </w:rPr>
      </w:pPr>
      <w:r>
        <w:rPr>
          <w:rFonts w:hint="eastAsia" w:ascii="仿宋" w:hAnsi="仿宋" w:eastAsia="仿宋" w:cs="仿宋"/>
          <w:color w:val="000000"/>
          <w:kern w:val="0"/>
          <w:sz w:val="24"/>
          <w:szCs w:val="24"/>
          <w:lang w:val="en-US" w:eastAsia="zh-CN" w:bidi="ar"/>
        </w:rPr>
        <w:t>姓名：</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性别：</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年龄：</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职务：</w:t>
      </w:r>
      <w:r>
        <w:rPr>
          <w:rFonts w:hint="eastAsia" w:ascii="仿宋" w:hAnsi="仿宋" w:eastAsia="仿宋" w:cs="仿宋"/>
          <w:color w:val="000000"/>
          <w:kern w:val="0"/>
          <w:sz w:val="24"/>
          <w:szCs w:val="24"/>
          <w:u w:val="single"/>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系</w:t>
      </w:r>
      <w:r>
        <w:rPr>
          <w:rFonts w:hint="eastAsia" w:ascii="仿宋" w:hAnsi="仿宋" w:eastAsia="仿宋" w:cs="仿宋"/>
          <w:color w:val="000000"/>
          <w:kern w:val="0"/>
          <w:sz w:val="24"/>
          <w:szCs w:val="24"/>
          <w:u w:val="single"/>
          <w:lang w:val="en-US" w:eastAsia="zh-CN" w:bidi="ar"/>
        </w:rPr>
        <w:t xml:space="preserve">       （投标人名称）</w:t>
      </w:r>
      <w:r>
        <w:rPr>
          <w:rFonts w:hint="eastAsia" w:ascii="仿宋" w:hAnsi="仿宋" w:eastAsia="仿宋" w:cs="仿宋"/>
          <w:color w:val="000000"/>
          <w:kern w:val="0"/>
          <w:sz w:val="24"/>
          <w:szCs w:val="24"/>
          <w:lang w:val="en-US" w:eastAsia="zh-CN" w:bidi="ar"/>
        </w:rPr>
        <w:t xml:space="preserve">的法定代表人（单位负责人）。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附：法定代表人（单位负责人）有效期内的身份证</w:t>
      </w:r>
      <w:r>
        <w:rPr>
          <w:rFonts w:hint="eastAsia" w:ascii="仿宋" w:hAnsi="仿宋" w:eastAsia="仿宋" w:cs="仿宋"/>
          <w:b/>
          <w:bCs/>
          <w:color w:val="000000"/>
          <w:kern w:val="0"/>
          <w:sz w:val="24"/>
          <w:szCs w:val="24"/>
          <w:lang w:val="en-US" w:eastAsia="zh-CN" w:bidi="ar"/>
        </w:rPr>
        <w:t>正反面</w:t>
      </w:r>
      <w:r>
        <w:rPr>
          <w:rFonts w:hint="eastAsia" w:ascii="仿宋" w:hAnsi="仿宋" w:eastAsia="仿宋" w:cs="仿宋"/>
          <w:color w:val="000000"/>
          <w:kern w:val="0"/>
          <w:sz w:val="24"/>
          <w:szCs w:val="24"/>
          <w:lang w:val="en-US" w:eastAsia="zh-CN" w:bidi="ar"/>
        </w:rPr>
        <w:t xml:space="preserve">复印件。 </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6" w:hRule="atLeast"/>
        </w:trPr>
        <w:tc>
          <w:tcPr>
            <w:tcW w:w="4261" w:type="dxa"/>
          </w:tcPr>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vertAlign w:val="baseline"/>
                <w:lang w:val="en-US" w:eastAsia="zh-CN" w:bidi="ar"/>
              </w:rPr>
            </w:pPr>
          </w:p>
        </w:tc>
        <w:tc>
          <w:tcPr>
            <w:tcW w:w="4261" w:type="dxa"/>
          </w:tcPr>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vertAlign w:val="baseline"/>
                <w:lang w:val="en-US" w:eastAsia="zh-CN" w:bidi="ar"/>
              </w:rPr>
            </w:pPr>
          </w:p>
        </w:tc>
      </w:tr>
    </w:tbl>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p>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投标人名称（加盖公章）：</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法定代表人（单位负责人）（签字、签章或印鉴）：</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500" w:lineRule="exact"/>
        <w:jc w:val="left"/>
        <w:textAlignment w:val="auto"/>
        <w:rPr>
          <w:rFonts w:hint="eastAsia" w:ascii="仿宋" w:hAnsi="仿宋" w:eastAsia="仿宋" w:cs="仿宋"/>
          <w:sz w:val="24"/>
          <w:szCs w:val="24"/>
        </w:rPr>
      </w:pPr>
      <w:r>
        <w:rPr>
          <w:rFonts w:hint="eastAsia" w:ascii="仿宋" w:hAnsi="仿宋" w:eastAsia="仿宋" w:cs="仿宋"/>
          <w:color w:val="000000"/>
          <w:kern w:val="0"/>
          <w:sz w:val="24"/>
          <w:szCs w:val="24"/>
          <w:lang w:val="en-US" w:eastAsia="zh-CN" w:bidi="ar"/>
        </w:rPr>
        <w:t>日期：</w:t>
      </w:r>
      <w:r>
        <w:rPr>
          <w:rFonts w:hint="eastAsia" w:ascii="仿宋" w:hAnsi="仿宋" w:eastAsia="仿宋" w:cs="仿宋"/>
          <w:color w:val="000000"/>
          <w:kern w:val="0"/>
          <w:sz w:val="24"/>
          <w:szCs w:val="24"/>
          <w:u w:val="single"/>
          <w:lang w:val="en-US" w:eastAsia="zh-CN" w:bidi="ar"/>
        </w:rPr>
        <w:t xml:space="preserve">    年    月    日</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p>
    <w:p>
      <w:pPr>
        <w:rPr>
          <w:rFonts w:hint="eastAsia" w:ascii="仿宋" w:hAnsi="仿宋" w:eastAsia="仿宋" w:cs="仿宋"/>
          <w:lang w:val="en-US" w:eastAsia="zh-CN"/>
        </w:rPr>
      </w:pPr>
      <w:r>
        <w:rPr>
          <w:rFonts w:hint="eastAsia" w:ascii="仿宋" w:hAnsi="仿宋" w:eastAsia="仿宋" w:cs="仿宋"/>
          <w:lang w:val="en-US" w:eastAsia="zh-CN"/>
        </w:rPr>
        <w:br w:type="page"/>
      </w:r>
    </w:p>
    <w:p>
      <w:pPr>
        <w:outlineLvl w:val="1"/>
        <w:rPr>
          <w:rFonts w:hint="eastAsia" w:ascii="仿宋" w:hAnsi="仿宋" w:eastAsia="仿宋" w:cs="仿宋"/>
          <w:sz w:val="24"/>
          <w:szCs w:val="24"/>
          <w:lang w:val="en-US" w:eastAsia="zh-CN"/>
        </w:rPr>
      </w:pPr>
      <w:bookmarkStart w:id="41" w:name="_Toc23107"/>
      <w:r>
        <w:rPr>
          <w:rFonts w:hint="eastAsia" w:ascii="仿宋" w:hAnsi="仿宋" w:eastAsia="仿宋" w:cs="仿宋"/>
          <w:sz w:val="24"/>
          <w:szCs w:val="24"/>
          <w:lang w:val="en-US" w:eastAsia="zh-CN"/>
        </w:rPr>
        <w:t>7  开标一览表</w:t>
      </w:r>
      <w:bookmarkEnd w:id="41"/>
    </w:p>
    <w:p>
      <w:pPr>
        <w:rPr>
          <w:rFonts w:hint="eastAsia" w:ascii="仿宋" w:hAnsi="仿宋" w:eastAsia="仿宋" w:cs="仿宋"/>
          <w:lang w:val="en-US" w:eastAsia="zh-CN"/>
        </w:rPr>
      </w:pPr>
    </w:p>
    <w:p>
      <w:pPr>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开标一览表</w:t>
      </w:r>
    </w:p>
    <w:p>
      <w:pPr>
        <w:rPr>
          <w:rFonts w:hint="eastAsia" w:ascii="仿宋" w:hAnsi="仿宋" w:eastAsia="仿宋" w:cs="仿宋"/>
          <w:lang w:val="en-US" w:eastAsia="zh-CN"/>
        </w:rPr>
      </w:pPr>
    </w:p>
    <w:p>
      <w:pPr>
        <w:rPr>
          <w:rFonts w:hint="eastAsia" w:ascii="仿宋" w:hAnsi="仿宋" w:eastAsia="仿宋" w:cs="仿宋"/>
          <w:lang w:val="en-US" w:eastAsia="zh-CN"/>
        </w:rPr>
      </w:pPr>
    </w:p>
    <w:p>
      <w:pPr>
        <w:rPr>
          <w:rFonts w:hint="eastAsia" w:ascii="仿宋" w:hAnsi="仿宋" w:eastAsia="仿宋" w:cs="仿宋"/>
          <w:lang w:val="en-US" w:eastAsia="zh-CN"/>
        </w:rPr>
      </w:pPr>
      <w:r>
        <w:rPr>
          <w:rFonts w:hint="eastAsia" w:ascii="仿宋" w:hAnsi="仿宋" w:eastAsia="仿宋" w:cs="仿宋"/>
          <w:lang w:val="en-US" w:eastAsia="zh-CN"/>
        </w:rPr>
        <w:t>项目编号/包号：</w:t>
      </w:r>
      <w:r>
        <w:rPr>
          <w:rFonts w:hint="eastAsia" w:ascii="仿宋" w:hAnsi="仿宋" w:eastAsia="仿宋" w:cs="仿宋"/>
          <w:u w:val="single"/>
          <w:lang w:val="en-US" w:eastAsia="zh-CN"/>
        </w:rPr>
        <w:t xml:space="preserve">                     </w:t>
      </w:r>
      <w:r>
        <w:rPr>
          <w:rFonts w:hint="eastAsia" w:ascii="仿宋" w:hAnsi="仿宋" w:eastAsia="仿宋" w:cs="仿宋"/>
          <w:lang w:val="en-US" w:eastAsia="zh-CN"/>
        </w:rPr>
        <w:t xml:space="preserve"> 项目名称：</w:t>
      </w:r>
      <w:r>
        <w:rPr>
          <w:rFonts w:hint="eastAsia" w:ascii="仿宋" w:hAnsi="仿宋" w:eastAsia="仿宋" w:cs="仿宋"/>
          <w:u w:val="single"/>
          <w:lang w:val="en-US" w:eastAsia="zh-CN"/>
        </w:rPr>
        <w:t xml:space="preserve">               </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restart"/>
            <w:vAlign w:val="center"/>
          </w:tcPr>
          <w:p>
            <w:pPr>
              <w:pStyle w:val="2"/>
              <w:ind w:left="0" w:leftChars="0" w:firstLine="0" w:firstLineChars="0"/>
              <w:jc w:val="center"/>
              <w:rPr>
                <w:rFonts w:hint="eastAsia" w:ascii="仿宋" w:hAnsi="仿宋" w:eastAsia="仿宋" w:cs="仿宋"/>
                <w:b/>
                <w:bCs/>
                <w:vertAlign w:val="baseline"/>
                <w:lang w:val="en-US" w:eastAsia="zh-CN"/>
              </w:rPr>
            </w:pPr>
            <w:r>
              <w:rPr>
                <w:rFonts w:hint="eastAsia" w:ascii="仿宋" w:hAnsi="仿宋" w:eastAsia="仿宋" w:cs="仿宋"/>
                <w:b/>
                <w:bCs/>
                <w:vertAlign w:val="baseline"/>
                <w:lang w:val="en-US" w:eastAsia="zh-CN"/>
              </w:rPr>
              <w:t>序号</w:t>
            </w:r>
          </w:p>
        </w:tc>
        <w:tc>
          <w:tcPr>
            <w:tcW w:w="2130" w:type="dxa"/>
            <w:vMerge w:val="restart"/>
            <w:vAlign w:val="center"/>
          </w:tcPr>
          <w:p>
            <w:pPr>
              <w:pStyle w:val="2"/>
              <w:ind w:left="0" w:leftChars="0" w:firstLine="0" w:firstLineChars="0"/>
              <w:jc w:val="center"/>
              <w:rPr>
                <w:rFonts w:hint="eastAsia" w:ascii="仿宋" w:hAnsi="仿宋" w:eastAsia="仿宋" w:cs="仿宋"/>
                <w:b/>
                <w:bCs/>
                <w:vertAlign w:val="baseline"/>
                <w:lang w:val="en-US" w:eastAsia="zh-CN"/>
              </w:rPr>
            </w:pPr>
            <w:r>
              <w:rPr>
                <w:rFonts w:hint="eastAsia" w:ascii="仿宋" w:hAnsi="仿宋" w:eastAsia="仿宋" w:cs="仿宋"/>
                <w:b/>
                <w:bCs/>
                <w:vertAlign w:val="baseline"/>
                <w:lang w:val="en-US" w:eastAsia="zh-CN"/>
              </w:rPr>
              <w:t>投标人名称</w:t>
            </w:r>
          </w:p>
        </w:tc>
        <w:tc>
          <w:tcPr>
            <w:tcW w:w="4262" w:type="dxa"/>
            <w:gridSpan w:val="2"/>
            <w:vAlign w:val="center"/>
          </w:tcPr>
          <w:p>
            <w:pPr>
              <w:pStyle w:val="2"/>
              <w:ind w:left="0" w:leftChars="0" w:firstLine="0" w:firstLineChars="0"/>
              <w:jc w:val="center"/>
              <w:rPr>
                <w:rFonts w:hint="eastAsia" w:ascii="仿宋" w:hAnsi="仿宋" w:eastAsia="仿宋" w:cs="仿宋"/>
                <w:b/>
                <w:bCs/>
                <w:vertAlign w:val="baseline"/>
                <w:lang w:val="en-US" w:eastAsia="zh-CN"/>
              </w:rPr>
            </w:pPr>
            <w:r>
              <w:rPr>
                <w:rFonts w:hint="eastAsia" w:ascii="仿宋" w:hAnsi="仿宋" w:eastAsia="仿宋" w:cs="仿宋"/>
                <w:b/>
                <w:bCs/>
                <w:vertAlign w:val="baseline"/>
                <w:lang w:val="en-US" w:eastAsia="zh-CN"/>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0" w:type="dxa"/>
            <w:vMerge w:val="continue"/>
            <w:vAlign w:val="center"/>
          </w:tcPr>
          <w:p>
            <w:pPr>
              <w:pStyle w:val="2"/>
              <w:jc w:val="center"/>
              <w:rPr>
                <w:rFonts w:hint="eastAsia" w:ascii="仿宋" w:hAnsi="仿宋" w:eastAsia="仿宋" w:cs="仿宋"/>
                <w:b/>
                <w:bCs/>
                <w:vertAlign w:val="baseline"/>
                <w:lang w:val="en-US" w:eastAsia="zh-CN"/>
              </w:rPr>
            </w:pPr>
          </w:p>
        </w:tc>
        <w:tc>
          <w:tcPr>
            <w:tcW w:w="2130" w:type="dxa"/>
            <w:vMerge w:val="continue"/>
            <w:vAlign w:val="center"/>
          </w:tcPr>
          <w:p>
            <w:pPr>
              <w:pStyle w:val="2"/>
              <w:jc w:val="center"/>
              <w:rPr>
                <w:rFonts w:hint="eastAsia" w:ascii="仿宋" w:hAnsi="仿宋" w:eastAsia="仿宋" w:cs="仿宋"/>
                <w:b/>
                <w:bCs/>
                <w:vertAlign w:val="baseline"/>
                <w:lang w:val="en-US" w:eastAsia="zh-CN"/>
              </w:rPr>
            </w:pPr>
          </w:p>
        </w:tc>
        <w:tc>
          <w:tcPr>
            <w:tcW w:w="2131" w:type="dxa"/>
            <w:vAlign w:val="center"/>
          </w:tcPr>
          <w:p>
            <w:pPr>
              <w:pStyle w:val="2"/>
              <w:ind w:left="0" w:leftChars="0" w:firstLine="0" w:firstLineChars="0"/>
              <w:jc w:val="center"/>
              <w:rPr>
                <w:rFonts w:hint="eastAsia" w:ascii="仿宋" w:hAnsi="仿宋" w:eastAsia="仿宋" w:cs="仿宋"/>
                <w:b/>
                <w:bCs/>
                <w:vertAlign w:val="baseline"/>
                <w:lang w:val="en-US" w:eastAsia="zh-CN"/>
              </w:rPr>
            </w:pPr>
            <w:r>
              <w:rPr>
                <w:rFonts w:hint="eastAsia" w:ascii="仿宋" w:hAnsi="仿宋" w:eastAsia="仿宋" w:cs="仿宋"/>
                <w:b/>
                <w:bCs/>
                <w:vertAlign w:val="baseline"/>
                <w:lang w:val="en-US" w:eastAsia="zh-CN"/>
              </w:rPr>
              <w:t>大写</w:t>
            </w:r>
          </w:p>
        </w:tc>
        <w:tc>
          <w:tcPr>
            <w:tcW w:w="2131" w:type="dxa"/>
            <w:vAlign w:val="center"/>
          </w:tcPr>
          <w:p>
            <w:pPr>
              <w:pStyle w:val="2"/>
              <w:ind w:left="0" w:leftChars="0" w:firstLine="0" w:firstLineChars="0"/>
              <w:jc w:val="center"/>
              <w:rPr>
                <w:rFonts w:hint="eastAsia" w:ascii="仿宋" w:hAnsi="仿宋" w:eastAsia="仿宋" w:cs="仿宋"/>
                <w:b/>
                <w:bCs/>
                <w:vertAlign w:val="baseline"/>
                <w:lang w:val="en-US" w:eastAsia="zh-CN"/>
              </w:rPr>
            </w:pPr>
            <w:r>
              <w:rPr>
                <w:rFonts w:hint="eastAsia" w:ascii="仿宋" w:hAnsi="仿宋" w:eastAsia="仿宋" w:cs="仿宋"/>
                <w:b/>
                <w:bCs/>
                <w:vertAlign w:val="baseline"/>
                <w:lang w:val="en-US" w:eastAsia="zh-CN"/>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0" w:hRule="atLeast"/>
        </w:trPr>
        <w:tc>
          <w:tcPr>
            <w:tcW w:w="2130" w:type="dxa"/>
            <w:vAlign w:val="center"/>
          </w:tcPr>
          <w:p>
            <w:pPr>
              <w:pStyle w:val="2"/>
              <w:jc w:val="center"/>
              <w:rPr>
                <w:rFonts w:hint="eastAsia" w:ascii="仿宋" w:hAnsi="仿宋" w:eastAsia="仿宋" w:cs="仿宋"/>
                <w:vertAlign w:val="baseline"/>
                <w:lang w:val="en-US" w:eastAsia="zh-CN"/>
              </w:rPr>
            </w:pPr>
          </w:p>
        </w:tc>
        <w:tc>
          <w:tcPr>
            <w:tcW w:w="2130" w:type="dxa"/>
            <w:vAlign w:val="center"/>
          </w:tcPr>
          <w:p>
            <w:pPr>
              <w:pStyle w:val="2"/>
              <w:jc w:val="center"/>
              <w:rPr>
                <w:rFonts w:hint="eastAsia" w:ascii="仿宋" w:hAnsi="仿宋" w:eastAsia="仿宋" w:cs="仿宋"/>
                <w:vertAlign w:val="baseline"/>
                <w:lang w:val="en-US" w:eastAsia="zh-CN"/>
              </w:rPr>
            </w:pPr>
          </w:p>
        </w:tc>
        <w:tc>
          <w:tcPr>
            <w:tcW w:w="2131" w:type="dxa"/>
            <w:vAlign w:val="center"/>
          </w:tcPr>
          <w:p>
            <w:pPr>
              <w:pStyle w:val="2"/>
              <w:jc w:val="center"/>
              <w:rPr>
                <w:rFonts w:hint="eastAsia" w:ascii="仿宋" w:hAnsi="仿宋" w:eastAsia="仿宋" w:cs="仿宋"/>
                <w:vertAlign w:val="baseline"/>
                <w:lang w:val="en-US" w:eastAsia="zh-CN"/>
              </w:rPr>
            </w:pPr>
          </w:p>
        </w:tc>
        <w:tc>
          <w:tcPr>
            <w:tcW w:w="2131" w:type="dxa"/>
            <w:vAlign w:val="center"/>
          </w:tcPr>
          <w:p>
            <w:pPr>
              <w:pStyle w:val="2"/>
              <w:jc w:val="center"/>
              <w:rPr>
                <w:rFonts w:hint="eastAsia" w:ascii="仿宋" w:hAnsi="仿宋" w:eastAsia="仿宋" w:cs="仿宋"/>
                <w:vertAlign w:val="baseline"/>
                <w:lang w:val="en-US" w:eastAsia="zh-CN"/>
              </w:rPr>
            </w:pPr>
          </w:p>
        </w:tc>
      </w:tr>
    </w:tbl>
    <w:p>
      <w:pPr>
        <w:pStyle w:val="2"/>
        <w:ind w:left="0" w:leftChars="0" w:firstLine="0" w:firstLineChars="0"/>
        <w:rPr>
          <w:rFonts w:hint="eastAsia" w:ascii="仿宋" w:hAnsi="仿宋" w:eastAsia="仿宋" w:cs="仿宋"/>
          <w:lang w:val="en-US" w:eastAsia="zh-CN"/>
        </w:rPr>
      </w:pPr>
    </w:p>
    <w:p>
      <w:pPr>
        <w:pStyle w:val="5"/>
        <w:rPr>
          <w:rFonts w:hint="eastAsia" w:ascii="仿宋" w:hAnsi="仿宋" w:eastAsia="仿宋" w:cs="仿宋"/>
          <w:lang w:val="en-US" w:eastAsia="zh-CN"/>
        </w:rPr>
      </w:pPr>
      <w:r>
        <w:rPr>
          <w:rFonts w:hint="eastAsia" w:ascii="仿宋" w:hAnsi="仿宋" w:eastAsia="仿宋" w:cs="仿宋"/>
          <w:lang w:val="en-US" w:eastAsia="zh-CN"/>
        </w:rPr>
        <w:t>注：1.此表中，每包的投标报价应和《投标分项报价表》中的总价相一致。</w:t>
      </w:r>
    </w:p>
    <w:p>
      <w:pPr>
        <w:pStyle w:val="5"/>
        <w:outlineLvl w:val="1"/>
        <w:rPr>
          <w:rFonts w:hint="eastAsia" w:ascii="仿宋" w:hAnsi="仿宋" w:eastAsia="仿宋" w:cs="仿宋"/>
          <w:lang w:val="en-US" w:eastAsia="zh-CN"/>
        </w:rPr>
      </w:pPr>
      <w:bookmarkStart w:id="42" w:name="_Toc31128"/>
      <w:r>
        <w:rPr>
          <w:rFonts w:hint="eastAsia" w:ascii="仿宋" w:hAnsi="仿宋" w:eastAsia="仿宋" w:cs="仿宋"/>
          <w:lang w:val="en-US" w:eastAsia="zh-CN"/>
        </w:rPr>
        <w:t>2.本表必须按包分别填写。</w:t>
      </w:r>
      <w:bookmarkEnd w:id="42"/>
    </w:p>
    <w:p>
      <w:pPr>
        <w:pStyle w:val="5"/>
        <w:rPr>
          <w:rFonts w:hint="eastAsia" w:ascii="仿宋" w:hAnsi="仿宋" w:eastAsia="仿宋" w:cs="仿宋"/>
          <w:lang w:val="en-US" w:eastAsia="zh-CN"/>
        </w:rPr>
      </w:pPr>
    </w:p>
    <w:p>
      <w:pPr>
        <w:pStyle w:val="5"/>
        <w:rPr>
          <w:rFonts w:hint="eastAsia" w:ascii="仿宋" w:hAnsi="仿宋" w:eastAsia="仿宋" w:cs="仿宋"/>
          <w:lang w:val="en-US" w:eastAsia="zh-CN"/>
        </w:rPr>
      </w:pPr>
    </w:p>
    <w:p>
      <w:pPr>
        <w:pStyle w:val="5"/>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投标人名称（加盖公章）：</w:t>
      </w:r>
      <w:r>
        <w:rPr>
          <w:rFonts w:hint="eastAsia" w:ascii="仿宋" w:hAnsi="仿宋" w:eastAsia="仿宋" w:cs="仿宋"/>
          <w:sz w:val="24"/>
          <w:szCs w:val="24"/>
          <w:u w:val="single"/>
          <w:lang w:val="en-US" w:eastAsia="zh-CN"/>
        </w:rPr>
        <w:t xml:space="preserve">             </w:t>
      </w:r>
    </w:p>
    <w:p>
      <w:pPr>
        <w:pStyle w:val="5"/>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日期：</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年</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月</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lang w:val="en-US" w:eastAsia="zh-CN"/>
        </w:rPr>
        <w:t>日</w:t>
      </w:r>
    </w:p>
    <w:p>
      <w:pPr>
        <w:pStyle w:val="10"/>
        <w:rPr>
          <w:rFonts w:hint="eastAsia" w:ascii="仿宋" w:hAnsi="仿宋" w:eastAsia="仿宋" w:cs="仿宋"/>
          <w:lang w:val="en-US" w:eastAsia="zh-CN"/>
        </w:rPr>
      </w:pPr>
    </w:p>
    <w:p>
      <w:pPr>
        <w:rPr>
          <w:rFonts w:hint="eastAsia" w:ascii="仿宋" w:hAnsi="仿宋" w:eastAsia="仿宋" w:cs="仿宋"/>
          <w:lang w:val="en-US" w:eastAsia="zh-CN"/>
        </w:rPr>
      </w:pPr>
      <w:r>
        <w:rPr>
          <w:rFonts w:hint="eastAsia" w:ascii="仿宋" w:hAnsi="仿宋" w:eastAsia="仿宋" w:cs="仿宋"/>
          <w:lang w:val="en-US" w:eastAsia="zh-CN"/>
        </w:rPr>
        <w:br w:type="page"/>
      </w:r>
    </w:p>
    <w:p>
      <w:pPr>
        <w:pStyle w:val="2"/>
        <w:ind w:left="0" w:leftChars="0" w:firstLine="0" w:firstLineChars="0"/>
        <w:outlineLvl w:val="1"/>
        <w:rPr>
          <w:rFonts w:hint="eastAsia" w:ascii="仿宋" w:hAnsi="仿宋" w:eastAsia="仿宋" w:cs="仿宋"/>
          <w:sz w:val="24"/>
          <w:szCs w:val="24"/>
          <w:lang w:val="en-US" w:eastAsia="zh-CN"/>
        </w:rPr>
      </w:pPr>
      <w:bookmarkStart w:id="43" w:name="_Toc7007"/>
      <w:r>
        <w:rPr>
          <w:rFonts w:hint="eastAsia" w:ascii="仿宋" w:hAnsi="仿宋" w:eastAsia="仿宋" w:cs="仿宋"/>
          <w:sz w:val="24"/>
          <w:szCs w:val="24"/>
          <w:lang w:val="en-US" w:eastAsia="zh-CN"/>
        </w:rPr>
        <w:t>7  投标分项报价表</w:t>
      </w:r>
      <w:bookmarkEnd w:id="43"/>
    </w:p>
    <w:p>
      <w:pPr>
        <w:pStyle w:val="2"/>
        <w:ind w:left="0" w:leftChars="0" w:firstLine="0" w:firstLineChars="0"/>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投标分项报价表</w:t>
      </w:r>
    </w:p>
    <w:p>
      <w:pPr>
        <w:pStyle w:val="2"/>
        <w:ind w:left="0" w:leftChars="0" w:firstLine="0" w:firstLineChars="0"/>
        <w:jc w:val="center"/>
        <w:rPr>
          <w:rFonts w:hint="eastAsia" w:ascii="仿宋" w:hAnsi="仿宋" w:eastAsia="仿宋" w:cs="仿宋"/>
          <w:lang w:val="en-US" w:eastAsia="zh-CN"/>
        </w:rPr>
      </w:pPr>
    </w:p>
    <w:p>
      <w:pPr>
        <w:pStyle w:val="2"/>
        <w:ind w:left="0" w:leftChars="0" w:firstLine="0" w:firstLineChars="0"/>
        <w:jc w:val="center"/>
        <w:rPr>
          <w:rFonts w:hint="eastAsia" w:ascii="仿宋" w:hAnsi="仿宋" w:eastAsia="仿宋" w:cs="仿宋"/>
          <w:lang w:val="en-US" w:eastAsia="zh-CN"/>
        </w:rPr>
      </w:pPr>
      <w:r>
        <w:rPr>
          <w:rFonts w:hint="eastAsia" w:ascii="仿宋" w:hAnsi="仿宋" w:eastAsia="仿宋" w:cs="仿宋"/>
          <w:lang w:val="en-US" w:eastAsia="zh-CN"/>
        </w:rPr>
        <w:t>项目编号/包号：</w:t>
      </w:r>
      <w:r>
        <w:rPr>
          <w:rFonts w:hint="eastAsia" w:ascii="仿宋" w:hAnsi="仿宋" w:eastAsia="仿宋" w:cs="仿宋"/>
          <w:u w:val="single"/>
          <w:lang w:val="en-US" w:eastAsia="zh-CN"/>
        </w:rPr>
        <w:t xml:space="preserve">              </w:t>
      </w:r>
      <w:r>
        <w:rPr>
          <w:rFonts w:hint="eastAsia" w:ascii="仿宋" w:hAnsi="仿宋" w:eastAsia="仿宋" w:cs="仿宋"/>
          <w:lang w:val="en-US" w:eastAsia="zh-CN"/>
        </w:rPr>
        <w:t xml:space="preserve"> 项目名称：</w:t>
      </w:r>
      <w:r>
        <w:rPr>
          <w:rFonts w:hint="eastAsia" w:ascii="仿宋" w:hAnsi="仿宋" w:eastAsia="仿宋" w:cs="仿宋"/>
          <w:u w:val="single"/>
          <w:lang w:val="en-US" w:eastAsia="zh-CN"/>
        </w:rPr>
        <w:t xml:space="preserve">          </w:t>
      </w:r>
      <w:r>
        <w:rPr>
          <w:rFonts w:hint="eastAsia" w:ascii="仿宋" w:hAnsi="仿宋" w:eastAsia="仿宋" w:cs="仿宋"/>
          <w:lang w:val="en-US" w:eastAsia="zh-CN"/>
        </w:rPr>
        <w:t xml:space="preserve">      报价单位：人民币元</w:t>
      </w:r>
    </w:p>
    <w:tbl>
      <w:tblPr>
        <w:tblStyle w:val="23"/>
        <w:tblW w:w="98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4"/>
        <w:gridCol w:w="1171"/>
        <w:gridCol w:w="992"/>
        <w:gridCol w:w="705"/>
        <w:gridCol w:w="942"/>
        <w:gridCol w:w="835"/>
        <w:gridCol w:w="1050"/>
        <w:gridCol w:w="819"/>
        <w:gridCol w:w="1291"/>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614" w:type="dxa"/>
            <w:vAlign w:val="center"/>
          </w:tcPr>
          <w:p>
            <w:pPr>
              <w:pStyle w:val="5"/>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序号</w:t>
            </w:r>
          </w:p>
        </w:tc>
        <w:tc>
          <w:tcPr>
            <w:tcW w:w="1171" w:type="dxa"/>
            <w:vAlign w:val="center"/>
          </w:tcPr>
          <w:p>
            <w:pPr>
              <w:pStyle w:val="5"/>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分项名称</w:t>
            </w:r>
          </w:p>
        </w:tc>
        <w:tc>
          <w:tcPr>
            <w:tcW w:w="992" w:type="dxa"/>
            <w:vAlign w:val="center"/>
          </w:tcPr>
          <w:p>
            <w:pPr>
              <w:pStyle w:val="5"/>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制造商</w:t>
            </w:r>
          </w:p>
        </w:tc>
        <w:tc>
          <w:tcPr>
            <w:tcW w:w="705" w:type="dxa"/>
            <w:vAlign w:val="center"/>
          </w:tcPr>
          <w:p>
            <w:pPr>
              <w:pStyle w:val="5"/>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品牌</w:t>
            </w:r>
          </w:p>
        </w:tc>
        <w:tc>
          <w:tcPr>
            <w:tcW w:w="942" w:type="dxa"/>
            <w:vAlign w:val="center"/>
          </w:tcPr>
          <w:p>
            <w:pPr>
              <w:pStyle w:val="5"/>
              <w:ind w:left="0" w:leftChars="0" w:firstLine="0" w:firstLine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产地/国别</w:t>
            </w:r>
          </w:p>
        </w:tc>
        <w:tc>
          <w:tcPr>
            <w:tcW w:w="835" w:type="dxa"/>
            <w:vAlign w:val="center"/>
          </w:tcPr>
          <w:p>
            <w:pPr>
              <w:pStyle w:val="5"/>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规格、型号</w:t>
            </w:r>
          </w:p>
        </w:tc>
        <w:tc>
          <w:tcPr>
            <w:tcW w:w="1050" w:type="dxa"/>
            <w:vAlign w:val="center"/>
          </w:tcPr>
          <w:p>
            <w:pPr>
              <w:pStyle w:val="5"/>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单价（元）</w:t>
            </w:r>
          </w:p>
        </w:tc>
        <w:tc>
          <w:tcPr>
            <w:tcW w:w="819" w:type="dxa"/>
            <w:vAlign w:val="center"/>
          </w:tcPr>
          <w:p>
            <w:pPr>
              <w:pStyle w:val="5"/>
              <w:ind w:left="0" w:leftChars="0" w:firstLine="0" w:firstLineChars="0"/>
              <w:jc w:val="center"/>
              <w:rPr>
                <w:rFonts w:hint="default"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数量</w:t>
            </w:r>
          </w:p>
        </w:tc>
        <w:tc>
          <w:tcPr>
            <w:tcW w:w="1291" w:type="dxa"/>
            <w:vAlign w:val="center"/>
          </w:tcPr>
          <w:p>
            <w:pPr>
              <w:pStyle w:val="5"/>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合价（元）</w:t>
            </w:r>
          </w:p>
        </w:tc>
        <w:tc>
          <w:tcPr>
            <w:tcW w:w="1417" w:type="dxa"/>
            <w:vAlign w:val="center"/>
          </w:tcPr>
          <w:p>
            <w:pPr>
              <w:pStyle w:val="5"/>
              <w:ind w:left="0" w:leftChars="0" w:firstLine="0" w:firstLineChars="0"/>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备注/说明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1171"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992"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705"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942"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835"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1050"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819"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1291"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1417" w:type="dxa"/>
            <w:vAlign w:val="center"/>
          </w:tcPr>
          <w:p>
            <w:pPr>
              <w:pStyle w:val="5"/>
              <w:jc w:val="center"/>
              <w:rPr>
                <w:rFonts w:hint="eastAsia" w:ascii="仿宋_GB2312" w:hAnsi="仿宋_GB2312" w:eastAsia="仿宋_GB2312" w:cs="仿宋_GB2312"/>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1171"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992"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705"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942"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835"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1050"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819"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1291"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1417" w:type="dxa"/>
            <w:vAlign w:val="center"/>
          </w:tcPr>
          <w:p>
            <w:pPr>
              <w:pStyle w:val="5"/>
              <w:jc w:val="center"/>
              <w:rPr>
                <w:rFonts w:hint="eastAsia" w:ascii="仿宋_GB2312" w:hAnsi="仿宋_GB2312" w:eastAsia="仿宋_GB2312" w:cs="仿宋_GB2312"/>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1171"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992"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705"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942"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835"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1050"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819"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1291"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1417" w:type="dxa"/>
            <w:vAlign w:val="center"/>
          </w:tcPr>
          <w:p>
            <w:pPr>
              <w:pStyle w:val="5"/>
              <w:jc w:val="center"/>
              <w:rPr>
                <w:rFonts w:hint="eastAsia" w:ascii="仿宋_GB2312" w:hAnsi="仿宋_GB2312" w:eastAsia="仿宋_GB2312" w:cs="仿宋_GB2312"/>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614"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1171"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992"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705"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942"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835"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1050"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819"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1291"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1417" w:type="dxa"/>
            <w:vAlign w:val="center"/>
          </w:tcPr>
          <w:p>
            <w:pPr>
              <w:pStyle w:val="5"/>
              <w:jc w:val="center"/>
              <w:rPr>
                <w:rFonts w:hint="eastAsia" w:ascii="仿宋_GB2312" w:hAnsi="仿宋_GB2312" w:eastAsia="仿宋_GB2312" w:cs="仿宋_GB2312"/>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28" w:type="dxa"/>
            <w:gridSpan w:val="8"/>
            <w:vAlign w:val="center"/>
          </w:tcPr>
          <w:p>
            <w:pPr>
              <w:pStyle w:val="5"/>
              <w:jc w:val="center"/>
              <w:rPr>
                <w:rFonts w:hint="eastAsia" w:ascii="仿宋_GB2312" w:hAnsi="仿宋_GB2312" w:eastAsia="仿宋_GB2312" w:cs="仿宋_GB2312"/>
                <w:sz w:val="21"/>
                <w:szCs w:val="21"/>
                <w:vertAlign w:val="baseline"/>
                <w:lang w:val="en-US" w:eastAsia="zh-CN"/>
              </w:rPr>
            </w:pPr>
            <w:r>
              <w:rPr>
                <w:rFonts w:hint="eastAsia" w:ascii="仿宋_GB2312" w:hAnsi="仿宋_GB2312" w:eastAsia="仿宋_GB2312" w:cs="仿宋_GB2312"/>
                <w:sz w:val="21"/>
                <w:szCs w:val="21"/>
                <w:vertAlign w:val="baseline"/>
                <w:lang w:val="en-US" w:eastAsia="zh-CN"/>
              </w:rPr>
              <w:t>总价（元）</w:t>
            </w:r>
          </w:p>
        </w:tc>
        <w:tc>
          <w:tcPr>
            <w:tcW w:w="1291" w:type="dxa"/>
            <w:vAlign w:val="center"/>
          </w:tcPr>
          <w:p>
            <w:pPr>
              <w:pStyle w:val="5"/>
              <w:jc w:val="center"/>
              <w:rPr>
                <w:rFonts w:hint="eastAsia" w:ascii="仿宋_GB2312" w:hAnsi="仿宋_GB2312" w:eastAsia="仿宋_GB2312" w:cs="仿宋_GB2312"/>
                <w:sz w:val="21"/>
                <w:szCs w:val="21"/>
                <w:vertAlign w:val="baseline"/>
                <w:lang w:val="en-US" w:eastAsia="zh-CN"/>
              </w:rPr>
            </w:pPr>
          </w:p>
        </w:tc>
        <w:tc>
          <w:tcPr>
            <w:tcW w:w="1417" w:type="dxa"/>
            <w:vAlign w:val="center"/>
          </w:tcPr>
          <w:p>
            <w:pPr>
              <w:pStyle w:val="5"/>
              <w:jc w:val="center"/>
              <w:rPr>
                <w:rFonts w:hint="eastAsia" w:ascii="仿宋_GB2312" w:hAnsi="仿宋_GB2312" w:eastAsia="仿宋_GB2312" w:cs="仿宋_GB2312"/>
                <w:sz w:val="21"/>
                <w:szCs w:val="21"/>
                <w:vertAlign w:val="baseline"/>
                <w:lang w:val="en-US" w:eastAsia="zh-CN"/>
              </w:rPr>
            </w:pPr>
          </w:p>
        </w:tc>
      </w:tr>
    </w:tbl>
    <w:p>
      <w:pPr>
        <w:pStyle w:val="5"/>
        <w:ind w:left="0" w:leftChars="0" w:firstLine="0" w:firstLineChars="0"/>
        <w:rPr>
          <w:rFonts w:hint="eastAsia" w:ascii="仿宋" w:hAnsi="仿宋" w:eastAsia="仿宋" w:cs="仿宋"/>
          <w:lang w:val="en-US" w:eastAsia="zh-CN"/>
        </w:rPr>
      </w:pPr>
    </w:p>
    <w:p>
      <w:pPr>
        <w:pStyle w:val="10"/>
        <w:rPr>
          <w:rFonts w:hint="eastAsia" w:ascii="仿宋" w:hAnsi="仿宋" w:eastAsia="仿宋" w:cs="仿宋"/>
          <w:lang w:val="en-US" w:eastAsia="zh-CN"/>
        </w:rPr>
      </w:pP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注：1.本表应按包分别填写。</w:t>
      </w: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2.如果不提供分项报价将视为没有实质性响应招标文件。</w:t>
      </w: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3.上述各项的详细规格（如有），可另页描述。</w:t>
      </w:r>
    </w:p>
    <w:p>
      <w:pPr>
        <w:spacing w:line="360" w:lineRule="auto"/>
        <w:rPr>
          <w:rFonts w:hint="eastAsia" w:ascii="仿宋" w:hAnsi="仿宋" w:eastAsia="仿宋" w:cs="仿宋"/>
          <w:sz w:val="24"/>
          <w:szCs w:val="24"/>
          <w:lang w:val="en-US" w:eastAsia="zh-CN"/>
        </w:rPr>
      </w:pPr>
    </w:p>
    <w:p>
      <w:pPr>
        <w:spacing w:line="360" w:lineRule="auto"/>
        <w:rPr>
          <w:rFonts w:hint="eastAsia" w:ascii="仿宋" w:hAnsi="仿宋" w:eastAsia="仿宋" w:cs="仿宋"/>
          <w:sz w:val="24"/>
          <w:szCs w:val="24"/>
          <w:lang w:val="en-US" w:eastAsia="zh-CN"/>
        </w:rPr>
      </w:pP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投标人名称（加盖公章）：____________</w:t>
      </w:r>
    </w:p>
    <w:p>
      <w:pPr>
        <w:spacing w:line="360" w:lineRule="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日期：_____年______月______日</w:t>
      </w:r>
    </w:p>
    <w:p>
      <w:pPr>
        <w:pStyle w:val="2"/>
        <w:rPr>
          <w:rFonts w:hint="eastAsia" w:ascii="仿宋" w:hAnsi="仿宋" w:eastAsia="仿宋" w:cs="仿宋"/>
          <w:sz w:val="24"/>
          <w:szCs w:val="24"/>
          <w:lang w:val="en-US" w:eastAsia="zh-CN"/>
        </w:rPr>
      </w:pPr>
    </w:p>
    <w:p>
      <w:pPr>
        <w:rPr>
          <w:rFonts w:hint="eastAsia" w:ascii="仿宋" w:hAnsi="仿宋" w:eastAsia="仿宋" w:cs="仿宋"/>
          <w:lang w:val="en-US" w:eastAsia="zh-CN"/>
        </w:rPr>
      </w:pPr>
      <w:r>
        <w:rPr>
          <w:rFonts w:hint="eastAsia" w:ascii="仿宋" w:hAnsi="仿宋" w:eastAsia="仿宋" w:cs="仿宋"/>
          <w:lang w:val="en-US" w:eastAsia="zh-CN"/>
        </w:rPr>
        <w:br w:type="page"/>
      </w:r>
    </w:p>
    <w:p>
      <w:pPr>
        <w:pStyle w:val="10"/>
        <w:ind w:left="0" w:leftChars="0" w:firstLine="0" w:firstLineChars="0"/>
        <w:jc w:val="left"/>
        <w:outlineLvl w:val="1"/>
        <w:rPr>
          <w:rFonts w:hint="eastAsia" w:ascii="仿宋" w:hAnsi="仿宋" w:eastAsia="仿宋" w:cs="仿宋"/>
          <w:sz w:val="24"/>
          <w:szCs w:val="24"/>
          <w:lang w:val="en-US" w:eastAsia="zh-CN"/>
        </w:rPr>
      </w:pPr>
      <w:bookmarkStart w:id="44" w:name="_Toc6119"/>
      <w:r>
        <w:rPr>
          <w:rFonts w:hint="eastAsia" w:ascii="仿宋" w:hAnsi="仿宋" w:eastAsia="仿宋" w:cs="仿宋"/>
          <w:sz w:val="24"/>
          <w:szCs w:val="24"/>
          <w:lang w:val="en-US" w:eastAsia="zh-CN"/>
        </w:rPr>
        <w:t xml:space="preserve">8  </w:t>
      </w:r>
      <w:bookmarkEnd w:id="44"/>
      <w:r>
        <w:rPr>
          <w:rFonts w:hint="eastAsia" w:ascii="仿宋" w:hAnsi="仿宋" w:eastAsia="仿宋" w:cs="仿宋"/>
          <w:sz w:val="24"/>
          <w:szCs w:val="24"/>
          <w:lang w:val="en-US" w:eastAsia="zh-CN"/>
        </w:rPr>
        <w:t>合同条款偏离表</w:t>
      </w:r>
    </w:p>
    <w:p>
      <w:pPr>
        <w:pStyle w:val="10"/>
        <w:ind w:left="0" w:leftChars="0" w:firstLine="0" w:firstLineChars="0"/>
        <w:jc w:val="center"/>
        <w:rPr>
          <w:rFonts w:hint="eastAsia" w:ascii="仿宋" w:hAnsi="仿宋" w:eastAsia="仿宋" w:cs="仿宋"/>
          <w:sz w:val="32"/>
          <w:szCs w:val="32"/>
          <w:lang w:val="en-US" w:eastAsia="zh-CN"/>
        </w:rPr>
      </w:pPr>
    </w:p>
    <w:p>
      <w:pPr>
        <w:pStyle w:val="10"/>
        <w:ind w:left="0" w:leftChars="0" w:firstLine="0" w:firstLineChars="0"/>
        <w:jc w:val="center"/>
        <w:rPr>
          <w:rFonts w:hint="eastAsia" w:ascii="仿宋" w:hAnsi="仿宋" w:eastAsia="仿宋" w:cs="仿宋"/>
          <w:b/>
          <w:bCs/>
          <w:i w:val="0"/>
          <w:iCs w:val="0"/>
          <w:sz w:val="32"/>
          <w:szCs w:val="32"/>
          <w:lang w:val="en-US" w:eastAsia="zh-CN"/>
        </w:rPr>
      </w:pPr>
      <w:r>
        <w:rPr>
          <w:rFonts w:hint="eastAsia" w:ascii="仿宋" w:hAnsi="仿宋" w:eastAsia="仿宋" w:cs="仿宋"/>
          <w:b/>
          <w:bCs/>
          <w:i w:val="0"/>
          <w:iCs w:val="0"/>
          <w:sz w:val="32"/>
          <w:szCs w:val="32"/>
          <w:lang w:val="en-US" w:eastAsia="zh-CN"/>
        </w:rPr>
        <w:t>合同条款偏离表</w:t>
      </w:r>
    </w:p>
    <w:p>
      <w:pPr>
        <w:rPr>
          <w:rFonts w:hint="eastAsia" w:ascii="仿宋" w:hAnsi="仿宋" w:eastAsia="仿宋" w:cs="仿宋"/>
          <w:lang w:val="en-US" w:eastAsia="zh-CN"/>
        </w:rPr>
      </w:pPr>
    </w:p>
    <w:p>
      <w:pPr>
        <w:pStyle w:val="10"/>
        <w:ind w:left="0" w:leftChars="0" w:firstLine="0" w:firstLineChars="0"/>
        <w:jc w:val="left"/>
        <w:rPr>
          <w:rFonts w:hint="eastAsia" w:ascii="仿宋" w:hAnsi="仿宋" w:eastAsia="仿宋" w:cs="仿宋"/>
          <w:lang w:val="en-US" w:eastAsia="zh-CN"/>
        </w:rPr>
      </w:pPr>
      <w:r>
        <w:rPr>
          <w:rFonts w:hint="eastAsia" w:ascii="仿宋" w:hAnsi="仿宋" w:eastAsia="仿宋" w:cs="仿宋"/>
          <w:lang w:val="en-US" w:eastAsia="zh-CN"/>
        </w:rPr>
        <w:t>项目编号/包号：</w:t>
      </w:r>
      <w:r>
        <w:rPr>
          <w:rFonts w:hint="eastAsia" w:ascii="仿宋" w:hAnsi="仿宋" w:eastAsia="仿宋" w:cs="仿宋"/>
          <w:u w:val="single"/>
          <w:lang w:val="en-US" w:eastAsia="zh-CN"/>
        </w:rPr>
        <w:t xml:space="preserve">                   </w:t>
      </w:r>
      <w:r>
        <w:rPr>
          <w:rFonts w:hint="eastAsia" w:ascii="仿宋" w:hAnsi="仿宋" w:eastAsia="仿宋" w:cs="仿宋"/>
          <w:lang w:val="en-US" w:eastAsia="zh-CN"/>
        </w:rPr>
        <w:t xml:space="preserve">            项目名称：</w:t>
      </w:r>
      <w:r>
        <w:rPr>
          <w:rFonts w:hint="eastAsia" w:ascii="仿宋" w:hAnsi="仿宋" w:eastAsia="仿宋" w:cs="仿宋"/>
          <w:u w:val="single"/>
          <w:lang w:val="en-US" w:eastAsia="zh-CN"/>
        </w:rPr>
        <w:t xml:space="preserve">               </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4"/>
        <w:gridCol w:w="1421"/>
        <w:gridCol w:w="1901"/>
        <w:gridCol w:w="1753"/>
        <w:gridCol w:w="1561"/>
        <w:gridCol w:w="10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8" w:hRule="atLeast"/>
        </w:trPr>
        <w:tc>
          <w:tcPr>
            <w:tcW w:w="8522" w:type="dxa"/>
            <w:gridSpan w:val="6"/>
          </w:tcPr>
          <w:p>
            <w:pPr>
              <w:spacing w:line="360" w:lineRule="auto"/>
              <w:rPr>
                <w:rFonts w:hint="eastAsia" w:ascii="仿宋" w:hAnsi="仿宋" w:eastAsia="仿宋" w:cs="仿宋"/>
                <w:b/>
                <w:bCs/>
                <w:sz w:val="24"/>
                <w:szCs w:val="24"/>
                <w:vertAlign w:val="baseline"/>
                <w:lang w:val="en-US" w:eastAsia="zh-CN"/>
              </w:rPr>
            </w:pPr>
            <w:r>
              <w:rPr>
                <w:rFonts w:hint="eastAsia" w:ascii="仿宋" w:hAnsi="仿宋" w:eastAsia="仿宋" w:cs="仿宋"/>
                <w:b/>
                <w:bCs/>
                <w:sz w:val="24"/>
                <w:szCs w:val="24"/>
                <w:vertAlign w:val="baseline"/>
                <w:lang w:val="en-US" w:eastAsia="zh-CN"/>
              </w:rPr>
              <w:t>对本项目商务条款的偏离情况（请进行勾选）：</w:t>
            </w:r>
          </w:p>
          <w:p>
            <w:pPr>
              <w:spacing w:line="360" w:lineRule="auto"/>
              <w:rPr>
                <w:rFonts w:hint="eastAsia" w:ascii="仿宋" w:hAnsi="仿宋" w:eastAsia="仿宋" w:cs="仿宋"/>
                <w:b w:val="0"/>
                <w:bCs w:val="0"/>
                <w:sz w:val="24"/>
                <w:szCs w:val="24"/>
                <w:vertAlign w:val="baseline"/>
                <w:lang w:val="en-US" w:eastAsia="zh-CN"/>
              </w:rPr>
            </w:pPr>
            <w:r>
              <w:rPr>
                <w:rFonts w:hint="eastAsia" w:ascii="仿宋" w:hAnsi="仿宋" w:eastAsia="仿宋" w:cs="仿宋"/>
                <w:b/>
                <w:bCs/>
                <w:sz w:val="24"/>
                <w:szCs w:val="24"/>
                <w:vertAlign w:val="baseline"/>
                <w:lang w:val="en-US" w:eastAsia="zh-CN"/>
              </w:rPr>
              <w:t>□无偏离</w:t>
            </w:r>
            <w:r>
              <w:rPr>
                <w:rFonts w:hint="eastAsia" w:ascii="仿宋" w:hAnsi="仿宋" w:eastAsia="仿宋" w:cs="仿宋"/>
                <w:b w:val="0"/>
                <w:bCs w:val="0"/>
                <w:sz w:val="24"/>
                <w:szCs w:val="24"/>
                <w:vertAlign w:val="baseline"/>
                <w:lang w:val="en-US" w:eastAsia="zh-CN"/>
              </w:rPr>
              <w:t>（如无偏离，仅选择无偏离即可；无偏离即为对合同条款中的所有要求，均视作供应商已对之理解和响应。）</w:t>
            </w:r>
          </w:p>
          <w:p>
            <w:pPr>
              <w:spacing w:line="360" w:lineRule="auto"/>
              <w:rPr>
                <w:rFonts w:hint="eastAsia" w:ascii="仿宋" w:hAnsi="仿宋" w:eastAsia="仿宋" w:cs="仿宋"/>
                <w:sz w:val="24"/>
                <w:szCs w:val="24"/>
                <w:vertAlign w:val="baseline"/>
                <w:lang w:val="en-US" w:eastAsia="zh-CN"/>
              </w:rPr>
            </w:pPr>
            <w:r>
              <w:rPr>
                <w:rFonts w:hint="eastAsia" w:ascii="仿宋" w:hAnsi="仿宋" w:eastAsia="仿宋" w:cs="仿宋"/>
                <w:b/>
                <w:bCs/>
                <w:sz w:val="24"/>
                <w:szCs w:val="24"/>
                <w:vertAlign w:val="baseline"/>
                <w:lang w:val="en-US" w:eastAsia="zh-CN"/>
              </w:rPr>
              <w:t>□有偏离</w:t>
            </w:r>
            <w:r>
              <w:rPr>
                <w:rFonts w:hint="eastAsia" w:ascii="仿宋" w:hAnsi="仿宋" w:eastAsia="仿宋" w:cs="仿宋"/>
                <w:b w:val="0"/>
                <w:bCs w:val="0"/>
                <w:sz w:val="24"/>
                <w:szCs w:val="24"/>
                <w:vertAlign w:val="baseline"/>
                <w:lang w:val="en-US" w:eastAsia="zh-CN"/>
              </w:rPr>
              <w:t>（如有偏离，则应在本表中对偏离项逐一列明，否则投标无效；对合同条款中的所有要求，除本表列明的偏离外，均视作供应商已对之理解和响应。）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4"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序号</w:t>
            </w:r>
          </w:p>
        </w:tc>
        <w:tc>
          <w:tcPr>
            <w:tcW w:w="1421"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招标文件</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条目号</w:t>
            </w:r>
          </w:p>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（页码）</w:t>
            </w:r>
          </w:p>
        </w:tc>
        <w:tc>
          <w:tcPr>
            <w:tcW w:w="1901"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招标文件要求</w:t>
            </w:r>
          </w:p>
        </w:tc>
        <w:tc>
          <w:tcPr>
            <w:tcW w:w="1753"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投标文件内容</w:t>
            </w:r>
          </w:p>
        </w:tc>
        <w:tc>
          <w:tcPr>
            <w:tcW w:w="1561"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偏离情况</w:t>
            </w:r>
          </w:p>
        </w:tc>
        <w:tc>
          <w:tcPr>
            <w:tcW w:w="1052" w:type="dxa"/>
            <w:vAlign w:val="center"/>
          </w:tcPr>
          <w:p>
            <w:pPr>
              <w:jc w:val="center"/>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834" w:type="dxa"/>
          </w:tcPr>
          <w:p>
            <w:pPr>
              <w:rPr>
                <w:rFonts w:hint="eastAsia" w:ascii="仿宋" w:hAnsi="仿宋" w:eastAsia="仿宋" w:cs="仿宋"/>
                <w:sz w:val="24"/>
                <w:szCs w:val="24"/>
                <w:vertAlign w:val="baseline"/>
                <w:lang w:val="en-US" w:eastAsia="zh-CN"/>
              </w:rPr>
            </w:pPr>
          </w:p>
        </w:tc>
        <w:tc>
          <w:tcPr>
            <w:tcW w:w="1421" w:type="dxa"/>
          </w:tcPr>
          <w:p>
            <w:pPr>
              <w:rPr>
                <w:rFonts w:hint="eastAsia" w:ascii="仿宋" w:hAnsi="仿宋" w:eastAsia="仿宋" w:cs="仿宋"/>
                <w:sz w:val="24"/>
                <w:szCs w:val="24"/>
                <w:vertAlign w:val="baseline"/>
                <w:lang w:val="en-US" w:eastAsia="zh-CN"/>
              </w:rPr>
            </w:pPr>
          </w:p>
        </w:tc>
        <w:tc>
          <w:tcPr>
            <w:tcW w:w="1901" w:type="dxa"/>
          </w:tcPr>
          <w:p>
            <w:pPr>
              <w:rPr>
                <w:rFonts w:hint="eastAsia" w:ascii="仿宋" w:hAnsi="仿宋" w:eastAsia="仿宋" w:cs="仿宋"/>
                <w:sz w:val="24"/>
                <w:szCs w:val="24"/>
                <w:vertAlign w:val="baseline"/>
                <w:lang w:val="en-US" w:eastAsia="zh-CN"/>
              </w:rPr>
            </w:pPr>
          </w:p>
        </w:tc>
        <w:tc>
          <w:tcPr>
            <w:tcW w:w="1753" w:type="dxa"/>
          </w:tcPr>
          <w:p>
            <w:pPr>
              <w:rPr>
                <w:rFonts w:hint="eastAsia" w:ascii="仿宋" w:hAnsi="仿宋" w:eastAsia="仿宋" w:cs="仿宋"/>
                <w:sz w:val="24"/>
                <w:szCs w:val="24"/>
                <w:vertAlign w:val="baseline"/>
                <w:lang w:val="en-US" w:eastAsia="zh-CN"/>
              </w:rPr>
            </w:pPr>
          </w:p>
        </w:tc>
        <w:tc>
          <w:tcPr>
            <w:tcW w:w="1561" w:type="dxa"/>
          </w:tcPr>
          <w:p>
            <w:pPr>
              <w:rPr>
                <w:rFonts w:hint="eastAsia" w:ascii="仿宋" w:hAnsi="仿宋" w:eastAsia="仿宋" w:cs="仿宋"/>
                <w:sz w:val="24"/>
                <w:szCs w:val="24"/>
                <w:vertAlign w:val="baseline"/>
                <w:lang w:val="en-US" w:eastAsia="zh-CN"/>
              </w:rPr>
            </w:pPr>
          </w:p>
        </w:tc>
        <w:tc>
          <w:tcPr>
            <w:tcW w:w="1052" w:type="dxa"/>
          </w:tcPr>
          <w:p>
            <w:pP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834" w:type="dxa"/>
          </w:tcPr>
          <w:p>
            <w:pPr>
              <w:rPr>
                <w:rFonts w:hint="eastAsia" w:ascii="仿宋" w:hAnsi="仿宋" w:eastAsia="仿宋" w:cs="仿宋"/>
                <w:sz w:val="24"/>
                <w:szCs w:val="24"/>
                <w:vertAlign w:val="baseline"/>
                <w:lang w:val="en-US" w:eastAsia="zh-CN"/>
              </w:rPr>
            </w:pPr>
          </w:p>
        </w:tc>
        <w:tc>
          <w:tcPr>
            <w:tcW w:w="1421" w:type="dxa"/>
          </w:tcPr>
          <w:p>
            <w:pPr>
              <w:rPr>
                <w:rFonts w:hint="eastAsia" w:ascii="仿宋" w:hAnsi="仿宋" w:eastAsia="仿宋" w:cs="仿宋"/>
                <w:sz w:val="24"/>
                <w:szCs w:val="24"/>
                <w:vertAlign w:val="baseline"/>
                <w:lang w:val="en-US" w:eastAsia="zh-CN"/>
              </w:rPr>
            </w:pPr>
          </w:p>
        </w:tc>
        <w:tc>
          <w:tcPr>
            <w:tcW w:w="1901" w:type="dxa"/>
          </w:tcPr>
          <w:p>
            <w:pPr>
              <w:rPr>
                <w:rFonts w:hint="eastAsia" w:ascii="仿宋" w:hAnsi="仿宋" w:eastAsia="仿宋" w:cs="仿宋"/>
                <w:sz w:val="24"/>
                <w:szCs w:val="24"/>
                <w:vertAlign w:val="baseline"/>
                <w:lang w:val="en-US" w:eastAsia="zh-CN"/>
              </w:rPr>
            </w:pPr>
          </w:p>
        </w:tc>
        <w:tc>
          <w:tcPr>
            <w:tcW w:w="1753" w:type="dxa"/>
          </w:tcPr>
          <w:p>
            <w:pPr>
              <w:rPr>
                <w:rFonts w:hint="eastAsia" w:ascii="仿宋" w:hAnsi="仿宋" w:eastAsia="仿宋" w:cs="仿宋"/>
                <w:sz w:val="24"/>
                <w:szCs w:val="24"/>
                <w:vertAlign w:val="baseline"/>
                <w:lang w:val="en-US" w:eastAsia="zh-CN"/>
              </w:rPr>
            </w:pPr>
          </w:p>
        </w:tc>
        <w:tc>
          <w:tcPr>
            <w:tcW w:w="1561" w:type="dxa"/>
          </w:tcPr>
          <w:p>
            <w:pPr>
              <w:rPr>
                <w:rFonts w:hint="eastAsia" w:ascii="仿宋" w:hAnsi="仿宋" w:eastAsia="仿宋" w:cs="仿宋"/>
                <w:sz w:val="24"/>
                <w:szCs w:val="24"/>
                <w:vertAlign w:val="baseline"/>
                <w:lang w:val="en-US" w:eastAsia="zh-CN"/>
              </w:rPr>
            </w:pPr>
          </w:p>
        </w:tc>
        <w:tc>
          <w:tcPr>
            <w:tcW w:w="1052" w:type="dxa"/>
          </w:tcPr>
          <w:p>
            <w:pP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834" w:type="dxa"/>
          </w:tcPr>
          <w:p>
            <w:pPr>
              <w:rPr>
                <w:rFonts w:hint="eastAsia" w:ascii="仿宋" w:hAnsi="仿宋" w:eastAsia="仿宋" w:cs="仿宋"/>
                <w:sz w:val="24"/>
                <w:szCs w:val="24"/>
                <w:vertAlign w:val="baseline"/>
                <w:lang w:val="en-US" w:eastAsia="zh-CN"/>
              </w:rPr>
            </w:pPr>
          </w:p>
        </w:tc>
        <w:tc>
          <w:tcPr>
            <w:tcW w:w="1421" w:type="dxa"/>
          </w:tcPr>
          <w:p>
            <w:pPr>
              <w:rPr>
                <w:rFonts w:hint="eastAsia" w:ascii="仿宋" w:hAnsi="仿宋" w:eastAsia="仿宋" w:cs="仿宋"/>
                <w:sz w:val="24"/>
                <w:szCs w:val="24"/>
                <w:vertAlign w:val="baseline"/>
                <w:lang w:val="en-US" w:eastAsia="zh-CN"/>
              </w:rPr>
            </w:pPr>
          </w:p>
        </w:tc>
        <w:tc>
          <w:tcPr>
            <w:tcW w:w="1901" w:type="dxa"/>
          </w:tcPr>
          <w:p>
            <w:pPr>
              <w:rPr>
                <w:rFonts w:hint="eastAsia" w:ascii="仿宋" w:hAnsi="仿宋" w:eastAsia="仿宋" w:cs="仿宋"/>
                <w:sz w:val="24"/>
                <w:szCs w:val="24"/>
                <w:vertAlign w:val="baseline"/>
                <w:lang w:val="en-US" w:eastAsia="zh-CN"/>
              </w:rPr>
            </w:pPr>
          </w:p>
        </w:tc>
        <w:tc>
          <w:tcPr>
            <w:tcW w:w="1753" w:type="dxa"/>
          </w:tcPr>
          <w:p>
            <w:pPr>
              <w:rPr>
                <w:rFonts w:hint="eastAsia" w:ascii="仿宋" w:hAnsi="仿宋" w:eastAsia="仿宋" w:cs="仿宋"/>
                <w:sz w:val="24"/>
                <w:szCs w:val="24"/>
                <w:vertAlign w:val="baseline"/>
                <w:lang w:val="en-US" w:eastAsia="zh-CN"/>
              </w:rPr>
            </w:pPr>
          </w:p>
        </w:tc>
        <w:tc>
          <w:tcPr>
            <w:tcW w:w="1561" w:type="dxa"/>
          </w:tcPr>
          <w:p>
            <w:pPr>
              <w:rPr>
                <w:rFonts w:hint="eastAsia" w:ascii="仿宋" w:hAnsi="仿宋" w:eastAsia="仿宋" w:cs="仿宋"/>
                <w:sz w:val="24"/>
                <w:szCs w:val="24"/>
                <w:vertAlign w:val="baseline"/>
                <w:lang w:val="en-US" w:eastAsia="zh-CN"/>
              </w:rPr>
            </w:pPr>
          </w:p>
        </w:tc>
        <w:tc>
          <w:tcPr>
            <w:tcW w:w="1052" w:type="dxa"/>
          </w:tcPr>
          <w:p>
            <w:pP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834" w:type="dxa"/>
          </w:tcPr>
          <w:p>
            <w:pPr>
              <w:rPr>
                <w:rFonts w:hint="eastAsia" w:ascii="仿宋" w:hAnsi="仿宋" w:eastAsia="仿宋" w:cs="仿宋"/>
                <w:sz w:val="24"/>
                <w:szCs w:val="24"/>
                <w:vertAlign w:val="baseline"/>
                <w:lang w:val="en-US" w:eastAsia="zh-CN"/>
              </w:rPr>
            </w:pPr>
          </w:p>
        </w:tc>
        <w:tc>
          <w:tcPr>
            <w:tcW w:w="1421" w:type="dxa"/>
          </w:tcPr>
          <w:p>
            <w:pPr>
              <w:rPr>
                <w:rFonts w:hint="eastAsia" w:ascii="仿宋" w:hAnsi="仿宋" w:eastAsia="仿宋" w:cs="仿宋"/>
                <w:sz w:val="24"/>
                <w:szCs w:val="24"/>
                <w:vertAlign w:val="baseline"/>
                <w:lang w:val="en-US" w:eastAsia="zh-CN"/>
              </w:rPr>
            </w:pPr>
          </w:p>
        </w:tc>
        <w:tc>
          <w:tcPr>
            <w:tcW w:w="1901" w:type="dxa"/>
          </w:tcPr>
          <w:p>
            <w:pPr>
              <w:rPr>
                <w:rFonts w:hint="eastAsia" w:ascii="仿宋" w:hAnsi="仿宋" w:eastAsia="仿宋" w:cs="仿宋"/>
                <w:sz w:val="24"/>
                <w:szCs w:val="24"/>
                <w:vertAlign w:val="baseline"/>
                <w:lang w:val="en-US" w:eastAsia="zh-CN"/>
              </w:rPr>
            </w:pPr>
          </w:p>
        </w:tc>
        <w:tc>
          <w:tcPr>
            <w:tcW w:w="1753" w:type="dxa"/>
          </w:tcPr>
          <w:p>
            <w:pPr>
              <w:rPr>
                <w:rFonts w:hint="eastAsia" w:ascii="仿宋" w:hAnsi="仿宋" w:eastAsia="仿宋" w:cs="仿宋"/>
                <w:sz w:val="24"/>
                <w:szCs w:val="24"/>
                <w:vertAlign w:val="baseline"/>
                <w:lang w:val="en-US" w:eastAsia="zh-CN"/>
              </w:rPr>
            </w:pPr>
          </w:p>
        </w:tc>
        <w:tc>
          <w:tcPr>
            <w:tcW w:w="1561" w:type="dxa"/>
          </w:tcPr>
          <w:p>
            <w:pPr>
              <w:rPr>
                <w:rFonts w:hint="eastAsia" w:ascii="仿宋" w:hAnsi="仿宋" w:eastAsia="仿宋" w:cs="仿宋"/>
                <w:sz w:val="24"/>
                <w:szCs w:val="24"/>
                <w:vertAlign w:val="baseline"/>
                <w:lang w:val="en-US" w:eastAsia="zh-CN"/>
              </w:rPr>
            </w:pPr>
          </w:p>
        </w:tc>
        <w:tc>
          <w:tcPr>
            <w:tcW w:w="1052" w:type="dxa"/>
          </w:tcPr>
          <w:p>
            <w:pPr>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834" w:type="dxa"/>
          </w:tcPr>
          <w:p>
            <w:pPr>
              <w:rPr>
                <w:rFonts w:hint="eastAsia" w:ascii="仿宋" w:hAnsi="仿宋" w:eastAsia="仿宋" w:cs="仿宋"/>
                <w:sz w:val="24"/>
                <w:szCs w:val="24"/>
                <w:vertAlign w:val="baseline"/>
                <w:lang w:val="en-US" w:eastAsia="zh-CN"/>
              </w:rPr>
            </w:pPr>
          </w:p>
        </w:tc>
        <w:tc>
          <w:tcPr>
            <w:tcW w:w="1421" w:type="dxa"/>
          </w:tcPr>
          <w:p>
            <w:pPr>
              <w:rPr>
                <w:rFonts w:hint="eastAsia" w:ascii="仿宋" w:hAnsi="仿宋" w:eastAsia="仿宋" w:cs="仿宋"/>
                <w:sz w:val="24"/>
                <w:szCs w:val="24"/>
                <w:vertAlign w:val="baseline"/>
                <w:lang w:val="en-US" w:eastAsia="zh-CN"/>
              </w:rPr>
            </w:pPr>
          </w:p>
        </w:tc>
        <w:tc>
          <w:tcPr>
            <w:tcW w:w="1901" w:type="dxa"/>
          </w:tcPr>
          <w:p>
            <w:pPr>
              <w:rPr>
                <w:rFonts w:hint="eastAsia" w:ascii="仿宋" w:hAnsi="仿宋" w:eastAsia="仿宋" w:cs="仿宋"/>
                <w:sz w:val="24"/>
                <w:szCs w:val="24"/>
                <w:vertAlign w:val="baseline"/>
                <w:lang w:val="en-US" w:eastAsia="zh-CN"/>
              </w:rPr>
            </w:pPr>
          </w:p>
        </w:tc>
        <w:tc>
          <w:tcPr>
            <w:tcW w:w="1753" w:type="dxa"/>
          </w:tcPr>
          <w:p>
            <w:pPr>
              <w:rPr>
                <w:rFonts w:hint="eastAsia" w:ascii="仿宋" w:hAnsi="仿宋" w:eastAsia="仿宋" w:cs="仿宋"/>
                <w:sz w:val="24"/>
                <w:szCs w:val="24"/>
                <w:vertAlign w:val="baseline"/>
                <w:lang w:val="en-US" w:eastAsia="zh-CN"/>
              </w:rPr>
            </w:pPr>
          </w:p>
        </w:tc>
        <w:tc>
          <w:tcPr>
            <w:tcW w:w="1561" w:type="dxa"/>
          </w:tcPr>
          <w:p>
            <w:pPr>
              <w:rPr>
                <w:rFonts w:hint="eastAsia" w:ascii="仿宋" w:hAnsi="仿宋" w:eastAsia="仿宋" w:cs="仿宋"/>
                <w:sz w:val="24"/>
                <w:szCs w:val="24"/>
                <w:vertAlign w:val="baseline"/>
                <w:lang w:val="en-US" w:eastAsia="zh-CN"/>
              </w:rPr>
            </w:pPr>
          </w:p>
        </w:tc>
        <w:tc>
          <w:tcPr>
            <w:tcW w:w="1052" w:type="dxa"/>
          </w:tcPr>
          <w:p>
            <w:pPr>
              <w:rPr>
                <w:rFonts w:hint="eastAsia" w:ascii="仿宋" w:hAnsi="仿宋" w:eastAsia="仿宋" w:cs="仿宋"/>
                <w:sz w:val="24"/>
                <w:szCs w:val="24"/>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注：</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 对合同条款中的所有要求，除本表所列明的所有偏离外，均视作供应商已对之理解和响应。</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 “偏离情况”列应据实填写“正偏离”或“负偏离”。</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投标人名称（加盖公章）： </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日期：    年   月   日</w:t>
      </w:r>
    </w:p>
    <w:p>
      <w:pPr>
        <w:pStyle w:val="2"/>
        <w:rPr>
          <w:rFonts w:hint="eastAsia" w:ascii="仿宋" w:hAnsi="仿宋" w:eastAsia="仿宋" w:cs="仿宋"/>
          <w:sz w:val="24"/>
          <w:szCs w:val="24"/>
          <w:lang w:val="en-US" w:eastAsia="zh-CN"/>
        </w:rPr>
      </w:pPr>
    </w:p>
    <w:p>
      <w:pPr>
        <w:rPr>
          <w:rFonts w:hint="eastAsia" w:ascii="仿宋" w:hAnsi="仿宋" w:eastAsia="仿宋" w:cs="仿宋"/>
          <w:lang w:val="en-US" w:eastAsia="zh-CN"/>
        </w:rPr>
      </w:pPr>
      <w:r>
        <w:rPr>
          <w:rFonts w:hint="eastAsia" w:ascii="仿宋" w:hAnsi="仿宋" w:eastAsia="仿宋" w:cs="仿宋"/>
          <w:lang w:val="en-US" w:eastAsia="zh-CN"/>
        </w:rPr>
        <w:br w:type="page"/>
      </w:r>
    </w:p>
    <w:p>
      <w:pPr>
        <w:pStyle w:val="10"/>
        <w:ind w:left="0" w:leftChars="0" w:firstLine="0" w:firstLineChars="0"/>
        <w:outlineLvl w:val="1"/>
        <w:rPr>
          <w:rFonts w:hint="eastAsia" w:ascii="仿宋" w:hAnsi="仿宋" w:eastAsia="仿宋" w:cs="仿宋"/>
          <w:sz w:val="24"/>
          <w:szCs w:val="24"/>
          <w:lang w:val="en-US" w:eastAsia="zh-CN"/>
        </w:rPr>
      </w:pPr>
      <w:bookmarkStart w:id="45" w:name="_Toc7042"/>
      <w:r>
        <w:rPr>
          <w:rFonts w:hint="eastAsia" w:ascii="仿宋" w:hAnsi="仿宋" w:eastAsia="仿宋" w:cs="仿宋"/>
          <w:sz w:val="24"/>
          <w:szCs w:val="24"/>
          <w:lang w:val="en-US" w:eastAsia="zh-CN"/>
        </w:rPr>
        <w:t xml:space="preserve">9  </w:t>
      </w:r>
      <w:bookmarkEnd w:id="45"/>
      <w:r>
        <w:rPr>
          <w:rFonts w:hint="eastAsia" w:ascii="仿宋" w:hAnsi="仿宋" w:eastAsia="仿宋" w:cs="仿宋"/>
          <w:sz w:val="24"/>
          <w:szCs w:val="24"/>
          <w:lang w:val="en-US" w:eastAsia="zh-CN"/>
        </w:rPr>
        <w:t>采购需求偏离表</w:t>
      </w:r>
    </w:p>
    <w:p>
      <w:pPr>
        <w:pStyle w:val="10"/>
        <w:ind w:left="0" w:leftChars="0" w:firstLine="0" w:firstLineChars="0"/>
        <w:rPr>
          <w:rFonts w:hint="eastAsia" w:ascii="仿宋" w:hAnsi="仿宋" w:eastAsia="仿宋" w:cs="仿宋"/>
          <w:sz w:val="24"/>
          <w:szCs w:val="24"/>
          <w:lang w:val="en-US" w:eastAsia="zh-CN"/>
        </w:rPr>
      </w:pPr>
    </w:p>
    <w:p>
      <w:pPr>
        <w:pStyle w:val="10"/>
        <w:ind w:left="0" w:leftChars="0" w:firstLine="0" w:firstLineChars="0"/>
        <w:jc w:val="center"/>
        <w:rPr>
          <w:rFonts w:hint="eastAsia" w:ascii="仿宋" w:hAnsi="仿宋" w:eastAsia="仿宋" w:cs="仿宋"/>
          <w:b/>
          <w:bCs/>
          <w:sz w:val="32"/>
          <w:szCs w:val="32"/>
          <w:lang w:val="en-US" w:eastAsia="zh-CN"/>
        </w:rPr>
      </w:pPr>
      <w:r>
        <w:rPr>
          <w:rFonts w:hint="eastAsia" w:ascii="仿宋" w:hAnsi="仿宋" w:eastAsia="仿宋" w:cs="仿宋"/>
          <w:b/>
          <w:bCs/>
          <w:sz w:val="32"/>
          <w:szCs w:val="32"/>
          <w:lang w:val="en-US" w:eastAsia="zh-CN"/>
        </w:rPr>
        <w:t>采购需求偏离表</w:t>
      </w:r>
    </w:p>
    <w:p>
      <w:pPr>
        <w:pStyle w:val="10"/>
        <w:ind w:left="0" w:leftChars="0" w:firstLine="0" w:firstLineChars="0"/>
        <w:rPr>
          <w:rFonts w:hint="eastAsia" w:ascii="仿宋" w:hAnsi="仿宋" w:eastAsia="仿宋" w:cs="仿宋"/>
          <w:sz w:val="24"/>
          <w:szCs w:val="24"/>
          <w:lang w:val="en-US" w:eastAsia="zh-CN"/>
        </w:rPr>
      </w:pPr>
    </w:p>
    <w:p>
      <w:pPr>
        <w:pStyle w:val="10"/>
        <w:ind w:left="0" w:leftChars="0" w:firstLine="0" w:firstLineChars="0"/>
        <w:rPr>
          <w:rFonts w:hint="eastAsia" w:ascii="仿宋" w:hAnsi="仿宋" w:eastAsia="仿宋" w:cs="仿宋"/>
          <w:sz w:val="21"/>
          <w:szCs w:val="21"/>
          <w:lang w:val="en-US" w:eastAsia="zh-CN"/>
        </w:rPr>
      </w:pPr>
      <w:r>
        <w:rPr>
          <w:rFonts w:hint="eastAsia" w:ascii="仿宋" w:hAnsi="仿宋" w:eastAsia="仿宋" w:cs="仿宋"/>
          <w:sz w:val="21"/>
          <w:szCs w:val="21"/>
          <w:lang w:val="en-US" w:eastAsia="zh-CN"/>
        </w:rPr>
        <w:t xml:space="preserve">项目编号/包号：                 项目名称：           </w:t>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1"/>
        <w:gridCol w:w="1422"/>
        <w:gridCol w:w="1805"/>
        <w:gridCol w:w="1672"/>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序号</w:t>
            </w:r>
          </w:p>
        </w:tc>
        <w:tc>
          <w:tcPr>
            <w:tcW w:w="1422"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招标文件条</w:t>
            </w:r>
          </w:p>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目号(页码)</w:t>
            </w:r>
          </w:p>
        </w:tc>
        <w:tc>
          <w:tcPr>
            <w:tcW w:w="1805"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招标文件要求</w:t>
            </w:r>
          </w:p>
        </w:tc>
        <w:tc>
          <w:tcPr>
            <w:tcW w:w="1672"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投标响应内容</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偏离情况</w:t>
            </w:r>
          </w:p>
        </w:tc>
        <w:tc>
          <w:tcPr>
            <w:tcW w:w="1421" w:type="dxa"/>
            <w:vAlign w:val="center"/>
          </w:tcPr>
          <w:p>
            <w:pPr>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int="eastAsia" w:ascii="仿宋" w:hAnsi="仿宋" w:eastAsia="仿宋" w:cs="仿宋"/>
                <w:sz w:val="24"/>
                <w:szCs w:val="24"/>
                <w:vertAlign w:val="baseline"/>
                <w:lang w:val="en-US" w:eastAsia="zh-CN"/>
              </w:rPr>
            </w:pPr>
            <w:r>
              <w:rPr>
                <w:rFonts w:hint="eastAsia" w:ascii="仿宋" w:hAnsi="仿宋" w:eastAsia="仿宋" w:cs="仿宋"/>
                <w:sz w:val="24"/>
                <w:szCs w:val="24"/>
                <w:vertAlign w:val="baseline"/>
                <w:lang w:val="en-US" w:eastAsia="zh-CN"/>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422"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805"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672"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421"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421"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422"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805"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672"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421"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421"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422"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805"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672"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421"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421"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422"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805"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672"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421"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421"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422"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805"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672"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421"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421"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422"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805"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672"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421"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421"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1"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422"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805"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672"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421"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c>
          <w:tcPr>
            <w:tcW w:w="1421" w:type="dxa"/>
          </w:tcPr>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注：</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 投标人应对招标文件第五章采购需求的内容给予逐条响应，以投标产品和服务所能达到的内容予以填写，而不得复制招标的技术要求作为响应内容，有具体参数的应填写具体参数。</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 在本表中未对招标文件第五章采购需求的内容给予逐条响应的视为没有实质上响应招标文件的要求，</w:t>
      </w:r>
      <w:r>
        <w:rPr>
          <w:rFonts w:hint="eastAsia" w:ascii="仿宋" w:hAnsi="仿宋" w:eastAsia="仿宋" w:cs="仿宋"/>
          <w:b/>
          <w:bCs/>
          <w:sz w:val="24"/>
          <w:szCs w:val="24"/>
          <w:lang w:val="en-US" w:eastAsia="zh-CN"/>
        </w:rPr>
        <w:t>投标无效</w:t>
      </w:r>
      <w:r>
        <w:rPr>
          <w:rFonts w:hint="eastAsia" w:ascii="仿宋" w:hAnsi="仿宋" w:eastAsia="仿宋" w:cs="仿宋"/>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3、投标人应按照招标文件第五章采购需求中要求提供投标产品技术支持资料（或证明材料），并在采购需求响应及偏离表中给予文件名称、所处投标文件页码或位置等必要说明。</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4.“偏离情况”列应据实填写“正偏离”、“负偏离”或“无偏离”。</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投标人名称（加盖公章）： ____________</w:t>
      </w:r>
    </w:p>
    <w:p>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日期：_____年______月______日</w:t>
      </w:r>
    </w:p>
    <w:p>
      <w:pPr>
        <w:rPr>
          <w:rFonts w:hint="eastAsia" w:ascii="仿宋" w:hAnsi="仿宋" w:eastAsia="仿宋" w:cs="仿宋"/>
          <w:lang w:val="en-US" w:eastAsia="zh-CN"/>
        </w:rPr>
      </w:pPr>
      <w:r>
        <w:rPr>
          <w:rFonts w:hint="eastAsia" w:ascii="仿宋" w:hAnsi="仿宋" w:eastAsia="仿宋" w:cs="仿宋"/>
          <w:lang w:val="en-US" w:eastAsia="zh-CN"/>
        </w:rPr>
        <w:br w:type="page"/>
      </w:r>
    </w:p>
    <w:p>
      <w:pPr>
        <w:pStyle w:val="5"/>
        <w:ind w:left="0" w:leftChars="0" w:firstLine="0" w:firstLineChars="0"/>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   招标文件要求提供或投标人认为应附的其他材料</w:t>
      </w:r>
    </w:p>
    <w:p>
      <w:pPr>
        <w:pStyle w:val="10"/>
        <w:rPr>
          <w:rFonts w:hint="eastAsia" w:ascii="仿宋" w:hAnsi="仿宋" w:eastAsia="仿宋" w:cs="仿宋"/>
          <w:lang w:val="en-US" w:eastAsia="zh-CN"/>
        </w:rPr>
      </w:pPr>
    </w:p>
    <w:p>
      <w:pPr>
        <w:rPr>
          <w:rFonts w:hint="eastAsia" w:ascii="仿宋" w:hAnsi="仿宋" w:eastAsia="仿宋" w:cs="仿宋"/>
          <w:lang w:val="en-US" w:eastAsia="zh-CN"/>
        </w:rPr>
      </w:pPr>
      <w:r>
        <w:rPr>
          <w:rFonts w:hint="eastAsia" w:ascii="仿宋" w:hAnsi="仿宋" w:eastAsia="仿宋" w:cs="仿宋"/>
          <w:lang w:val="en-US" w:eastAsia="zh-CN"/>
        </w:rPr>
        <w:t>包括但不限于人员配置及服务方案等，需根据招标文件评审办法“技术部分”评审内容提供相应证明材料。</w:t>
      </w:r>
    </w:p>
    <w:p>
      <w:pPr>
        <w:rPr>
          <w:rFonts w:hint="eastAsia" w:ascii="仿宋" w:hAnsi="仿宋" w:eastAsia="仿宋" w:cs="仿宋"/>
          <w:lang w:val="en-US" w:eastAsia="zh-CN"/>
        </w:rPr>
      </w:pPr>
    </w:p>
    <w:p>
      <w:pPr>
        <w:rPr>
          <w:rFonts w:hint="eastAsia" w:ascii="仿宋" w:hAnsi="仿宋" w:eastAsia="仿宋" w:cs="仿宋"/>
          <w:b/>
          <w:bCs/>
          <w:kern w:val="2"/>
          <w:sz w:val="24"/>
          <w:szCs w:val="32"/>
          <w:lang w:val="en-US" w:eastAsia="zh-CN" w:bidi="ar-SA"/>
        </w:rPr>
      </w:pPr>
      <w:bookmarkStart w:id="46" w:name="_Ref467988543"/>
      <w:bookmarkStart w:id="47" w:name="_Toc480942355"/>
      <w:bookmarkStart w:id="48" w:name="_Toc520356224"/>
      <w:bookmarkStart w:id="49" w:name="_Toc216582819"/>
      <w:bookmarkStart w:id="50" w:name="_Toc4183"/>
      <w:bookmarkStart w:id="51" w:name="_Toc20238"/>
      <w:bookmarkStart w:id="52" w:name="_Toc522"/>
      <w:bookmarkStart w:id="53" w:name="_Toc507399535"/>
      <w:bookmarkStart w:id="54" w:name="_Toc9592"/>
      <w:bookmarkStart w:id="55" w:name="_Toc17143"/>
      <w:bookmarkStart w:id="56" w:name="_Toc15963"/>
      <w:bookmarkStart w:id="57" w:name="_Toc21320"/>
      <w:bookmarkStart w:id="58" w:name="_Toc3420"/>
      <w:bookmarkStart w:id="59" w:name="_Toc8281"/>
      <w:r>
        <w:rPr>
          <w:rFonts w:hint="eastAsia" w:ascii="仿宋" w:hAnsi="仿宋" w:eastAsia="仿宋" w:cs="仿宋"/>
          <w:b/>
          <w:bCs/>
          <w:kern w:val="2"/>
          <w:sz w:val="24"/>
          <w:szCs w:val="32"/>
          <w:lang w:val="en-US" w:eastAsia="zh-CN" w:bidi="ar-SA"/>
        </w:rPr>
        <w:br w:type="page"/>
      </w:r>
    </w:p>
    <w:p>
      <w:pPr>
        <w:keepNext/>
        <w:keepLines/>
        <w:widowControl w:val="0"/>
        <w:spacing w:before="0" w:after="260" w:line="240" w:lineRule="atLeast"/>
        <w:jc w:val="both"/>
        <w:outlineLvl w:val="1"/>
        <w:rPr>
          <w:rFonts w:hint="eastAsia" w:ascii="仿宋" w:hAnsi="仿宋" w:eastAsia="仿宋" w:cs="仿宋"/>
          <w:b/>
          <w:bCs/>
          <w:kern w:val="2"/>
          <w:sz w:val="24"/>
          <w:szCs w:val="32"/>
          <w:lang w:val="en-US" w:eastAsia="zh-CN" w:bidi="ar-SA"/>
        </w:rPr>
      </w:pPr>
    </w:p>
    <w:p>
      <w:pPr>
        <w:keepNext/>
        <w:keepLines/>
        <w:widowControl w:val="0"/>
        <w:spacing w:before="0" w:after="260" w:line="240" w:lineRule="atLeast"/>
        <w:jc w:val="both"/>
        <w:outlineLvl w:val="1"/>
        <w:rPr>
          <w:rFonts w:hint="eastAsia" w:ascii="仿宋" w:hAnsi="仿宋" w:eastAsia="仿宋" w:cs="仿宋"/>
          <w:b w:val="0"/>
          <w:bCs/>
          <w:kern w:val="2"/>
          <w:sz w:val="24"/>
          <w:szCs w:val="32"/>
          <w:lang w:val="en-US" w:eastAsia="zh-CN" w:bidi="ar-SA"/>
        </w:rPr>
      </w:pPr>
      <w:r>
        <w:rPr>
          <w:rFonts w:hint="eastAsia" w:ascii="仿宋" w:hAnsi="仿宋" w:eastAsia="仿宋" w:cs="仿宋"/>
          <w:b/>
          <w:bCs/>
          <w:kern w:val="2"/>
          <w:sz w:val="24"/>
          <w:szCs w:val="32"/>
          <w:lang w:val="en-US" w:eastAsia="zh-CN" w:bidi="ar-SA"/>
        </w:rPr>
        <w:t xml:space="preserve">11   </w:t>
      </w:r>
      <w:bookmarkEnd w:id="46"/>
      <w:bookmarkEnd w:id="47"/>
      <w:bookmarkEnd w:id="48"/>
      <w:bookmarkEnd w:id="49"/>
      <w:bookmarkStart w:id="60" w:name="_Hlt520274407"/>
      <w:bookmarkEnd w:id="60"/>
      <w:bookmarkStart w:id="61" w:name="_Hlt520274911"/>
      <w:bookmarkEnd w:id="61"/>
      <w:bookmarkStart w:id="62" w:name="_Hlt520350957"/>
      <w:bookmarkEnd w:id="62"/>
      <w:bookmarkStart w:id="63" w:name="_Hlt520343392"/>
      <w:bookmarkEnd w:id="63"/>
      <w:bookmarkStart w:id="64" w:name="_Hlt520271212"/>
      <w:bookmarkEnd w:id="64"/>
      <w:bookmarkStart w:id="65" w:name="_Hlt520274393"/>
      <w:bookmarkEnd w:id="65"/>
      <w:bookmarkStart w:id="66" w:name="_Hlt520273973"/>
      <w:bookmarkEnd w:id="66"/>
      <w:bookmarkStart w:id="67" w:name="_Hlt520350918"/>
      <w:bookmarkEnd w:id="67"/>
      <w:bookmarkStart w:id="68" w:name="_Hlt520274065"/>
      <w:bookmarkEnd w:id="68"/>
      <w:bookmarkStart w:id="69" w:name="_Hlt520343000"/>
      <w:bookmarkEnd w:id="69"/>
      <w:bookmarkStart w:id="70" w:name="_Hlt520273711"/>
      <w:bookmarkEnd w:id="70"/>
      <w:bookmarkStart w:id="71" w:name="_Toc216582821"/>
      <w:bookmarkStart w:id="72" w:name="_Toc216513801"/>
      <w:r>
        <w:rPr>
          <w:rFonts w:hint="eastAsia" w:ascii="仿宋" w:hAnsi="仿宋" w:eastAsia="仿宋" w:cs="仿宋"/>
          <w:b/>
          <w:bCs/>
          <w:kern w:val="2"/>
          <w:sz w:val="24"/>
          <w:szCs w:val="32"/>
          <w:lang w:val="en-US" w:eastAsia="zh-CN" w:bidi="ar-SA"/>
        </w:rPr>
        <w:t>中标服务费承诺书</w:t>
      </w:r>
      <w:bookmarkEnd w:id="50"/>
      <w:bookmarkEnd w:id="51"/>
      <w:bookmarkEnd w:id="52"/>
      <w:bookmarkEnd w:id="53"/>
      <w:bookmarkEnd w:id="54"/>
      <w:bookmarkEnd w:id="55"/>
      <w:bookmarkEnd w:id="56"/>
      <w:bookmarkEnd w:id="57"/>
    </w:p>
    <w:p>
      <w:pPr>
        <w:spacing w:line="240" w:lineRule="atLeast"/>
        <w:ind w:left="1080" w:leftChars="257" w:hanging="540"/>
        <w:rPr>
          <w:rFonts w:hint="eastAsia" w:ascii="仿宋" w:hAnsi="仿宋" w:eastAsia="仿宋" w:cs="仿宋"/>
          <w:b/>
          <w:sz w:val="24"/>
        </w:rPr>
      </w:pPr>
    </w:p>
    <w:p>
      <w:pPr>
        <w:spacing w:line="240" w:lineRule="atLeast"/>
        <w:ind w:left="1080" w:leftChars="257" w:hanging="540"/>
        <w:jc w:val="center"/>
        <w:rPr>
          <w:rFonts w:hint="eastAsia" w:ascii="仿宋" w:hAnsi="仿宋" w:eastAsia="仿宋" w:cs="仿宋"/>
          <w:b/>
          <w:bCs/>
          <w:sz w:val="24"/>
        </w:rPr>
      </w:pPr>
      <w:r>
        <w:rPr>
          <w:rFonts w:hint="eastAsia" w:ascii="仿宋" w:hAnsi="仿宋" w:eastAsia="仿宋" w:cs="仿宋"/>
          <w:b/>
          <w:bCs/>
          <w:sz w:val="24"/>
        </w:rPr>
        <w:t>中标服务费承诺书</w:t>
      </w:r>
    </w:p>
    <w:p>
      <w:pPr>
        <w:spacing w:line="440" w:lineRule="exact"/>
        <w:ind w:left="1080" w:hanging="1080"/>
        <w:rPr>
          <w:rFonts w:hint="eastAsia" w:ascii="仿宋" w:hAnsi="仿宋" w:eastAsia="仿宋" w:cs="仿宋"/>
          <w:sz w:val="24"/>
        </w:rPr>
      </w:pPr>
    </w:p>
    <w:p>
      <w:pPr>
        <w:spacing w:line="440" w:lineRule="exact"/>
        <w:ind w:left="1080" w:hanging="1080"/>
        <w:rPr>
          <w:rFonts w:hint="eastAsia" w:ascii="仿宋" w:hAnsi="仿宋" w:eastAsia="仿宋" w:cs="仿宋"/>
          <w:sz w:val="24"/>
          <w:u w:val="single"/>
          <w:lang w:val="en-US" w:eastAsia="zh-CN"/>
        </w:rPr>
      </w:pPr>
      <w:r>
        <w:rPr>
          <w:rFonts w:hint="eastAsia" w:ascii="仿宋" w:hAnsi="仿宋" w:eastAsia="仿宋" w:cs="仿宋"/>
          <w:sz w:val="24"/>
        </w:rPr>
        <w:t>致：</w:t>
      </w:r>
      <w:r>
        <w:rPr>
          <w:rFonts w:hint="eastAsia" w:ascii="仿宋" w:hAnsi="仿宋" w:eastAsia="仿宋" w:cs="仿宋"/>
          <w:sz w:val="24"/>
          <w:lang w:val="en-US" w:eastAsia="zh-CN"/>
        </w:rPr>
        <w:t>新疆世纪星工程咨询有限公司</w:t>
      </w:r>
    </w:p>
    <w:p>
      <w:pPr>
        <w:spacing w:line="440" w:lineRule="exact"/>
        <w:ind w:left="1080" w:leftChars="257" w:hanging="540"/>
        <w:rPr>
          <w:rFonts w:hint="eastAsia" w:ascii="仿宋" w:hAnsi="仿宋" w:eastAsia="仿宋" w:cs="仿宋"/>
          <w:sz w:val="24"/>
        </w:rPr>
      </w:pPr>
    </w:p>
    <w:p>
      <w:pPr>
        <w:spacing w:line="440" w:lineRule="exact"/>
        <w:rPr>
          <w:rFonts w:hint="eastAsia" w:ascii="仿宋" w:hAnsi="仿宋" w:eastAsia="仿宋" w:cs="仿宋"/>
          <w:sz w:val="24"/>
        </w:rPr>
      </w:pPr>
      <w:r>
        <w:rPr>
          <w:rFonts w:hint="eastAsia" w:ascii="仿宋" w:hAnsi="仿宋" w:eastAsia="仿宋" w:cs="仿宋"/>
          <w:sz w:val="24"/>
        </w:rPr>
        <w:tab/>
      </w:r>
      <w:r>
        <w:rPr>
          <w:rFonts w:hint="eastAsia" w:ascii="仿宋" w:hAnsi="仿宋" w:eastAsia="仿宋" w:cs="仿宋"/>
          <w:sz w:val="24"/>
        </w:rPr>
        <w:t xml:space="preserve"> 我们在贵公司组织的</w:t>
      </w:r>
      <w:r>
        <w:rPr>
          <w:rFonts w:hint="eastAsia" w:ascii="仿宋" w:hAnsi="仿宋" w:eastAsia="仿宋" w:cs="仿宋"/>
          <w:sz w:val="24"/>
          <w:u w:val="single"/>
        </w:rPr>
        <w:tab/>
      </w:r>
      <w:r>
        <w:rPr>
          <w:rFonts w:hint="eastAsia" w:ascii="仿宋" w:hAnsi="仿宋" w:eastAsia="仿宋" w:cs="仿宋"/>
          <w:sz w:val="24"/>
          <w:u w:val="single"/>
          <w:lang w:eastAsia="zh-CN"/>
        </w:rPr>
        <w:t>（</w:t>
      </w:r>
      <w:r>
        <w:rPr>
          <w:rFonts w:hint="eastAsia" w:ascii="仿宋" w:hAnsi="仿宋" w:eastAsia="仿宋" w:cs="仿宋"/>
          <w:sz w:val="24"/>
          <w:u w:val="single"/>
          <w:lang w:val="en-US" w:eastAsia="zh-CN"/>
        </w:rPr>
        <w:t>项目名称、项目编号</w:t>
      </w:r>
      <w:r>
        <w:rPr>
          <w:rFonts w:hint="eastAsia" w:ascii="仿宋" w:hAnsi="仿宋" w:eastAsia="仿宋" w:cs="仿宋"/>
          <w:sz w:val="24"/>
          <w:u w:val="single"/>
          <w:lang w:eastAsia="zh-CN"/>
        </w:rPr>
        <w:t>）</w:t>
      </w:r>
      <w:r>
        <w:rPr>
          <w:rFonts w:hint="eastAsia" w:ascii="仿宋" w:hAnsi="仿宋" w:eastAsia="仿宋" w:cs="仿宋"/>
          <w:sz w:val="24"/>
          <w:u w:val="single"/>
        </w:rPr>
        <w:tab/>
      </w:r>
      <w:r>
        <w:rPr>
          <w:rFonts w:hint="eastAsia" w:ascii="仿宋" w:hAnsi="仿宋" w:eastAsia="仿宋" w:cs="仿宋"/>
          <w:sz w:val="24"/>
        </w:rPr>
        <w:t>项目招标中若获得中标资格，我们保证在领取中标通知书的同时按招标文件的规定，以支票、电汇等形式，向贵公司一次性支付应由我们交纳的中标服务费用。</w:t>
      </w:r>
    </w:p>
    <w:p>
      <w:pPr>
        <w:spacing w:line="440" w:lineRule="exact"/>
        <w:ind w:left="1080" w:leftChars="257" w:hanging="540"/>
        <w:rPr>
          <w:rFonts w:hint="eastAsia" w:ascii="仿宋" w:hAnsi="仿宋" w:eastAsia="仿宋" w:cs="仿宋"/>
          <w:sz w:val="24"/>
        </w:rPr>
      </w:pPr>
      <w:r>
        <w:rPr>
          <w:rFonts w:hint="eastAsia" w:ascii="仿宋" w:hAnsi="仿宋" w:eastAsia="仿宋" w:cs="仿宋"/>
          <w:sz w:val="24"/>
        </w:rPr>
        <w:t>特此承诺！</w:t>
      </w:r>
    </w:p>
    <w:p>
      <w:pPr>
        <w:spacing w:line="440" w:lineRule="exact"/>
        <w:ind w:left="1080" w:leftChars="257" w:hanging="540"/>
        <w:rPr>
          <w:rFonts w:hint="eastAsia" w:ascii="仿宋" w:hAnsi="仿宋" w:eastAsia="仿宋" w:cs="仿宋"/>
          <w:sz w:val="24"/>
        </w:rPr>
      </w:pPr>
    </w:p>
    <w:p>
      <w:pPr>
        <w:spacing w:line="440" w:lineRule="exact"/>
        <w:ind w:left="1080" w:leftChars="257" w:hanging="540"/>
        <w:rPr>
          <w:rFonts w:hint="eastAsia" w:ascii="仿宋" w:hAnsi="仿宋" w:eastAsia="仿宋" w:cs="仿宋"/>
          <w:sz w:val="24"/>
        </w:rPr>
      </w:pPr>
    </w:p>
    <w:p>
      <w:pPr>
        <w:spacing w:line="440" w:lineRule="exact"/>
        <w:ind w:left="1080" w:leftChars="257" w:hanging="540"/>
        <w:rPr>
          <w:rFonts w:hint="eastAsia" w:ascii="仿宋" w:hAnsi="仿宋" w:eastAsia="仿宋" w:cs="仿宋"/>
          <w:sz w:val="24"/>
        </w:rPr>
      </w:pPr>
    </w:p>
    <w:p>
      <w:pPr>
        <w:spacing w:line="440" w:lineRule="exact"/>
        <w:ind w:left="1080" w:leftChars="257" w:hanging="540"/>
        <w:rPr>
          <w:rFonts w:hint="eastAsia" w:ascii="仿宋" w:hAnsi="仿宋" w:eastAsia="仿宋" w:cs="仿宋"/>
          <w:sz w:val="24"/>
        </w:rPr>
      </w:pPr>
    </w:p>
    <w:p>
      <w:pPr>
        <w:spacing w:line="440" w:lineRule="exact"/>
        <w:ind w:left="1080" w:hanging="1080"/>
        <w:rPr>
          <w:rFonts w:hint="eastAsia" w:ascii="仿宋" w:hAnsi="仿宋" w:eastAsia="仿宋" w:cs="仿宋"/>
          <w:sz w:val="24"/>
        </w:rPr>
      </w:pPr>
    </w:p>
    <w:p>
      <w:pPr>
        <w:spacing w:line="440" w:lineRule="exact"/>
        <w:ind w:left="1413" w:leftChars="273" w:hanging="840" w:hangingChars="350"/>
        <w:rPr>
          <w:rFonts w:hint="eastAsia" w:ascii="仿宋" w:hAnsi="仿宋" w:eastAsia="仿宋" w:cs="仿宋"/>
          <w:sz w:val="24"/>
        </w:rPr>
      </w:pPr>
      <w:r>
        <w:rPr>
          <w:rFonts w:hint="eastAsia" w:ascii="仿宋" w:hAnsi="仿宋" w:eastAsia="仿宋" w:cs="仿宋"/>
          <w:sz w:val="24"/>
        </w:rPr>
        <w:t>承诺方法定名称：</w:t>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p>
    <w:p>
      <w:pPr>
        <w:spacing w:line="440" w:lineRule="exact"/>
        <w:ind w:left="1620" w:leftChars="257" w:hanging="1080"/>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p>
    <w:p>
      <w:pPr>
        <w:spacing w:line="440" w:lineRule="exact"/>
        <w:ind w:left="1620" w:leftChars="257" w:hanging="1080"/>
        <w:rPr>
          <w:rFonts w:hint="eastAsia" w:ascii="仿宋" w:hAnsi="仿宋" w:eastAsia="仿宋" w:cs="仿宋"/>
          <w:sz w:val="24"/>
        </w:rPr>
      </w:pPr>
      <w:r>
        <w:rPr>
          <w:rFonts w:hint="eastAsia" w:ascii="仿宋" w:hAnsi="仿宋" w:eastAsia="仿宋" w:cs="仿宋"/>
          <w:sz w:val="24"/>
        </w:rPr>
        <w:t>电话：</w:t>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传真：</w:t>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p>
    <w:p>
      <w:pPr>
        <w:spacing w:line="440" w:lineRule="exact"/>
        <w:ind w:left="1620" w:leftChars="257" w:hanging="1080"/>
        <w:rPr>
          <w:rFonts w:hint="eastAsia" w:ascii="仿宋" w:hAnsi="仿宋" w:eastAsia="仿宋" w:cs="仿宋"/>
          <w:sz w:val="24"/>
        </w:rPr>
      </w:pPr>
      <w:r>
        <w:rPr>
          <w:rFonts w:hint="eastAsia" w:ascii="仿宋" w:hAnsi="仿宋" w:eastAsia="仿宋" w:cs="仿宋"/>
          <w:sz w:val="24"/>
        </w:rPr>
        <w:t>电传：</w:t>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rPr>
        <w:tab/>
      </w:r>
      <w:r>
        <w:rPr>
          <w:rFonts w:hint="eastAsia" w:ascii="仿宋" w:hAnsi="仿宋" w:eastAsia="仿宋" w:cs="仿宋"/>
          <w:sz w:val="24"/>
        </w:rPr>
        <w:tab/>
      </w:r>
      <w:r>
        <w:rPr>
          <w:rFonts w:hint="eastAsia" w:ascii="仿宋" w:hAnsi="仿宋" w:eastAsia="仿宋" w:cs="仿宋"/>
          <w:sz w:val="24"/>
        </w:rPr>
        <w:t>邮编：</w:t>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p>
    <w:p>
      <w:pPr>
        <w:spacing w:line="440" w:lineRule="exact"/>
        <w:ind w:left="1620" w:leftChars="257" w:hanging="1080"/>
        <w:rPr>
          <w:rFonts w:hint="eastAsia" w:ascii="仿宋" w:hAnsi="仿宋" w:eastAsia="仿宋" w:cs="仿宋"/>
          <w:sz w:val="24"/>
        </w:rPr>
      </w:pPr>
      <w:r>
        <w:rPr>
          <w:rFonts w:hint="eastAsia" w:ascii="仿宋" w:hAnsi="仿宋" w:eastAsia="仿宋" w:cs="仿宋"/>
          <w:sz w:val="24"/>
        </w:rPr>
        <w:t>承诺方授权代表签字：</w:t>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 xml:space="preserve">    </w:t>
      </w:r>
      <w:r>
        <w:rPr>
          <w:rFonts w:hint="eastAsia" w:ascii="仿宋" w:hAnsi="仿宋" w:eastAsia="仿宋" w:cs="仿宋"/>
          <w:sz w:val="24"/>
        </w:rPr>
        <w:t>（承诺方盖章）</w:t>
      </w:r>
    </w:p>
    <w:p>
      <w:pPr>
        <w:spacing w:line="440" w:lineRule="exact"/>
        <w:ind w:left="1620" w:leftChars="257" w:hanging="1080"/>
        <w:rPr>
          <w:rFonts w:hint="eastAsia" w:ascii="仿宋" w:hAnsi="仿宋" w:eastAsia="仿宋" w:cs="仿宋"/>
          <w:sz w:val="24"/>
          <w:u w:val="single"/>
        </w:rPr>
      </w:pPr>
      <w:r>
        <w:rPr>
          <w:rFonts w:hint="eastAsia" w:ascii="仿宋" w:hAnsi="仿宋" w:eastAsia="仿宋" w:cs="仿宋"/>
          <w:sz w:val="24"/>
        </w:rPr>
        <w:t>承诺日期：</w:t>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ab/>
      </w:r>
      <w:r>
        <w:rPr>
          <w:rFonts w:hint="eastAsia" w:ascii="仿宋" w:hAnsi="仿宋" w:eastAsia="仿宋" w:cs="仿宋"/>
          <w:sz w:val="24"/>
          <w:u w:val="single"/>
        </w:rPr>
        <w:t xml:space="preserve">                      </w:t>
      </w:r>
      <w:bookmarkEnd w:id="71"/>
      <w:bookmarkEnd w:id="72"/>
    </w:p>
    <w:p>
      <w:pPr>
        <w:rPr>
          <w:rFonts w:hint="eastAsia" w:ascii="仿宋" w:hAnsi="仿宋" w:eastAsia="仿宋" w:cs="仿宋"/>
          <w:b w:val="0"/>
          <w:bCs w:val="0"/>
          <w:kern w:val="2"/>
          <w:sz w:val="24"/>
          <w:szCs w:val="24"/>
          <w:lang w:val="en-US" w:eastAsia="zh-CN" w:bidi="zh-CN"/>
        </w:rPr>
      </w:pPr>
      <w:r>
        <w:rPr>
          <w:rFonts w:hint="eastAsia" w:ascii="仿宋" w:hAnsi="仿宋" w:eastAsia="仿宋" w:cs="仿宋"/>
          <w:b w:val="0"/>
          <w:bCs w:val="0"/>
          <w:kern w:val="2"/>
          <w:sz w:val="24"/>
          <w:szCs w:val="24"/>
          <w:lang w:val="en-US" w:eastAsia="zh-CN" w:bidi="zh-CN"/>
        </w:rPr>
        <w:br w:type="page"/>
      </w:r>
    </w:p>
    <w:p>
      <w:pPr>
        <w:widowControl w:val="0"/>
        <w:spacing w:before="1"/>
        <w:jc w:val="both"/>
        <w:outlineLvl w:val="1"/>
        <w:rPr>
          <w:rFonts w:hint="eastAsia" w:ascii="仿宋" w:hAnsi="仿宋" w:eastAsia="仿宋" w:cs="仿宋"/>
          <w:b w:val="0"/>
          <w:bCs w:val="0"/>
          <w:kern w:val="2"/>
          <w:sz w:val="24"/>
          <w:szCs w:val="24"/>
          <w:lang w:val="zh-CN" w:eastAsia="zh-CN" w:bidi="zh-CN"/>
        </w:rPr>
      </w:pPr>
      <w:bookmarkStart w:id="73" w:name="_Toc8649"/>
      <w:bookmarkStart w:id="74" w:name="_Toc24678"/>
      <w:bookmarkStart w:id="75" w:name="_Toc15106"/>
      <w:bookmarkStart w:id="76" w:name="_Toc17899"/>
      <w:bookmarkStart w:id="77" w:name="_Toc20782"/>
      <w:r>
        <w:rPr>
          <w:rFonts w:hint="eastAsia" w:ascii="仿宋" w:hAnsi="仿宋" w:eastAsia="仿宋" w:cs="仿宋"/>
          <w:b w:val="0"/>
          <w:bCs w:val="0"/>
          <w:kern w:val="2"/>
          <w:sz w:val="24"/>
          <w:szCs w:val="24"/>
          <w:lang w:val="en-US" w:eastAsia="zh-CN" w:bidi="zh-CN"/>
        </w:rPr>
        <w:t xml:space="preserve">12   </w:t>
      </w:r>
      <w:r>
        <w:rPr>
          <w:rFonts w:hint="eastAsia" w:ascii="仿宋" w:hAnsi="仿宋" w:eastAsia="仿宋" w:cs="仿宋"/>
          <w:b w:val="0"/>
          <w:bCs w:val="0"/>
          <w:kern w:val="2"/>
          <w:sz w:val="24"/>
          <w:szCs w:val="24"/>
          <w:lang w:val="zh-CN" w:eastAsia="zh-CN" w:bidi="zh-CN"/>
        </w:rPr>
        <w:t>保证金信息表</w:t>
      </w:r>
      <w:bookmarkEnd w:id="58"/>
      <w:bookmarkEnd w:id="59"/>
      <w:r>
        <w:rPr>
          <w:rFonts w:hint="eastAsia" w:ascii="仿宋" w:hAnsi="仿宋" w:eastAsia="仿宋" w:cs="仿宋"/>
          <w:b w:val="0"/>
          <w:bCs w:val="0"/>
          <w:kern w:val="2"/>
          <w:sz w:val="24"/>
          <w:szCs w:val="24"/>
          <w:lang w:val="zh-CN" w:eastAsia="zh-CN" w:bidi="zh-CN"/>
        </w:rPr>
        <w:t>（</w:t>
      </w:r>
      <w:r>
        <w:rPr>
          <w:rFonts w:hint="eastAsia" w:ascii="仿宋" w:hAnsi="仿宋" w:eastAsia="仿宋" w:cs="仿宋"/>
          <w:b w:val="0"/>
          <w:bCs w:val="0"/>
          <w:kern w:val="2"/>
          <w:sz w:val="24"/>
          <w:szCs w:val="24"/>
          <w:lang w:val="en-US" w:eastAsia="zh-CN" w:bidi="zh-CN"/>
        </w:rPr>
        <w:t>保函方式提交的无需提供</w:t>
      </w:r>
      <w:r>
        <w:rPr>
          <w:rFonts w:hint="eastAsia" w:ascii="仿宋" w:hAnsi="仿宋" w:eastAsia="仿宋" w:cs="仿宋"/>
          <w:b w:val="0"/>
          <w:bCs w:val="0"/>
          <w:kern w:val="2"/>
          <w:sz w:val="24"/>
          <w:szCs w:val="24"/>
          <w:lang w:val="zh-CN" w:eastAsia="zh-CN" w:bidi="zh-CN"/>
        </w:rPr>
        <w:t>）</w:t>
      </w:r>
      <w:bookmarkEnd w:id="73"/>
      <w:bookmarkEnd w:id="74"/>
      <w:bookmarkEnd w:id="75"/>
      <w:bookmarkEnd w:id="76"/>
      <w:bookmarkEnd w:id="77"/>
    </w:p>
    <w:p>
      <w:pPr>
        <w:pStyle w:val="19"/>
        <w:spacing w:line="440" w:lineRule="exact"/>
        <w:jc w:val="center"/>
        <w:outlineLvl w:val="9"/>
        <w:rPr>
          <w:rFonts w:hint="eastAsia" w:ascii="仿宋" w:hAnsi="仿宋" w:eastAsia="仿宋" w:cs="仿宋"/>
          <w:b/>
          <w:sz w:val="32"/>
          <w:szCs w:val="32"/>
        </w:rPr>
      </w:pPr>
    </w:p>
    <w:p>
      <w:pPr>
        <w:pStyle w:val="19"/>
        <w:spacing w:line="440" w:lineRule="exact"/>
        <w:jc w:val="center"/>
        <w:outlineLvl w:val="0"/>
        <w:rPr>
          <w:rFonts w:hint="eastAsia" w:ascii="仿宋" w:hAnsi="仿宋" w:eastAsia="仿宋" w:cs="仿宋"/>
          <w:b/>
          <w:sz w:val="32"/>
          <w:szCs w:val="32"/>
        </w:rPr>
      </w:pPr>
      <w:bookmarkStart w:id="78" w:name="_Toc14307"/>
      <w:bookmarkStart w:id="79" w:name="_Toc4940"/>
      <w:bookmarkStart w:id="80" w:name="_Toc16938"/>
      <w:bookmarkStart w:id="81" w:name="_Toc28181"/>
      <w:bookmarkStart w:id="82" w:name="_Toc25967"/>
      <w:bookmarkStart w:id="83" w:name="_Toc27316"/>
      <w:bookmarkStart w:id="84" w:name="_Toc31463"/>
      <w:r>
        <w:rPr>
          <w:rFonts w:hint="eastAsia" w:ascii="仿宋" w:hAnsi="仿宋" w:eastAsia="仿宋" w:cs="仿宋"/>
          <w:b/>
          <w:sz w:val="24"/>
          <w:szCs w:val="24"/>
        </w:rPr>
        <w:t>退还保证金申请函</w:t>
      </w:r>
      <w:bookmarkEnd w:id="78"/>
      <w:bookmarkEnd w:id="79"/>
      <w:bookmarkEnd w:id="80"/>
      <w:bookmarkEnd w:id="81"/>
      <w:bookmarkEnd w:id="82"/>
      <w:bookmarkEnd w:id="83"/>
      <w:bookmarkEnd w:id="84"/>
    </w:p>
    <w:p>
      <w:pPr>
        <w:spacing w:line="360" w:lineRule="auto"/>
        <w:rPr>
          <w:rFonts w:hint="eastAsia" w:ascii="仿宋" w:hAnsi="仿宋" w:eastAsia="仿宋" w:cs="仿宋"/>
          <w:color w:val="000000"/>
          <w:sz w:val="21"/>
          <w:szCs w:val="21"/>
          <w:u w:val="single"/>
          <w:lang w:eastAsia="zh-CN"/>
        </w:rPr>
      </w:pPr>
      <w:r>
        <w:rPr>
          <w:rFonts w:hint="eastAsia" w:ascii="仿宋" w:hAnsi="仿宋" w:eastAsia="仿宋" w:cs="仿宋"/>
          <w:color w:val="000000"/>
          <w:sz w:val="21"/>
          <w:szCs w:val="21"/>
        </w:rPr>
        <w:t>致：</w:t>
      </w:r>
      <w:r>
        <w:rPr>
          <w:rFonts w:hint="eastAsia" w:ascii="仿宋" w:hAnsi="仿宋" w:eastAsia="仿宋" w:cs="仿宋"/>
          <w:color w:val="000000"/>
          <w:sz w:val="21"/>
          <w:szCs w:val="21"/>
          <w:u w:val="single"/>
          <w:lang w:eastAsia="zh-CN"/>
        </w:rPr>
        <w:t>新疆世纪星工程咨询有限公司</w:t>
      </w:r>
    </w:p>
    <w:p>
      <w:pPr>
        <w:spacing w:line="360" w:lineRule="auto"/>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u w:val="single"/>
        </w:rPr>
        <w:t>（</w:t>
      </w:r>
      <w:r>
        <w:rPr>
          <w:rFonts w:hint="eastAsia" w:ascii="仿宋" w:hAnsi="仿宋" w:eastAsia="仿宋" w:cs="仿宋"/>
          <w:color w:val="000000"/>
          <w:sz w:val="21"/>
          <w:szCs w:val="21"/>
          <w:u w:val="single"/>
          <w:lang w:val="en-US" w:eastAsia="zh-CN"/>
        </w:rPr>
        <w:t>投标人</w:t>
      </w:r>
      <w:r>
        <w:rPr>
          <w:rFonts w:hint="eastAsia" w:ascii="仿宋" w:hAnsi="仿宋" w:eastAsia="仿宋" w:cs="仿宋"/>
          <w:color w:val="000000"/>
          <w:sz w:val="21"/>
          <w:szCs w:val="21"/>
          <w:u w:val="single"/>
        </w:rPr>
        <w:t xml:space="preserve">全称) </w:t>
      </w:r>
      <w:r>
        <w:rPr>
          <w:rFonts w:hint="eastAsia" w:ascii="仿宋" w:hAnsi="仿宋" w:eastAsia="仿宋" w:cs="仿宋"/>
          <w:color w:val="000000"/>
          <w:sz w:val="21"/>
          <w:szCs w:val="21"/>
        </w:rPr>
        <w:t>参加贵方组织的，</w:t>
      </w:r>
      <w:r>
        <w:rPr>
          <w:rFonts w:hint="eastAsia" w:ascii="仿宋" w:hAnsi="仿宋" w:eastAsia="仿宋" w:cs="仿宋"/>
          <w:b w:val="0"/>
          <w:bCs w:val="0"/>
          <w:sz w:val="21"/>
          <w:szCs w:val="21"/>
          <w:u w:val="single"/>
          <w:lang w:val="en-US" w:eastAsia="zh-CN"/>
        </w:rPr>
        <w:t>（项目名称）（项目编号）</w:t>
      </w:r>
      <w:r>
        <w:rPr>
          <w:rFonts w:hint="eastAsia" w:ascii="仿宋" w:hAnsi="仿宋" w:eastAsia="仿宋" w:cs="仿宋"/>
          <w:color w:val="000000"/>
          <w:sz w:val="21"/>
          <w:szCs w:val="21"/>
        </w:rPr>
        <w:t>的</w:t>
      </w:r>
      <w:r>
        <w:rPr>
          <w:rFonts w:hint="eastAsia" w:ascii="仿宋" w:hAnsi="仿宋" w:eastAsia="仿宋" w:cs="仿宋"/>
          <w:color w:val="000000"/>
          <w:sz w:val="21"/>
          <w:szCs w:val="21"/>
          <w:lang w:val="en-US" w:eastAsia="zh-CN"/>
        </w:rPr>
        <w:t>招标</w:t>
      </w:r>
      <w:r>
        <w:rPr>
          <w:rFonts w:hint="eastAsia" w:ascii="仿宋" w:hAnsi="仿宋" w:eastAsia="仿宋" w:cs="仿宋"/>
          <w:color w:val="000000"/>
          <w:sz w:val="21"/>
          <w:szCs w:val="21"/>
        </w:rPr>
        <w:t>采购活动。按</w:t>
      </w:r>
      <w:r>
        <w:rPr>
          <w:rFonts w:hint="eastAsia" w:ascii="仿宋" w:hAnsi="仿宋" w:eastAsia="仿宋" w:cs="仿宋"/>
          <w:color w:val="000000"/>
          <w:sz w:val="21"/>
          <w:szCs w:val="21"/>
          <w:lang w:val="en-US" w:eastAsia="zh-CN"/>
        </w:rPr>
        <w:t>招标</w:t>
      </w:r>
      <w:r>
        <w:rPr>
          <w:rFonts w:hint="eastAsia" w:ascii="仿宋" w:hAnsi="仿宋" w:eastAsia="仿宋" w:cs="仿宋"/>
          <w:color w:val="000000"/>
          <w:sz w:val="21"/>
          <w:szCs w:val="21"/>
        </w:rPr>
        <w:t>文件的规定，已通过</w:t>
      </w:r>
      <w:r>
        <w:rPr>
          <w:rFonts w:hint="eastAsia" w:ascii="仿宋" w:hAnsi="仿宋" w:eastAsia="仿宋" w:cs="仿宋"/>
          <w:color w:val="000000"/>
          <w:sz w:val="21"/>
          <w:szCs w:val="21"/>
          <w:u w:val="single"/>
        </w:rPr>
        <w:t>银行转帐/银行汇款</w:t>
      </w:r>
      <w:r>
        <w:rPr>
          <w:rFonts w:hint="eastAsia" w:ascii="仿宋" w:hAnsi="仿宋" w:eastAsia="仿宋" w:cs="仿宋"/>
          <w:color w:val="000000"/>
          <w:sz w:val="21"/>
          <w:szCs w:val="21"/>
        </w:rPr>
        <w:t>形式缴纳人民币</w:t>
      </w:r>
      <w:r>
        <w:rPr>
          <w:rFonts w:hint="eastAsia" w:ascii="仿宋" w:hAnsi="仿宋" w:eastAsia="仿宋" w:cs="仿宋"/>
          <w:color w:val="000000"/>
          <w:sz w:val="21"/>
          <w:szCs w:val="21"/>
          <w:u w:val="single"/>
        </w:rPr>
        <w:t xml:space="preserve">（大写）  　　  </w:t>
      </w:r>
      <w:r>
        <w:rPr>
          <w:rFonts w:hint="eastAsia" w:ascii="仿宋" w:hAnsi="仿宋" w:eastAsia="仿宋" w:cs="仿宋"/>
          <w:color w:val="000000"/>
          <w:sz w:val="21"/>
          <w:szCs w:val="21"/>
        </w:rPr>
        <w:t>元的保证金。</w:t>
      </w:r>
    </w:p>
    <w:p>
      <w:pPr>
        <w:autoSpaceDE w:val="0"/>
        <w:autoSpaceDN w:val="0"/>
        <w:spacing w:line="360" w:lineRule="auto"/>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rPr>
        <w:t>退还保证金时请按以下内容划入我方帐户。若因内容不全、错误、字迹潦草模糊导致该项目保证金未能及时退还或退还过程中发生错误，我方将承担全部责任和损失。</w:t>
      </w:r>
    </w:p>
    <w:p>
      <w:pPr>
        <w:spacing w:line="360" w:lineRule="auto"/>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投标人</w:t>
      </w:r>
      <w:r>
        <w:rPr>
          <w:rFonts w:hint="eastAsia" w:ascii="仿宋" w:hAnsi="仿宋" w:eastAsia="仿宋" w:cs="仿宋"/>
          <w:color w:val="000000"/>
          <w:sz w:val="21"/>
          <w:szCs w:val="21"/>
        </w:rPr>
        <w:t>名称：</w:t>
      </w:r>
      <w:r>
        <w:rPr>
          <w:rFonts w:hint="eastAsia" w:ascii="仿宋" w:hAnsi="仿宋" w:eastAsia="仿宋" w:cs="仿宋"/>
          <w:i/>
          <w:iCs/>
          <w:color w:val="000000"/>
          <w:sz w:val="21"/>
          <w:szCs w:val="21"/>
          <w:u w:val="single"/>
        </w:rPr>
        <w:t xml:space="preserve">                                 </w:t>
      </w:r>
      <w:r>
        <w:rPr>
          <w:rFonts w:hint="eastAsia" w:ascii="仿宋" w:hAnsi="仿宋" w:eastAsia="仿宋" w:cs="仿宋"/>
          <w:color w:val="000000"/>
          <w:sz w:val="21"/>
          <w:szCs w:val="21"/>
        </w:rPr>
        <w:t xml:space="preserve"> </w:t>
      </w:r>
    </w:p>
    <w:p>
      <w:pPr>
        <w:spacing w:line="360" w:lineRule="auto"/>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投标人</w:t>
      </w:r>
      <w:r>
        <w:rPr>
          <w:rFonts w:hint="eastAsia" w:ascii="仿宋" w:hAnsi="仿宋" w:eastAsia="仿宋" w:cs="仿宋"/>
          <w:color w:val="000000"/>
          <w:sz w:val="21"/>
          <w:szCs w:val="21"/>
        </w:rPr>
        <w:t>开户银行：</w:t>
      </w:r>
      <w:r>
        <w:rPr>
          <w:rFonts w:hint="eastAsia" w:ascii="仿宋" w:hAnsi="仿宋" w:eastAsia="仿宋" w:cs="仿宋"/>
          <w:color w:val="000000"/>
          <w:sz w:val="21"/>
          <w:szCs w:val="21"/>
          <w:u w:val="single"/>
        </w:rPr>
        <w:t xml:space="preserve">                             </w:t>
      </w:r>
    </w:p>
    <w:p>
      <w:pPr>
        <w:spacing w:line="360" w:lineRule="auto"/>
        <w:ind w:firstLine="420" w:firstLineChars="200"/>
        <w:rPr>
          <w:rFonts w:hint="eastAsia" w:ascii="仿宋" w:hAnsi="仿宋" w:eastAsia="仿宋" w:cs="仿宋"/>
          <w:color w:val="000000"/>
          <w:sz w:val="21"/>
          <w:szCs w:val="21"/>
        </w:rPr>
      </w:pPr>
      <w:r>
        <w:rPr>
          <w:rFonts w:hint="eastAsia" w:ascii="仿宋" w:hAnsi="仿宋" w:eastAsia="仿宋" w:cs="仿宋"/>
          <w:color w:val="000000"/>
          <w:sz w:val="21"/>
          <w:szCs w:val="21"/>
          <w:lang w:val="en-US" w:eastAsia="zh-CN"/>
        </w:rPr>
        <w:t>投标人</w:t>
      </w:r>
      <w:r>
        <w:rPr>
          <w:rFonts w:hint="eastAsia" w:ascii="仿宋" w:hAnsi="仿宋" w:eastAsia="仿宋" w:cs="仿宋"/>
          <w:color w:val="000000"/>
          <w:sz w:val="21"/>
          <w:szCs w:val="21"/>
        </w:rPr>
        <w:t>开户银行行号：</w:t>
      </w:r>
      <w:r>
        <w:rPr>
          <w:rFonts w:hint="eastAsia" w:ascii="仿宋" w:hAnsi="仿宋" w:eastAsia="仿宋" w:cs="仿宋"/>
          <w:color w:val="000000"/>
          <w:sz w:val="21"/>
          <w:szCs w:val="21"/>
          <w:u w:val="single"/>
        </w:rPr>
        <w:t xml:space="preserve">                         </w:t>
      </w:r>
    </w:p>
    <w:p>
      <w:pPr>
        <w:spacing w:line="360" w:lineRule="auto"/>
        <w:ind w:firstLine="420" w:firstLineChars="200"/>
        <w:rPr>
          <w:rFonts w:hint="eastAsia" w:ascii="仿宋" w:hAnsi="仿宋" w:eastAsia="仿宋" w:cs="仿宋"/>
          <w:color w:val="000000"/>
          <w:sz w:val="21"/>
          <w:szCs w:val="21"/>
          <w:u w:val="single"/>
        </w:rPr>
      </w:pPr>
      <w:r>
        <w:rPr>
          <w:rFonts w:hint="eastAsia" w:ascii="仿宋" w:hAnsi="仿宋" w:eastAsia="仿宋" w:cs="仿宋"/>
          <w:color w:val="000000"/>
          <w:sz w:val="21"/>
          <w:szCs w:val="21"/>
          <w:lang w:val="en-US" w:eastAsia="zh-CN"/>
        </w:rPr>
        <w:t>投标人</w:t>
      </w:r>
      <w:r>
        <w:rPr>
          <w:rFonts w:hint="eastAsia" w:ascii="仿宋" w:hAnsi="仿宋" w:eastAsia="仿宋" w:cs="仿宋"/>
          <w:color w:val="000000"/>
          <w:sz w:val="21"/>
          <w:szCs w:val="21"/>
        </w:rPr>
        <w:t>银行帐号：</w:t>
      </w:r>
      <w:r>
        <w:rPr>
          <w:rFonts w:hint="eastAsia" w:ascii="仿宋" w:hAnsi="仿宋" w:eastAsia="仿宋" w:cs="仿宋"/>
          <w:color w:val="000000"/>
          <w:sz w:val="21"/>
          <w:szCs w:val="21"/>
          <w:u w:val="single"/>
        </w:rPr>
        <w:t xml:space="preserve">                             </w:t>
      </w:r>
    </w:p>
    <w:p>
      <w:pPr>
        <w:adjustRightInd w:val="0"/>
        <w:snapToGrid w:val="0"/>
        <w:spacing w:line="360" w:lineRule="auto"/>
        <w:rPr>
          <w:rFonts w:hint="eastAsia" w:ascii="仿宋" w:hAnsi="仿宋" w:eastAsia="仿宋" w:cs="仿宋"/>
          <w:color w:val="000000"/>
          <w:sz w:val="21"/>
          <w:szCs w:val="21"/>
        </w:rPr>
      </w:pPr>
    </w:p>
    <w:p>
      <w:pPr>
        <w:adjustRightInd w:val="0"/>
        <w:snapToGrid w:val="0"/>
        <w:spacing w:line="360" w:lineRule="auto"/>
        <w:rPr>
          <w:rFonts w:hint="eastAsia" w:ascii="仿宋" w:hAnsi="仿宋" w:eastAsia="仿宋" w:cs="仿宋"/>
          <w:color w:val="000000"/>
          <w:sz w:val="21"/>
          <w:szCs w:val="21"/>
          <w:u w:val="single"/>
        </w:rPr>
      </w:pPr>
      <w:r>
        <w:rPr>
          <w:rFonts w:hint="eastAsia" w:ascii="仿宋" w:hAnsi="仿宋" w:eastAsia="仿宋" w:cs="仿宋"/>
          <w:color w:val="000000"/>
          <w:sz w:val="21"/>
          <w:szCs w:val="21"/>
          <w:lang w:val="en-US" w:eastAsia="zh-CN"/>
        </w:rPr>
        <w:t>投标人</w:t>
      </w:r>
      <w:r>
        <w:rPr>
          <w:rFonts w:hint="eastAsia" w:ascii="仿宋" w:hAnsi="仿宋" w:eastAsia="仿宋" w:cs="仿宋"/>
          <w:color w:val="000000"/>
          <w:sz w:val="21"/>
          <w:szCs w:val="21"/>
        </w:rPr>
        <w:t>法定代表人（或法定代表人授权代表）签字：</w:t>
      </w:r>
    </w:p>
    <w:p>
      <w:pPr>
        <w:adjustRightInd w:val="0"/>
        <w:snapToGrid w:val="0"/>
        <w:spacing w:line="360" w:lineRule="auto"/>
        <w:rPr>
          <w:rFonts w:hint="eastAsia" w:ascii="仿宋" w:hAnsi="仿宋" w:eastAsia="仿宋" w:cs="仿宋"/>
          <w:color w:val="000000"/>
          <w:sz w:val="21"/>
          <w:szCs w:val="21"/>
          <w:u w:val="single"/>
        </w:rPr>
      </w:pPr>
      <w:r>
        <w:rPr>
          <w:rFonts w:hint="eastAsia" w:ascii="仿宋" w:hAnsi="仿宋" w:eastAsia="仿宋" w:cs="仿宋"/>
          <w:color w:val="000000"/>
          <w:sz w:val="21"/>
          <w:szCs w:val="21"/>
          <w:lang w:val="en-US" w:eastAsia="zh-CN"/>
        </w:rPr>
        <w:t>投标人</w:t>
      </w:r>
      <w:r>
        <w:rPr>
          <w:rFonts w:hint="eastAsia" w:ascii="仿宋" w:hAnsi="仿宋" w:eastAsia="仿宋" w:cs="仿宋"/>
          <w:color w:val="000000"/>
          <w:sz w:val="21"/>
          <w:szCs w:val="21"/>
        </w:rPr>
        <w:t>名称（加盖公章）：</w:t>
      </w:r>
    </w:p>
    <w:p>
      <w:pPr>
        <w:adjustRightInd w:val="0"/>
        <w:snapToGrid w:val="0"/>
        <w:spacing w:line="360" w:lineRule="auto"/>
        <w:rPr>
          <w:rFonts w:hint="eastAsia" w:ascii="仿宋" w:hAnsi="仿宋" w:eastAsia="仿宋" w:cs="仿宋"/>
          <w:color w:val="000000"/>
          <w:sz w:val="21"/>
          <w:szCs w:val="21"/>
          <w:u w:val="single"/>
        </w:rPr>
      </w:pPr>
      <w:r>
        <w:rPr>
          <w:rFonts w:hint="eastAsia" w:ascii="仿宋" w:hAnsi="仿宋" w:eastAsia="仿宋" w:cs="仿宋"/>
          <w:color w:val="000000"/>
          <w:sz w:val="21"/>
          <w:szCs w:val="21"/>
        </w:rPr>
        <w:t>日期：   年   月   日</w:t>
      </w:r>
    </w:p>
    <w:p>
      <w:pPr>
        <w:pStyle w:val="19"/>
        <w:spacing w:line="440" w:lineRule="exact"/>
        <w:jc w:val="both"/>
        <w:rPr>
          <w:rFonts w:hint="eastAsia" w:ascii="仿宋" w:hAnsi="仿宋" w:eastAsia="仿宋" w:cs="仿宋"/>
          <w:bCs/>
          <w:sz w:val="21"/>
          <w:szCs w:val="21"/>
        </w:rPr>
      </w:pPr>
    </w:p>
    <w:p>
      <w:pPr>
        <w:pStyle w:val="19"/>
        <w:spacing w:line="440" w:lineRule="exact"/>
        <w:jc w:val="both"/>
        <w:rPr>
          <w:rFonts w:hint="eastAsia" w:ascii="仿宋" w:hAnsi="仿宋" w:eastAsia="仿宋" w:cs="仿宋"/>
          <w:b/>
          <w:sz w:val="21"/>
          <w:szCs w:val="21"/>
        </w:rPr>
      </w:pPr>
      <w:r>
        <w:rPr>
          <w:rFonts w:hint="eastAsia" w:ascii="仿宋" w:hAnsi="仿宋" w:eastAsia="仿宋" w:cs="仿宋"/>
          <w:b/>
          <w:sz w:val="21"/>
          <w:szCs w:val="21"/>
        </w:rPr>
        <w:t>注：为方便代理机构后续退款事宜，请</w:t>
      </w:r>
      <w:r>
        <w:rPr>
          <w:rFonts w:hint="eastAsia" w:ascii="仿宋" w:hAnsi="仿宋" w:eastAsia="仿宋" w:cs="仿宋"/>
          <w:b/>
          <w:sz w:val="21"/>
          <w:szCs w:val="21"/>
          <w:lang w:val="en-US" w:eastAsia="zh-CN"/>
        </w:rPr>
        <w:t>投标人</w:t>
      </w:r>
      <w:r>
        <w:rPr>
          <w:rFonts w:hint="eastAsia" w:ascii="仿宋" w:hAnsi="仿宋" w:eastAsia="仿宋" w:cs="仿宋"/>
          <w:b/>
          <w:sz w:val="21"/>
          <w:szCs w:val="21"/>
        </w:rPr>
        <w:t>认真填写此函信息，并后附转帐或汇款的银行凭证复印件。</w:t>
      </w:r>
    </w:p>
    <w:tbl>
      <w:tblPr>
        <w:tblStyle w:val="22"/>
        <w:tblW w:w="92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9220" w:type="dxa"/>
            <w:vAlign w:val="center"/>
          </w:tcPr>
          <w:p>
            <w:pPr>
              <w:jc w:val="center"/>
              <w:rPr>
                <w:rFonts w:hint="eastAsia" w:ascii="仿宋" w:hAnsi="仿宋" w:eastAsia="仿宋" w:cs="仿宋"/>
                <w:color w:val="000000"/>
                <w:sz w:val="21"/>
                <w:szCs w:val="21"/>
              </w:rPr>
            </w:pPr>
            <w:r>
              <w:rPr>
                <w:rFonts w:hint="eastAsia" w:ascii="仿宋" w:hAnsi="仿宋" w:eastAsia="仿宋" w:cs="仿宋"/>
                <w:color w:val="000000"/>
                <w:sz w:val="21"/>
                <w:szCs w:val="21"/>
              </w:rPr>
              <w:t>（粘贴转帐或汇款的银行凭证复印件）</w:t>
            </w:r>
          </w:p>
        </w:tc>
      </w:tr>
    </w:tbl>
    <w:p>
      <w:pPr>
        <w:pStyle w:val="6"/>
        <w:keepNext w:val="0"/>
        <w:keepLines w:val="0"/>
        <w:pageBreakBefore w:val="0"/>
        <w:widowControl w:val="0"/>
        <w:tabs>
          <w:tab w:val="left" w:pos="1560"/>
          <w:tab w:val="left" w:pos="2040"/>
        </w:tabs>
        <w:kinsoku/>
        <w:wordWrap/>
        <w:overflowPunct/>
        <w:topLinePunct w:val="0"/>
        <w:autoSpaceDE w:val="0"/>
        <w:autoSpaceDN w:val="0"/>
        <w:bidi w:val="0"/>
        <w:adjustRightInd w:val="0"/>
        <w:snapToGrid w:val="0"/>
        <w:spacing w:before="0" w:line="360" w:lineRule="auto"/>
        <w:textAlignment w:val="auto"/>
        <w:rPr>
          <w:rFonts w:hint="eastAsia" w:ascii="仿宋" w:hAnsi="仿宋" w:eastAsia="仿宋" w:cs="仿宋"/>
          <w:sz w:val="21"/>
          <w:szCs w:val="21"/>
        </w:rPr>
      </w:pPr>
    </w:p>
    <w:p>
      <w:pPr>
        <w:rPr>
          <w:rFonts w:hint="eastAsia" w:ascii="仿宋" w:hAnsi="仿宋" w:eastAsia="仿宋" w:cs="仿宋"/>
          <w:sz w:val="21"/>
          <w:szCs w:val="21"/>
        </w:rPr>
      </w:pPr>
      <w:r>
        <w:rPr>
          <w:rFonts w:hint="eastAsia" w:ascii="仿宋" w:hAnsi="仿宋" w:eastAsia="仿宋" w:cs="仿宋"/>
          <w:sz w:val="21"/>
          <w:szCs w:val="21"/>
        </w:rPr>
        <w:br w:type="page"/>
      </w:r>
    </w:p>
    <w:p>
      <w:pPr>
        <w:widowControl w:val="0"/>
        <w:tabs>
          <w:tab w:val="left" w:pos="1325"/>
        </w:tabs>
        <w:spacing w:before="90"/>
        <w:jc w:val="both"/>
        <w:outlineLvl w:val="1"/>
        <w:rPr>
          <w:rFonts w:hint="eastAsia" w:ascii="仿宋" w:hAnsi="仿宋" w:eastAsia="仿宋" w:cs="仿宋"/>
          <w:b w:val="0"/>
          <w:bCs w:val="0"/>
          <w:kern w:val="2"/>
          <w:sz w:val="24"/>
          <w:szCs w:val="24"/>
          <w:lang w:val="zh-CN" w:eastAsia="zh-CN" w:bidi="zh-CN"/>
        </w:rPr>
      </w:pPr>
      <w:bookmarkStart w:id="85" w:name="_Toc17857"/>
      <w:bookmarkStart w:id="86" w:name="_Toc28409"/>
      <w:bookmarkStart w:id="87" w:name="_Toc8576"/>
      <w:bookmarkStart w:id="88" w:name="_Toc2994"/>
      <w:bookmarkStart w:id="89" w:name="_Toc19434"/>
      <w:bookmarkStart w:id="90" w:name="_Toc8651"/>
      <w:bookmarkStart w:id="91" w:name="_Toc21100"/>
      <w:r>
        <w:rPr>
          <w:rFonts w:hint="eastAsia" w:ascii="仿宋" w:hAnsi="仿宋" w:eastAsia="仿宋" w:cs="仿宋"/>
          <w:b w:val="0"/>
          <w:bCs w:val="0"/>
          <w:kern w:val="2"/>
          <w:sz w:val="24"/>
          <w:szCs w:val="24"/>
          <w:lang w:val="en-US" w:eastAsia="zh-CN" w:bidi="zh-CN"/>
        </w:rPr>
        <w:t>13   开票信息</w:t>
      </w:r>
      <w:r>
        <w:rPr>
          <w:rFonts w:hint="eastAsia" w:ascii="仿宋" w:hAnsi="仿宋" w:eastAsia="仿宋" w:cs="仿宋"/>
          <w:b w:val="0"/>
          <w:bCs w:val="0"/>
          <w:kern w:val="2"/>
          <w:sz w:val="24"/>
          <w:szCs w:val="24"/>
          <w:lang w:val="zh-CN" w:eastAsia="zh-CN" w:bidi="zh-CN"/>
        </w:rPr>
        <w:t>（统一格式）</w:t>
      </w:r>
      <w:bookmarkEnd w:id="85"/>
      <w:bookmarkEnd w:id="86"/>
      <w:bookmarkEnd w:id="87"/>
      <w:bookmarkEnd w:id="88"/>
      <w:bookmarkEnd w:id="89"/>
      <w:bookmarkEnd w:id="90"/>
      <w:bookmarkEnd w:id="91"/>
    </w:p>
    <w:p>
      <w:pPr>
        <w:pStyle w:val="19"/>
        <w:spacing w:line="440" w:lineRule="exact"/>
        <w:ind w:firstLine="480" w:firstLineChars="200"/>
        <w:jc w:val="both"/>
        <w:rPr>
          <w:rFonts w:hint="eastAsia" w:ascii="仿宋" w:hAnsi="仿宋" w:eastAsia="仿宋" w:cs="仿宋"/>
          <w:bCs/>
          <w:sz w:val="24"/>
        </w:rPr>
      </w:pPr>
    </w:p>
    <w:p>
      <w:pPr>
        <w:pStyle w:val="19"/>
        <w:spacing w:line="440" w:lineRule="exact"/>
        <w:jc w:val="both"/>
        <w:rPr>
          <w:rFonts w:hint="eastAsia" w:ascii="仿宋" w:hAnsi="仿宋" w:eastAsia="仿宋" w:cs="仿宋"/>
          <w:bCs/>
          <w:sz w:val="21"/>
          <w:szCs w:val="21"/>
        </w:rPr>
      </w:pPr>
      <w:r>
        <w:rPr>
          <w:rFonts w:hint="eastAsia" w:ascii="仿宋" w:hAnsi="仿宋" w:eastAsia="仿宋" w:cs="仿宋"/>
          <w:bCs/>
          <w:sz w:val="21"/>
          <w:szCs w:val="21"/>
          <w:lang w:eastAsia="zh-CN"/>
        </w:rPr>
        <w:t>新疆世纪星工程咨询有限公司</w:t>
      </w:r>
      <w:r>
        <w:rPr>
          <w:rFonts w:hint="eastAsia" w:ascii="仿宋" w:hAnsi="仿宋" w:eastAsia="仿宋" w:cs="仿宋"/>
          <w:bCs/>
          <w:sz w:val="21"/>
          <w:szCs w:val="21"/>
        </w:rPr>
        <w:t>：</w:t>
      </w:r>
    </w:p>
    <w:p>
      <w:pPr>
        <w:pStyle w:val="19"/>
        <w:spacing w:line="440" w:lineRule="exact"/>
        <w:ind w:firstLine="420" w:firstLineChars="200"/>
        <w:jc w:val="both"/>
        <w:rPr>
          <w:rFonts w:hint="eastAsia" w:ascii="仿宋" w:hAnsi="仿宋" w:eastAsia="仿宋" w:cs="仿宋"/>
          <w:sz w:val="21"/>
          <w:szCs w:val="21"/>
        </w:rPr>
      </w:pPr>
      <w:r>
        <w:rPr>
          <w:rFonts w:hint="eastAsia" w:ascii="仿宋" w:hAnsi="仿宋" w:eastAsia="仿宋" w:cs="仿宋"/>
          <w:bCs/>
          <w:sz w:val="21"/>
          <w:szCs w:val="21"/>
        </w:rPr>
        <w:t xml:space="preserve">    </w:t>
      </w:r>
      <w:r>
        <w:rPr>
          <w:rFonts w:hint="eastAsia" w:ascii="仿宋" w:hAnsi="仿宋" w:eastAsia="仿宋" w:cs="仿宋"/>
          <w:sz w:val="21"/>
          <w:szCs w:val="21"/>
        </w:rPr>
        <w:t>本</w:t>
      </w:r>
      <w:r>
        <w:rPr>
          <w:rFonts w:hint="eastAsia" w:ascii="仿宋" w:hAnsi="仿宋" w:eastAsia="仿宋" w:cs="仿宋"/>
          <w:sz w:val="21"/>
          <w:szCs w:val="21"/>
          <w:u w:val="single"/>
        </w:rPr>
        <w:t xml:space="preserve">   （</w:t>
      </w:r>
      <w:r>
        <w:rPr>
          <w:rFonts w:hint="eastAsia" w:ascii="仿宋" w:hAnsi="仿宋" w:eastAsia="仿宋" w:cs="仿宋"/>
          <w:sz w:val="21"/>
          <w:szCs w:val="21"/>
          <w:u w:val="single"/>
          <w:lang w:eastAsia="zh-CN"/>
        </w:rPr>
        <w:t>投标人</w:t>
      </w:r>
      <w:r>
        <w:rPr>
          <w:rFonts w:hint="eastAsia" w:ascii="仿宋" w:hAnsi="仿宋" w:eastAsia="仿宋" w:cs="仿宋"/>
          <w:sz w:val="21"/>
          <w:szCs w:val="21"/>
          <w:u w:val="single"/>
        </w:rPr>
        <w:t xml:space="preserve">名称）   </w:t>
      </w:r>
      <w:r>
        <w:rPr>
          <w:rFonts w:hint="eastAsia" w:ascii="仿宋" w:hAnsi="仿宋" w:eastAsia="仿宋" w:cs="仿宋"/>
          <w:sz w:val="21"/>
          <w:szCs w:val="21"/>
        </w:rPr>
        <w:t>公司在参加在贵司进行的</w:t>
      </w:r>
      <w:r>
        <w:rPr>
          <w:rFonts w:hint="eastAsia" w:ascii="仿宋" w:hAnsi="仿宋" w:eastAsia="仿宋" w:cs="仿宋"/>
          <w:sz w:val="21"/>
          <w:szCs w:val="21"/>
          <w:u w:val="single"/>
        </w:rPr>
        <w:t xml:space="preserve">  </w:t>
      </w:r>
      <w:r>
        <w:rPr>
          <w:rFonts w:hint="eastAsia" w:ascii="仿宋" w:hAnsi="仿宋" w:eastAsia="仿宋" w:cs="仿宋"/>
          <w:b w:val="0"/>
          <w:bCs w:val="0"/>
          <w:sz w:val="21"/>
          <w:szCs w:val="21"/>
          <w:u w:val="single"/>
          <w:lang w:val="en-US" w:eastAsia="zh-CN"/>
        </w:rPr>
        <w:t>（项目名称）（项目编号）</w:t>
      </w:r>
      <w:r>
        <w:rPr>
          <w:rFonts w:hint="eastAsia" w:ascii="仿宋" w:hAnsi="仿宋" w:eastAsia="仿宋" w:cs="仿宋"/>
          <w:sz w:val="21"/>
          <w:szCs w:val="21"/>
          <w:u w:val="single"/>
        </w:rPr>
        <w:t xml:space="preserve"> </w:t>
      </w:r>
      <w:r>
        <w:rPr>
          <w:rFonts w:hint="eastAsia" w:ascii="仿宋" w:hAnsi="仿宋" w:eastAsia="仿宋" w:cs="仿宋"/>
          <w:sz w:val="21"/>
          <w:szCs w:val="21"/>
        </w:rPr>
        <w:t xml:space="preserve">招标，我司缴纳标书费和代理服务费后开具发票的事宜，我司声明如下： </w:t>
      </w:r>
    </w:p>
    <w:p>
      <w:pPr>
        <w:pStyle w:val="19"/>
        <w:spacing w:line="440" w:lineRule="exact"/>
        <w:ind w:firstLine="420" w:firstLineChars="200"/>
        <w:jc w:val="both"/>
        <w:rPr>
          <w:rFonts w:hint="eastAsia" w:ascii="仿宋" w:hAnsi="仿宋" w:eastAsia="仿宋" w:cs="仿宋"/>
          <w:sz w:val="21"/>
          <w:szCs w:val="21"/>
        </w:rPr>
      </w:pPr>
    </w:p>
    <w:tbl>
      <w:tblPr>
        <w:tblStyle w:val="23"/>
        <w:tblW w:w="9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0"/>
        <w:gridCol w:w="3576"/>
        <w:gridCol w:w="1791"/>
        <w:gridCol w:w="2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62" w:type="dxa"/>
            <w:gridSpan w:val="4"/>
            <w:vAlign w:val="center"/>
          </w:tcPr>
          <w:p>
            <w:pPr>
              <w:pStyle w:val="19"/>
              <w:spacing w:line="440" w:lineRule="exact"/>
              <w:jc w:val="center"/>
              <w:rPr>
                <w:rFonts w:hint="eastAsia" w:ascii="仿宋" w:hAnsi="仿宋" w:eastAsia="仿宋" w:cs="仿宋"/>
                <w:bCs/>
                <w:sz w:val="21"/>
                <w:szCs w:val="21"/>
              </w:rPr>
            </w:pPr>
            <w:r>
              <w:rPr>
                <w:rFonts w:hint="eastAsia" w:ascii="仿宋" w:hAnsi="仿宋" w:eastAsia="仿宋" w:cs="仿宋"/>
                <w:bCs/>
                <w:sz w:val="21"/>
                <w:szCs w:val="21"/>
              </w:rPr>
              <w:t>增值税发票开票信息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pPr>
              <w:pStyle w:val="19"/>
              <w:spacing w:line="440" w:lineRule="exact"/>
              <w:jc w:val="center"/>
              <w:rPr>
                <w:rFonts w:hint="eastAsia" w:ascii="仿宋" w:hAnsi="仿宋" w:eastAsia="仿宋" w:cs="仿宋"/>
                <w:bCs/>
                <w:sz w:val="21"/>
                <w:szCs w:val="21"/>
              </w:rPr>
            </w:pPr>
            <w:r>
              <w:rPr>
                <w:rFonts w:hint="eastAsia" w:ascii="仿宋" w:hAnsi="仿宋" w:eastAsia="仿宋" w:cs="仿宋"/>
                <w:bCs/>
                <w:sz w:val="21"/>
                <w:szCs w:val="21"/>
              </w:rPr>
              <w:t>增值税发票开票种类</w:t>
            </w:r>
          </w:p>
        </w:tc>
        <w:tc>
          <w:tcPr>
            <w:tcW w:w="7472" w:type="dxa"/>
            <w:gridSpan w:val="3"/>
            <w:vAlign w:val="center"/>
          </w:tcPr>
          <w:p>
            <w:pPr>
              <w:pStyle w:val="19"/>
              <w:spacing w:line="440" w:lineRule="exact"/>
              <w:jc w:val="center"/>
              <w:rPr>
                <w:rFonts w:hint="eastAsia" w:ascii="仿宋" w:hAnsi="仿宋" w:eastAsia="仿宋" w:cs="仿宋"/>
                <w:bCs/>
                <w:sz w:val="21"/>
                <w:szCs w:val="21"/>
              </w:rPr>
            </w:pPr>
            <w:r>
              <w:rPr>
                <w:rFonts w:hint="eastAsia" w:ascii="仿宋" w:hAnsi="仿宋" w:eastAsia="仿宋" w:cs="仿宋"/>
                <w:bCs/>
                <w:sz w:val="21"/>
                <w:szCs w:val="21"/>
              </w:rPr>
              <w:t>（请在此处注明增值税专用发票或增值税普通发票）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pPr>
              <w:pStyle w:val="19"/>
              <w:spacing w:line="440" w:lineRule="exact"/>
              <w:jc w:val="center"/>
              <w:rPr>
                <w:rFonts w:hint="eastAsia" w:ascii="仿宋" w:hAnsi="仿宋" w:eastAsia="仿宋" w:cs="仿宋"/>
                <w:bCs/>
                <w:sz w:val="21"/>
                <w:szCs w:val="21"/>
              </w:rPr>
            </w:pPr>
            <w:r>
              <w:rPr>
                <w:rFonts w:hint="eastAsia" w:ascii="仿宋" w:hAnsi="仿宋" w:eastAsia="仿宋" w:cs="仿宋"/>
                <w:bCs/>
                <w:sz w:val="21"/>
                <w:szCs w:val="21"/>
              </w:rPr>
              <w:t>单位名称</w:t>
            </w:r>
          </w:p>
        </w:tc>
        <w:tc>
          <w:tcPr>
            <w:tcW w:w="7472" w:type="dxa"/>
            <w:gridSpan w:val="3"/>
            <w:vAlign w:val="center"/>
          </w:tcPr>
          <w:p>
            <w:pPr>
              <w:pStyle w:val="19"/>
              <w:spacing w:line="440" w:lineRule="exact"/>
              <w:jc w:val="center"/>
              <w:rPr>
                <w:rFonts w:hint="eastAsia" w:ascii="仿宋" w:hAnsi="仿宋" w:eastAsia="仿宋" w:cs="仿宋"/>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pPr>
              <w:pStyle w:val="19"/>
              <w:spacing w:line="440" w:lineRule="exact"/>
              <w:jc w:val="center"/>
              <w:rPr>
                <w:rFonts w:hint="eastAsia" w:ascii="仿宋" w:hAnsi="仿宋" w:eastAsia="仿宋" w:cs="仿宋"/>
                <w:bCs/>
                <w:sz w:val="21"/>
                <w:szCs w:val="21"/>
              </w:rPr>
            </w:pPr>
            <w:r>
              <w:rPr>
                <w:rFonts w:hint="eastAsia" w:ascii="仿宋" w:hAnsi="仿宋" w:eastAsia="仿宋" w:cs="仿宋"/>
                <w:bCs/>
                <w:sz w:val="21"/>
                <w:szCs w:val="21"/>
              </w:rPr>
              <w:t>单位地址</w:t>
            </w:r>
          </w:p>
        </w:tc>
        <w:tc>
          <w:tcPr>
            <w:tcW w:w="7472" w:type="dxa"/>
            <w:gridSpan w:val="3"/>
            <w:vAlign w:val="center"/>
          </w:tcPr>
          <w:p>
            <w:pPr>
              <w:pStyle w:val="19"/>
              <w:spacing w:line="440" w:lineRule="exact"/>
              <w:jc w:val="center"/>
              <w:rPr>
                <w:rFonts w:hint="eastAsia" w:ascii="仿宋" w:hAnsi="仿宋" w:eastAsia="仿宋" w:cs="仿宋"/>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pPr>
              <w:pStyle w:val="19"/>
              <w:spacing w:line="440" w:lineRule="exact"/>
              <w:jc w:val="center"/>
              <w:rPr>
                <w:rFonts w:hint="eastAsia" w:ascii="仿宋" w:hAnsi="仿宋" w:eastAsia="仿宋" w:cs="仿宋"/>
                <w:bCs/>
                <w:sz w:val="21"/>
                <w:szCs w:val="21"/>
              </w:rPr>
            </w:pPr>
            <w:r>
              <w:rPr>
                <w:rFonts w:hint="eastAsia" w:ascii="仿宋" w:hAnsi="仿宋" w:eastAsia="仿宋" w:cs="仿宋"/>
                <w:bCs/>
                <w:sz w:val="21"/>
                <w:szCs w:val="21"/>
              </w:rPr>
              <w:t>纳税人识别号</w:t>
            </w:r>
          </w:p>
        </w:tc>
        <w:tc>
          <w:tcPr>
            <w:tcW w:w="3576" w:type="dxa"/>
            <w:vAlign w:val="center"/>
          </w:tcPr>
          <w:p>
            <w:pPr>
              <w:pStyle w:val="19"/>
              <w:spacing w:line="440" w:lineRule="exact"/>
              <w:jc w:val="center"/>
              <w:rPr>
                <w:rFonts w:hint="eastAsia" w:ascii="仿宋" w:hAnsi="仿宋" w:eastAsia="仿宋" w:cs="仿宋"/>
                <w:bCs/>
                <w:sz w:val="21"/>
                <w:szCs w:val="21"/>
              </w:rPr>
            </w:pPr>
          </w:p>
        </w:tc>
        <w:tc>
          <w:tcPr>
            <w:tcW w:w="1791" w:type="dxa"/>
            <w:vAlign w:val="center"/>
          </w:tcPr>
          <w:p>
            <w:pPr>
              <w:pStyle w:val="19"/>
              <w:spacing w:line="440" w:lineRule="exact"/>
              <w:jc w:val="center"/>
              <w:rPr>
                <w:rFonts w:hint="eastAsia" w:ascii="仿宋" w:hAnsi="仿宋" w:eastAsia="仿宋" w:cs="仿宋"/>
                <w:bCs/>
                <w:sz w:val="21"/>
                <w:szCs w:val="21"/>
              </w:rPr>
            </w:pPr>
            <w:r>
              <w:rPr>
                <w:rFonts w:hint="eastAsia" w:ascii="仿宋" w:hAnsi="仿宋" w:eastAsia="仿宋" w:cs="仿宋"/>
                <w:bCs/>
                <w:sz w:val="21"/>
                <w:szCs w:val="21"/>
              </w:rPr>
              <w:t>固定电话</w:t>
            </w:r>
          </w:p>
        </w:tc>
        <w:tc>
          <w:tcPr>
            <w:tcW w:w="2105" w:type="dxa"/>
            <w:vAlign w:val="center"/>
          </w:tcPr>
          <w:p>
            <w:pPr>
              <w:pStyle w:val="19"/>
              <w:spacing w:line="440" w:lineRule="exact"/>
              <w:jc w:val="center"/>
              <w:rPr>
                <w:rFonts w:hint="eastAsia" w:ascii="仿宋" w:hAnsi="仿宋" w:eastAsia="仿宋" w:cs="仿宋"/>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pPr>
              <w:pStyle w:val="19"/>
              <w:spacing w:line="440" w:lineRule="exact"/>
              <w:jc w:val="center"/>
              <w:rPr>
                <w:rFonts w:hint="eastAsia" w:ascii="仿宋" w:hAnsi="仿宋" w:eastAsia="仿宋" w:cs="仿宋"/>
                <w:bCs/>
                <w:sz w:val="21"/>
                <w:szCs w:val="21"/>
              </w:rPr>
            </w:pPr>
            <w:r>
              <w:rPr>
                <w:rFonts w:hint="eastAsia" w:ascii="仿宋" w:hAnsi="仿宋" w:eastAsia="仿宋" w:cs="仿宋"/>
                <w:bCs/>
                <w:sz w:val="21"/>
                <w:szCs w:val="21"/>
              </w:rPr>
              <w:t>开户银行名称</w:t>
            </w:r>
          </w:p>
        </w:tc>
        <w:tc>
          <w:tcPr>
            <w:tcW w:w="3576" w:type="dxa"/>
            <w:vAlign w:val="center"/>
          </w:tcPr>
          <w:p>
            <w:pPr>
              <w:pStyle w:val="19"/>
              <w:spacing w:line="440" w:lineRule="exact"/>
              <w:jc w:val="center"/>
              <w:rPr>
                <w:rFonts w:hint="eastAsia" w:ascii="仿宋" w:hAnsi="仿宋" w:eastAsia="仿宋" w:cs="仿宋"/>
                <w:bCs/>
                <w:sz w:val="21"/>
                <w:szCs w:val="21"/>
              </w:rPr>
            </w:pPr>
          </w:p>
        </w:tc>
        <w:tc>
          <w:tcPr>
            <w:tcW w:w="1791" w:type="dxa"/>
            <w:vAlign w:val="center"/>
          </w:tcPr>
          <w:p>
            <w:pPr>
              <w:pStyle w:val="19"/>
              <w:spacing w:line="440" w:lineRule="exact"/>
              <w:jc w:val="center"/>
              <w:rPr>
                <w:rFonts w:hint="eastAsia" w:ascii="仿宋" w:hAnsi="仿宋" w:eastAsia="仿宋" w:cs="仿宋"/>
                <w:bCs/>
                <w:sz w:val="21"/>
                <w:szCs w:val="21"/>
              </w:rPr>
            </w:pPr>
            <w:r>
              <w:rPr>
                <w:rFonts w:hint="eastAsia" w:ascii="仿宋" w:hAnsi="仿宋" w:eastAsia="仿宋" w:cs="仿宋"/>
                <w:bCs/>
                <w:sz w:val="21"/>
                <w:szCs w:val="21"/>
              </w:rPr>
              <w:t>联系人姓名</w:t>
            </w:r>
          </w:p>
        </w:tc>
        <w:tc>
          <w:tcPr>
            <w:tcW w:w="2105" w:type="dxa"/>
            <w:vAlign w:val="center"/>
          </w:tcPr>
          <w:p>
            <w:pPr>
              <w:pStyle w:val="19"/>
              <w:spacing w:line="440" w:lineRule="exact"/>
              <w:jc w:val="center"/>
              <w:rPr>
                <w:rFonts w:hint="eastAsia" w:ascii="仿宋" w:hAnsi="仿宋" w:eastAsia="仿宋" w:cs="仿宋"/>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pPr>
              <w:pStyle w:val="19"/>
              <w:spacing w:line="440" w:lineRule="exact"/>
              <w:jc w:val="center"/>
              <w:rPr>
                <w:rFonts w:hint="eastAsia" w:ascii="仿宋" w:hAnsi="仿宋" w:eastAsia="仿宋" w:cs="仿宋"/>
                <w:bCs/>
                <w:sz w:val="21"/>
                <w:szCs w:val="21"/>
              </w:rPr>
            </w:pPr>
            <w:r>
              <w:rPr>
                <w:rFonts w:hint="eastAsia" w:ascii="仿宋" w:hAnsi="仿宋" w:eastAsia="仿宋" w:cs="仿宋"/>
                <w:bCs/>
                <w:sz w:val="21"/>
                <w:szCs w:val="21"/>
              </w:rPr>
              <w:t>开户银行账号</w:t>
            </w:r>
          </w:p>
        </w:tc>
        <w:tc>
          <w:tcPr>
            <w:tcW w:w="3576" w:type="dxa"/>
            <w:vAlign w:val="center"/>
          </w:tcPr>
          <w:p>
            <w:pPr>
              <w:pStyle w:val="19"/>
              <w:spacing w:line="440" w:lineRule="exact"/>
              <w:jc w:val="center"/>
              <w:rPr>
                <w:rFonts w:hint="eastAsia" w:ascii="仿宋" w:hAnsi="仿宋" w:eastAsia="仿宋" w:cs="仿宋"/>
                <w:bCs/>
                <w:sz w:val="21"/>
                <w:szCs w:val="21"/>
              </w:rPr>
            </w:pPr>
          </w:p>
        </w:tc>
        <w:tc>
          <w:tcPr>
            <w:tcW w:w="1791" w:type="dxa"/>
            <w:vAlign w:val="center"/>
          </w:tcPr>
          <w:p>
            <w:pPr>
              <w:pStyle w:val="19"/>
              <w:spacing w:line="440" w:lineRule="exact"/>
              <w:jc w:val="center"/>
              <w:rPr>
                <w:rFonts w:hint="eastAsia" w:ascii="仿宋" w:hAnsi="仿宋" w:eastAsia="仿宋" w:cs="仿宋"/>
                <w:bCs/>
                <w:sz w:val="21"/>
                <w:szCs w:val="21"/>
              </w:rPr>
            </w:pPr>
            <w:r>
              <w:rPr>
                <w:rFonts w:hint="eastAsia" w:ascii="仿宋" w:hAnsi="仿宋" w:eastAsia="仿宋" w:cs="仿宋"/>
                <w:bCs/>
                <w:sz w:val="21"/>
                <w:szCs w:val="21"/>
              </w:rPr>
              <w:t>联系人电话</w:t>
            </w:r>
          </w:p>
        </w:tc>
        <w:tc>
          <w:tcPr>
            <w:tcW w:w="2105" w:type="dxa"/>
            <w:vAlign w:val="center"/>
          </w:tcPr>
          <w:p>
            <w:pPr>
              <w:pStyle w:val="19"/>
              <w:spacing w:line="440" w:lineRule="exact"/>
              <w:jc w:val="center"/>
              <w:rPr>
                <w:rFonts w:hint="eastAsia" w:ascii="仿宋" w:hAnsi="仿宋" w:eastAsia="仿宋" w:cs="仿宋"/>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0" w:type="dxa"/>
            <w:vAlign w:val="center"/>
          </w:tcPr>
          <w:p>
            <w:pPr>
              <w:pStyle w:val="19"/>
              <w:spacing w:line="440" w:lineRule="exact"/>
              <w:jc w:val="center"/>
              <w:rPr>
                <w:rFonts w:hint="eastAsia" w:ascii="仿宋" w:hAnsi="仿宋" w:eastAsia="仿宋" w:cs="仿宋"/>
                <w:bCs/>
                <w:sz w:val="21"/>
                <w:szCs w:val="21"/>
              </w:rPr>
            </w:pPr>
            <w:r>
              <w:rPr>
                <w:rFonts w:hint="eastAsia" w:ascii="仿宋" w:hAnsi="仿宋" w:eastAsia="仿宋" w:cs="仿宋"/>
                <w:bCs/>
                <w:sz w:val="21"/>
                <w:szCs w:val="21"/>
              </w:rPr>
              <w:t>电子发票收件</w:t>
            </w:r>
          </w:p>
          <w:p>
            <w:pPr>
              <w:pStyle w:val="19"/>
              <w:spacing w:line="440" w:lineRule="exact"/>
              <w:jc w:val="center"/>
              <w:rPr>
                <w:rFonts w:hint="eastAsia" w:ascii="仿宋" w:hAnsi="仿宋" w:eastAsia="仿宋" w:cs="仿宋"/>
                <w:bCs/>
                <w:sz w:val="21"/>
                <w:szCs w:val="21"/>
              </w:rPr>
            </w:pPr>
            <w:r>
              <w:rPr>
                <w:rFonts w:hint="eastAsia" w:ascii="仿宋" w:hAnsi="仿宋" w:eastAsia="仿宋" w:cs="仿宋"/>
                <w:bCs/>
                <w:sz w:val="21"/>
                <w:szCs w:val="21"/>
              </w:rPr>
              <w:t>电子邮箱</w:t>
            </w:r>
          </w:p>
        </w:tc>
        <w:tc>
          <w:tcPr>
            <w:tcW w:w="7472" w:type="dxa"/>
            <w:gridSpan w:val="3"/>
            <w:vAlign w:val="center"/>
          </w:tcPr>
          <w:p>
            <w:pPr>
              <w:pStyle w:val="19"/>
              <w:spacing w:line="440" w:lineRule="exact"/>
              <w:rPr>
                <w:rFonts w:hint="eastAsia" w:ascii="仿宋" w:hAnsi="仿宋" w:eastAsia="仿宋" w:cs="仿宋"/>
                <w:bCs/>
                <w:sz w:val="21"/>
                <w:szCs w:val="21"/>
              </w:rPr>
            </w:pPr>
            <w:r>
              <w:rPr>
                <w:rFonts w:hint="eastAsia" w:ascii="仿宋" w:hAnsi="仿宋" w:eastAsia="仿宋" w:cs="仿宋"/>
                <w:bCs/>
                <w:sz w:val="21"/>
                <w:szCs w:val="21"/>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jc w:val="center"/>
        </w:trPr>
        <w:tc>
          <w:tcPr>
            <w:tcW w:w="2490" w:type="dxa"/>
            <w:vAlign w:val="center"/>
          </w:tcPr>
          <w:p>
            <w:pPr>
              <w:pStyle w:val="19"/>
              <w:spacing w:line="440" w:lineRule="exact"/>
              <w:jc w:val="center"/>
              <w:rPr>
                <w:rFonts w:hint="eastAsia" w:ascii="仿宋" w:hAnsi="仿宋" w:eastAsia="仿宋" w:cs="仿宋"/>
                <w:bCs/>
                <w:sz w:val="21"/>
                <w:szCs w:val="21"/>
              </w:rPr>
            </w:pPr>
            <w:r>
              <w:rPr>
                <w:rFonts w:hint="eastAsia" w:ascii="仿宋" w:hAnsi="仿宋" w:eastAsia="仿宋" w:cs="仿宋"/>
                <w:bCs/>
                <w:sz w:val="21"/>
                <w:szCs w:val="21"/>
              </w:rPr>
              <w:t>发票邮寄地址：</w:t>
            </w:r>
          </w:p>
        </w:tc>
        <w:tc>
          <w:tcPr>
            <w:tcW w:w="7472" w:type="dxa"/>
            <w:gridSpan w:val="3"/>
            <w:vAlign w:val="center"/>
          </w:tcPr>
          <w:p>
            <w:pPr>
              <w:pStyle w:val="19"/>
              <w:spacing w:line="440" w:lineRule="exact"/>
              <w:jc w:val="both"/>
              <w:rPr>
                <w:rFonts w:hint="eastAsia" w:ascii="仿宋" w:hAnsi="仿宋" w:eastAsia="仿宋" w:cs="仿宋"/>
                <w:bCs/>
                <w:sz w:val="21"/>
                <w:szCs w:val="21"/>
              </w:rPr>
            </w:pPr>
            <w:r>
              <w:rPr>
                <w:rFonts w:hint="eastAsia" w:ascii="仿宋" w:hAnsi="仿宋" w:eastAsia="仿宋" w:cs="仿宋"/>
                <w:bCs/>
                <w:sz w:val="21"/>
                <w:szCs w:val="21"/>
              </w:rPr>
              <w:t>地址：</w:t>
            </w:r>
          </w:p>
          <w:p>
            <w:pPr>
              <w:pStyle w:val="19"/>
              <w:spacing w:line="440" w:lineRule="exact"/>
              <w:jc w:val="both"/>
              <w:rPr>
                <w:rFonts w:hint="eastAsia" w:ascii="仿宋" w:hAnsi="仿宋" w:eastAsia="仿宋" w:cs="仿宋"/>
                <w:bCs/>
                <w:sz w:val="21"/>
                <w:szCs w:val="21"/>
              </w:rPr>
            </w:pPr>
            <w:r>
              <w:rPr>
                <w:rFonts w:hint="eastAsia" w:ascii="仿宋" w:hAnsi="仿宋" w:eastAsia="仿宋" w:cs="仿宋"/>
                <w:bCs/>
                <w:sz w:val="21"/>
                <w:szCs w:val="21"/>
              </w:rPr>
              <w:t>收件人：                电话：</w:t>
            </w:r>
          </w:p>
        </w:tc>
      </w:tr>
    </w:tbl>
    <w:p>
      <w:pPr>
        <w:pStyle w:val="19"/>
        <w:spacing w:line="440" w:lineRule="exact"/>
        <w:jc w:val="both"/>
        <w:rPr>
          <w:rFonts w:hint="eastAsia" w:ascii="仿宋" w:hAnsi="仿宋" w:eastAsia="仿宋" w:cs="仿宋"/>
          <w:bCs/>
          <w:sz w:val="21"/>
          <w:szCs w:val="21"/>
        </w:rPr>
      </w:pPr>
      <w:r>
        <w:rPr>
          <w:rFonts w:hint="eastAsia" w:ascii="仿宋" w:hAnsi="仿宋" w:eastAsia="仿宋" w:cs="仿宋"/>
          <w:bCs/>
          <w:sz w:val="21"/>
          <w:szCs w:val="21"/>
        </w:rPr>
        <w:t xml:space="preserve">    我公司提供的上述开票信息准确无误，如果因我公司提供上述信息错误，导致发票无效的，将由我公司承担相应后果。</w:t>
      </w:r>
    </w:p>
    <w:p>
      <w:pPr>
        <w:pStyle w:val="19"/>
        <w:spacing w:line="440" w:lineRule="exact"/>
        <w:jc w:val="both"/>
        <w:rPr>
          <w:rFonts w:hint="eastAsia" w:ascii="仿宋" w:hAnsi="仿宋" w:eastAsia="仿宋" w:cs="仿宋"/>
          <w:bCs/>
          <w:sz w:val="21"/>
          <w:szCs w:val="21"/>
        </w:rPr>
      </w:pPr>
    </w:p>
    <w:p>
      <w:pPr>
        <w:pStyle w:val="19"/>
        <w:spacing w:line="440" w:lineRule="exact"/>
        <w:ind w:firstLine="420" w:firstLineChars="200"/>
        <w:jc w:val="both"/>
        <w:rPr>
          <w:rFonts w:hint="eastAsia" w:ascii="仿宋" w:hAnsi="仿宋" w:eastAsia="仿宋" w:cs="仿宋"/>
          <w:bCs/>
          <w:sz w:val="21"/>
          <w:szCs w:val="21"/>
        </w:rPr>
      </w:pPr>
      <w:r>
        <w:rPr>
          <w:rFonts w:hint="eastAsia" w:ascii="仿宋" w:hAnsi="仿宋" w:eastAsia="仿宋" w:cs="仿宋"/>
          <w:bCs/>
          <w:sz w:val="21"/>
          <w:szCs w:val="21"/>
        </w:rPr>
        <w:t>注：</w:t>
      </w:r>
      <w:r>
        <w:rPr>
          <w:rFonts w:hint="eastAsia" w:ascii="仿宋" w:hAnsi="仿宋" w:eastAsia="仿宋" w:cs="仿宋"/>
          <w:bCs/>
          <w:sz w:val="21"/>
          <w:szCs w:val="21"/>
          <w:lang w:eastAsia="zh-CN"/>
        </w:rPr>
        <w:t>投标人</w:t>
      </w:r>
      <w:r>
        <w:rPr>
          <w:rFonts w:hint="eastAsia" w:ascii="仿宋" w:hAnsi="仿宋" w:eastAsia="仿宋" w:cs="仿宋"/>
          <w:bCs/>
          <w:sz w:val="21"/>
          <w:szCs w:val="21"/>
        </w:rPr>
        <w:t>需要采购代理机构开具增值税发票的，请在上表中填写相关信息，</w:t>
      </w:r>
      <w:r>
        <w:rPr>
          <w:rFonts w:hint="eastAsia" w:ascii="仿宋" w:hAnsi="仿宋" w:eastAsia="仿宋" w:cs="仿宋"/>
          <w:b/>
          <w:sz w:val="21"/>
          <w:szCs w:val="21"/>
        </w:rPr>
        <w:t>如</w:t>
      </w:r>
      <w:r>
        <w:rPr>
          <w:rFonts w:hint="eastAsia" w:ascii="仿宋" w:hAnsi="仿宋" w:eastAsia="仿宋" w:cs="仿宋"/>
          <w:b/>
          <w:sz w:val="21"/>
          <w:szCs w:val="21"/>
          <w:lang w:eastAsia="zh-CN"/>
        </w:rPr>
        <w:t>投标人</w:t>
      </w:r>
      <w:r>
        <w:rPr>
          <w:rFonts w:hint="eastAsia" w:ascii="仿宋" w:hAnsi="仿宋" w:eastAsia="仿宋" w:cs="仿宋"/>
          <w:b/>
          <w:sz w:val="21"/>
          <w:szCs w:val="21"/>
        </w:rPr>
        <w:t>需要开具增值税专用发票的须附</w:t>
      </w:r>
      <w:r>
        <w:rPr>
          <w:rFonts w:hint="eastAsia" w:ascii="仿宋" w:hAnsi="仿宋" w:eastAsia="仿宋" w:cs="仿宋"/>
          <w:b/>
          <w:sz w:val="21"/>
          <w:szCs w:val="21"/>
          <w:lang w:eastAsia="zh-CN"/>
        </w:rPr>
        <w:t>投标人</w:t>
      </w:r>
      <w:r>
        <w:rPr>
          <w:rFonts w:hint="eastAsia" w:ascii="仿宋" w:hAnsi="仿宋" w:eastAsia="仿宋" w:cs="仿宋"/>
          <w:b/>
          <w:sz w:val="21"/>
          <w:szCs w:val="21"/>
        </w:rPr>
        <w:t>开户许可证、一般纳税人认定文件的清晰复印件加盖公章，以及开票信息（见上表）。</w:t>
      </w:r>
      <w:r>
        <w:rPr>
          <w:rFonts w:hint="eastAsia" w:ascii="仿宋" w:hAnsi="仿宋" w:eastAsia="仿宋" w:cs="仿宋"/>
          <w:bCs/>
          <w:sz w:val="21"/>
          <w:szCs w:val="21"/>
        </w:rPr>
        <w:t>如</w:t>
      </w:r>
      <w:r>
        <w:rPr>
          <w:rFonts w:hint="eastAsia" w:ascii="仿宋" w:hAnsi="仿宋" w:eastAsia="仿宋" w:cs="仿宋"/>
          <w:bCs/>
          <w:sz w:val="21"/>
          <w:szCs w:val="21"/>
          <w:lang w:eastAsia="zh-CN"/>
        </w:rPr>
        <w:t>投标人</w:t>
      </w:r>
      <w:r>
        <w:rPr>
          <w:rFonts w:hint="eastAsia" w:ascii="仿宋" w:hAnsi="仿宋" w:eastAsia="仿宋" w:cs="仿宋"/>
          <w:bCs/>
          <w:sz w:val="21"/>
          <w:szCs w:val="21"/>
        </w:rPr>
        <w:t>在开票信息中未注明开具</w:t>
      </w:r>
      <w:r>
        <w:rPr>
          <w:rFonts w:hint="eastAsia" w:ascii="仿宋" w:hAnsi="仿宋" w:eastAsia="仿宋" w:cs="仿宋"/>
          <w:b/>
          <w:sz w:val="21"/>
          <w:szCs w:val="21"/>
        </w:rPr>
        <w:t>增值税专用发票</w:t>
      </w:r>
      <w:r>
        <w:rPr>
          <w:rFonts w:hint="eastAsia" w:ascii="仿宋" w:hAnsi="仿宋" w:eastAsia="仿宋" w:cs="仿宋"/>
          <w:bCs/>
          <w:sz w:val="21"/>
          <w:szCs w:val="21"/>
        </w:rPr>
        <w:t>且未提供上述材料，代理机构将默认开具增值税普通发票。</w:t>
      </w:r>
    </w:p>
    <w:p>
      <w:pPr>
        <w:pStyle w:val="19"/>
        <w:spacing w:line="440" w:lineRule="exact"/>
        <w:jc w:val="both"/>
        <w:rPr>
          <w:rFonts w:hint="eastAsia" w:ascii="仿宋" w:hAnsi="仿宋" w:eastAsia="仿宋" w:cs="仿宋"/>
          <w:bCs/>
          <w:sz w:val="21"/>
          <w:szCs w:val="21"/>
        </w:rPr>
      </w:pPr>
    </w:p>
    <w:p>
      <w:pPr>
        <w:adjustRightInd w:val="0"/>
        <w:snapToGrid w:val="0"/>
        <w:spacing w:line="440" w:lineRule="exact"/>
        <w:rPr>
          <w:rFonts w:hint="eastAsia" w:ascii="仿宋" w:hAnsi="仿宋" w:eastAsia="仿宋" w:cs="仿宋"/>
          <w:color w:val="000000"/>
          <w:sz w:val="21"/>
          <w:szCs w:val="21"/>
          <w:u w:val="single"/>
        </w:rPr>
      </w:pPr>
      <w:r>
        <w:rPr>
          <w:rFonts w:hint="eastAsia" w:ascii="仿宋" w:hAnsi="仿宋" w:eastAsia="仿宋" w:cs="仿宋"/>
          <w:color w:val="000000"/>
          <w:sz w:val="21"/>
          <w:szCs w:val="21"/>
          <w:lang w:val="en-US" w:eastAsia="zh-CN"/>
        </w:rPr>
        <w:t>投标人</w:t>
      </w:r>
      <w:r>
        <w:rPr>
          <w:rFonts w:hint="eastAsia" w:ascii="仿宋" w:hAnsi="仿宋" w:eastAsia="仿宋" w:cs="仿宋"/>
          <w:color w:val="000000"/>
          <w:sz w:val="21"/>
          <w:szCs w:val="21"/>
        </w:rPr>
        <w:t>法定代表人（或法定代表人授权代表）签字：</w:t>
      </w:r>
    </w:p>
    <w:p>
      <w:pPr>
        <w:adjustRightInd w:val="0"/>
        <w:snapToGrid w:val="0"/>
        <w:spacing w:line="440" w:lineRule="exact"/>
        <w:rPr>
          <w:rFonts w:hint="eastAsia" w:ascii="仿宋" w:hAnsi="仿宋" w:eastAsia="仿宋" w:cs="仿宋"/>
          <w:color w:val="000000"/>
          <w:sz w:val="21"/>
          <w:szCs w:val="21"/>
          <w:u w:val="single"/>
        </w:rPr>
      </w:pPr>
      <w:r>
        <w:rPr>
          <w:rFonts w:hint="eastAsia" w:ascii="仿宋" w:hAnsi="仿宋" w:eastAsia="仿宋" w:cs="仿宋"/>
          <w:color w:val="000000"/>
          <w:sz w:val="21"/>
          <w:szCs w:val="21"/>
          <w:lang w:val="en-US" w:eastAsia="zh-CN"/>
        </w:rPr>
        <w:t>投标人</w:t>
      </w:r>
      <w:r>
        <w:rPr>
          <w:rFonts w:hint="eastAsia" w:ascii="仿宋" w:hAnsi="仿宋" w:eastAsia="仿宋" w:cs="仿宋"/>
          <w:color w:val="000000"/>
          <w:sz w:val="21"/>
          <w:szCs w:val="21"/>
        </w:rPr>
        <w:t>名称（加盖公章）：</w:t>
      </w:r>
    </w:p>
    <w:p>
      <w:pPr>
        <w:pStyle w:val="19"/>
        <w:spacing w:line="440" w:lineRule="exact"/>
        <w:jc w:val="both"/>
        <w:rPr>
          <w:rFonts w:hint="eastAsia" w:ascii="仿宋" w:hAnsi="仿宋" w:eastAsia="仿宋" w:cs="仿宋"/>
          <w:b/>
          <w:bCs/>
          <w:color w:val="000000"/>
          <w:sz w:val="21"/>
          <w:szCs w:val="21"/>
          <w:lang w:bidi="ar"/>
        </w:rPr>
      </w:pPr>
      <w:r>
        <w:rPr>
          <w:rFonts w:hint="eastAsia" w:ascii="仿宋" w:hAnsi="仿宋" w:eastAsia="仿宋" w:cs="仿宋"/>
          <w:color w:val="000000"/>
          <w:sz w:val="21"/>
          <w:szCs w:val="21"/>
        </w:rPr>
        <w:t>日期：   年   月   日</w:t>
      </w:r>
    </w:p>
    <w:p>
      <w:pPr>
        <w:keepNext w:val="0"/>
        <w:keepLines w:val="0"/>
        <w:pageBreakBefore w:val="0"/>
        <w:kinsoku/>
        <w:wordWrap/>
        <w:overflowPunct/>
        <w:topLinePunct w:val="0"/>
        <w:autoSpaceDE/>
        <w:autoSpaceDN/>
        <w:bidi w:val="0"/>
        <w:adjustRightInd/>
        <w:snapToGrid/>
        <w:spacing w:line="500" w:lineRule="exact"/>
        <w:textAlignment w:val="auto"/>
        <w:rPr>
          <w:rFonts w:hint="eastAsia" w:ascii="仿宋" w:hAnsi="仿宋" w:eastAsia="仿宋" w:cs="仿宋"/>
          <w:b w:val="0"/>
          <w:bCs w:val="0"/>
          <w:color w:val="000000"/>
          <w:kern w:val="0"/>
          <w:sz w:val="24"/>
          <w:szCs w:val="24"/>
          <w:lang w:val="en-US" w:eastAsia="zh-CN" w:bidi="ar"/>
        </w:rPr>
      </w:pPr>
    </w:p>
    <w:sectPr>
      <w:footerReference r:id="rId4" w:type="default"/>
      <w:pgSz w:w="11906" w:h="16838"/>
      <w:pgMar w:top="1440" w:right="1706"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embedRegular r:id="rId1" w:fontKey="{FA20770C-8682-48BF-95E0-15BA25F609DE}"/>
  </w:font>
  <w:font w:name="楷体">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embedRegular r:id="rId2" w:fontKey="{6993FE0A-9B21-4BF4-89E0-D3686BDAA6EB}"/>
  </w:font>
  <w:font w:name="仿宋_GB2312">
    <w:panose1 w:val="02010609030101010101"/>
    <w:charset w:val="86"/>
    <w:family w:val="auto"/>
    <w:pitch w:val="default"/>
    <w:sig w:usb0="00000001" w:usb1="080E0000" w:usb2="00000000" w:usb3="00000000" w:csb0="00040000" w:csb1="00000000"/>
    <w:embedRegular r:id="rId3" w:fontKey="{06BDAB5A-BA87-4B41-B56F-5B8C6C3E451E}"/>
  </w:font>
  <w:font w:name="Microsoft JhengHei UI">
    <w:panose1 w:val="020B0604030504040204"/>
    <w:charset w:val="88"/>
    <w:family w:val="auto"/>
    <w:pitch w:val="default"/>
    <w:sig w:usb0="000002A7" w:usb1="28CF4400" w:usb2="00000016" w:usb3="00000000" w:csb0="00100009" w:csb1="00000000"/>
    <w:embedRegular r:id="rId4" w:fontKey="{6E71D12C-FA51-465F-A75B-EA4DE482112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9"/>
                          </w:pPr>
                          <w:r>
                            <w:t xml:space="preserve">第 </w:t>
                          </w:r>
                          <w:r>
                            <w:fldChar w:fldCharType="begin"/>
                          </w:r>
                          <w:r>
                            <w:instrText xml:space="preserve"> PAGE  \* MERGEFORMAT </w:instrText>
                          </w:r>
                          <w:r>
                            <w:fldChar w:fldCharType="separate"/>
                          </w:r>
                          <w:r>
                            <w:t>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9"/>
                    </w:pPr>
                    <w:r>
                      <w:t xml:space="preserve">第 </w:t>
                    </w:r>
                    <w:r>
                      <w:fldChar w:fldCharType="begin"/>
                    </w:r>
                    <w:r>
                      <w:instrText xml:space="preserve"> PAGE  \* MERGEFORMAT </w:instrText>
                    </w:r>
                    <w:r>
                      <w:fldChar w:fldCharType="separate"/>
                    </w:r>
                    <w:r>
                      <w:t>4</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1"/>
      </w:pBdr>
      <w:ind w:firstLine="840" w:firstLineChars="300"/>
      <w:rPr>
        <w:rFonts w:hint="eastAsia"/>
      </w:rPr>
    </w:pPr>
    <w:r>
      <w:rPr>
        <w:rFonts w:hint="eastAsia" w:ascii="仿宋_GB2312" w:hAnsi="仿宋_GB2312" w:eastAsia="仿宋_GB2312" w:cs="仿宋_GB2312"/>
        <w:sz w:val="28"/>
        <w:szCs w:val="28"/>
        <w:lang w:eastAsia="zh-CN"/>
      </w:rPr>
      <w:drawing>
        <wp:anchor distT="0" distB="0" distL="114300" distR="114300" simplePos="0" relativeHeight="251659264" behindDoc="1" locked="0" layoutInCell="1" allowOverlap="1">
          <wp:simplePos x="0" y="0"/>
          <wp:positionH relativeFrom="column">
            <wp:posOffset>54610</wp:posOffset>
          </wp:positionH>
          <wp:positionV relativeFrom="paragraph">
            <wp:posOffset>-11430</wp:posOffset>
          </wp:positionV>
          <wp:extent cx="427355" cy="413385"/>
          <wp:effectExtent l="0" t="0" r="10795" b="5715"/>
          <wp:wrapTight wrapText="bothSides">
            <wp:wrapPolygon>
              <wp:start x="0" y="0"/>
              <wp:lineTo x="0" y="20903"/>
              <wp:lineTo x="20894" y="20903"/>
              <wp:lineTo x="20894" y="0"/>
              <wp:lineTo x="0" y="0"/>
            </wp:wrapPolygon>
          </wp:wrapTight>
          <wp:docPr id="1" name="图片 1" descr="168084135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80841359666"/>
                  <pic:cNvPicPr>
                    <a:picLocks noChangeAspect="1"/>
                  </pic:cNvPicPr>
                </pic:nvPicPr>
                <pic:blipFill>
                  <a:blip r:embed="rId1"/>
                  <a:stretch>
                    <a:fillRect/>
                  </a:stretch>
                </pic:blipFill>
                <pic:spPr>
                  <a:xfrm>
                    <a:off x="0" y="0"/>
                    <a:ext cx="427355" cy="413385"/>
                  </a:xfrm>
                  <a:prstGeom prst="rect">
                    <a:avLst/>
                  </a:prstGeom>
                </pic:spPr>
              </pic:pic>
            </a:graphicData>
          </a:graphic>
        </wp:anchor>
      </w:drawing>
    </w:r>
    <w:r>
      <w:rPr>
        <w:rFonts w:hint="eastAsia" w:ascii="仿宋_GB2312" w:hAnsi="仿宋_GB2312" w:eastAsia="仿宋_GB2312" w:cs="仿宋_GB2312"/>
        <w:sz w:val="28"/>
        <w:szCs w:val="28"/>
      </w:rPr>
      <w:t xml:space="preserve">新疆世纪星工程咨询有限公司  </w:t>
    </w:r>
    <w:r>
      <w:rPr>
        <w:rFonts w:hint="eastAsia" w:ascii="仿宋_GB2312" w:hAnsi="仿宋_GB2312" w:eastAsia="仿宋_GB2312" w:cs="仿宋_GB2312"/>
        <w:sz w:val="21"/>
        <w:szCs w:val="21"/>
      </w:rPr>
      <w:t>新疆乌鲁木齐市黄山街德港大厦20层</w:t>
    </w:r>
  </w:p>
  <w:p>
    <w:pPr>
      <w:pStyle w:val="20"/>
      <w:pBdr>
        <w:bottom w:val="single" w:color="auto" w:sz="4" w:space="1"/>
      </w:pBdr>
      <w:ind w:firstLine="1040" w:firstLineChars="800"/>
    </w:pPr>
    <w:r>
      <w:rPr>
        <w:rFonts w:hint="eastAsia" w:ascii="Microsoft JhengHei UI" w:hAnsi="Microsoft JhengHei UI" w:eastAsia="Microsoft JhengHei UI" w:cs="Microsoft JhengHei UI"/>
        <w:sz w:val="13"/>
        <w:szCs w:val="20"/>
      </w:rPr>
      <w:t>Xinjiang Century Star Engineering Consulting Co., Ltd.</w:t>
    </w:r>
    <w:r>
      <w:rPr>
        <w:rFonts w:hint="eastAsia"/>
      </w:rPr>
      <w:t xml:space="preserve">     TEL：0991-3678303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A0D1B5"/>
    <w:multiLevelType w:val="singleLevel"/>
    <w:tmpl w:val="82A0D1B5"/>
    <w:lvl w:ilvl="0" w:tentative="0">
      <w:start w:val="1"/>
      <w:numFmt w:val="decimal"/>
      <w:suff w:val="nothing"/>
      <w:lvlText w:val="（%1）"/>
      <w:lvlJc w:val="left"/>
    </w:lvl>
  </w:abstractNum>
  <w:abstractNum w:abstractNumId="1">
    <w:nsid w:val="84C3F883"/>
    <w:multiLevelType w:val="multilevel"/>
    <w:tmpl w:val="84C3F883"/>
    <w:lvl w:ilvl="0" w:tentative="0">
      <w:start w:val="2"/>
      <w:numFmt w:val="decimal"/>
      <w:suff w:val="space"/>
      <w:lvlText w:val="%1."/>
      <w:lvlJc w:val="left"/>
      <w:rPr>
        <w:rFonts w:hint="default"/>
        <w:b/>
        <w:bCs/>
      </w:rPr>
    </w:lvl>
    <w:lvl w:ilvl="1" w:tentative="0">
      <w:start w:val="1"/>
      <w:numFmt w:val="decimal"/>
      <w:suff w:val="space"/>
      <w:lvlText w:val="%1.%2"/>
      <w:lvlJc w:val="left"/>
      <w:pPr>
        <w:ind w:left="0" w:leftChars="0" w:firstLine="0" w:firstLineChars="0"/>
      </w:pPr>
      <w:rPr>
        <w:rFonts w:hint="default"/>
        <w:b w:val="0"/>
        <w:bCs w:val="0"/>
      </w:rPr>
    </w:lvl>
    <w:lvl w:ilvl="2" w:tentative="0">
      <w:start w:val="1"/>
      <w:numFmt w:val="decimal"/>
      <w:suff w:val="space"/>
      <w:lvlText w:val="%1.%2.%3"/>
      <w:lvlJc w:val="left"/>
      <w:pPr>
        <w:ind w:left="0" w:leftChars="0" w:firstLine="0" w:firstLineChars="0"/>
      </w:pPr>
      <w:rPr>
        <w:rFonts w:hint="default"/>
        <w:b w:val="0"/>
        <w:bCs w:val="0"/>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2">
    <w:nsid w:val="8D3D6A3D"/>
    <w:multiLevelType w:val="singleLevel"/>
    <w:tmpl w:val="8D3D6A3D"/>
    <w:lvl w:ilvl="0" w:tentative="0">
      <w:start w:val="1"/>
      <w:numFmt w:val="decimal"/>
      <w:suff w:val="nothing"/>
      <w:lvlText w:val="%1．"/>
      <w:lvlJc w:val="left"/>
      <w:pPr>
        <w:ind w:left="0" w:firstLine="0"/>
      </w:pPr>
      <w:rPr>
        <w:rFonts w:hint="default" w:ascii="仿宋" w:hAnsi="仿宋" w:eastAsia="仿宋" w:cs="仿宋"/>
        <w:sz w:val="18"/>
        <w:szCs w:val="18"/>
      </w:rPr>
    </w:lvl>
  </w:abstractNum>
  <w:abstractNum w:abstractNumId="3">
    <w:nsid w:val="CB60E306"/>
    <w:multiLevelType w:val="singleLevel"/>
    <w:tmpl w:val="CB60E306"/>
    <w:lvl w:ilvl="0" w:tentative="0">
      <w:start w:val="1"/>
      <w:numFmt w:val="decimal"/>
      <w:suff w:val="nothing"/>
      <w:lvlText w:val="（%1）"/>
      <w:lvlJc w:val="left"/>
    </w:lvl>
  </w:abstractNum>
  <w:abstractNum w:abstractNumId="4">
    <w:nsid w:val="FB368A1E"/>
    <w:multiLevelType w:val="singleLevel"/>
    <w:tmpl w:val="FB368A1E"/>
    <w:lvl w:ilvl="0" w:tentative="0">
      <w:start w:val="1"/>
      <w:numFmt w:val="decimal"/>
      <w:suff w:val="nothing"/>
      <w:lvlText w:val="%1．"/>
      <w:lvlJc w:val="left"/>
      <w:pPr>
        <w:ind w:left="0" w:firstLine="0"/>
      </w:pPr>
      <w:rPr>
        <w:rFonts w:hint="default" w:ascii="仿宋" w:hAnsi="仿宋" w:eastAsia="仿宋" w:cs="仿宋"/>
        <w:sz w:val="18"/>
        <w:szCs w:val="18"/>
      </w:rPr>
    </w:lvl>
  </w:abstractNum>
  <w:abstractNum w:abstractNumId="5">
    <w:nsid w:val="05FE2DA7"/>
    <w:multiLevelType w:val="singleLevel"/>
    <w:tmpl w:val="05FE2DA7"/>
    <w:lvl w:ilvl="0" w:tentative="0">
      <w:start w:val="1"/>
      <w:numFmt w:val="chineseCounting"/>
      <w:suff w:val="space"/>
      <w:lvlText w:val="第%1章"/>
      <w:lvlJc w:val="left"/>
      <w:rPr>
        <w:rFonts w:hint="eastAsia"/>
        <w:b/>
        <w:bCs/>
        <w:sz w:val="32"/>
        <w:szCs w:val="32"/>
      </w:rPr>
    </w:lvl>
  </w:abstractNum>
  <w:abstractNum w:abstractNumId="6">
    <w:nsid w:val="068BF1D4"/>
    <w:multiLevelType w:val="multilevel"/>
    <w:tmpl w:val="068BF1D4"/>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7">
    <w:nsid w:val="09E5A242"/>
    <w:multiLevelType w:val="singleLevel"/>
    <w:tmpl w:val="09E5A242"/>
    <w:lvl w:ilvl="0" w:tentative="0">
      <w:start w:val="2"/>
      <w:numFmt w:val="chineseCounting"/>
      <w:suff w:val="nothing"/>
      <w:lvlText w:val="%1、"/>
      <w:lvlJc w:val="left"/>
      <w:rPr>
        <w:rFonts w:hint="eastAsia"/>
      </w:rPr>
    </w:lvl>
  </w:abstractNum>
  <w:abstractNum w:abstractNumId="8">
    <w:nsid w:val="16A32F38"/>
    <w:multiLevelType w:val="multilevel"/>
    <w:tmpl w:val="16A32F38"/>
    <w:lvl w:ilvl="0" w:tentative="0">
      <w:start w:val="1"/>
      <w:numFmt w:val="japaneseCounting"/>
      <w:lvlText w:val="第%1条"/>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3BC6F39C"/>
    <w:multiLevelType w:val="singleLevel"/>
    <w:tmpl w:val="3BC6F39C"/>
    <w:lvl w:ilvl="0" w:tentative="0">
      <w:start w:val="1"/>
      <w:numFmt w:val="decimal"/>
      <w:suff w:val="space"/>
      <w:lvlText w:val="%1."/>
      <w:lvlJc w:val="left"/>
    </w:lvl>
  </w:abstractNum>
  <w:abstractNum w:abstractNumId="10">
    <w:nsid w:val="5BEA3476"/>
    <w:multiLevelType w:val="multilevel"/>
    <w:tmpl w:val="5BEA3476"/>
    <w:lvl w:ilvl="0" w:tentative="0">
      <w:start w:val="1"/>
      <w:numFmt w:val="decimal"/>
      <w:suff w:val="nothing"/>
      <w:lvlText w:val="%1、"/>
      <w:lvlJc w:val="left"/>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1">
    <w:nsid w:val="63862E25"/>
    <w:multiLevelType w:val="singleLevel"/>
    <w:tmpl w:val="63862E25"/>
    <w:lvl w:ilvl="0" w:tentative="0">
      <w:start w:val="1"/>
      <w:numFmt w:val="decimal"/>
      <w:suff w:val="space"/>
      <w:lvlText w:val="（%1）"/>
      <w:lvlJc w:val="left"/>
    </w:lvl>
  </w:abstractNum>
  <w:abstractNum w:abstractNumId="12">
    <w:nsid w:val="6D6AA095"/>
    <w:multiLevelType w:val="multilevel"/>
    <w:tmpl w:val="6D6AA095"/>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b w:val="0"/>
        <w:bCs w:val="0"/>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3">
    <w:nsid w:val="6DBF4AE5"/>
    <w:multiLevelType w:val="singleLevel"/>
    <w:tmpl w:val="6DBF4AE5"/>
    <w:lvl w:ilvl="0" w:tentative="0">
      <w:start w:val="1"/>
      <w:numFmt w:val="chineseCounting"/>
      <w:suff w:val="space"/>
      <w:lvlText w:val="%1、"/>
      <w:lvlJc w:val="left"/>
      <w:rPr>
        <w:rFonts w:hint="eastAsia"/>
      </w:rPr>
    </w:lvl>
  </w:abstractNum>
  <w:abstractNum w:abstractNumId="14">
    <w:nsid w:val="7354C3BC"/>
    <w:multiLevelType w:val="multilevel"/>
    <w:tmpl w:val="7354C3BC"/>
    <w:lvl w:ilvl="0" w:tentative="0">
      <w:start w:val="1"/>
      <w:numFmt w:val="decimal"/>
      <w:suff w:val="space"/>
      <w:lvlText w:val="%1"/>
      <w:lvlJc w:val="left"/>
      <w:pPr>
        <w:ind w:left="0" w:leftChars="0" w:firstLine="0" w:firstLineChars="0"/>
      </w:pPr>
      <w:rPr>
        <w:rFonts w:hint="eastAsia"/>
      </w:rPr>
    </w:lvl>
    <w:lvl w:ilvl="1" w:tentative="0">
      <w:start w:val="1"/>
      <w:numFmt w:val="decimalFullWidth"/>
      <w:suff w:val="space"/>
      <w:lvlText w:val="%1.%2"/>
      <w:lvlJc w:val="left"/>
      <w:pPr>
        <w:tabs>
          <w:tab w:val="left" w:pos="0"/>
        </w:tabs>
        <w:ind w:left="0" w:leftChars="0" w:firstLine="0" w:firstLineChars="0"/>
      </w:pPr>
      <w:rPr>
        <w:rFonts w:hint="eastAsia" w:ascii="宋体" w:hAnsi="宋体" w:eastAsia="宋体" w:cs="宋体"/>
      </w:rPr>
    </w:lvl>
    <w:lvl w:ilvl="2" w:tentative="0">
      <w:start w:val="1"/>
      <w:numFmt w:val="decimal"/>
      <w:suff w:val="space"/>
      <w:lvlText w:val="%1.%2.%3"/>
      <w:lvlJc w:val="left"/>
      <w:pPr>
        <w:ind w:left="0" w:leftChars="0" w:firstLine="0" w:firstLineChars="0"/>
      </w:pPr>
      <w:rPr>
        <w:rFonts w:hint="eastAsia"/>
      </w:rPr>
    </w:lvl>
    <w:lvl w:ilvl="3" w:tentative="0">
      <w:start w:val="1"/>
      <w:numFmt w:val="decimal"/>
      <w:suff w:val="space"/>
      <w:lvlText w:val="%1.%2.%3.%4"/>
      <w:lvlJc w:val="left"/>
      <w:pPr>
        <w:ind w:left="0" w:leftChars="0" w:firstLine="0" w:firstLineChars="0"/>
      </w:pPr>
      <w:rPr>
        <w:rFonts w:hint="eastAsia"/>
      </w:rPr>
    </w:lvl>
    <w:lvl w:ilvl="4" w:tentative="0">
      <w:start w:val="1"/>
      <w:numFmt w:val="decimal"/>
      <w:suff w:val="space"/>
      <w:lvlText w:val="%1.%2.%3.%4.%5"/>
      <w:lvlJc w:val="left"/>
      <w:pPr>
        <w:ind w:left="0" w:leftChars="0" w:firstLine="0" w:firstLineChars="0"/>
      </w:pPr>
      <w:rPr>
        <w:rFonts w:hint="eastAsia"/>
      </w:rPr>
    </w:lvl>
    <w:lvl w:ilvl="5" w:tentative="0">
      <w:start w:val="1"/>
      <w:numFmt w:val="decimal"/>
      <w:suff w:val="space"/>
      <w:lvlText w:val="%1.%2.%3.%4.%5.%6"/>
      <w:lvlJc w:val="left"/>
      <w:pPr>
        <w:ind w:left="0" w:leftChars="0" w:firstLine="0" w:firstLineChars="0"/>
      </w:pPr>
      <w:rPr>
        <w:rFonts w:hint="eastAsia"/>
      </w:rPr>
    </w:lvl>
    <w:lvl w:ilvl="6" w:tentative="0">
      <w:start w:val="1"/>
      <w:numFmt w:val="decimal"/>
      <w:suff w:val="space"/>
      <w:lvlText w:val="%1.%2.%3.%4.%5.%6.%7"/>
      <w:lvlJc w:val="left"/>
      <w:pPr>
        <w:ind w:left="0" w:leftChars="0" w:firstLine="0" w:firstLineChars="0"/>
      </w:pPr>
      <w:rPr>
        <w:rFonts w:hint="eastAsia"/>
      </w:rPr>
    </w:lvl>
    <w:lvl w:ilvl="7" w:tentative="0">
      <w:start w:val="1"/>
      <w:numFmt w:val="decimal"/>
      <w:suff w:val="space"/>
      <w:lvlText w:val="%1.%2.%3.%4.%5.%6.%7.%8"/>
      <w:lvlJc w:val="left"/>
      <w:pPr>
        <w:ind w:left="0" w:leftChars="0" w:firstLine="0" w:firstLineChars="0"/>
      </w:pPr>
      <w:rPr>
        <w:rFonts w:hint="eastAsia"/>
      </w:rPr>
    </w:lvl>
    <w:lvl w:ilvl="8" w:tentative="0">
      <w:start w:val="1"/>
      <w:numFmt w:val="decimal"/>
      <w:suff w:val="space"/>
      <w:lvlText w:val="%1.%2.%3.%4.%5.%6.%7.%8.%9"/>
      <w:lvlJc w:val="left"/>
      <w:pPr>
        <w:ind w:left="0" w:leftChars="0" w:firstLine="0" w:firstLineChars="0"/>
      </w:pPr>
      <w:rPr>
        <w:rFonts w:hint="eastAsia"/>
      </w:rPr>
    </w:lvl>
  </w:abstractNum>
  <w:abstractNum w:abstractNumId="15">
    <w:nsid w:val="78F60E4F"/>
    <w:multiLevelType w:val="singleLevel"/>
    <w:tmpl w:val="78F60E4F"/>
    <w:lvl w:ilvl="0" w:tentative="0">
      <w:start w:val="1"/>
      <w:numFmt w:val="chineseCounting"/>
      <w:suff w:val="nothing"/>
      <w:lvlText w:val="%1、"/>
      <w:lvlJc w:val="left"/>
      <w:rPr>
        <w:rFonts w:hint="eastAsia"/>
      </w:rPr>
    </w:lvl>
  </w:abstractNum>
  <w:abstractNum w:abstractNumId="16">
    <w:nsid w:val="7CEE3732"/>
    <w:multiLevelType w:val="singleLevel"/>
    <w:tmpl w:val="7CEE3732"/>
    <w:lvl w:ilvl="0" w:tentative="0">
      <w:start w:val="1"/>
      <w:numFmt w:val="decimal"/>
      <w:suff w:val="nothing"/>
      <w:lvlText w:val="%1、"/>
      <w:lvlJc w:val="left"/>
    </w:lvl>
  </w:abstractNum>
  <w:num w:numId="1">
    <w:abstractNumId w:val="5"/>
  </w:num>
  <w:num w:numId="2">
    <w:abstractNumId w:val="15"/>
  </w:num>
  <w:num w:numId="3">
    <w:abstractNumId w:val="14"/>
  </w:num>
  <w:num w:numId="4">
    <w:abstractNumId w:val="6"/>
  </w:num>
  <w:num w:numId="5">
    <w:abstractNumId w:val="3"/>
  </w:num>
  <w:num w:numId="6">
    <w:abstractNumId w:val="11"/>
  </w:num>
  <w:num w:numId="7">
    <w:abstractNumId w:val="1"/>
  </w:num>
  <w:num w:numId="8">
    <w:abstractNumId w:val="7"/>
  </w:num>
  <w:num w:numId="9">
    <w:abstractNumId w:val="8"/>
  </w:num>
  <w:num w:numId="10">
    <w:abstractNumId w:val="13"/>
  </w:num>
  <w:num w:numId="11">
    <w:abstractNumId w:val="10"/>
  </w:num>
  <w:num w:numId="12">
    <w:abstractNumId w:val="4"/>
  </w:num>
  <w:num w:numId="13">
    <w:abstractNumId w:val="2"/>
  </w:num>
  <w:num w:numId="14">
    <w:abstractNumId w:val="12"/>
  </w:num>
  <w:num w:numId="15">
    <w:abstractNumId w:val="16"/>
  </w:num>
  <w:num w:numId="16">
    <w:abstractNumId w:val="9"/>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U5MjM0NTBmZDYwNGM2MDVlYjY5ZWY2YmE4MzYzMmUifQ=="/>
  </w:docVars>
  <w:rsids>
    <w:rsidRoot w:val="00000000"/>
    <w:rsid w:val="00E13486"/>
    <w:rsid w:val="01D86637"/>
    <w:rsid w:val="024B5872"/>
    <w:rsid w:val="02D36DFE"/>
    <w:rsid w:val="04A22F2C"/>
    <w:rsid w:val="04A423AC"/>
    <w:rsid w:val="04D836CC"/>
    <w:rsid w:val="04DF1A8A"/>
    <w:rsid w:val="052E656D"/>
    <w:rsid w:val="0611026F"/>
    <w:rsid w:val="062C6F51"/>
    <w:rsid w:val="066743AF"/>
    <w:rsid w:val="067A0168"/>
    <w:rsid w:val="06923C54"/>
    <w:rsid w:val="06A64F55"/>
    <w:rsid w:val="076316AD"/>
    <w:rsid w:val="07A86784"/>
    <w:rsid w:val="07AF3996"/>
    <w:rsid w:val="07E84211"/>
    <w:rsid w:val="083500E3"/>
    <w:rsid w:val="08B374B6"/>
    <w:rsid w:val="08BB3AFB"/>
    <w:rsid w:val="08FE75D7"/>
    <w:rsid w:val="09096156"/>
    <w:rsid w:val="09322AD0"/>
    <w:rsid w:val="0A7D5FCD"/>
    <w:rsid w:val="0B3A5C6C"/>
    <w:rsid w:val="0C163667"/>
    <w:rsid w:val="0CB97065"/>
    <w:rsid w:val="0D166265"/>
    <w:rsid w:val="0D2F0B75"/>
    <w:rsid w:val="0D3861DB"/>
    <w:rsid w:val="0D5D1B80"/>
    <w:rsid w:val="0E3D7B44"/>
    <w:rsid w:val="0F0D5446"/>
    <w:rsid w:val="0FAC4A5B"/>
    <w:rsid w:val="108571AB"/>
    <w:rsid w:val="10E2302E"/>
    <w:rsid w:val="10EC6CF5"/>
    <w:rsid w:val="112E1F07"/>
    <w:rsid w:val="11ED63EA"/>
    <w:rsid w:val="12371157"/>
    <w:rsid w:val="12873E94"/>
    <w:rsid w:val="12986F2D"/>
    <w:rsid w:val="140C71EC"/>
    <w:rsid w:val="147C72F5"/>
    <w:rsid w:val="148166C8"/>
    <w:rsid w:val="15673B02"/>
    <w:rsid w:val="15E348F4"/>
    <w:rsid w:val="16651E05"/>
    <w:rsid w:val="16B32D77"/>
    <w:rsid w:val="187D4026"/>
    <w:rsid w:val="1890336F"/>
    <w:rsid w:val="18CE3E98"/>
    <w:rsid w:val="18F57676"/>
    <w:rsid w:val="196B7938"/>
    <w:rsid w:val="197C38F4"/>
    <w:rsid w:val="1A450189"/>
    <w:rsid w:val="1AB53523"/>
    <w:rsid w:val="1AC00AF1"/>
    <w:rsid w:val="1B102545"/>
    <w:rsid w:val="1BB112D8"/>
    <w:rsid w:val="1C8F6AF2"/>
    <w:rsid w:val="1C9111F2"/>
    <w:rsid w:val="1D331864"/>
    <w:rsid w:val="1D8B7ED2"/>
    <w:rsid w:val="1DAF6C2E"/>
    <w:rsid w:val="1DE91501"/>
    <w:rsid w:val="1E4C7D38"/>
    <w:rsid w:val="1E76662B"/>
    <w:rsid w:val="1E88173F"/>
    <w:rsid w:val="1F02489B"/>
    <w:rsid w:val="20365B9C"/>
    <w:rsid w:val="20370574"/>
    <w:rsid w:val="207B66B3"/>
    <w:rsid w:val="21381908"/>
    <w:rsid w:val="22C96D6A"/>
    <w:rsid w:val="23252ECC"/>
    <w:rsid w:val="233568A0"/>
    <w:rsid w:val="23463592"/>
    <w:rsid w:val="242E1B3E"/>
    <w:rsid w:val="24457327"/>
    <w:rsid w:val="2509280E"/>
    <w:rsid w:val="260A5ECB"/>
    <w:rsid w:val="262319BC"/>
    <w:rsid w:val="26355556"/>
    <w:rsid w:val="26753BA5"/>
    <w:rsid w:val="26B446CD"/>
    <w:rsid w:val="26DB2065"/>
    <w:rsid w:val="272C4BAB"/>
    <w:rsid w:val="28292E99"/>
    <w:rsid w:val="28560F12"/>
    <w:rsid w:val="28BE1833"/>
    <w:rsid w:val="28ED43C3"/>
    <w:rsid w:val="29001E4B"/>
    <w:rsid w:val="290E17C8"/>
    <w:rsid w:val="29361D11"/>
    <w:rsid w:val="293715E5"/>
    <w:rsid w:val="299028BB"/>
    <w:rsid w:val="2A331DAD"/>
    <w:rsid w:val="2AF07C9E"/>
    <w:rsid w:val="2B1E1887"/>
    <w:rsid w:val="2B3C2710"/>
    <w:rsid w:val="2BA97E60"/>
    <w:rsid w:val="2C1125C1"/>
    <w:rsid w:val="2C574BAC"/>
    <w:rsid w:val="2CE22E95"/>
    <w:rsid w:val="2D7B7CF2"/>
    <w:rsid w:val="2D880661"/>
    <w:rsid w:val="2D897BF3"/>
    <w:rsid w:val="2DA02D6C"/>
    <w:rsid w:val="2DCD000B"/>
    <w:rsid w:val="2E393998"/>
    <w:rsid w:val="2E4072A5"/>
    <w:rsid w:val="2E4D77A9"/>
    <w:rsid w:val="2E8C7A38"/>
    <w:rsid w:val="2EFC4E63"/>
    <w:rsid w:val="2F0677D9"/>
    <w:rsid w:val="2F835584"/>
    <w:rsid w:val="2FFD5337"/>
    <w:rsid w:val="30007685"/>
    <w:rsid w:val="30E7313A"/>
    <w:rsid w:val="31F96B2E"/>
    <w:rsid w:val="32393423"/>
    <w:rsid w:val="32502EDB"/>
    <w:rsid w:val="33060645"/>
    <w:rsid w:val="33127786"/>
    <w:rsid w:val="33380434"/>
    <w:rsid w:val="337C0B48"/>
    <w:rsid w:val="33B01385"/>
    <w:rsid w:val="34062116"/>
    <w:rsid w:val="341A78AC"/>
    <w:rsid w:val="343926B5"/>
    <w:rsid w:val="3520638E"/>
    <w:rsid w:val="365C7B55"/>
    <w:rsid w:val="3671332B"/>
    <w:rsid w:val="38C500B3"/>
    <w:rsid w:val="39317DFF"/>
    <w:rsid w:val="39365415"/>
    <w:rsid w:val="397A79BB"/>
    <w:rsid w:val="39B0341A"/>
    <w:rsid w:val="3AE03859"/>
    <w:rsid w:val="3B263781"/>
    <w:rsid w:val="3C2E6878"/>
    <w:rsid w:val="3C694FD9"/>
    <w:rsid w:val="3C7249B6"/>
    <w:rsid w:val="3CFB4C5D"/>
    <w:rsid w:val="3DC56D68"/>
    <w:rsid w:val="3E502AD5"/>
    <w:rsid w:val="3E895FE7"/>
    <w:rsid w:val="3F7647BE"/>
    <w:rsid w:val="3F797E42"/>
    <w:rsid w:val="3F942E96"/>
    <w:rsid w:val="3FC90D91"/>
    <w:rsid w:val="40022408"/>
    <w:rsid w:val="40832A7D"/>
    <w:rsid w:val="41041E70"/>
    <w:rsid w:val="41903BA9"/>
    <w:rsid w:val="41E910AE"/>
    <w:rsid w:val="4206121C"/>
    <w:rsid w:val="42134546"/>
    <w:rsid w:val="426D6652"/>
    <w:rsid w:val="42EE4ACA"/>
    <w:rsid w:val="43064193"/>
    <w:rsid w:val="445D7CFA"/>
    <w:rsid w:val="44F3065E"/>
    <w:rsid w:val="456F23DB"/>
    <w:rsid w:val="45747D01"/>
    <w:rsid w:val="4597548E"/>
    <w:rsid w:val="45CF4C28"/>
    <w:rsid w:val="463B406B"/>
    <w:rsid w:val="47413903"/>
    <w:rsid w:val="475573AE"/>
    <w:rsid w:val="48F14EB5"/>
    <w:rsid w:val="49771967"/>
    <w:rsid w:val="498D1081"/>
    <w:rsid w:val="49A308A5"/>
    <w:rsid w:val="49C5081B"/>
    <w:rsid w:val="4B3C4AFB"/>
    <w:rsid w:val="4B74375E"/>
    <w:rsid w:val="4BD71EB9"/>
    <w:rsid w:val="4C0E2F1B"/>
    <w:rsid w:val="4E8F7F77"/>
    <w:rsid w:val="4EA07161"/>
    <w:rsid w:val="50140907"/>
    <w:rsid w:val="502671EF"/>
    <w:rsid w:val="50EC48E0"/>
    <w:rsid w:val="51085492"/>
    <w:rsid w:val="519D68DD"/>
    <w:rsid w:val="534A3B3F"/>
    <w:rsid w:val="54E35FFA"/>
    <w:rsid w:val="550C692B"/>
    <w:rsid w:val="552D6F21"/>
    <w:rsid w:val="55D65293"/>
    <w:rsid w:val="56312D95"/>
    <w:rsid w:val="563C1E65"/>
    <w:rsid w:val="56AD4B11"/>
    <w:rsid w:val="56C703BD"/>
    <w:rsid w:val="5771432A"/>
    <w:rsid w:val="57807D09"/>
    <w:rsid w:val="57E42B12"/>
    <w:rsid w:val="57F86260"/>
    <w:rsid w:val="58141D0E"/>
    <w:rsid w:val="5854577E"/>
    <w:rsid w:val="58A106A5"/>
    <w:rsid w:val="597721AF"/>
    <w:rsid w:val="597B3D4D"/>
    <w:rsid w:val="59C7413C"/>
    <w:rsid w:val="5A4323DB"/>
    <w:rsid w:val="5AA61FA3"/>
    <w:rsid w:val="5AE90F33"/>
    <w:rsid w:val="5AEE394A"/>
    <w:rsid w:val="5B4D241F"/>
    <w:rsid w:val="5B9B762E"/>
    <w:rsid w:val="5C035178"/>
    <w:rsid w:val="5E3F56E7"/>
    <w:rsid w:val="5E4931B1"/>
    <w:rsid w:val="5E4E0751"/>
    <w:rsid w:val="5E6261E1"/>
    <w:rsid w:val="5F182D44"/>
    <w:rsid w:val="5F316174"/>
    <w:rsid w:val="605062F4"/>
    <w:rsid w:val="610F670E"/>
    <w:rsid w:val="61170069"/>
    <w:rsid w:val="62347F47"/>
    <w:rsid w:val="62595B4D"/>
    <w:rsid w:val="627C4C03"/>
    <w:rsid w:val="62AF50C8"/>
    <w:rsid w:val="62B45479"/>
    <w:rsid w:val="62F31AFE"/>
    <w:rsid w:val="63293771"/>
    <w:rsid w:val="635B76A3"/>
    <w:rsid w:val="639935A7"/>
    <w:rsid w:val="63AB2FAE"/>
    <w:rsid w:val="63C96D02"/>
    <w:rsid w:val="64320204"/>
    <w:rsid w:val="64CD45D0"/>
    <w:rsid w:val="65085608"/>
    <w:rsid w:val="65686673"/>
    <w:rsid w:val="65907AD8"/>
    <w:rsid w:val="671E1113"/>
    <w:rsid w:val="672E75A8"/>
    <w:rsid w:val="67902011"/>
    <w:rsid w:val="67B65075"/>
    <w:rsid w:val="67BB4BB4"/>
    <w:rsid w:val="67ED07E2"/>
    <w:rsid w:val="69050E45"/>
    <w:rsid w:val="69FF522C"/>
    <w:rsid w:val="6A07121D"/>
    <w:rsid w:val="6A3B1DD3"/>
    <w:rsid w:val="6A3D6424"/>
    <w:rsid w:val="6AA819B9"/>
    <w:rsid w:val="6B7E03D2"/>
    <w:rsid w:val="6C046B2A"/>
    <w:rsid w:val="6C163F72"/>
    <w:rsid w:val="6C8A7734"/>
    <w:rsid w:val="6C927DDA"/>
    <w:rsid w:val="6CCB0DBE"/>
    <w:rsid w:val="6CFA1CDB"/>
    <w:rsid w:val="6D0F194C"/>
    <w:rsid w:val="6E237322"/>
    <w:rsid w:val="6E933114"/>
    <w:rsid w:val="6E9C74ED"/>
    <w:rsid w:val="6F594B8A"/>
    <w:rsid w:val="6F6F075E"/>
    <w:rsid w:val="6FB940CF"/>
    <w:rsid w:val="6FC54073"/>
    <w:rsid w:val="7064403B"/>
    <w:rsid w:val="71117FF6"/>
    <w:rsid w:val="71445C1A"/>
    <w:rsid w:val="71527F65"/>
    <w:rsid w:val="716A5681"/>
    <w:rsid w:val="71C51DA1"/>
    <w:rsid w:val="71DE7825"/>
    <w:rsid w:val="720B4D39"/>
    <w:rsid w:val="728118F5"/>
    <w:rsid w:val="73BB615B"/>
    <w:rsid w:val="73BC7C0A"/>
    <w:rsid w:val="74BB2697"/>
    <w:rsid w:val="752B5127"/>
    <w:rsid w:val="75F776FF"/>
    <w:rsid w:val="762D3121"/>
    <w:rsid w:val="76A910F4"/>
    <w:rsid w:val="77E06D61"/>
    <w:rsid w:val="7847671C"/>
    <w:rsid w:val="788B1CC4"/>
    <w:rsid w:val="790A14F7"/>
    <w:rsid w:val="798C63B0"/>
    <w:rsid w:val="79A951B4"/>
    <w:rsid w:val="7A470CEB"/>
    <w:rsid w:val="7ACE5FDA"/>
    <w:rsid w:val="7AEF309B"/>
    <w:rsid w:val="7B2014A6"/>
    <w:rsid w:val="7B4F58E7"/>
    <w:rsid w:val="7C093CE8"/>
    <w:rsid w:val="7C9F63FA"/>
    <w:rsid w:val="7CBF2ABF"/>
    <w:rsid w:val="7DD345AE"/>
    <w:rsid w:val="7E665422"/>
    <w:rsid w:val="7E742302"/>
    <w:rsid w:val="7EEF71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qFormat="1" w:uiPriority="39" w:semiHidden="0" w:name="toc 6"/>
    <w:lsdException w:unhideWhenUsed="0" w:uiPriority="0" w:semiHidden="0" w:name="toc 7"/>
    <w:lsdException w:qFormat="1"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11">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12">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13">
    <w:name w:val="heading 3"/>
    <w:basedOn w:val="1"/>
    <w:next w:val="1"/>
    <w:autoRedefine/>
    <w:qFormat/>
    <w:uiPriority w:val="0"/>
    <w:pPr>
      <w:keepNext/>
      <w:keepLines/>
      <w:autoSpaceDE w:val="0"/>
      <w:autoSpaceDN w:val="0"/>
      <w:adjustRightInd w:val="0"/>
      <w:spacing w:before="360" w:after="120"/>
      <w:jc w:val="left"/>
      <w:outlineLvl w:val="2"/>
    </w:pPr>
    <w:rPr>
      <w:rFonts w:ascii="宋体"/>
      <w:b/>
      <w:kern w:val="0"/>
      <w:sz w:val="24"/>
      <w:szCs w:val="20"/>
      <w:u w:val="single"/>
    </w:rPr>
  </w:style>
  <w:style w:type="paragraph" w:styleId="14">
    <w:name w:val="heading 6"/>
    <w:basedOn w:val="1"/>
    <w:next w:val="1"/>
    <w:qFormat/>
    <w:uiPriority w:val="1"/>
    <w:pPr>
      <w:spacing w:before="61"/>
      <w:outlineLvl w:val="6"/>
    </w:pPr>
    <w:rPr>
      <w:rFonts w:ascii="仿宋" w:hAnsi="仿宋" w:eastAsia="仿宋" w:cs="仿宋"/>
      <w:sz w:val="28"/>
      <w:szCs w:val="28"/>
      <w:lang w:val="zh-CN" w:eastAsia="zh-CN" w:bidi="zh-CN"/>
    </w:rPr>
  </w:style>
  <w:style w:type="character" w:default="1" w:styleId="24">
    <w:name w:val="Default Paragraph Font"/>
    <w:autoRedefine/>
    <w:semiHidden/>
    <w:qFormat/>
    <w:uiPriority w:val="0"/>
  </w:style>
  <w:style w:type="table" w:default="1" w:styleId="22">
    <w:name w:val="Normal Table"/>
    <w:autoRedefine/>
    <w:semiHidden/>
    <w:qFormat/>
    <w:uiPriority w:val="0"/>
    <w:tblPr>
      <w:tblCellMar>
        <w:top w:w="0" w:type="dxa"/>
        <w:left w:w="108" w:type="dxa"/>
        <w:bottom w:w="0" w:type="dxa"/>
        <w:right w:w="108" w:type="dxa"/>
      </w:tblCellMar>
    </w:tblPr>
  </w:style>
  <w:style w:type="paragraph" w:styleId="2">
    <w:name w:val="Body Text First Indent 2"/>
    <w:basedOn w:val="3"/>
    <w:next w:val="5"/>
    <w:autoRedefine/>
    <w:unhideWhenUsed/>
    <w:qFormat/>
    <w:uiPriority w:val="99"/>
    <w:pPr>
      <w:widowControl w:val="0"/>
      <w:spacing w:after="120" w:line="360" w:lineRule="auto"/>
      <w:ind w:left="420" w:leftChars="200" w:firstLine="420" w:firstLineChars="200"/>
      <w:jc w:val="both"/>
    </w:pPr>
    <w:rPr>
      <w:rFonts w:ascii="Times New Roman" w:hAnsi="Times New Roman" w:eastAsiaTheme="minorEastAsia" w:cstheme="minorBidi"/>
      <w:kern w:val="0"/>
      <w:sz w:val="21"/>
      <w:szCs w:val="24"/>
      <w:lang w:val="en-US" w:eastAsia="zh-CN" w:bidi="ar-SA"/>
    </w:rPr>
  </w:style>
  <w:style w:type="paragraph" w:styleId="3">
    <w:name w:val="Body Text Indent"/>
    <w:basedOn w:val="1"/>
    <w:next w:val="4"/>
    <w:autoRedefine/>
    <w:qFormat/>
    <w:uiPriority w:val="0"/>
    <w:pPr>
      <w:widowControl w:val="0"/>
      <w:spacing w:line="240" w:lineRule="auto"/>
      <w:ind w:left="-360" w:firstLine="360"/>
      <w:jc w:val="both"/>
    </w:pPr>
    <w:rPr>
      <w:rFonts w:ascii="Times New Roman" w:hAnsi="Times New Roman" w:eastAsiaTheme="minorEastAsia" w:cstheme="minorBidi"/>
      <w:kern w:val="0"/>
      <w:sz w:val="21"/>
      <w:szCs w:val="24"/>
      <w:lang w:val="en-US" w:eastAsia="zh-CN" w:bidi="ar-SA"/>
    </w:rPr>
  </w:style>
  <w:style w:type="paragraph" w:styleId="4">
    <w:name w:val="envelope return"/>
    <w:autoRedefine/>
    <w:qFormat/>
    <w:uiPriority w:val="0"/>
    <w:pPr>
      <w:widowControl w:val="0"/>
      <w:snapToGrid w:val="0"/>
      <w:jc w:val="both"/>
    </w:pPr>
    <w:rPr>
      <w:rFonts w:ascii="Arial" w:hAnsi="Arial" w:eastAsiaTheme="minorEastAsia" w:cstheme="minorBidi"/>
      <w:kern w:val="2"/>
      <w:sz w:val="21"/>
      <w:szCs w:val="24"/>
      <w:lang w:val="en-US" w:eastAsia="zh-CN" w:bidi="ar-SA"/>
    </w:rPr>
  </w:style>
  <w:style w:type="paragraph" w:styleId="5">
    <w:name w:val="Body Text First Indent"/>
    <w:basedOn w:val="6"/>
    <w:next w:val="10"/>
    <w:autoRedefine/>
    <w:qFormat/>
    <w:uiPriority w:val="0"/>
    <w:pPr>
      <w:widowControl w:val="0"/>
      <w:spacing w:line="360" w:lineRule="auto"/>
      <w:ind w:firstLine="420" w:firstLineChars="100"/>
      <w:jc w:val="both"/>
    </w:pPr>
    <w:rPr>
      <w:rFonts w:ascii="楷体" w:hAnsi="楷体" w:eastAsia="楷体" w:cs="楷体"/>
      <w:kern w:val="2"/>
      <w:sz w:val="21"/>
      <w:szCs w:val="24"/>
      <w:lang w:val="zh-CN" w:eastAsia="zh-CN" w:bidi="zh-CN"/>
    </w:rPr>
  </w:style>
  <w:style w:type="paragraph" w:styleId="6">
    <w:name w:val="Body Text"/>
    <w:basedOn w:val="1"/>
    <w:next w:val="7"/>
    <w:autoRedefine/>
    <w:qFormat/>
    <w:uiPriority w:val="1"/>
    <w:pPr>
      <w:widowControl w:val="0"/>
      <w:jc w:val="both"/>
    </w:pPr>
    <w:rPr>
      <w:rFonts w:ascii="楷体" w:hAnsi="楷体" w:eastAsia="楷体" w:cs="楷体"/>
      <w:kern w:val="2"/>
      <w:sz w:val="24"/>
      <w:szCs w:val="24"/>
      <w:lang w:val="zh-CN" w:eastAsia="zh-CN" w:bidi="zh-CN"/>
    </w:rPr>
  </w:style>
  <w:style w:type="paragraph" w:customStyle="1" w:styleId="7">
    <w:name w:val="Default"/>
    <w:basedOn w:val="8"/>
    <w:next w:val="9"/>
    <w:autoRedefine/>
    <w:qFormat/>
    <w:uiPriority w:val="0"/>
    <w:pPr>
      <w:widowControl w:val="0"/>
      <w:autoSpaceDE w:val="0"/>
      <w:autoSpaceDN w:val="0"/>
      <w:adjustRightInd w:val="0"/>
      <w:spacing w:before="240" w:after="60"/>
      <w:jc w:val="center"/>
      <w:outlineLvl w:val="0"/>
    </w:pPr>
    <w:rPr>
      <w:rFonts w:ascii="黑体" w:hAnsi="Cambria" w:eastAsia="黑体" w:cstheme="minorBidi"/>
      <w:kern w:val="2"/>
      <w:sz w:val="32"/>
      <w:szCs w:val="24"/>
      <w:lang w:val="en-US" w:eastAsia="zh-CN" w:bidi="ar-SA"/>
    </w:rPr>
  </w:style>
  <w:style w:type="paragraph" w:styleId="8">
    <w:name w:val="Title"/>
    <w:basedOn w:val="1"/>
    <w:next w:val="1"/>
    <w:autoRedefine/>
    <w:qFormat/>
    <w:uiPriority w:val="0"/>
    <w:pPr>
      <w:widowControl w:val="0"/>
      <w:spacing w:before="240" w:after="60"/>
      <w:jc w:val="center"/>
      <w:outlineLvl w:val="0"/>
    </w:pPr>
    <w:rPr>
      <w:rFonts w:ascii="Cambria" w:hAnsi="Cambria" w:eastAsiaTheme="minorEastAsia" w:cstheme="minorBidi"/>
      <w:b/>
      <w:kern w:val="2"/>
      <w:sz w:val="32"/>
      <w:szCs w:val="24"/>
      <w:lang w:val="en-US" w:eastAsia="zh-CN" w:bidi="ar-SA"/>
    </w:rPr>
  </w:style>
  <w:style w:type="paragraph" w:customStyle="1" w:styleId="9">
    <w:name w:val="大标题"/>
    <w:basedOn w:val="1"/>
    <w:next w:val="2"/>
    <w:autoRedefine/>
    <w:qFormat/>
    <w:uiPriority w:val="0"/>
    <w:pPr>
      <w:jc w:val="center"/>
    </w:pPr>
    <w:rPr>
      <w:rFonts w:ascii="Arial" w:hAnsi="Arial" w:eastAsia="宋体" w:cs="Times New Roman"/>
      <w:b/>
      <w:sz w:val="28"/>
      <w:szCs w:val="24"/>
    </w:rPr>
  </w:style>
  <w:style w:type="paragraph" w:styleId="10">
    <w:name w:val="toc 6"/>
    <w:next w:val="1"/>
    <w:autoRedefine/>
    <w:unhideWhenUsed/>
    <w:qFormat/>
    <w:uiPriority w:val="39"/>
    <w:pPr>
      <w:widowControl w:val="0"/>
      <w:spacing w:line="240" w:lineRule="auto"/>
      <w:ind w:left="2100" w:leftChars="1000"/>
      <w:jc w:val="both"/>
    </w:pPr>
    <w:rPr>
      <w:rFonts w:asciiTheme="minorHAnsi" w:hAnsiTheme="minorHAnsi" w:eastAsiaTheme="minorEastAsia" w:cstheme="minorBidi"/>
      <w:kern w:val="2"/>
      <w:sz w:val="21"/>
      <w:szCs w:val="22"/>
      <w:lang w:val="en-US" w:eastAsia="zh-CN" w:bidi="ar-SA"/>
    </w:rPr>
  </w:style>
  <w:style w:type="paragraph" w:styleId="15">
    <w:name w:val="Normal Indent"/>
    <w:basedOn w:val="1"/>
    <w:next w:val="1"/>
    <w:autoRedefine/>
    <w:qFormat/>
    <w:uiPriority w:val="0"/>
    <w:pPr>
      <w:ind w:firstLine="200" w:firstLineChars="200"/>
    </w:pPr>
    <w:rPr>
      <w:kern w:val="0"/>
      <w:sz w:val="20"/>
    </w:rPr>
  </w:style>
  <w:style w:type="paragraph" w:styleId="16">
    <w:name w:val="annotation text"/>
    <w:basedOn w:val="1"/>
    <w:autoRedefine/>
    <w:qFormat/>
    <w:uiPriority w:val="0"/>
    <w:pPr>
      <w:jc w:val="left"/>
    </w:pPr>
  </w:style>
  <w:style w:type="paragraph" w:styleId="17">
    <w:name w:val="Plain Text"/>
    <w:autoRedefine/>
    <w:qFormat/>
    <w:uiPriority w:val="0"/>
    <w:pPr>
      <w:widowControl w:val="0"/>
      <w:jc w:val="both"/>
    </w:pPr>
    <w:rPr>
      <w:rFonts w:ascii="宋体" w:hAnsi="Courier New" w:eastAsia="宋体" w:cs="Times New Roman"/>
      <w:kern w:val="2"/>
      <w:sz w:val="21"/>
      <w:szCs w:val="22"/>
      <w:lang w:val="en-US" w:eastAsia="zh-CN" w:bidi="ar-SA"/>
    </w:rPr>
  </w:style>
  <w:style w:type="paragraph" w:styleId="18">
    <w:name w:val="toc 8"/>
    <w:next w:val="1"/>
    <w:autoRedefine/>
    <w:unhideWhenUsed/>
    <w:qFormat/>
    <w:uiPriority w:val="39"/>
    <w:pPr>
      <w:widowControl w:val="0"/>
      <w:spacing w:line="240" w:lineRule="auto"/>
      <w:ind w:left="2940" w:leftChars="1400"/>
      <w:jc w:val="both"/>
    </w:pPr>
    <w:rPr>
      <w:rFonts w:asciiTheme="minorHAnsi" w:hAnsiTheme="minorHAnsi" w:eastAsiaTheme="minorEastAsia" w:cstheme="minorBidi"/>
      <w:kern w:val="2"/>
      <w:sz w:val="21"/>
      <w:szCs w:val="22"/>
      <w:lang w:val="en-US" w:eastAsia="zh-CN" w:bidi="ar-SA"/>
    </w:rPr>
  </w:style>
  <w:style w:type="paragraph" w:styleId="19">
    <w:name w:val="footer"/>
    <w:basedOn w:val="1"/>
    <w:autoRedefine/>
    <w:qFormat/>
    <w:uiPriority w:val="99"/>
    <w:pPr>
      <w:widowControl w:val="0"/>
      <w:tabs>
        <w:tab w:val="center" w:pos="4153"/>
        <w:tab w:val="right" w:pos="8306"/>
      </w:tabs>
      <w:snapToGrid w:val="0"/>
      <w:jc w:val="left"/>
    </w:pPr>
    <w:rPr>
      <w:rFonts w:asciiTheme="minorHAnsi" w:hAnsiTheme="minorHAnsi" w:eastAsiaTheme="minorEastAsia" w:cstheme="minorBidi"/>
      <w:kern w:val="2"/>
      <w:sz w:val="18"/>
      <w:szCs w:val="18"/>
      <w:lang w:val="en-US" w:eastAsia="zh-CN" w:bidi="ar-SA"/>
    </w:rPr>
  </w:style>
  <w:style w:type="paragraph" w:styleId="20">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21">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23">
    <w:name w:val="Table Grid"/>
    <w:basedOn w:val="22"/>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basedOn w:val="24"/>
    <w:autoRedefine/>
    <w:qFormat/>
    <w:uiPriority w:val="0"/>
    <w:rPr>
      <w:b/>
    </w:rPr>
  </w:style>
  <w:style w:type="paragraph" w:customStyle="1" w:styleId="26">
    <w:name w:val="表格文字2"/>
    <w:basedOn w:val="27"/>
    <w:autoRedefine/>
    <w:qFormat/>
    <w:uiPriority w:val="99"/>
    <w:pPr>
      <w:spacing w:before="25" w:after="25"/>
      <w:jc w:val="left"/>
    </w:pPr>
    <w:rPr>
      <w:bCs/>
      <w:spacing w:val="10"/>
      <w:kern w:val="0"/>
    </w:rPr>
  </w:style>
  <w:style w:type="paragraph" w:customStyle="1" w:styleId="27">
    <w:name w:val="正文2"/>
    <w:next w:val="28"/>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28">
    <w:name w:val="正文缩进1"/>
    <w:basedOn w:val="27"/>
    <w:autoRedefine/>
    <w:unhideWhenUsed/>
    <w:qFormat/>
    <w:uiPriority w:val="0"/>
    <w:pPr>
      <w:ind w:firstLine="420" w:firstLineChars="200"/>
    </w:pPr>
    <w:rPr>
      <w:rFonts w:ascii="Calibri" w:hAnsi="Calibri"/>
      <w:szCs w:val="22"/>
    </w:rPr>
  </w:style>
  <w:style w:type="paragraph" w:customStyle="1" w:styleId="29">
    <w:name w:val="正文1"/>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30">
    <w:name w:val="Normal"/>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31">
    <w:name w:val="Table Paragraph"/>
    <w:autoRedefine/>
    <w:qFormat/>
    <w:uiPriority w:val="1"/>
    <w:pPr>
      <w:widowControl w:val="0"/>
      <w:jc w:val="both"/>
    </w:pPr>
    <w:rPr>
      <w:rFonts w:ascii="楷体" w:hAnsi="楷体" w:eastAsia="楷体" w:cs="楷体"/>
      <w:kern w:val="2"/>
      <w:sz w:val="21"/>
      <w:szCs w:val="24"/>
      <w:lang w:val="zh-CN" w:eastAsia="zh-CN" w:bidi="zh-CN"/>
    </w:rPr>
  </w:style>
  <w:style w:type="paragraph" w:customStyle="1" w:styleId="32">
    <w:name w:val="WPSOffice手动目录 1"/>
    <w:autoRedefine/>
    <w:qFormat/>
    <w:uiPriority w:val="0"/>
    <w:pPr>
      <w:ind w:leftChars="0"/>
    </w:pPr>
    <w:rPr>
      <w:rFonts w:ascii="Times New Roman" w:hAnsi="Times New Roman" w:eastAsia="宋体" w:cs="Times New Roman"/>
      <w:sz w:val="20"/>
      <w:szCs w:val="20"/>
    </w:rPr>
  </w:style>
  <w:style w:type="paragraph" w:customStyle="1" w:styleId="33">
    <w:name w:val="WPSOffice手动目录 2"/>
    <w:autoRedefine/>
    <w:qFormat/>
    <w:uiPriority w:val="0"/>
    <w:pPr>
      <w:ind w:leftChars="200"/>
    </w:pPr>
    <w:rPr>
      <w:rFonts w:ascii="Times New Roman" w:hAnsi="Times New Roman" w:eastAsia="宋体" w:cs="Times New Roman"/>
      <w:sz w:val="20"/>
      <w:szCs w:val="20"/>
    </w:rPr>
  </w:style>
  <w:style w:type="paragraph" w:customStyle="1" w:styleId="34">
    <w:name w:val="Intense Quote"/>
    <w:next w:val="1"/>
    <w:autoRedefine/>
    <w:qFormat/>
    <w:uiPriority w:val="0"/>
    <w:pPr>
      <w:widowControl w:val="0"/>
      <w:wordWrap w:val="0"/>
      <w:spacing w:before="360" w:after="360" w:line="240" w:lineRule="auto"/>
      <w:ind w:left="950" w:right="950"/>
      <w:jc w:val="center"/>
    </w:pPr>
    <w:rPr>
      <w:rFonts w:ascii="Times New Roman" w:hAnsi="Times New Roman" w:eastAsia="宋体" w:cs="Times New Roman"/>
      <w:i/>
      <w:color w:val="auto"/>
      <w:kern w:val="2"/>
      <w:sz w:val="21"/>
      <w:szCs w:val="24"/>
      <w:lang w:val="en-US" w:eastAsia="zh-CN" w:bidi="ar-SA"/>
    </w:rPr>
  </w:style>
  <w:style w:type="paragraph" w:customStyle="1" w:styleId="35">
    <w:name w:val="正文_0"/>
    <w:basedOn w:val="36"/>
    <w:autoRedefine/>
    <w:qFormat/>
    <w:locked/>
    <w:uiPriority w:val="0"/>
    <w:rPr>
      <w:rFonts w:ascii="Calibri" w:hAnsi="Calibri"/>
    </w:rPr>
  </w:style>
  <w:style w:type="paragraph" w:customStyle="1" w:styleId="36">
    <w:name w:val="正文_1"/>
    <w:next w:val="5"/>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7">
    <w:name w:val="正文_2"/>
    <w:basedOn w:val="36"/>
    <w:next w:val="38"/>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38">
    <w:name w:val="页脚_1"/>
    <w:basedOn w:val="39"/>
    <w:autoRedefine/>
    <w:unhideWhenUsed/>
    <w:qFormat/>
    <w:uiPriority w:val="99"/>
    <w:pPr>
      <w:tabs>
        <w:tab w:val="center" w:pos="4153"/>
        <w:tab w:val="right" w:pos="8306"/>
      </w:tabs>
      <w:snapToGrid w:val="0"/>
      <w:jc w:val="left"/>
    </w:pPr>
    <w:rPr>
      <w:sz w:val="18"/>
      <w:szCs w:val="18"/>
    </w:rPr>
  </w:style>
  <w:style w:type="paragraph" w:customStyle="1" w:styleId="39">
    <w:name w:val="正文_4"/>
    <w:next w:val="4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0">
    <w:name w:val="页脚_3"/>
    <w:basedOn w:val="41"/>
    <w:autoRedefine/>
    <w:unhideWhenUsed/>
    <w:qFormat/>
    <w:uiPriority w:val="99"/>
    <w:pPr>
      <w:tabs>
        <w:tab w:val="center" w:pos="4153"/>
        <w:tab w:val="right" w:pos="8306"/>
      </w:tabs>
      <w:snapToGrid w:val="0"/>
      <w:jc w:val="left"/>
    </w:pPr>
    <w:rPr>
      <w:sz w:val="18"/>
      <w:szCs w:val="18"/>
    </w:rPr>
  </w:style>
  <w:style w:type="paragraph" w:customStyle="1" w:styleId="41">
    <w:name w:val="正文_6"/>
    <w:basedOn w:val="42"/>
    <w:next w:val="44"/>
    <w:autoRedefine/>
    <w:qFormat/>
    <w:uiPriority w:val="0"/>
    <w:rPr>
      <w:szCs w:val="21"/>
    </w:rPr>
  </w:style>
  <w:style w:type="paragraph" w:customStyle="1" w:styleId="42">
    <w:name w:val="正文_0_3"/>
    <w:next w:val="43"/>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43">
    <w:name w:val="页脚_4"/>
    <w:basedOn w:val="42"/>
    <w:autoRedefine/>
    <w:unhideWhenUsed/>
    <w:qFormat/>
    <w:uiPriority w:val="99"/>
    <w:pPr>
      <w:tabs>
        <w:tab w:val="center" w:pos="4153"/>
        <w:tab w:val="right" w:pos="8306"/>
      </w:tabs>
      <w:snapToGrid w:val="0"/>
      <w:jc w:val="left"/>
    </w:pPr>
    <w:rPr>
      <w:sz w:val="18"/>
      <w:szCs w:val="18"/>
    </w:rPr>
  </w:style>
  <w:style w:type="paragraph" w:customStyle="1" w:styleId="44">
    <w:name w:val="列表_1"/>
    <w:basedOn w:val="41"/>
    <w:autoRedefine/>
    <w:semiHidden/>
    <w:qFormat/>
    <w:locked/>
    <w:uiPriority w:val="0"/>
    <w:pPr>
      <w:ind w:left="200" w:hanging="200" w:hangingChars="200"/>
    </w:pPr>
  </w:style>
  <w:style w:type="paragraph" w:styleId="45">
    <w:name w:val="List Paragraph"/>
    <w:basedOn w:val="1"/>
    <w:autoRedefine/>
    <w:qFormat/>
    <w:uiPriority w:val="99"/>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jpe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94</Pages>
  <Words>49067</Words>
  <Characters>53159</Characters>
  <Lines>0</Lines>
  <Paragraphs>0</Paragraphs>
  <TotalTime>8</TotalTime>
  <ScaleCrop>false</ScaleCrop>
  <LinksUpToDate>false</LinksUpToDate>
  <CharactersWithSpaces>60672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2023-03-21T09:51:00Z</dcterms:created>
  <dc:creator>lihang</dc:creator>
  <cp:lastModifiedBy>范胜星</cp:lastModifiedBy>
  <dcterms:modified xsi:type="dcterms:W3CDTF">2024-01-03T11:09:11Z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C1BFA62AD0E9475FAFFE9706A8FE5C06_13</vt:lpwstr>
  </property>
</Properties>
</file>