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Noto Sans Mono CJK JP Regular" w:hAnsi="Noto Sans Mono CJK JP Regular" w:cs="Noto Sans Mono CJK JP Regular" w:eastAsiaTheme="minorEastAsia"/>
          <w:b/>
          <w:color w:val="000000" w:themeColor="text1"/>
          <w:kern w:val="0"/>
          <w:sz w:val="36"/>
          <w:szCs w:val="36"/>
          <w:lang w:val="en-US" w:eastAsia="zh-CN" w:bidi="zh-CN"/>
          <w14:textFill>
            <w14:solidFill>
              <w14:schemeClr w14:val="tx1"/>
            </w14:solidFill>
          </w14:textFill>
        </w:rPr>
      </w:pPr>
      <w:r>
        <w:rPr>
          <w:rFonts w:hint="eastAsia" w:ascii="Noto Sans Mono CJK JP Regular" w:hAnsi="Noto Sans Mono CJK JP Regular" w:cs="Noto Sans Mono CJK JP Regular" w:eastAsiaTheme="minorEastAsia"/>
          <w:b/>
          <w:color w:val="000000" w:themeColor="text1"/>
          <w:kern w:val="0"/>
          <w:sz w:val="36"/>
          <w:szCs w:val="36"/>
          <w:lang w:val="en-US" w:eastAsia="zh-CN" w:bidi="zh-CN"/>
          <w14:textFill>
            <w14:solidFill>
              <w14:schemeClr w14:val="tx1"/>
            </w14:solidFill>
          </w14:textFill>
        </w:rPr>
        <w:t>莎车县疾病预防控制中心实验室</w:t>
      </w:r>
    </w:p>
    <w:p>
      <w:pPr>
        <w:autoSpaceDE w:val="0"/>
        <w:autoSpaceDN w:val="0"/>
        <w:jc w:val="center"/>
        <w:rPr>
          <w:rFonts w:hint="eastAsia" w:ascii="Noto Sans Mono CJK JP Regular" w:hAnsi="Noto Sans Mono CJK JP Regular" w:cs="Noto Sans Mono CJK JP Regular" w:eastAsiaTheme="minorEastAsia"/>
          <w:b/>
          <w:color w:val="000000" w:themeColor="text1"/>
          <w:kern w:val="0"/>
          <w:sz w:val="36"/>
          <w:szCs w:val="36"/>
          <w:lang w:val="en-US" w:eastAsia="zh-CN" w:bidi="zh-CN"/>
          <w14:textFill>
            <w14:solidFill>
              <w14:schemeClr w14:val="tx1"/>
            </w14:solidFill>
          </w14:textFill>
        </w:rPr>
      </w:pPr>
      <w:r>
        <w:rPr>
          <w:rFonts w:hint="eastAsia" w:ascii="Noto Sans Mono CJK JP Regular" w:hAnsi="Noto Sans Mono CJK JP Regular" w:cs="Noto Sans Mono CJK JP Regular" w:eastAsiaTheme="minorEastAsia"/>
          <w:b/>
          <w:color w:val="000000" w:themeColor="text1"/>
          <w:kern w:val="0"/>
          <w:sz w:val="36"/>
          <w:szCs w:val="36"/>
          <w:lang w:val="en-US" w:eastAsia="zh-CN" w:bidi="zh-CN"/>
          <w14:textFill>
            <w14:solidFill>
              <w14:schemeClr w14:val="tx1"/>
            </w14:solidFill>
          </w14:textFill>
        </w:rPr>
        <w:t>仪器设备采购项目需求书</w:t>
      </w:r>
    </w:p>
    <w:p>
      <w:pPr>
        <w:pStyle w:val="2"/>
        <w:rPr>
          <w:rFonts w:hint="default"/>
          <w:lang w:val="en-US" w:eastAsia="zh-CN"/>
        </w:rPr>
      </w:pPr>
      <w:bookmarkStart w:id="0" w:name="_GoBack"/>
      <w:bookmarkEnd w:id="0"/>
    </w:p>
    <w:p>
      <w:pPr>
        <w:keepNext w:val="0"/>
        <w:keepLines w:val="0"/>
        <w:widowControl/>
        <w:suppressLineNumbers w:val="0"/>
        <w:ind w:firstLine="562" w:firstLineChars="200"/>
        <w:jc w:val="both"/>
        <w:rPr>
          <w:rFonts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一、采购标的需实现的功能或者目标，以及为落实政府采购政策需满足的要求</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（一）采购标的需实现的功能或者目标</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满足项目需要的技术、服务、安全等要求，采购项目的数量、交付或者实施的时间和地点。</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（二）为落实政府采购政策需满足的要求</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 xml:space="preserve">（1）《关于中国环境标志产品政府采购实施的意见》（财库[2006]90号）； </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（2）《关于开展政府采购信用担保试点工作的通知》（财库【2011】124号）；</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（3）《关于印发《政府采购促进中小企业发展暂行办法》的通知》（财库【2011】181号）；</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（4）《财政部、司法部关于政府采购支持监狱企业发展有关问题的通知》（财库【2014】68号）；</w:t>
      </w:r>
    </w:p>
    <w:p>
      <w:pPr>
        <w:pStyle w:val="4"/>
        <w:rPr>
          <w:rFonts w:hint="eastAsia" w:ascii="宋体" w:hAnsi="宋体" w:eastAsia="宋体" w:cs="Calibri"/>
          <w:spacing w:val="15"/>
          <w:kern w:val="10"/>
          <w:sz w:val="22"/>
          <w:szCs w:val="22"/>
          <w:lang w:val="en-US" w:eastAsia="zh-CN" w:bidi="ar-SA"/>
        </w:rPr>
      </w:pPr>
      <w:r>
        <w:rPr>
          <w:rFonts w:hint="eastAsia" w:ascii="仿宋_GB2312" w:hAnsi="仿宋_GB2312" w:eastAsia="仿宋_GB2312" w:cs="仿宋_GB2312"/>
          <w:b w:val="0"/>
          <w:bCs w:val="0"/>
          <w:color w:val="000000"/>
          <w:kern w:val="0"/>
          <w:sz w:val="28"/>
          <w:szCs w:val="28"/>
          <w:lang w:val="en-US" w:eastAsia="zh-CN" w:bidi="ar"/>
        </w:rPr>
        <w:t>（5）《关于促进残疾人就业政府采购政策的通知》（财库【2017】141号）等。 注：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pPr>
        <w:keepNext w:val="0"/>
        <w:keepLines w:val="0"/>
        <w:widowControl/>
        <w:suppressLineNumbers w:val="0"/>
        <w:ind w:firstLine="562"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二、供应商资格</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查询在合同纠纷裁决中不得参加本项目招标，国家企业公示信息系统（提供相关查询记录和查询结果并加盖公章）；</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2、具有所投项目相关经营范围的三证合一企业法人营业执照正本或副本原件（要求营业执照里面的经营范围必须包含本项目的经营许可）；</w:t>
      </w:r>
    </w:p>
    <w:p>
      <w:pPr>
        <w:ind w:firstLine="560" w:firstLineChars="200"/>
        <w:rPr>
          <w:rFonts w:hint="default"/>
          <w:sz w:val="20"/>
          <w:szCs w:val="20"/>
          <w:lang w:val="en-US" w:eastAsia="zh-CN"/>
        </w:rPr>
      </w:pPr>
      <w:r>
        <w:rPr>
          <w:rFonts w:hint="eastAsia" w:ascii="仿宋_GB2312" w:hAnsi="仿宋_GB2312" w:eastAsia="仿宋_GB2312" w:cs="仿宋_GB2312"/>
          <w:b w:val="0"/>
          <w:bCs w:val="0"/>
          <w:color w:val="000000"/>
          <w:kern w:val="0"/>
          <w:sz w:val="28"/>
          <w:szCs w:val="28"/>
          <w:lang w:val="en-US" w:eastAsia="zh-CN" w:bidi="ar"/>
        </w:rPr>
        <w:t>3、投标企业提供《医疗器械生产企业许可证》或《医疗器械经营企业许可证》及《第二类医疗器械经营备案凭证》；</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4、投标法人授权委托书及被授权委托人身份证原件,被授权委托人必须是投标单位正式员工在本单位缴纳的1月至6月的社保证明原件（单位社保缴费凭证和个人明细表）原件；法定代表人需提供本单位社保缴费凭证原件；</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5、提供税务部门出具的1月至6月的完税证明原件；</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6、提供2020年的财务审计报告（新成立公司需提供银行资信证明）；</w:t>
      </w:r>
    </w:p>
    <w:p>
      <w:pPr>
        <w:pStyle w:val="4"/>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7、提供针对本次项目的反商业贿赂承诺书；</w:t>
      </w:r>
    </w:p>
    <w:p>
      <w:pPr>
        <w:keepNext w:val="0"/>
        <w:keepLines w:val="0"/>
        <w:widowControl/>
        <w:suppressLineNumbers w:val="0"/>
        <w:ind w:firstLine="562"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三、采购标的需执行的国家相关标准、行业标准、地方标准或者其他标准、规范：无。</w:t>
      </w:r>
    </w:p>
    <w:p>
      <w:pPr>
        <w:keepNext w:val="0"/>
        <w:keepLines w:val="0"/>
        <w:widowControl/>
        <w:suppressLineNumbers w:val="0"/>
        <w:ind w:firstLine="562"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四、</w:t>
      </w:r>
      <w:r>
        <w:rPr>
          <w:rFonts w:ascii="仿宋_GB2312" w:hAnsi="仿宋_GB2312" w:eastAsia="仿宋_GB2312" w:cs="仿宋_GB2312"/>
          <w:b/>
          <w:bCs/>
          <w:color w:val="000000"/>
          <w:kern w:val="0"/>
          <w:sz w:val="28"/>
          <w:szCs w:val="28"/>
          <w:lang w:val="en-US" w:eastAsia="zh-CN" w:bidi="ar"/>
        </w:rPr>
        <w:t>采购实施计划</w:t>
      </w:r>
      <w:r>
        <w:rPr>
          <w:rFonts w:hint="eastAsia" w:ascii="仿宋_GB2312" w:hAnsi="仿宋_GB2312" w:eastAsia="仿宋_GB2312" w:cs="仿宋_GB2312"/>
          <w:b/>
          <w:bCs/>
          <w:color w:val="000000"/>
          <w:kern w:val="0"/>
          <w:sz w:val="28"/>
          <w:szCs w:val="28"/>
          <w:lang w:val="en-US" w:eastAsia="zh-CN" w:bidi="ar"/>
        </w:rPr>
        <w:t>主要内容</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1、采购内容：实验室仪器设备</w:t>
      </w:r>
    </w:p>
    <w:p>
      <w:pPr>
        <w:keepNext w:val="0"/>
        <w:keepLines w:val="0"/>
        <w:widowControl/>
        <w:suppressLineNumbers w:val="0"/>
        <w:ind w:firstLine="560" w:firstLineChars="200"/>
        <w:jc w:val="both"/>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w:t>
      </w:r>
      <w:r>
        <w:rPr>
          <w:rFonts w:ascii="仿宋_GB2312" w:hAnsi="仿宋_GB2312" w:eastAsia="仿宋_GB2312" w:cs="仿宋_GB2312"/>
          <w:b w:val="0"/>
          <w:bCs w:val="0"/>
          <w:color w:val="000000"/>
          <w:kern w:val="0"/>
          <w:sz w:val="28"/>
          <w:szCs w:val="28"/>
          <w:lang w:val="en-US" w:eastAsia="zh-CN" w:bidi="ar"/>
        </w:rPr>
        <w:t>采购项目预（概）算</w:t>
      </w:r>
      <w:r>
        <w:rPr>
          <w:rFonts w:hint="eastAsia" w:ascii="仿宋_GB2312" w:hAnsi="仿宋_GB2312" w:eastAsia="仿宋_GB2312" w:cs="仿宋_GB2312"/>
          <w:b w:val="0"/>
          <w:bCs w:val="0"/>
          <w:color w:val="000000"/>
          <w:kern w:val="0"/>
          <w:sz w:val="28"/>
          <w:szCs w:val="28"/>
          <w:lang w:val="en-US" w:eastAsia="zh-CN" w:bidi="ar"/>
        </w:rPr>
        <w:t>：第一标段：750094元、第二标段：4830000元</w:t>
      </w:r>
    </w:p>
    <w:p>
      <w:pPr>
        <w:keepNext w:val="0"/>
        <w:keepLines w:val="0"/>
        <w:widowControl/>
        <w:suppressLineNumbers w:val="0"/>
        <w:ind w:firstLine="560" w:firstLineChars="200"/>
        <w:jc w:val="both"/>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w:t>
      </w:r>
      <w:r>
        <w:rPr>
          <w:rFonts w:ascii="仿宋_GB2312" w:hAnsi="仿宋_GB2312" w:eastAsia="仿宋_GB2312" w:cs="仿宋_GB2312"/>
          <w:b w:val="0"/>
          <w:bCs w:val="0"/>
          <w:color w:val="000000"/>
          <w:kern w:val="0"/>
          <w:sz w:val="28"/>
          <w:szCs w:val="28"/>
          <w:lang w:val="en-US" w:eastAsia="zh-CN" w:bidi="ar"/>
        </w:rPr>
        <w:t>最高限价</w:t>
      </w:r>
      <w:r>
        <w:rPr>
          <w:rFonts w:hint="eastAsia" w:ascii="仿宋_GB2312" w:hAnsi="仿宋_GB2312" w:eastAsia="仿宋_GB2312" w:cs="仿宋_GB2312"/>
          <w:b w:val="0"/>
          <w:bCs w:val="0"/>
          <w:color w:val="000000"/>
          <w:kern w:val="0"/>
          <w:sz w:val="28"/>
          <w:szCs w:val="28"/>
          <w:lang w:val="en-US" w:eastAsia="zh-CN" w:bidi="ar"/>
        </w:rPr>
        <w:t>：第一标段：750094元、第二标段：4830000元</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4、</w:t>
      </w:r>
      <w:r>
        <w:rPr>
          <w:rFonts w:ascii="仿宋_GB2312" w:hAnsi="仿宋_GB2312" w:eastAsia="仿宋_GB2312" w:cs="仿宋_GB2312"/>
          <w:b w:val="0"/>
          <w:bCs w:val="0"/>
          <w:color w:val="000000"/>
          <w:kern w:val="0"/>
          <w:sz w:val="28"/>
          <w:szCs w:val="28"/>
          <w:lang w:val="en-US" w:eastAsia="zh-CN" w:bidi="ar"/>
        </w:rPr>
        <w:t>开展采购活动的时间安排</w:t>
      </w:r>
      <w:r>
        <w:rPr>
          <w:rFonts w:hint="eastAsia" w:ascii="仿宋_GB2312" w:hAnsi="仿宋_GB2312" w:eastAsia="仿宋_GB2312" w:cs="仿宋_GB2312"/>
          <w:b w:val="0"/>
          <w:bCs w:val="0"/>
          <w:color w:val="000000"/>
          <w:kern w:val="0"/>
          <w:sz w:val="28"/>
          <w:szCs w:val="28"/>
          <w:lang w:val="en-US" w:eastAsia="zh-CN" w:bidi="ar"/>
        </w:rPr>
        <w:t>：</w:t>
      </w:r>
      <w:r>
        <w:rPr>
          <w:rFonts w:hint="eastAsia" w:ascii="仿宋_GB2312" w:hAnsi="仿宋_GB2312" w:eastAsia="仿宋_GB2312" w:cs="仿宋_GB2312"/>
          <w:b w:val="0"/>
          <w:bCs w:val="0"/>
          <w:color w:val="000000"/>
          <w:kern w:val="0"/>
          <w:sz w:val="28"/>
          <w:szCs w:val="28"/>
          <w:highlight w:val="none"/>
          <w:lang w:val="en-US" w:eastAsia="zh-CN" w:bidi="ar"/>
        </w:rPr>
        <w:t>2021年10月26日下午1</w:t>
      </w:r>
      <w:r>
        <w:rPr>
          <w:rFonts w:hint="eastAsia" w:ascii="仿宋_GB2312" w:hAnsi="仿宋_GB2312" w:eastAsia="仿宋_GB2312" w:cs="仿宋_GB2312"/>
          <w:b w:val="0"/>
          <w:bCs w:val="0"/>
          <w:color w:val="000000"/>
          <w:kern w:val="0"/>
          <w:sz w:val="28"/>
          <w:szCs w:val="28"/>
          <w:lang w:val="en-US" w:eastAsia="zh-CN" w:bidi="ar"/>
        </w:rPr>
        <w:t>6:00(北京时间)</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5、</w:t>
      </w:r>
      <w:r>
        <w:rPr>
          <w:rFonts w:ascii="仿宋_GB2312" w:hAnsi="仿宋_GB2312" w:eastAsia="仿宋_GB2312" w:cs="仿宋_GB2312"/>
          <w:b w:val="0"/>
          <w:bCs w:val="0"/>
          <w:color w:val="000000"/>
          <w:kern w:val="0"/>
          <w:sz w:val="28"/>
          <w:szCs w:val="28"/>
          <w:lang w:val="en-US" w:eastAsia="zh-CN" w:bidi="ar"/>
        </w:rPr>
        <w:t>采购组织形式</w:t>
      </w:r>
      <w:r>
        <w:rPr>
          <w:rFonts w:hint="eastAsia" w:ascii="仿宋_GB2312" w:hAnsi="仿宋_GB2312" w:eastAsia="仿宋_GB2312" w:cs="仿宋_GB2312"/>
          <w:b w:val="0"/>
          <w:bCs w:val="0"/>
          <w:color w:val="000000"/>
          <w:kern w:val="0"/>
          <w:sz w:val="28"/>
          <w:szCs w:val="28"/>
          <w:lang w:val="en-US" w:eastAsia="zh-CN" w:bidi="ar"/>
        </w:rPr>
        <w:t>：分散采购-委托中介</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6、</w:t>
      </w:r>
      <w:r>
        <w:rPr>
          <w:rFonts w:ascii="仿宋_GB2312" w:hAnsi="仿宋_GB2312" w:eastAsia="仿宋_GB2312" w:cs="仿宋_GB2312"/>
          <w:b w:val="0"/>
          <w:bCs w:val="0"/>
          <w:color w:val="000000"/>
          <w:kern w:val="0"/>
          <w:sz w:val="28"/>
          <w:szCs w:val="28"/>
          <w:lang w:val="en-US" w:eastAsia="zh-CN" w:bidi="ar"/>
        </w:rPr>
        <w:t>委托代理安排</w:t>
      </w:r>
      <w:r>
        <w:rPr>
          <w:rFonts w:hint="eastAsia" w:ascii="仿宋_GB2312" w:hAnsi="仿宋_GB2312" w:eastAsia="仿宋_GB2312" w:cs="仿宋_GB2312"/>
          <w:b w:val="0"/>
          <w:bCs w:val="0"/>
          <w:color w:val="000000"/>
          <w:kern w:val="0"/>
          <w:sz w:val="28"/>
          <w:szCs w:val="28"/>
          <w:lang w:val="en-US" w:eastAsia="zh-CN" w:bidi="ar"/>
        </w:rPr>
        <w:t>：新疆永信国金工程管理咨询有限公司</w:t>
      </w:r>
    </w:p>
    <w:p>
      <w:pPr>
        <w:keepNext w:val="0"/>
        <w:keepLines w:val="0"/>
        <w:widowControl/>
        <w:suppressLineNumbers w:val="0"/>
        <w:ind w:firstLine="560" w:firstLineChars="200"/>
        <w:jc w:val="both"/>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b w:val="0"/>
          <w:bCs w:val="0"/>
          <w:color w:val="000000"/>
          <w:kern w:val="0"/>
          <w:sz w:val="28"/>
          <w:szCs w:val="28"/>
          <w:lang w:val="en-US" w:eastAsia="zh-CN" w:bidi="ar"/>
        </w:rPr>
        <w:t>7、</w:t>
      </w:r>
      <w:r>
        <w:rPr>
          <w:rFonts w:ascii="仿宋_GB2312" w:hAnsi="仿宋_GB2312" w:eastAsia="仿宋_GB2312" w:cs="仿宋_GB2312"/>
          <w:b w:val="0"/>
          <w:bCs w:val="0"/>
          <w:color w:val="000000"/>
          <w:kern w:val="0"/>
          <w:sz w:val="28"/>
          <w:szCs w:val="28"/>
          <w:lang w:val="en-US" w:eastAsia="zh-CN" w:bidi="ar"/>
        </w:rPr>
        <w:t>采购包划分与合同分包</w:t>
      </w:r>
      <w:r>
        <w:rPr>
          <w:rFonts w:hint="eastAsia" w:ascii="仿宋_GB2312" w:hAnsi="仿宋_GB2312" w:eastAsia="仿宋_GB2312" w:cs="仿宋_GB2312"/>
          <w:b w:val="0"/>
          <w:bCs w:val="0"/>
          <w:color w:val="000000"/>
          <w:kern w:val="0"/>
          <w:sz w:val="28"/>
          <w:szCs w:val="28"/>
          <w:lang w:val="en-US" w:eastAsia="zh-CN" w:bidi="ar"/>
        </w:rPr>
        <w:t>：</w:t>
      </w:r>
      <w:r>
        <w:rPr>
          <w:rFonts w:hint="eastAsia" w:ascii="仿宋_GB2312" w:hAnsi="仿宋_GB2312" w:eastAsia="仿宋_GB2312" w:cs="仿宋_GB2312"/>
          <w:color w:val="000000"/>
          <w:kern w:val="0"/>
          <w:sz w:val="28"/>
          <w:szCs w:val="28"/>
          <w:lang w:bidi="ar"/>
        </w:rPr>
        <w:t>本项目分为</w:t>
      </w:r>
      <w:r>
        <w:rPr>
          <w:rFonts w:hint="eastAsia" w:ascii="仿宋_GB2312" w:hAnsi="仿宋_GB2312" w:eastAsia="仿宋_GB2312" w:cs="仿宋_GB2312"/>
          <w:color w:val="000000"/>
          <w:kern w:val="0"/>
          <w:sz w:val="28"/>
          <w:szCs w:val="28"/>
          <w:lang w:eastAsia="zh-CN" w:bidi="ar"/>
        </w:rPr>
        <w:t>两</w:t>
      </w:r>
      <w:r>
        <w:rPr>
          <w:rFonts w:hint="eastAsia" w:ascii="仿宋_GB2312" w:hAnsi="仿宋_GB2312" w:eastAsia="仿宋_GB2312" w:cs="仿宋_GB2312"/>
          <w:color w:val="000000"/>
          <w:kern w:val="0"/>
          <w:sz w:val="28"/>
          <w:szCs w:val="28"/>
          <w:lang w:bidi="ar"/>
        </w:rPr>
        <w:t>个标段</w:t>
      </w:r>
    </w:p>
    <w:p>
      <w:pPr>
        <w:keepNext w:val="0"/>
        <w:keepLines w:val="0"/>
        <w:widowControl/>
        <w:suppressLineNumbers w:val="0"/>
        <w:ind w:firstLine="560"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8、</w:t>
      </w:r>
      <w:r>
        <w:rPr>
          <w:rFonts w:ascii="仿宋_GB2312" w:hAnsi="仿宋_GB2312" w:eastAsia="仿宋_GB2312" w:cs="仿宋_GB2312"/>
          <w:b w:val="0"/>
          <w:bCs w:val="0"/>
          <w:color w:val="000000"/>
          <w:kern w:val="0"/>
          <w:sz w:val="28"/>
          <w:szCs w:val="28"/>
          <w:lang w:val="en-US" w:eastAsia="zh-CN" w:bidi="ar"/>
        </w:rPr>
        <w:t>采购方式</w:t>
      </w:r>
      <w:r>
        <w:rPr>
          <w:rFonts w:hint="eastAsia" w:ascii="仿宋_GB2312" w:hAnsi="仿宋_GB2312" w:eastAsia="仿宋_GB2312" w:cs="仿宋_GB2312"/>
          <w:b w:val="0"/>
          <w:bCs w:val="0"/>
          <w:color w:val="000000"/>
          <w:kern w:val="0"/>
          <w:sz w:val="28"/>
          <w:szCs w:val="28"/>
          <w:lang w:val="en-US" w:eastAsia="zh-CN" w:bidi="ar"/>
        </w:rPr>
        <w:t>：公开招标</w:t>
      </w:r>
    </w:p>
    <w:p>
      <w:pPr>
        <w:keepNext w:val="0"/>
        <w:keepLines w:val="0"/>
        <w:widowControl/>
        <w:suppressLineNumbers w:val="0"/>
        <w:ind w:firstLine="560"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9、招标</w:t>
      </w:r>
      <w:r>
        <w:rPr>
          <w:rFonts w:ascii="仿宋_GB2312" w:hAnsi="仿宋_GB2312" w:eastAsia="仿宋_GB2312" w:cs="仿宋_GB2312"/>
          <w:b w:val="0"/>
          <w:bCs w:val="0"/>
          <w:color w:val="000000"/>
          <w:kern w:val="0"/>
          <w:sz w:val="28"/>
          <w:szCs w:val="28"/>
          <w:lang w:val="en-US" w:eastAsia="zh-CN" w:bidi="ar"/>
        </w:rPr>
        <w:t>范围</w:t>
      </w:r>
      <w:r>
        <w:rPr>
          <w:rFonts w:hint="eastAsia" w:ascii="仿宋_GB2312" w:hAnsi="仿宋_GB2312" w:eastAsia="仿宋_GB2312" w:cs="仿宋_GB2312"/>
          <w:b w:val="0"/>
          <w:bCs w:val="0"/>
          <w:color w:val="000000"/>
          <w:kern w:val="0"/>
          <w:sz w:val="28"/>
          <w:szCs w:val="28"/>
          <w:lang w:val="en-US" w:eastAsia="zh-CN" w:bidi="ar"/>
        </w:rPr>
        <w:t>：实验室仪器设备</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10、</w:t>
      </w:r>
      <w:r>
        <w:rPr>
          <w:rFonts w:ascii="仿宋_GB2312" w:hAnsi="仿宋_GB2312" w:eastAsia="仿宋_GB2312" w:cs="仿宋_GB2312"/>
          <w:b w:val="0"/>
          <w:bCs w:val="0"/>
          <w:color w:val="000000"/>
          <w:kern w:val="0"/>
          <w:sz w:val="28"/>
          <w:szCs w:val="28"/>
          <w:lang w:val="en-US" w:eastAsia="zh-CN" w:bidi="ar"/>
        </w:rPr>
        <w:t>评审规则</w:t>
      </w:r>
      <w:r>
        <w:rPr>
          <w:rFonts w:hint="eastAsia" w:ascii="仿宋_GB2312" w:hAnsi="仿宋_GB2312" w:eastAsia="仿宋_GB2312" w:cs="仿宋_GB2312"/>
          <w:b w:val="0"/>
          <w:bCs w:val="0"/>
          <w:color w:val="000000"/>
          <w:kern w:val="0"/>
          <w:sz w:val="28"/>
          <w:szCs w:val="28"/>
          <w:lang w:val="en-US" w:eastAsia="zh-CN" w:bidi="ar"/>
        </w:rPr>
        <w:t>：本项目评标办法采用综合评标法，将依法组建不少于 5 人组成的评标委员会，负责本项目的评标工作。评标委员会按照“公平、公正、科学、择优”的原则，评价参加本次招标的投标供应商所提供的产品价格、性能、质量、服务及其投标文件的符合性及响应性。</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（一）初步评审：</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1、评标委员会根据招标文件规定的评标标准和方法，对投标文件进行全面审核，主要审查投标文件的完整性、符合性以及投标报价的合理性是否满足招标文件中的有关规定。    </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2、列出投标文件中的重大偏差和细微偏差。     </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重大偏差是指投标文件未能实质上响应招标文件的要求，或者投标文件中存在按照招标文件规定应当判定为无效投标文件的情况。 </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细微偏差是指投标文件在实质上响应招标文件的要求，但在个别地方存在漏项或者提供了不完整的技术信息和数据等情况，并且补正这些遗漏或不完整不会对其他投标单位造成不公平的结果。细微偏差不影响投标文件的有效性。</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 xml:space="preserve">（二）详细评审：   </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1.评标委员会根据招标文件规定的评标标准和方法，对投标文件进行全面审核，主要审查投标文件的完整性、符合性以及投标报价的合理性是否满足招标文件中的有关规定。</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综合评分法，是指响应文件满足采购文件全部实质性要求且按评审因素的量化指标评审得分最高的供应商为成交候选供应商的评审方法。</w:t>
      </w:r>
    </w:p>
    <w:p>
      <w:pPr>
        <w:keepNext w:val="0"/>
        <w:keepLines w:val="0"/>
        <w:widowControl/>
        <w:suppressLineNumbers w:val="0"/>
        <w:ind w:firstLine="560"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2.评审时，评审小组各成员应当独立对每个有效响应的文件进行评价、打分，然后汇总每个供应商每项评分因素的得分。</w:t>
      </w:r>
    </w:p>
    <w:p>
      <w:pPr>
        <w:keepNext w:val="0"/>
        <w:keepLines w:val="0"/>
        <w:widowControl/>
        <w:suppressLineNumbers w:val="0"/>
        <w:ind w:firstLine="622" w:firstLineChars="200"/>
        <w:jc w:val="both"/>
        <w:rPr>
          <w:rFonts w:hint="default"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bCs/>
          <w:color w:val="auto"/>
          <w:kern w:val="0"/>
          <w:sz w:val="31"/>
          <w:szCs w:val="31"/>
          <w:lang w:val="en-US" w:eastAsia="zh-CN" w:bidi="ar"/>
        </w:rPr>
        <w:t>五、采购标的内容、数量，包括技术要求和商务要求</w:t>
      </w:r>
    </w:p>
    <w:p>
      <w:pPr>
        <w:keepNext w:val="0"/>
        <w:keepLines w:val="0"/>
        <w:widowControl/>
        <w:suppressLineNumbers w:val="0"/>
        <w:ind w:firstLine="620" w:firstLineChars="200"/>
        <w:jc w:val="both"/>
        <w:rPr>
          <w:rFonts w:hint="eastAsia"/>
          <w:b/>
          <w:bCs/>
          <w:color w:val="000000" w:themeColor="text1"/>
          <w:spacing w:val="-4"/>
          <w:sz w:val="24"/>
          <w:szCs w:val="24"/>
          <w14:textFill>
            <w14:solidFill>
              <w14:schemeClr w14:val="tx1"/>
            </w14:solidFill>
          </w14:textFill>
        </w:rPr>
      </w:pPr>
      <w:r>
        <w:rPr>
          <w:rFonts w:hint="eastAsia" w:ascii="仿宋_GB2312" w:hAnsi="仿宋_GB2312" w:eastAsia="仿宋_GB2312" w:cs="仿宋_GB2312"/>
          <w:b w:val="0"/>
          <w:bCs w:val="0"/>
          <w:color w:val="auto"/>
          <w:kern w:val="0"/>
          <w:sz w:val="31"/>
          <w:szCs w:val="31"/>
          <w:lang w:val="en-US" w:eastAsia="zh-CN" w:bidi="ar"/>
        </w:rPr>
        <w:t>（一）</w:t>
      </w:r>
      <w:r>
        <w:rPr>
          <w:rFonts w:hint="eastAsia" w:ascii="仿宋_GB2312" w:hAnsi="仿宋_GB2312" w:eastAsia="仿宋_GB2312" w:cs="仿宋_GB2312"/>
          <w:b w:val="0"/>
          <w:bCs w:val="0"/>
          <w:color w:val="000000"/>
          <w:kern w:val="0"/>
          <w:sz w:val="31"/>
          <w:szCs w:val="31"/>
          <w:lang w:val="en-US" w:eastAsia="zh-CN" w:bidi="ar"/>
        </w:rPr>
        <w:t>实验室仪器设备</w:t>
      </w:r>
      <w:r>
        <w:rPr>
          <w:rFonts w:hint="eastAsia" w:ascii="仿宋_GB2312" w:hAnsi="仿宋_GB2312" w:eastAsia="仿宋_GB2312" w:cs="仿宋_GB2312"/>
          <w:b w:val="0"/>
          <w:bCs w:val="0"/>
          <w:color w:val="auto"/>
          <w:kern w:val="0"/>
          <w:sz w:val="31"/>
          <w:szCs w:val="31"/>
          <w:lang w:val="en-US" w:eastAsia="zh-CN" w:bidi="ar"/>
        </w:rPr>
        <w:t>内容、数量</w:t>
      </w:r>
    </w:p>
    <w:p>
      <w:pPr>
        <w:pStyle w:val="3"/>
        <w:spacing w:line="665" w:lineRule="exact"/>
        <w:rPr>
          <w:rFonts w:hint="eastAsia"/>
          <w:b/>
          <w:bCs/>
          <w:color w:val="000000" w:themeColor="text1"/>
          <w:spacing w:val="-4"/>
          <w:sz w:val="24"/>
          <w:szCs w:val="24"/>
          <w14:textFill>
            <w14:solidFill>
              <w14:schemeClr w14:val="tx1"/>
            </w14:solidFill>
          </w14:textFill>
        </w:rPr>
      </w:pPr>
      <w:r>
        <w:rPr>
          <w:rFonts w:hint="eastAsia"/>
          <w:b/>
          <w:bCs/>
          <w:color w:val="000000" w:themeColor="text1"/>
          <w:spacing w:val="-4"/>
          <w:sz w:val="24"/>
          <w:szCs w:val="24"/>
          <w14:textFill>
            <w14:solidFill>
              <w14:schemeClr w14:val="tx1"/>
            </w14:solidFill>
          </w14:textFill>
        </w:rPr>
        <w:t>第</w:t>
      </w:r>
      <w:r>
        <w:rPr>
          <w:rFonts w:hint="eastAsia"/>
          <w:b/>
          <w:bCs/>
          <w:color w:val="000000" w:themeColor="text1"/>
          <w:spacing w:val="-4"/>
          <w:sz w:val="24"/>
          <w:szCs w:val="24"/>
          <w:lang w:eastAsia="zh-CN"/>
          <w14:textFill>
            <w14:solidFill>
              <w14:schemeClr w14:val="tx1"/>
            </w14:solidFill>
          </w14:textFill>
        </w:rPr>
        <w:t>一</w:t>
      </w:r>
      <w:r>
        <w:rPr>
          <w:rFonts w:hint="eastAsia"/>
          <w:b/>
          <w:bCs/>
          <w:color w:val="000000" w:themeColor="text1"/>
          <w:spacing w:val="-4"/>
          <w:sz w:val="24"/>
          <w:szCs w:val="24"/>
          <w14:textFill>
            <w14:solidFill>
              <w14:schemeClr w14:val="tx1"/>
            </w14:solidFill>
          </w14:textFill>
        </w:rPr>
        <w:t>标段：</w:t>
      </w:r>
    </w:p>
    <w:tbl>
      <w:tblPr>
        <w:tblStyle w:val="9"/>
        <w:tblW w:w="4999" w:type="pct"/>
        <w:tblInd w:w="0" w:type="dxa"/>
        <w:tblLayout w:type="autofit"/>
        <w:tblCellMar>
          <w:top w:w="0" w:type="dxa"/>
          <w:left w:w="108" w:type="dxa"/>
          <w:bottom w:w="0" w:type="dxa"/>
          <w:right w:w="108" w:type="dxa"/>
        </w:tblCellMar>
      </w:tblPr>
      <w:tblGrid>
        <w:gridCol w:w="638"/>
        <w:gridCol w:w="928"/>
        <w:gridCol w:w="638"/>
        <w:gridCol w:w="6316"/>
      </w:tblGrid>
      <w:tr>
        <w:tblPrEx>
          <w:tblCellMar>
            <w:top w:w="0" w:type="dxa"/>
            <w:left w:w="108" w:type="dxa"/>
            <w:bottom w:w="0" w:type="dxa"/>
            <w:right w:w="108" w:type="dxa"/>
          </w:tblCellMar>
        </w:tblPrEx>
        <w:trPr>
          <w:trHeight w:val="85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rPr>
            </w:pPr>
            <w:r>
              <w:rPr>
                <w:rFonts w:hint="eastAsia" w:ascii="宋体" w:hAnsi="宋体" w:eastAsia="宋体" w:cs="宋体"/>
                <w:b/>
                <w:bCs/>
                <w:color w:val="000000"/>
                <w:lang w:val="en-US" w:bidi="ar"/>
              </w:rPr>
              <w:t>序号</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rPr>
            </w:pPr>
            <w:r>
              <w:rPr>
                <w:rFonts w:hint="eastAsia" w:ascii="宋体" w:hAnsi="宋体" w:eastAsia="宋体" w:cs="宋体"/>
                <w:b/>
                <w:bCs/>
                <w:color w:val="000000"/>
                <w:lang w:val="en-US" w:bidi="ar"/>
              </w:rPr>
              <w:t>货物名称</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rPr>
            </w:pPr>
            <w:r>
              <w:rPr>
                <w:rFonts w:hint="eastAsia" w:ascii="宋体" w:hAnsi="宋体" w:eastAsia="宋体" w:cs="宋体"/>
                <w:b/>
                <w:bCs/>
                <w:color w:val="000000"/>
                <w:lang w:val="en-US" w:bidi="ar"/>
              </w:rPr>
              <w:t>数量</w:t>
            </w:r>
          </w:p>
        </w:tc>
        <w:tc>
          <w:tcPr>
            <w:tcW w:w="37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rPr>
            </w:pPr>
            <w:r>
              <w:rPr>
                <w:rFonts w:hint="eastAsia" w:ascii="宋体" w:hAnsi="宋体" w:eastAsia="宋体" w:cs="宋体"/>
                <w:b/>
                <w:bCs/>
                <w:color w:val="000000"/>
                <w:lang w:val="en-US" w:bidi="ar"/>
              </w:rPr>
              <w:t>参数</w:t>
            </w:r>
          </w:p>
        </w:tc>
      </w:tr>
      <w:tr>
        <w:tblPrEx>
          <w:tblCellMar>
            <w:top w:w="0" w:type="dxa"/>
            <w:left w:w="108" w:type="dxa"/>
            <w:bottom w:w="0" w:type="dxa"/>
            <w:right w:w="108" w:type="dxa"/>
          </w:tblCellMar>
        </w:tblPrEx>
        <w:trPr>
          <w:trHeight w:val="273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万用电炉</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pStyle w:val="6"/>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本产品适用于工业、农业、工矿企业、医疗卫生、科研单位、实验室等。本产品外壳采用优质钢板表面静电喷涂，具有抗腐蚀性强，坚固耐用。</w:t>
            </w:r>
            <w:r>
              <w:rPr>
                <w:rFonts w:hint="eastAsia" w:ascii="宋体" w:hAnsi="宋体" w:eastAsia="宋体" w:cs="宋体"/>
                <w:color w:val="000000"/>
                <w:sz w:val="22"/>
                <w:lang w:bidi="ar"/>
              </w:rPr>
              <w:br w:type="textWrapping"/>
            </w:r>
            <w:r>
              <w:rPr>
                <w:rFonts w:hint="eastAsia" w:ascii="宋体" w:hAnsi="宋体" w:eastAsia="宋体" w:cs="宋体"/>
                <w:color w:val="000000"/>
                <w:sz w:val="22"/>
                <w:lang w:bidi="ar"/>
              </w:rPr>
              <w:t>采用可控硅无极调节功率，适应用户不同加热温度的需要。</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规格，六联</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工作电压，22v50Hz</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额定功率，6kw</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炉盘尺寸及数量（mm），135*135*6</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外形尺寸(深×宽×高)（D×W×H），165*865*135</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包装尺寸(深×宽×高)（D×W×H），220*900*190</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净重，12Kg</w:t>
            </w:r>
          </w:p>
          <w:p>
            <w:pPr>
              <w:widowControl/>
              <w:spacing w:line="24" w:lineRule="atLeast"/>
              <w:textAlignment w:val="top"/>
              <w:rPr>
                <w:rFonts w:hint="eastAsia" w:ascii="宋体" w:hAnsi="宋体" w:eastAsia="宋体" w:cs="宋体"/>
                <w:color w:val="000000"/>
              </w:rPr>
            </w:pPr>
            <w:r>
              <w:rPr>
                <w:rFonts w:hint="eastAsia" w:ascii="宋体" w:hAnsi="宋体" w:eastAsia="宋体" w:cs="宋体"/>
                <w:color w:val="000000"/>
                <w:lang w:val="en-US" w:bidi="ar"/>
              </w:rPr>
              <w:t>毛重，13Kg</w:t>
            </w:r>
          </w:p>
        </w:tc>
      </w:tr>
      <w:tr>
        <w:tblPrEx>
          <w:tblCellMar>
            <w:top w:w="0" w:type="dxa"/>
            <w:left w:w="108" w:type="dxa"/>
            <w:bottom w:w="0" w:type="dxa"/>
            <w:right w:w="108" w:type="dxa"/>
          </w:tblCellMar>
        </w:tblPrEx>
        <w:trPr>
          <w:trHeight w:val="381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浊度仪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 xml:space="preserve">用途概述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用于测量悬浮于水或透明液体中不溶性颗粒物质所产生的光的散射程度，并能定量表征这些悬浮颗粒物质的含量。可以广泛应用于发电厂、纯净水厂、自来水厂、生活污水处理厂、饮料厂、环保部门、工业用水、制酒行业及制药行业、防疫部门、医院等部门的浊度测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产品特点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流线形外型设计，简洁的操作和较高的性价比</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大屏幕LCD数字清晰显示，采用低漂移、高精度电路系统</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可靠的定位结构及高精度光路系统，仪器能长时间稳定工作</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色度补偿，有效避免试样颜色引起的干扰，能正确反映浊度的概念</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高强度长寿命光源，无更换之忧虑，30秒预热时间即可正常工作  技术指标 测定原理90°散射光最小示值（NTU）0.10.010.1测量范围（NTU）</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0～2000～20、0～2000～200、0～800示值误差 ±6％（±2.5％F.S）重复性≤0.5％零点漂移±0.5％F.S产品特点 通用型精度高，稳定性好可用于低浊度分析测量范围宽广，可用于高浊度分析</w:t>
            </w:r>
          </w:p>
        </w:tc>
      </w:tr>
      <w:tr>
        <w:tblPrEx>
          <w:tblCellMar>
            <w:top w:w="0" w:type="dxa"/>
            <w:left w:w="108" w:type="dxa"/>
            <w:bottom w:w="0" w:type="dxa"/>
            <w:right w:w="108" w:type="dxa"/>
          </w:tblCellMar>
        </w:tblPrEx>
        <w:trPr>
          <w:trHeight w:val="41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3</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扫描枪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1、无线一维激光红外线扫描枪；2、内部安装两个镀金工艺镜片，精准扫描，高性能激光头，景深距离为30mm-200mm，也能够扫描一般性残缺码，轻松扫描；3、有效识别约24种纸质一维码，采用高性能硬件加速解码芯片，准确解码，≥4mil读码速度，快人一步；4、手动自动模式可随心切换，激光线定位，蜂鸣器提醒；5、采用ABS材质，TPU包胶设计，舒适手感，坚固耐摔；6、采用USB供电设计，Tape-C接口充电，电池容量≥2000毫安，五小时可以充满电量，连续工作时长≥48H；7、兼容windows/Android/Mac os/Linux等主流操作系统，USB接收器即插即用、无线自由。</w:t>
            </w:r>
          </w:p>
        </w:tc>
      </w:tr>
      <w:tr>
        <w:tblPrEx>
          <w:tblCellMar>
            <w:top w:w="0" w:type="dxa"/>
            <w:left w:w="108" w:type="dxa"/>
            <w:bottom w:w="0" w:type="dxa"/>
            <w:right w:w="108" w:type="dxa"/>
          </w:tblCellMar>
        </w:tblPrEx>
        <w:trPr>
          <w:trHeight w:val="2203"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4</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过塑机</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pStyle w:val="6"/>
              <w:widowControl/>
              <w:shd w:val="clear" w:color="auto" w:fill="FFFFFF"/>
              <w:spacing w:before="0" w:beforeAutospacing="0" w:after="0" w:afterAutospacing="0"/>
              <w:rPr>
                <w:rFonts w:ascii="宋体" w:hAnsi="宋体" w:eastAsia="宋体" w:cs="宋体"/>
                <w:color w:val="000000"/>
                <w:sz w:val="22"/>
                <w:lang w:bidi="ar"/>
              </w:rPr>
            </w:pPr>
            <w:r>
              <w:rPr>
                <w:rFonts w:hint="eastAsia" w:ascii="宋体" w:hAnsi="宋体" w:eastAsia="宋体" w:cs="宋体"/>
                <w:color w:val="000000"/>
                <w:sz w:val="22"/>
                <w:lang w:bidi="ar"/>
              </w:rPr>
              <w:t>封口宽度：300mm、400mm、500mm</w:t>
            </w:r>
          </w:p>
          <w:p>
            <w:pPr>
              <w:pStyle w:val="6"/>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温度误差：小于±2%</w:t>
            </w:r>
          </w:p>
          <w:p>
            <w:pPr>
              <w:pStyle w:val="6"/>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电源：220V 50HZ</w:t>
            </w:r>
          </w:p>
          <w:p>
            <w:pPr>
              <w:pStyle w:val="6"/>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最大功率：500W</w:t>
            </w:r>
          </w:p>
          <w:p>
            <w:pPr>
              <w:pStyle w:val="6"/>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外形尺寸：360x320x120(mm)</w:t>
            </w:r>
          </w:p>
          <w:p>
            <w:pPr>
              <w:pStyle w:val="6"/>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重量：9KG</w:t>
            </w:r>
          </w:p>
          <w:p>
            <w:pPr>
              <w:widowControl/>
              <w:textAlignment w:val="center"/>
              <w:rPr>
                <w:rFonts w:hint="eastAsia" w:ascii="宋体" w:hAnsi="宋体" w:eastAsia="宋体" w:cs="宋体"/>
                <w:color w:val="000000"/>
              </w:rPr>
            </w:pPr>
          </w:p>
        </w:tc>
      </w:tr>
      <w:tr>
        <w:tblPrEx>
          <w:tblCellMar>
            <w:top w:w="0" w:type="dxa"/>
            <w:left w:w="108" w:type="dxa"/>
            <w:bottom w:w="0" w:type="dxa"/>
            <w:right w:w="108" w:type="dxa"/>
          </w:tblCellMar>
        </w:tblPrEx>
        <w:trPr>
          <w:trHeight w:val="318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5</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离心机（96孔）</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bidi="ar"/>
              </w:rPr>
              <w:t>一、名称：台式低速离心机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二、主要技术参数：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1、触摸面板、LCD液晶显示：时间、转速/离心力、运行状态、错误代码，运行中可随时修改参数，无需停机，操作简便。</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2、采用微机控制、交流变频电机，转速控制精度高。</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3、自动计算RCF值，具有RCF/rpm转换键，最短加/减速时间20/25s。时间设定可精确到秒，倒计时小于一分钟时以秒显示。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4、采用特殊的减震器（三级减震），减震效果良好，具有自动平衡功能。</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5、采用电子门锁/机械门锁双重设计，简单耐用。故障报错，自动停机。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6、设有门盖保护、超速和转子参数锁定等多种保护功能，防止意外修改参数避免操作失误，故障自动报警功能。10档升降（0档为自由停车），12种自定义工作模式。可选配48/96孔脱帽转子。</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7、产品符合CFDA认证。</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8、最高转速：     5500r/min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9、最大相对离心力：4900×g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10、最大容量： 4×750ml</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11、显示类型： LCD液晶显示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12、时间控制： 0sec-99min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13、电机功率： 交流变频电机800W</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14、转速精度：±10rpm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15、噪音：  ≤65 dB(A)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16、电源：  DC220V±22V  50Hz 10A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17、外形尺寸： 570×460×410mm（LxWxH）</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18、重量： 52Kg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三、配置清单：</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1、主机  1台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2、水平转子：96*2/5ml     1套    (适用于13*100mm/13*75mm真空采血管)</w:t>
            </w:r>
          </w:p>
        </w:tc>
      </w:tr>
      <w:tr>
        <w:tblPrEx>
          <w:tblCellMar>
            <w:top w:w="0" w:type="dxa"/>
            <w:left w:w="108" w:type="dxa"/>
            <w:bottom w:w="0" w:type="dxa"/>
            <w:right w:w="108" w:type="dxa"/>
          </w:tblCellMar>
        </w:tblPrEx>
        <w:trPr>
          <w:trHeight w:val="112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6</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漩涡混匀器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r>
              <w:rPr>
                <w:rFonts w:hint="eastAsia"/>
              </w:rPr>
              <w:t>一、技术指标：</w:t>
            </w:r>
          </w:p>
          <w:p>
            <w:pPr>
              <w:pStyle w:val="14"/>
              <w:widowControl/>
              <w:spacing w:line="360" w:lineRule="auto"/>
              <w:ind w:firstLine="0" w:firstLineChars="0"/>
            </w:pPr>
            <w:r>
              <w:rPr>
                <w:rFonts w:hint="eastAsia"/>
              </w:rPr>
              <w:t xml:space="preserve">1.适合短时间（点动）或长时间连续工作                                      </w:t>
            </w:r>
          </w:p>
          <w:p>
            <w:pPr>
              <w:pStyle w:val="14"/>
              <w:widowControl/>
              <w:spacing w:line="360" w:lineRule="auto"/>
              <w:ind w:firstLine="0" w:firstLineChars="0"/>
            </w:pPr>
            <w:r>
              <w:rPr>
                <w:rFonts w:hint="eastAsia"/>
              </w:rPr>
              <w:t>2.转速范围：0-</w:t>
            </w:r>
            <w:r>
              <w:rPr>
                <w:rFonts w:hint="eastAsia"/>
                <w:lang w:val="en-US"/>
              </w:rPr>
              <w:t>3000</w:t>
            </w:r>
            <w:r>
              <w:rPr>
                <w:rFonts w:hint="eastAsia"/>
              </w:rPr>
              <w:t>rpm，无级调速</w:t>
            </w:r>
          </w:p>
          <w:p>
            <w:pPr>
              <w:pStyle w:val="14"/>
              <w:widowControl/>
              <w:spacing w:line="360" w:lineRule="auto"/>
              <w:ind w:firstLine="0" w:firstLineChars="0"/>
            </w:pPr>
            <w:r>
              <w:rPr>
                <w:rFonts w:hint="eastAsia"/>
              </w:rPr>
              <w:t>3.偏心球轴承设计，振动头安装方便</w:t>
            </w:r>
          </w:p>
          <w:p>
            <w:pPr>
              <w:pStyle w:val="14"/>
              <w:widowControl/>
              <w:spacing w:line="360" w:lineRule="auto"/>
              <w:ind w:firstLine="0" w:firstLineChars="0"/>
            </w:pPr>
            <w:r>
              <w:rPr>
                <w:rFonts w:hint="eastAsia" w:ascii="宋体" w:hAnsi="宋体"/>
                <w:color w:val="FF0000"/>
              </w:rPr>
              <w:t>※</w:t>
            </w:r>
            <w:r>
              <w:rPr>
                <w:rFonts w:hint="eastAsia"/>
              </w:rPr>
              <w:t>4. 9种振头及适配器可选，可适用于Eppendorf管等</w:t>
            </w:r>
          </w:p>
          <w:p>
            <w:pPr>
              <w:pStyle w:val="14"/>
              <w:widowControl/>
              <w:spacing w:line="360" w:lineRule="auto"/>
              <w:ind w:firstLine="0" w:firstLineChars="0"/>
            </w:pPr>
            <w:r>
              <w:rPr>
                <w:rFonts w:hint="eastAsia"/>
              </w:rPr>
              <w:t>5.硅制底座，超强防震，适合高速工作</w:t>
            </w:r>
          </w:p>
          <w:p>
            <w:pPr>
              <w:pStyle w:val="14"/>
              <w:widowControl/>
              <w:spacing w:line="360" w:lineRule="auto"/>
              <w:ind w:firstLine="0" w:firstLineChars="0"/>
            </w:pPr>
            <w:r>
              <w:rPr>
                <w:rFonts w:hint="eastAsia"/>
              </w:rPr>
              <w:t>6.整机稳固，可选配真空吸盘脚</w:t>
            </w:r>
          </w:p>
          <w:p>
            <w:pPr>
              <w:pStyle w:val="14"/>
              <w:widowControl/>
              <w:spacing w:line="360" w:lineRule="auto"/>
              <w:ind w:firstLine="0" w:firstLineChars="0"/>
            </w:pPr>
            <w:r>
              <w:rPr>
                <w:rFonts w:hint="eastAsia"/>
              </w:rPr>
              <w:t>7.运行周转直径：4mm</w:t>
            </w:r>
          </w:p>
          <w:p>
            <w:pPr>
              <w:pStyle w:val="14"/>
              <w:widowControl/>
              <w:spacing w:line="360" w:lineRule="auto"/>
              <w:ind w:firstLine="0" w:firstLineChars="0"/>
            </w:pPr>
            <w:r>
              <w:rPr>
                <w:rFonts w:hint="eastAsia"/>
              </w:rPr>
              <w:t>8.防护等级：IP21</w:t>
            </w:r>
          </w:p>
          <w:p>
            <w:r>
              <w:rPr>
                <w:rFonts w:hint="eastAsia"/>
              </w:rPr>
              <w:t>二、技术参数：</w:t>
            </w:r>
          </w:p>
          <w:p>
            <w:pPr>
              <w:pStyle w:val="15"/>
              <w:rPr>
                <w:rFonts w:hint="eastAsia" w:ascii="宋体" w:hAnsi="宋体" w:cs="Arial"/>
                <w:sz w:val="21"/>
                <w:szCs w:val="21"/>
              </w:rPr>
            </w:pPr>
            <w:r>
              <w:rPr>
                <w:rFonts w:hint="eastAsia" w:ascii="宋体" w:hAnsi="宋体" w:cs="Arial"/>
                <w:sz w:val="21"/>
                <w:szCs w:val="21"/>
              </w:rPr>
              <w:t>电压</w:t>
            </w:r>
            <w:r>
              <w:rPr>
                <w:rFonts w:ascii="宋体" w:hAnsi="宋体" w:cs="Arial"/>
                <w:sz w:val="21"/>
                <w:szCs w:val="21"/>
              </w:rPr>
              <w:t xml:space="preserve"> [VAC] 220-230</w:t>
            </w:r>
          </w:p>
          <w:p>
            <w:pPr>
              <w:widowControl/>
              <w:wordWrap w:val="0"/>
              <w:spacing w:line="250" w:lineRule="atLeast"/>
              <w:rPr>
                <w:rFonts w:ascii="宋体" w:hAnsi="宋体" w:cs="Arial"/>
                <w:color w:val="000000"/>
                <w:szCs w:val="21"/>
              </w:rPr>
            </w:pPr>
            <w:r>
              <w:rPr>
                <w:rFonts w:hint="eastAsia" w:ascii="宋体" w:hAnsi="宋体" w:cs="Arial"/>
                <w:color w:val="000000"/>
                <w:szCs w:val="21"/>
              </w:rPr>
              <w:t>频率</w:t>
            </w:r>
            <w:r>
              <w:rPr>
                <w:rFonts w:ascii="宋体" w:hAnsi="宋体" w:cs="Arial"/>
                <w:color w:val="000000"/>
                <w:szCs w:val="21"/>
              </w:rPr>
              <w:t xml:space="preserve"> [Hz]50</w:t>
            </w:r>
          </w:p>
          <w:p>
            <w:pPr>
              <w:pStyle w:val="15"/>
              <w:rPr>
                <w:rFonts w:ascii="宋体" w:hAnsi="宋体" w:cs="Arial"/>
                <w:sz w:val="21"/>
                <w:szCs w:val="21"/>
              </w:rPr>
            </w:pPr>
            <w:r>
              <w:rPr>
                <w:rFonts w:hint="eastAsia" w:ascii="宋体" w:hAnsi="宋体" w:cs="Arial"/>
                <w:sz w:val="21"/>
                <w:szCs w:val="21"/>
              </w:rPr>
              <w:t>功率</w:t>
            </w:r>
            <w:r>
              <w:rPr>
                <w:rFonts w:ascii="宋体" w:hAnsi="宋体" w:cs="Arial"/>
                <w:sz w:val="21"/>
                <w:szCs w:val="21"/>
              </w:rPr>
              <w:t xml:space="preserve"> [W] </w:t>
            </w:r>
            <w:r>
              <w:rPr>
                <w:rFonts w:hint="eastAsia" w:ascii="宋体" w:hAnsi="宋体" w:cs="Arial"/>
                <w:sz w:val="21"/>
                <w:szCs w:val="21"/>
              </w:rPr>
              <w:t>60</w:t>
            </w:r>
            <w:r>
              <w:rPr>
                <w:rFonts w:ascii="宋体" w:hAnsi="宋体" w:cs="Arial"/>
                <w:sz w:val="21"/>
                <w:szCs w:val="21"/>
              </w:rPr>
              <w:t xml:space="preserve"> </w:t>
            </w:r>
          </w:p>
          <w:p>
            <w:pPr>
              <w:pStyle w:val="15"/>
              <w:rPr>
                <w:rFonts w:ascii="宋体" w:hAnsi="宋体" w:cs="Arial"/>
                <w:sz w:val="21"/>
                <w:szCs w:val="21"/>
              </w:rPr>
            </w:pPr>
            <w:r>
              <w:rPr>
                <w:rFonts w:ascii="宋体" w:hAnsi="宋体" w:cs="Arial"/>
                <w:sz w:val="21"/>
                <w:szCs w:val="21"/>
              </w:rPr>
              <w:t>振荡方式圆周</w:t>
            </w:r>
          </w:p>
          <w:p>
            <w:pPr>
              <w:pStyle w:val="15"/>
              <w:rPr>
                <w:rFonts w:ascii="宋体" w:hAnsi="宋体" w:cs="Arial"/>
                <w:sz w:val="21"/>
                <w:szCs w:val="21"/>
              </w:rPr>
            </w:pPr>
            <w:r>
              <w:rPr>
                <w:rFonts w:ascii="宋体" w:hAnsi="宋体" w:cs="Arial"/>
                <w:sz w:val="21"/>
                <w:szCs w:val="21"/>
              </w:rPr>
              <w:t>周转直径[mm]</w:t>
            </w:r>
            <w:r>
              <w:rPr>
                <w:rFonts w:hint="eastAsia" w:ascii="宋体" w:hAnsi="宋体" w:cs="Arial"/>
                <w:sz w:val="21"/>
                <w:szCs w:val="21"/>
              </w:rPr>
              <w:t>4</w:t>
            </w:r>
            <w:r>
              <w:rPr>
                <w:rFonts w:ascii="宋体" w:hAnsi="宋体" w:cs="Arial"/>
                <w:sz w:val="21"/>
                <w:szCs w:val="21"/>
              </w:rPr>
              <w:t xml:space="preserve"> </w:t>
            </w:r>
          </w:p>
          <w:p>
            <w:pPr>
              <w:pStyle w:val="15"/>
              <w:rPr>
                <w:rFonts w:ascii="宋体" w:hAnsi="宋体" w:cs="Arial"/>
                <w:sz w:val="21"/>
                <w:szCs w:val="21"/>
              </w:rPr>
            </w:pPr>
            <w:r>
              <w:rPr>
                <w:rFonts w:ascii="宋体" w:hAnsi="宋体" w:cs="Arial"/>
                <w:sz w:val="21"/>
                <w:szCs w:val="21"/>
              </w:rPr>
              <w:t>电机输入功率[W]</w:t>
            </w:r>
            <w:r>
              <w:rPr>
                <w:rFonts w:hint="eastAsia" w:ascii="宋体" w:hAnsi="宋体" w:cs="Arial"/>
                <w:sz w:val="21"/>
                <w:szCs w:val="21"/>
              </w:rPr>
              <w:t>58</w:t>
            </w:r>
          </w:p>
          <w:p>
            <w:pPr>
              <w:pStyle w:val="15"/>
              <w:rPr>
                <w:rFonts w:ascii="宋体" w:hAnsi="宋体" w:cs="Arial"/>
                <w:sz w:val="21"/>
                <w:szCs w:val="21"/>
              </w:rPr>
            </w:pPr>
            <w:r>
              <w:rPr>
                <w:rFonts w:ascii="宋体" w:hAnsi="宋体" w:cs="Arial"/>
                <w:sz w:val="21"/>
                <w:szCs w:val="21"/>
              </w:rPr>
              <w:t>电机输出功率[W]</w:t>
            </w:r>
            <w:r>
              <w:rPr>
                <w:rFonts w:hint="eastAsia" w:ascii="宋体" w:hAnsi="宋体" w:cs="Arial"/>
                <w:sz w:val="21"/>
                <w:szCs w:val="21"/>
              </w:rPr>
              <w:t>10</w:t>
            </w:r>
          </w:p>
          <w:p>
            <w:pPr>
              <w:pStyle w:val="15"/>
              <w:rPr>
                <w:rFonts w:ascii="宋体" w:hAnsi="宋体" w:cs="Arial"/>
                <w:sz w:val="21"/>
                <w:szCs w:val="21"/>
              </w:rPr>
            </w:pPr>
            <w:r>
              <w:rPr>
                <w:rFonts w:ascii="宋体" w:hAnsi="宋体" w:cs="Arial"/>
                <w:sz w:val="21"/>
                <w:szCs w:val="21"/>
              </w:rPr>
              <w:t>允许连续运转时间100%</w:t>
            </w:r>
          </w:p>
          <w:p>
            <w:pPr>
              <w:pStyle w:val="15"/>
              <w:rPr>
                <w:rFonts w:ascii="宋体" w:hAnsi="宋体" w:cs="Arial"/>
                <w:sz w:val="21"/>
                <w:szCs w:val="21"/>
              </w:rPr>
            </w:pPr>
            <w:r>
              <w:rPr>
                <w:rFonts w:hint="eastAsia" w:ascii="宋体" w:hAnsi="宋体" w:cs="Arial"/>
                <w:sz w:val="21"/>
                <w:szCs w:val="21"/>
              </w:rPr>
              <w:t>速度范围</w:t>
            </w:r>
            <w:r>
              <w:rPr>
                <w:rFonts w:ascii="宋体" w:hAnsi="宋体" w:cs="Arial"/>
                <w:sz w:val="21"/>
                <w:szCs w:val="21"/>
              </w:rPr>
              <w:t xml:space="preserve"> [rpm] 0-</w:t>
            </w:r>
            <w:r>
              <w:rPr>
                <w:rFonts w:hint="eastAsia" w:ascii="宋体" w:hAnsi="宋体" w:cs="Arial"/>
                <w:sz w:val="21"/>
                <w:szCs w:val="21"/>
              </w:rPr>
              <w:t>3000</w:t>
            </w:r>
          </w:p>
          <w:p>
            <w:pPr>
              <w:pStyle w:val="15"/>
              <w:rPr>
                <w:rFonts w:ascii="宋体" w:hAnsi="宋体" w:cs="Arial"/>
                <w:sz w:val="21"/>
                <w:szCs w:val="21"/>
              </w:rPr>
            </w:pPr>
            <w:r>
              <w:rPr>
                <w:rFonts w:ascii="宋体" w:hAnsi="宋体" w:cs="Arial"/>
                <w:sz w:val="21"/>
                <w:szCs w:val="21"/>
              </w:rPr>
              <w:t>转速</w:t>
            </w:r>
            <w:r>
              <w:rPr>
                <w:rFonts w:hint="eastAsia" w:ascii="宋体" w:hAnsi="宋体" w:cs="Arial"/>
                <w:sz w:val="21"/>
                <w:szCs w:val="21"/>
              </w:rPr>
              <w:t>显示</w:t>
            </w:r>
            <w:r>
              <w:rPr>
                <w:rFonts w:ascii="宋体" w:hAnsi="宋体" w:cs="Arial"/>
                <w:sz w:val="21"/>
                <w:szCs w:val="21"/>
              </w:rPr>
              <w:t xml:space="preserve">  刻度</w:t>
            </w:r>
          </w:p>
          <w:p>
            <w:pPr>
              <w:pStyle w:val="15"/>
              <w:rPr>
                <w:rFonts w:ascii="宋体" w:hAnsi="宋体" w:cs="Arial"/>
                <w:sz w:val="21"/>
                <w:szCs w:val="21"/>
              </w:rPr>
            </w:pPr>
            <w:r>
              <w:rPr>
                <w:rFonts w:hint="eastAsia" w:ascii="宋体" w:hAnsi="宋体" w:cs="Arial"/>
                <w:sz w:val="21"/>
                <w:szCs w:val="21"/>
              </w:rPr>
              <w:t>运行方式</w:t>
            </w:r>
            <w:r>
              <w:rPr>
                <w:rFonts w:ascii="宋体" w:hAnsi="宋体" w:cs="Arial"/>
                <w:sz w:val="21"/>
                <w:szCs w:val="21"/>
              </w:rPr>
              <w:t>连续运转/点动</w:t>
            </w:r>
          </w:p>
          <w:p>
            <w:pPr>
              <w:widowControl/>
              <w:wordWrap w:val="0"/>
              <w:spacing w:line="250" w:lineRule="atLeast"/>
              <w:rPr>
                <w:rFonts w:ascii="宋体" w:hAnsi="宋体" w:eastAsia="宋体" w:cs="Arial"/>
                <w:color w:val="000000"/>
                <w:sz w:val="21"/>
                <w:szCs w:val="21"/>
              </w:rPr>
            </w:pPr>
            <w:r>
              <w:rPr>
                <w:rFonts w:ascii="宋体" w:hAnsi="宋体" w:cs="Arial"/>
                <w:color w:val="000000"/>
                <w:szCs w:val="21"/>
              </w:rPr>
              <w:t>外观尺寸[mm]</w:t>
            </w:r>
            <w:r>
              <w:rPr>
                <w:rFonts w:ascii="宋体" w:hAnsi="宋体" w:eastAsia="宋体" w:cs="Arial"/>
                <w:color w:val="000000"/>
                <w:sz w:val="21"/>
                <w:szCs w:val="21"/>
              </w:rPr>
              <w:t>127×130×160</w:t>
            </w:r>
          </w:p>
          <w:p>
            <w:pPr>
              <w:widowControl/>
              <w:wordWrap w:val="0"/>
              <w:spacing w:line="250" w:lineRule="atLeast"/>
              <w:rPr>
                <w:rFonts w:ascii="宋体" w:hAnsi="宋体" w:cs="Arial"/>
                <w:color w:val="000000"/>
                <w:szCs w:val="21"/>
              </w:rPr>
            </w:pPr>
            <w:r>
              <w:rPr>
                <w:rFonts w:ascii="宋体" w:hAnsi="宋体" w:cs="Arial"/>
                <w:color w:val="000000"/>
                <w:szCs w:val="21"/>
              </w:rPr>
              <w:t>重量[kg]</w:t>
            </w:r>
            <w:r>
              <w:rPr>
                <w:rFonts w:hint="eastAsia" w:ascii="宋体" w:hAnsi="宋体" w:eastAsia="宋体" w:cs="Arial"/>
                <w:color w:val="000000"/>
                <w:sz w:val="21"/>
                <w:szCs w:val="21"/>
              </w:rPr>
              <w:t>3.5</w:t>
            </w:r>
          </w:p>
          <w:p>
            <w:pPr>
              <w:pStyle w:val="15"/>
              <w:rPr>
                <w:rFonts w:ascii="宋体" w:hAnsi="宋体" w:cs="Arial"/>
                <w:sz w:val="21"/>
                <w:szCs w:val="21"/>
              </w:rPr>
            </w:pPr>
            <w:r>
              <w:rPr>
                <w:rFonts w:hint="eastAsia" w:ascii="宋体" w:hAnsi="宋体" w:cs="Arial"/>
                <w:sz w:val="21"/>
                <w:szCs w:val="21"/>
              </w:rPr>
              <w:t>允许环境温度</w:t>
            </w:r>
            <w:r>
              <w:rPr>
                <w:rFonts w:ascii="宋体" w:hAnsi="宋体" w:cs="Arial"/>
                <w:sz w:val="21"/>
                <w:szCs w:val="21"/>
              </w:rPr>
              <w:t xml:space="preserve"> [°C] 5</w:t>
            </w:r>
            <w:r>
              <w:rPr>
                <w:rFonts w:hint="eastAsia" w:ascii="宋体" w:hAnsi="宋体" w:cs="Arial"/>
                <w:sz w:val="21"/>
                <w:szCs w:val="21"/>
              </w:rPr>
              <w:t>－</w:t>
            </w:r>
            <w:r>
              <w:rPr>
                <w:rFonts w:ascii="宋体" w:hAnsi="宋体" w:cs="Arial"/>
                <w:sz w:val="21"/>
                <w:szCs w:val="21"/>
              </w:rPr>
              <w:t xml:space="preserve">40 </w:t>
            </w:r>
          </w:p>
          <w:p>
            <w:pPr>
              <w:pStyle w:val="15"/>
              <w:rPr>
                <w:rFonts w:ascii="宋体" w:hAnsi="宋体" w:cs="Arial"/>
                <w:szCs w:val="21"/>
              </w:rPr>
            </w:pPr>
            <w:r>
              <w:rPr>
                <w:rFonts w:hint="eastAsia" w:ascii="宋体" w:hAnsi="宋体" w:cs="Arial"/>
                <w:sz w:val="21"/>
                <w:szCs w:val="21"/>
              </w:rPr>
              <w:t>允许环境湿度</w:t>
            </w:r>
            <w:r>
              <w:rPr>
                <w:rFonts w:ascii="宋体" w:hAnsi="宋体" w:cs="Arial"/>
                <w:sz w:val="21"/>
                <w:szCs w:val="21"/>
              </w:rPr>
              <w:t xml:space="preserve"> </w:t>
            </w:r>
            <w:r>
              <w:rPr>
                <w:rFonts w:ascii="宋体" w:hAnsi="宋体" w:cs="Arial"/>
                <w:szCs w:val="21"/>
              </w:rPr>
              <w:t>80%</w:t>
            </w:r>
          </w:p>
          <w:p>
            <w:pPr>
              <w:widowControl/>
              <w:textAlignment w:val="center"/>
              <w:rPr>
                <w:rFonts w:hint="eastAsia" w:ascii="宋体" w:hAnsi="宋体" w:eastAsia="宋体" w:cs="宋体"/>
                <w:color w:val="000000"/>
              </w:rPr>
            </w:pPr>
            <w:r>
              <w:rPr>
                <w:rFonts w:hint="eastAsia" w:ascii="宋体" w:hAnsi="宋体" w:eastAsia="宋体" w:cs="Arial"/>
                <w:color w:val="000000"/>
                <w:sz w:val="21"/>
                <w:szCs w:val="21"/>
              </w:rPr>
              <w:t>外壳防护等级</w:t>
            </w:r>
            <w:r>
              <w:rPr>
                <w:rFonts w:hint="eastAsia" w:ascii="宋体" w:hAnsi="宋体" w:cs="Arial"/>
                <w:color w:val="000000"/>
                <w:szCs w:val="21"/>
              </w:rPr>
              <w:t>I</w:t>
            </w:r>
            <w:r>
              <w:rPr>
                <w:rFonts w:ascii="宋体" w:hAnsi="宋体" w:cs="Arial"/>
                <w:color w:val="000000"/>
                <w:szCs w:val="21"/>
              </w:rPr>
              <w:t>P21</w:t>
            </w:r>
          </w:p>
        </w:tc>
      </w:tr>
      <w:tr>
        <w:tblPrEx>
          <w:tblCellMar>
            <w:top w:w="0" w:type="dxa"/>
            <w:left w:w="108" w:type="dxa"/>
            <w:bottom w:w="0" w:type="dxa"/>
            <w:right w:w="108" w:type="dxa"/>
          </w:tblCellMar>
        </w:tblPrEx>
        <w:trPr>
          <w:trHeight w:val="1293"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7</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ups备用电源</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sz w:val="24"/>
              </w:rPr>
            </w:pPr>
            <w:r>
              <w:rPr>
                <w:rFonts w:hint="eastAsia"/>
                <w:sz w:val="24"/>
              </w:rPr>
              <w:t>电源容量：</w:t>
            </w:r>
          </w:p>
          <w:p>
            <w:pPr>
              <w:jc w:val="both"/>
              <w:rPr>
                <w:rFonts w:hint="eastAsia"/>
                <w:sz w:val="24"/>
              </w:rPr>
            </w:pPr>
            <w:r>
              <w:rPr>
                <w:rFonts w:hint="eastAsia"/>
                <w:sz w:val="24"/>
              </w:rPr>
              <w:t>30KVA</w:t>
            </w:r>
          </w:p>
          <w:p>
            <w:pPr>
              <w:jc w:val="both"/>
              <w:rPr>
                <w:rFonts w:hint="eastAsia"/>
                <w:szCs w:val="21"/>
              </w:rPr>
            </w:pPr>
            <w:r>
              <w:rPr>
                <w:rFonts w:hint="eastAsia"/>
                <w:szCs w:val="21"/>
              </w:rPr>
              <w:t>输入电 压</w:t>
            </w:r>
          </w:p>
          <w:p>
            <w:pPr>
              <w:jc w:val="both"/>
              <w:rPr>
                <w:rFonts w:hint="eastAsia"/>
                <w:szCs w:val="21"/>
              </w:rPr>
            </w:pPr>
            <w:r>
              <w:rPr>
                <w:rFonts w:hint="eastAsia"/>
                <w:szCs w:val="21"/>
              </w:rPr>
              <w:t>380VA</w:t>
            </w:r>
            <w:r>
              <w:rPr>
                <w:rFonts w:hint="eastAsia" w:ascii="宋体" w:hAnsi="宋体"/>
                <w:szCs w:val="21"/>
              </w:rPr>
              <w:t>±2</w:t>
            </w:r>
            <w:r>
              <w:rPr>
                <w:rFonts w:hint="eastAsia"/>
                <w:szCs w:val="21"/>
              </w:rPr>
              <w:t>5%</w:t>
            </w:r>
          </w:p>
          <w:p>
            <w:pPr>
              <w:jc w:val="both"/>
              <w:rPr>
                <w:rFonts w:hint="eastAsia"/>
                <w:szCs w:val="21"/>
              </w:rPr>
            </w:pPr>
            <w:r>
              <w:rPr>
                <w:rFonts w:hint="eastAsia"/>
                <w:szCs w:val="21"/>
              </w:rPr>
              <w:t>频 率</w:t>
            </w:r>
          </w:p>
          <w:p>
            <w:pPr>
              <w:jc w:val="both"/>
              <w:rPr>
                <w:rFonts w:hint="eastAsia"/>
                <w:szCs w:val="21"/>
              </w:rPr>
            </w:pPr>
            <w:r>
              <w:rPr>
                <w:rFonts w:hint="eastAsia"/>
                <w:szCs w:val="21"/>
              </w:rPr>
              <w:t>500HZ-70HZ</w:t>
            </w:r>
            <w:r>
              <w:rPr>
                <w:rFonts w:hint="eastAsia" w:ascii="宋体" w:hAnsi="宋体"/>
                <w:szCs w:val="21"/>
              </w:rPr>
              <w:t>±2</w:t>
            </w:r>
            <w:r>
              <w:rPr>
                <w:rFonts w:hint="eastAsia"/>
                <w:szCs w:val="21"/>
              </w:rPr>
              <w:t>5%</w:t>
            </w:r>
          </w:p>
          <w:p>
            <w:pPr>
              <w:jc w:val="both"/>
              <w:rPr>
                <w:rFonts w:hint="eastAsia"/>
                <w:szCs w:val="21"/>
              </w:rPr>
            </w:pPr>
            <w:r>
              <w:rPr>
                <w:rFonts w:hint="eastAsia"/>
                <w:szCs w:val="21"/>
              </w:rPr>
              <w:t>功率因数</w:t>
            </w:r>
          </w:p>
          <w:p>
            <w:pPr>
              <w:jc w:val="both"/>
              <w:rPr>
                <w:rFonts w:hint="eastAsia"/>
                <w:szCs w:val="21"/>
              </w:rPr>
            </w:pPr>
            <w:r>
              <w:rPr>
                <w:rFonts w:hint="eastAsia" w:ascii="宋体" w:hAnsi="宋体"/>
                <w:szCs w:val="21"/>
              </w:rPr>
              <w:t>≥0.99@额定电压 （100%负载）</w:t>
            </w:r>
          </w:p>
          <w:p>
            <w:pPr>
              <w:jc w:val="both"/>
              <w:rPr>
                <w:rFonts w:hint="eastAsia"/>
                <w:szCs w:val="21"/>
              </w:rPr>
            </w:pPr>
            <w:r>
              <w:rPr>
                <w:rFonts w:hint="eastAsia"/>
                <w:szCs w:val="21"/>
              </w:rPr>
              <w:t>输出电 压</w:t>
            </w:r>
          </w:p>
          <w:p>
            <w:pPr>
              <w:jc w:val="both"/>
              <w:rPr>
                <w:rFonts w:hint="eastAsia"/>
                <w:szCs w:val="21"/>
              </w:rPr>
            </w:pPr>
            <w:r>
              <w:rPr>
                <w:rFonts w:hint="eastAsia"/>
                <w:szCs w:val="21"/>
              </w:rPr>
              <w:t>220VAC</w:t>
            </w:r>
            <w:r>
              <w:rPr>
                <w:rFonts w:hint="eastAsia" w:ascii="宋体" w:hAnsi="宋体"/>
                <w:szCs w:val="21"/>
              </w:rPr>
              <w:t>±</w:t>
            </w:r>
            <w:r>
              <w:rPr>
                <w:rFonts w:hint="eastAsia"/>
                <w:szCs w:val="21"/>
              </w:rPr>
              <w:t>1%（电池供电状态）</w:t>
            </w:r>
          </w:p>
          <w:p>
            <w:pPr>
              <w:jc w:val="both"/>
              <w:rPr>
                <w:rFonts w:hint="eastAsia"/>
                <w:szCs w:val="21"/>
              </w:rPr>
            </w:pPr>
            <w:r>
              <w:rPr>
                <w:rFonts w:hint="eastAsia"/>
                <w:szCs w:val="21"/>
              </w:rPr>
              <w:t>频率范围（同步校正）</w:t>
            </w:r>
          </w:p>
          <w:p>
            <w:pPr>
              <w:jc w:val="both"/>
              <w:rPr>
                <w:rFonts w:hint="eastAsia"/>
                <w:szCs w:val="21"/>
              </w:rPr>
            </w:pPr>
            <w:r>
              <w:rPr>
                <w:rFonts w:hint="eastAsia"/>
                <w:szCs w:val="21"/>
              </w:rPr>
              <w:t>50HZ-65HZ@50HZ系统或56HZ-64HZ@60HZ系统</w:t>
            </w:r>
          </w:p>
          <w:p>
            <w:pPr>
              <w:jc w:val="both"/>
              <w:rPr>
                <w:rFonts w:hint="eastAsia"/>
                <w:szCs w:val="21"/>
              </w:rPr>
            </w:pPr>
            <w:r>
              <w:rPr>
                <w:rFonts w:hint="eastAsia"/>
                <w:szCs w:val="21"/>
              </w:rPr>
              <w:t>频率稳定度</w:t>
            </w:r>
          </w:p>
          <w:p>
            <w:pPr>
              <w:jc w:val="both"/>
              <w:rPr>
                <w:rFonts w:hint="eastAsia"/>
                <w:szCs w:val="21"/>
              </w:rPr>
            </w:pPr>
            <w:r>
              <w:rPr>
                <w:rFonts w:hint="eastAsia"/>
                <w:szCs w:val="21"/>
              </w:rPr>
              <w:t>50HZ</w:t>
            </w:r>
            <w:r>
              <w:rPr>
                <w:rFonts w:hint="eastAsia" w:ascii="宋体" w:hAnsi="宋体"/>
                <w:szCs w:val="21"/>
              </w:rPr>
              <w:t>±</w:t>
            </w:r>
            <w:r>
              <w:rPr>
                <w:rFonts w:hint="eastAsia"/>
                <w:szCs w:val="21"/>
              </w:rPr>
              <w:t>0.5%</w:t>
            </w:r>
          </w:p>
          <w:p>
            <w:pPr>
              <w:jc w:val="both"/>
              <w:rPr>
                <w:rFonts w:hint="eastAsia"/>
                <w:szCs w:val="21"/>
              </w:rPr>
            </w:pPr>
            <w:r>
              <w:rPr>
                <w:rFonts w:hint="eastAsia"/>
                <w:szCs w:val="21"/>
              </w:rPr>
              <w:t>浪涌比率</w:t>
            </w:r>
          </w:p>
          <w:p>
            <w:pPr>
              <w:jc w:val="both"/>
              <w:rPr>
                <w:rFonts w:hint="eastAsia"/>
                <w:szCs w:val="21"/>
              </w:rPr>
            </w:pPr>
            <w:r>
              <w:rPr>
                <w:rFonts w:hint="eastAsia"/>
                <w:szCs w:val="21"/>
              </w:rPr>
              <w:t>3:1（最大）</w:t>
            </w:r>
          </w:p>
          <w:p>
            <w:pPr>
              <w:jc w:val="both"/>
              <w:rPr>
                <w:rFonts w:hint="eastAsia"/>
                <w:szCs w:val="21"/>
              </w:rPr>
            </w:pPr>
            <w:r>
              <w:rPr>
                <w:rFonts w:hint="eastAsia"/>
                <w:szCs w:val="21"/>
              </w:rPr>
              <w:t>波形失真≤3%THD（线性负载）≤5%THD（整流总谐波）</w:t>
            </w:r>
          </w:p>
          <w:p>
            <w:pPr>
              <w:jc w:val="both"/>
              <w:rPr>
                <w:rFonts w:hint="eastAsia"/>
                <w:szCs w:val="21"/>
              </w:rPr>
            </w:pPr>
            <w:r>
              <w:rPr>
                <w:rFonts w:hint="eastAsia"/>
                <w:szCs w:val="21"/>
              </w:rPr>
              <w:t>时间交流到直流0ms逆变稳态响应时间0ms波 形纯正弦波 线性负载 ＜3%，非线性负载＜3%，</w:t>
            </w:r>
          </w:p>
          <w:p>
            <w:pPr>
              <w:jc w:val="both"/>
              <w:rPr>
                <w:rFonts w:hint="eastAsia" w:ascii="宋体" w:hAnsi="宋体"/>
                <w:szCs w:val="21"/>
              </w:rPr>
            </w:pPr>
            <w:r>
              <w:rPr>
                <w:rFonts w:hint="eastAsia"/>
                <w:szCs w:val="21"/>
              </w:rPr>
              <w:t>效率整机效率</w:t>
            </w:r>
            <w:r>
              <w:rPr>
                <w:rFonts w:hint="eastAsia" w:ascii="宋体" w:hAnsi="宋体"/>
                <w:szCs w:val="21"/>
              </w:rPr>
              <w:t>≥95%</w:t>
            </w:r>
          </w:p>
          <w:p>
            <w:pPr>
              <w:jc w:val="both"/>
              <w:rPr>
                <w:rFonts w:hint="eastAsia"/>
                <w:szCs w:val="21"/>
              </w:rPr>
            </w:pPr>
            <w:r>
              <w:rPr>
                <w:rFonts w:hint="eastAsia"/>
                <w:szCs w:val="21"/>
              </w:rPr>
              <w:t>电池电池类型阀控密封免维护电池电池数量</w:t>
            </w:r>
          </w:p>
          <w:p>
            <w:pPr>
              <w:jc w:val="both"/>
              <w:rPr>
                <w:rFonts w:hint="eastAsia"/>
                <w:szCs w:val="21"/>
              </w:rPr>
            </w:pPr>
            <w:r>
              <w:rPr>
                <w:rFonts w:hint="eastAsia"/>
                <w:szCs w:val="21"/>
              </w:rPr>
              <w:t>100AH*32只</w:t>
            </w:r>
          </w:p>
          <w:p>
            <w:pPr>
              <w:jc w:val="both"/>
              <w:rPr>
                <w:rFonts w:hint="eastAsia"/>
                <w:szCs w:val="21"/>
              </w:rPr>
            </w:pPr>
            <w:r>
              <w:rPr>
                <w:rFonts w:hint="eastAsia"/>
                <w:szCs w:val="21"/>
              </w:rPr>
              <w:t>触摸屏显示</w:t>
            </w:r>
          </w:p>
          <w:p>
            <w:pPr>
              <w:jc w:val="both"/>
              <w:rPr>
                <w:rFonts w:hint="eastAsia"/>
                <w:szCs w:val="21"/>
              </w:rPr>
            </w:pPr>
            <w:r>
              <w:rPr>
                <w:rFonts w:hint="eastAsia"/>
                <w:szCs w:val="21"/>
              </w:rPr>
              <w:t>LCDorLED</w:t>
            </w:r>
          </w:p>
          <w:p>
            <w:pPr>
              <w:jc w:val="both"/>
              <w:rPr>
                <w:rFonts w:hint="eastAsia"/>
                <w:szCs w:val="21"/>
              </w:rPr>
            </w:pPr>
            <w:r>
              <w:rPr>
                <w:rStyle w:val="16"/>
                <w:rFonts w:ascii="宋体" w:hAnsi="宋体"/>
                <w:bCs/>
                <w:sz w:val="24"/>
              </w:rPr>
              <w:t>使用大型中</w:t>
            </w:r>
            <w:r>
              <w:rPr>
                <w:rStyle w:val="16"/>
                <w:rFonts w:hint="eastAsia" w:ascii="宋体" w:hAnsi="宋体"/>
                <w:bCs/>
                <w:sz w:val="24"/>
              </w:rPr>
              <w:t>/英</w:t>
            </w:r>
            <w:r>
              <w:rPr>
                <w:rStyle w:val="16"/>
                <w:rFonts w:ascii="宋体" w:hAnsi="宋体"/>
                <w:bCs/>
                <w:sz w:val="24"/>
              </w:rPr>
              <w:t>文图形化</w:t>
            </w:r>
            <w:r>
              <w:rPr>
                <w:rStyle w:val="16"/>
                <w:rFonts w:hint="eastAsia" w:ascii="宋体" w:hAnsi="宋体"/>
                <w:bCs/>
                <w:sz w:val="24"/>
              </w:rPr>
              <w:t>触摸液晶</w:t>
            </w:r>
            <w:r>
              <w:rPr>
                <w:rStyle w:val="16"/>
                <w:rFonts w:ascii="宋体" w:hAnsi="宋体"/>
                <w:bCs/>
                <w:sz w:val="24"/>
              </w:rPr>
              <w:t>显示面板 , 操作简单</w:t>
            </w:r>
            <w:r>
              <w:rPr>
                <w:rStyle w:val="16"/>
                <w:rFonts w:hint="eastAsia" w:ascii="宋体" w:hAnsi="宋体"/>
                <w:bCs/>
                <w:sz w:val="24"/>
              </w:rPr>
              <w:t>，</w:t>
            </w:r>
            <w:r>
              <w:rPr>
                <w:rFonts w:hint="eastAsia" w:ascii="宋体" w:hAnsi="宋体"/>
                <w:sz w:val="24"/>
              </w:rPr>
              <w:t>系统状态、操作程序、</w:t>
            </w:r>
            <w:r>
              <w:rPr>
                <w:rFonts w:hint="eastAsia" w:ascii="宋体" w:hAnsi="宋体"/>
                <w:color w:val="000000"/>
                <w:sz w:val="24"/>
              </w:rPr>
              <w:t>实时侦</w:t>
            </w:r>
            <w:r>
              <w:rPr>
                <w:rFonts w:hint="eastAsia" w:ascii="宋体" w:hAnsi="宋体"/>
                <w:sz w:val="24"/>
              </w:rPr>
              <w:t>测值、故障检修资料、图象资料显示等，通过中文图型显示及触摸操作，先进方便</w:t>
            </w:r>
            <w:r>
              <w:rPr>
                <w:rFonts w:hint="eastAsia"/>
                <w:sz w:val="18"/>
                <w:szCs w:val="18"/>
              </w:rPr>
              <w:t xml:space="preserve">。 </w:t>
            </w:r>
            <w:r>
              <w:rPr>
                <w:rFonts w:hint="eastAsia"/>
                <w:szCs w:val="21"/>
              </w:rPr>
              <w:t>UPS状态、负载大小、电池容量、输入输出电压、市电模式、电池模式 ，一目了然，</w:t>
            </w:r>
          </w:p>
          <w:p>
            <w:pPr>
              <w:jc w:val="both"/>
              <w:rPr>
                <w:rFonts w:hint="eastAsia"/>
                <w:szCs w:val="21"/>
              </w:rPr>
            </w:pPr>
            <w:r>
              <w:rPr>
                <w:rFonts w:hint="eastAsia"/>
                <w:szCs w:val="21"/>
              </w:rPr>
              <w:t>警告</w:t>
            </w:r>
          </w:p>
          <w:p>
            <w:pPr>
              <w:jc w:val="both"/>
              <w:rPr>
                <w:rFonts w:hint="eastAsia"/>
                <w:szCs w:val="21"/>
              </w:rPr>
            </w:pPr>
            <w:r>
              <w:rPr>
                <w:rFonts w:hint="eastAsia"/>
                <w:szCs w:val="21"/>
              </w:rPr>
              <w:t>电池模式</w:t>
            </w:r>
          </w:p>
          <w:p>
            <w:pPr>
              <w:jc w:val="both"/>
              <w:rPr>
                <w:rFonts w:hint="eastAsia"/>
                <w:szCs w:val="21"/>
              </w:rPr>
            </w:pPr>
            <w:r>
              <w:rPr>
                <w:rFonts w:hint="eastAsia"/>
                <w:szCs w:val="21"/>
              </w:rPr>
              <w:t>每4秒响一次</w:t>
            </w:r>
          </w:p>
          <w:p>
            <w:pPr>
              <w:jc w:val="both"/>
              <w:rPr>
                <w:rFonts w:hint="eastAsia"/>
                <w:szCs w:val="21"/>
              </w:rPr>
            </w:pPr>
            <w:r>
              <w:rPr>
                <w:rFonts w:hint="eastAsia"/>
                <w:szCs w:val="21"/>
              </w:rPr>
              <w:t>电池电量低</w:t>
            </w:r>
          </w:p>
          <w:p>
            <w:pPr>
              <w:jc w:val="both"/>
              <w:rPr>
                <w:rFonts w:hint="eastAsia"/>
                <w:szCs w:val="21"/>
              </w:rPr>
            </w:pPr>
            <w:r>
              <w:rPr>
                <w:rFonts w:hint="eastAsia"/>
                <w:szCs w:val="21"/>
              </w:rPr>
              <w:t>每1秒响一次过载</w:t>
            </w:r>
          </w:p>
          <w:p>
            <w:pPr>
              <w:jc w:val="both"/>
              <w:rPr>
                <w:rFonts w:hint="eastAsia"/>
                <w:szCs w:val="21"/>
              </w:rPr>
            </w:pPr>
            <w:r>
              <w:rPr>
                <w:rFonts w:hint="eastAsia"/>
                <w:szCs w:val="21"/>
              </w:rPr>
              <w:t>每0.5秒响一次</w:t>
            </w:r>
          </w:p>
          <w:p>
            <w:pPr>
              <w:jc w:val="both"/>
              <w:rPr>
                <w:rFonts w:hint="eastAsia"/>
                <w:szCs w:val="21"/>
              </w:rPr>
            </w:pPr>
            <w:r>
              <w:rPr>
                <w:rFonts w:hint="eastAsia"/>
                <w:szCs w:val="21"/>
              </w:rPr>
              <w:t>环境</w:t>
            </w:r>
          </w:p>
          <w:p>
            <w:pPr>
              <w:jc w:val="both"/>
              <w:rPr>
                <w:rFonts w:hint="eastAsia"/>
                <w:szCs w:val="21"/>
              </w:rPr>
            </w:pPr>
            <w:r>
              <w:rPr>
                <w:rFonts w:hint="eastAsia"/>
                <w:szCs w:val="21"/>
              </w:rPr>
              <w:t>湿度</w:t>
            </w:r>
          </w:p>
          <w:p>
            <w:pPr>
              <w:jc w:val="both"/>
              <w:rPr>
                <w:rFonts w:hint="eastAsia"/>
                <w:szCs w:val="21"/>
              </w:rPr>
            </w:pPr>
            <w:r>
              <w:rPr>
                <w:rFonts w:hint="eastAsia"/>
                <w:szCs w:val="21"/>
              </w:rPr>
              <w:t>0-95%RH@0-4</w:t>
            </w:r>
            <w:r>
              <w:rPr>
                <w:rFonts w:hint="eastAsia" w:ascii="宋体" w:hAnsi="宋体"/>
                <w:szCs w:val="21"/>
              </w:rPr>
              <w:t>5℃（不结露）海拔 ≥4000</w:t>
            </w:r>
          </w:p>
          <w:p>
            <w:pPr>
              <w:jc w:val="both"/>
              <w:rPr>
                <w:rFonts w:hint="eastAsia"/>
                <w:szCs w:val="21"/>
              </w:rPr>
            </w:pPr>
            <w:r>
              <w:rPr>
                <w:rFonts w:hint="eastAsia"/>
                <w:szCs w:val="21"/>
              </w:rPr>
              <w:t>噪音控制</w:t>
            </w:r>
          </w:p>
          <w:p>
            <w:pPr>
              <w:jc w:val="both"/>
              <w:rPr>
                <w:rFonts w:hint="eastAsia"/>
                <w:szCs w:val="21"/>
              </w:rPr>
            </w:pPr>
            <w:r>
              <w:rPr>
                <w:rFonts w:hint="eastAsia"/>
                <w:szCs w:val="21"/>
              </w:rPr>
              <w:t>≤70db 距离1M</w:t>
            </w:r>
          </w:p>
          <w:p>
            <w:pPr>
              <w:jc w:val="both"/>
              <w:rPr>
                <w:rFonts w:hint="eastAsia"/>
                <w:szCs w:val="21"/>
              </w:rPr>
            </w:pPr>
            <w:r>
              <w:rPr>
                <w:rFonts w:hint="eastAsia"/>
                <w:szCs w:val="21"/>
              </w:rPr>
              <w:t>控制管理</w:t>
            </w:r>
          </w:p>
          <w:p>
            <w:pPr>
              <w:jc w:val="both"/>
              <w:rPr>
                <w:rFonts w:hint="eastAsia"/>
                <w:szCs w:val="21"/>
              </w:rPr>
            </w:pPr>
            <w:r>
              <w:rPr>
                <w:rFonts w:hint="eastAsia"/>
                <w:szCs w:val="21"/>
              </w:rPr>
              <w:t>RS-232/可选USB</w:t>
            </w:r>
          </w:p>
          <w:p>
            <w:pPr>
              <w:jc w:val="both"/>
              <w:rPr>
                <w:rFonts w:hint="eastAsia"/>
                <w:szCs w:val="21"/>
              </w:rPr>
            </w:pPr>
            <w:r>
              <w:rPr>
                <w:rFonts w:hint="eastAsia"/>
                <w:szCs w:val="21"/>
              </w:rPr>
              <w:t>支持Windows2000/2003/XP/Vista/2008Windows7/8,Linux,Unix,andMAC</w:t>
            </w:r>
          </w:p>
          <w:p>
            <w:pPr>
              <w:jc w:val="both"/>
              <w:rPr>
                <w:rFonts w:hint="eastAsia"/>
                <w:szCs w:val="21"/>
              </w:rPr>
            </w:pPr>
            <w:r>
              <w:rPr>
                <w:rFonts w:hint="eastAsia"/>
                <w:szCs w:val="21"/>
              </w:rPr>
              <w:t>可选SNMP</w:t>
            </w:r>
          </w:p>
          <w:p>
            <w:pPr>
              <w:jc w:val="both"/>
              <w:rPr>
                <w:rFonts w:hint="eastAsia"/>
                <w:szCs w:val="21"/>
              </w:rPr>
            </w:pPr>
            <w:r>
              <w:rPr>
                <w:rFonts w:hint="eastAsia"/>
                <w:szCs w:val="21"/>
              </w:rPr>
              <w:t>电池管理支持SNMP管理与网络管理</w:t>
            </w:r>
          </w:p>
          <w:p>
            <w:pPr>
              <w:jc w:val="both"/>
              <w:rPr>
                <w:rFonts w:hint="eastAsia"/>
                <w:szCs w:val="21"/>
              </w:rPr>
            </w:pPr>
            <w:r>
              <w:rPr>
                <w:rFonts w:hint="eastAsia"/>
                <w:szCs w:val="21"/>
              </w:rPr>
              <w:t>UPS及电池</w:t>
            </w:r>
          </w:p>
          <w:p>
            <w:pPr>
              <w:jc w:val="both"/>
              <w:rPr>
                <w:rFonts w:hint="eastAsia"/>
                <w:szCs w:val="21"/>
              </w:rPr>
            </w:pPr>
            <w:r>
              <w:rPr>
                <w:rFonts w:hint="eastAsia"/>
                <w:szCs w:val="21"/>
              </w:rPr>
              <w:t>UPS主机和蓄电池属同一品牌 ，</w:t>
            </w:r>
          </w:p>
          <w:p>
            <w:pPr>
              <w:jc w:val="both"/>
              <w:rPr>
                <w:rFonts w:hint="eastAsia"/>
                <w:szCs w:val="21"/>
              </w:rPr>
            </w:pPr>
            <w:r>
              <w:rPr>
                <w:rFonts w:hint="eastAsia"/>
                <w:szCs w:val="21"/>
              </w:rPr>
              <w:t>UPS电源主机和电池质保期三年，质保期满后仍享有长期维修保养。</w:t>
            </w:r>
          </w:p>
          <w:p>
            <w:pPr>
              <w:jc w:val="both"/>
              <w:rPr>
                <w:rFonts w:hint="eastAsia"/>
                <w:szCs w:val="21"/>
              </w:rPr>
            </w:pPr>
            <w:r>
              <w:rPr>
                <w:rFonts w:hint="eastAsia"/>
                <w:szCs w:val="21"/>
              </w:rPr>
              <w:t>整流器提供逆变器一个恒压直流电源可同时给UPS电源充电，保障UPS一直处于有点状态。</w:t>
            </w:r>
          </w:p>
          <w:p>
            <w:pPr>
              <w:jc w:val="both"/>
              <w:rPr>
                <w:rFonts w:hint="eastAsia" w:ascii="宋体" w:hAnsi="宋体" w:eastAsia="宋体" w:cs="宋体"/>
                <w:color w:val="000000"/>
              </w:rPr>
            </w:pPr>
            <w:r>
              <w:rPr>
                <w:rFonts w:hint="eastAsia"/>
                <w:szCs w:val="21"/>
              </w:rPr>
              <w:t>保护输出带隔离变压器，保证负载和公用电网全隔离。</w:t>
            </w:r>
          </w:p>
        </w:tc>
      </w:tr>
      <w:tr>
        <w:tblPrEx>
          <w:tblCellMar>
            <w:top w:w="0" w:type="dxa"/>
            <w:left w:w="108" w:type="dxa"/>
            <w:bottom w:w="0" w:type="dxa"/>
            <w:right w:w="108" w:type="dxa"/>
          </w:tblCellMar>
        </w:tblPrEx>
        <w:trPr>
          <w:trHeight w:val="84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8</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食物中毒快速检测箱</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 xml:space="preserve"> 检测箱预装辅助设备：微型电子天平1台，微型便携式水浴锅1个，手动可调式移液器1把，计时器2个，温度计（100℃）2支，试管架2个，具塞三角烧瓶2个，250ml烧杯1个，100ml烧杯1个， 10ml量筒1个，250ml塑料杯1个，10ml试管3支，小漏斗1个，25ml提取管5个，广泛PH试纸，滤纸1盒，称量纸1包，活性炭1包，药勺3个，一次性滴管10支，剪刀1把，说明书1本。便携式农残速测仪（农残速测卡专用）GDYN-110SA  1台，农残速测卡50片/盒,农残提取液可配300ml/包,甲醛快速检测试剂盒,50次/盒,二氧化硫快速检测试剂盒,50次/盒,吊白块快速检测试剂盒,50次/盒,亚硝酸盐快速检测试剂盒,50次/盒,瘦肉精速测卡10次/盒,瘦肉精对照液5ml/瓶,毒鼠强速测管30次/盒,敌鼠钠盐定性试液包100次/包,鼠药安妥定性试纸40次/包,氟乙酰胺速测管（液）40次/,盒,氰化物检测试剂20次/包,氰化物检测装置1套,食用油酸败快速检测试纸,2×10次/盒,食用油中桐油速测,鉴别试剂50次/盒,食用油中巴豆油速测鉴别试剂,10次/套,食用油中矿物油速测鉴别试剂,10次/盒,生熟豆浆速测液50次/盒,牛乳新鲜度快速检测试剂盒50次/盒,乳品蛋白质含量快速检测试剂盒,50次/盒,甲醇速测盒,50次/盒,笔式电导仪（水质净度检测设备）1支.ABS铝合金箱体,475*325*285mm,1套.详细配置:便携式恒温培养,箱340*260*360mm,餐饮具用大肠群检测纸片,10份/包,5包,独立包装无菌培养皿,浸纸用10个,无菌生理盐水,250ml/瓶,无菌注射器,10ml4支,酒精灯1个,酒精灯用酒精100ml/瓶,75%消毒用酒精250ml/1瓶,消毒棉球50克/1包,无菌采样袋（密封袋）,240*170mm 10个/2包,剪刀(不锈钢材质)1把,镊子(不锈钢材质)1个,一次性手套10只/包,2包,教学光盘和说明书,1套,食品采样箱(详细配置):采样刀1把,无菌采样袋（密封袋）,240*170mm 100个/1包,剪刀1把,采样管（带盖）25ml,10支,普通三角漏斗,60mm口径2个,试管架多功能15孔,1个,一次性手套100只/1包,塑料吸管50只/包,勺子不锈钢材质1把,镊子不锈钢材质1个,标签纸1袋,记号笔,红色、蓝色/2支,塑料密封储物盒5个，纸巾1包，采样记录本1本，铝合金箱1个。</w:t>
            </w:r>
          </w:p>
        </w:tc>
      </w:tr>
      <w:tr>
        <w:tblPrEx>
          <w:tblCellMar>
            <w:top w:w="0" w:type="dxa"/>
            <w:left w:w="108" w:type="dxa"/>
            <w:bottom w:w="0" w:type="dxa"/>
            <w:right w:w="108"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9</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突发事件有害气体检测箱</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spacing w:after="220"/>
              <w:textAlignment w:val="center"/>
              <w:rPr>
                <w:rFonts w:hint="eastAsia" w:ascii="宋体" w:hAnsi="宋体" w:eastAsia="宋体" w:cs="宋体"/>
                <w:color w:val="000000"/>
              </w:rPr>
            </w:pPr>
            <w:r>
              <w:rPr>
                <w:rFonts w:hint="eastAsia" w:ascii="宋体" w:hAnsi="宋体" w:eastAsia="宋体" w:cs="宋体"/>
                <w:color w:val="000000"/>
                <w:lang w:val="en-US" w:bidi="ar"/>
              </w:rPr>
              <w:t>便携式。产品介绍：</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是一款可任意选择24种有毒有害气体的分析仪，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泵吸式采样，采样距离超过10米;2、3.5寸高清彩色屏;3、大容量数据存储，10万条数据容量可通过USB传到电脑;4、六种气体同时显示、单项显示、曲线显示的3种界面可调;5、气体浓度单位可快速切换;6、可显示最大值、最小值及平均值;7、中英文显示界面;8、内置水尘过滤器及温度补偿功能保证测量精度;9、10000mA大容量锂聚合物充电电池;10、声、光、振动三级报警，让用户更方便了解危险;11、可同时检测任意六种气体或扩展至24种气体;12、本安电路设计要求，抗静电，抗电磁干扰;13、可选高温高湿预处理系统及手柄处理更复杂的环境;14、可选配红外无线打印机，可打印公司名称、时间、环境温湿度、气体名称及浓度;15、可选配远程无线传输</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检测气体：氧气( O2 ) ：0-30%Vol  0.01%Vol  T90≤10S;可燃气( EX )： 0-100%Vol  0.1%Vol  T90≤10S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一氧化碳( CO )：0-1000ppm 0.1ppm  T90≤25S;硫化氢( H2S )：0-100ppm  0.01ppm  T90≤30S;二氧化硫( SO2 )：0-100ppm  0.01ppm  T90≤30S;一氧化氮( NO )：0-500ppm 0.1ppm  T90≤30S;二氧化氮( NO2 )：0-100ppm 0.01ppm  T90≤25S;氯气( CL2 )：0-20ppm  0.01ppm  T90≤30S;氨气( NH3 ):0-100ppm 0.01ppm  T90≤30S;氢气( H2 ):0-1000ppm 0.1ppm  T90≤30S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磷化氢( PH3 ):0-1000 ppm 1ppm  T90≤30S;检测原理 ：电化学、催化燃烧、;采样方式：泵吸式;采样流量：800ml/min;精度：±2%FS;重 复 性：≤±2%;线 性 度：≤±2%;恢复时间：≤30S;显示方式：3.5寸高清彩屏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显示语言：中英文;显示内容：6组气体显示，单组大字气体显示及单组曲线图形显示可转换;电池容量：10000mA聚合物充电电池;充 电 器：USB充电器;数据存储：1O万条数据容量;数据通讯：USB数据接口或选RS232接口;打 印 机：可选配红外无线打印机;防护等级：IP66;防爆等级：Exia II CT4;工作温度：-40℃～70℃;工作湿度：0-99%RH;尺寸重量：235mm×205mm×120mm  2.5kg;标准配置：主机、USB充电器、水尘过滤器、40cm不锈钢采样手柄、铝制箱、合格证、保修卡、说明书;选配配件：1.2m可伸缩采样手柄、温湿度模块、高温降温防尘手柄（400°）、高温高湿预处理系统（200-1300°）、水尘过滤器、挂绳、红外打印机、无线数据传输、CF卡存储。</w:t>
            </w:r>
          </w:p>
        </w:tc>
      </w:tr>
      <w:tr>
        <w:tblPrEx>
          <w:tblCellMar>
            <w:top w:w="0" w:type="dxa"/>
            <w:left w:w="108" w:type="dxa"/>
            <w:bottom w:w="0" w:type="dxa"/>
            <w:right w:w="108"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10</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硫化氢快速检测仪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便携式。产品介绍：</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便携式硫化氢检测仪用于快速检测硫化氢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1、泵吸式采样，采样距离超过10米</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2、2.3寸高清彩色屏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3、大容量数据存储，10万条数据容量可通过USB传到电脑</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4、单项显示、曲线显示界面可调</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5、气体浓度单位可快速切换</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6、可显示最大值、最小值及平均值</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7、中英文显示界面</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8、内置水尘过滤器及温度补偿功能保证测量精度</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9、4500mA大容量锂聚合物充电电池</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10、声、光、振动三级报警，让用户更方便了解危险</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11、可选高温高湿预处理系统及手柄处理更复杂的环境</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检测气体： 硫化氢</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量程：0-100ppm,0.01ppm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检测原理 ：电化学</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采样方式：泵吸式 流量500毫升/分钟</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采样流量：500ml/min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精    度：±3%FS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重 复 性：≤±2%</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线 性 度：≤±2%</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响应时间：T90≤20S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显示方式：2.3寸高清彩屏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显示语言：中英文</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显示内容：单组大字气体显示及单组曲线图形显示可转</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电池容量：4500mA聚合物充电电池</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充 电 器：USB充电器</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数据存储：1O万条数据容量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数据通讯：USB数据接口或选RS232接口</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防护等级：IP65</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防爆等级：Exia II CT4</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工作温度：-40℃～70℃。</w:t>
            </w:r>
          </w:p>
        </w:tc>
      </w:tr>
      <w:tr>
        <w:tblPrEx>
          <w:tblCellMar>
            <w:top w:w="0" w:type="dxa"/>
            <w:left w:w="108" w:type="dxa"/>
            <w:bottom w:w="0" w:type="dxa"/>
            <w:right w:w="108" w:type="dxa"/>
          </w:tblCellMar>
        </w:tblPrEx>
        <w:trPr>
          <w:trHeight w:val="841"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11</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二氧化硫自动检测仪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便携式。产品介绍：</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便携式二氧化硫检测仪用于快速检测二氧化硫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1、泵吸式采样，采样距离超过10米;2、2.3寸高清彩色屏;3、大容量数据存储，10万条数据容量可通过USB传到电脑</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单项显示、曲线显示界面可调;5、气体浓度单位可快速切换;6、可显示最大值、最小值及平均值;7、中英文显示界面;8、内置水尘过滤器及温度补偿功能保证测量精度;9、4500mA大容量锂聚合物充电电池;10、声、光、振动三级报警，让用户更方便了解危险;11、可选高温高湿预处理系统及手柄处理更复杂的环境</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检测气体： 二氧化硫;量程：0-100ppm,0.01ppm;检测原理 ：电化学;采样方式：泵吸式 流量500毫升/分钟;采样流量：500ml/min;精度：±3%FS;重 复 性：≤±2%;线 性 度：≤±2%;响应时间：T90≤20S;显示方式：2.3寸高清彩屏;显示语言：中英文;显示内容：单组大字气体显示及单组曲线图形显示可转;电池容量：4500mA聚合物充电电池;充 电 器：USB充电器;数据存储：1O万条数据容量;数据通讯：USB数据接口或选RS232接口;防护等级：IP65</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防爆等级：Exia II CT4;工作温度：-40℃～70℃;工作湿度：0-99%RH;尺寸重量：165mm×75mm×30mm  0.3kg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标准配置：主机、USB充电器、鳄鱼夹、水尘过滤器、铝制箱、合格证、保修卡、说明书。</w:t>
            </w:r>
          </w:p>
        </w:tc>
      </w:tr>
      <w:tr>
        <w:tblPrEx>
          <w:tblCellMar>
            <w:top w:w="0" w:type="dxa"/>
            <w:left w:w="108" w:type="dxa"/>
            <w:bottom w:w="0" w:type="dxa"/>
            <w:right w:w="108" w:type="dxa"/>
          </w:tblCellMar>
        </w:tblPrEx>
        <w:trPr>
          <w:trHeight w:val="225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12</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氯气快速检测仪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产品介绍：</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便携式氯气检测仪用于快速检测氯气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1、泵吸式采样，采样距离超过10米</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2、2.3寸高清彩色屏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3、大容量数据存储，10万条数据容量可通过USB传到电脑</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4、单项显示、曲线显示界面可调</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5、气体浓度单位可快速切换</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6、可显示最大值、最小值及平均值</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7、中英文显示界面</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8、内置水尘过滤器及温度补偿功能保证测量精度</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9、4500mA大容量锂聚合物充电电池</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10、声、光、振动三级报警，让用户更方便了解危险</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11、可选高温高湿预处理系统及手柄处理更复杂的环境</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检测气体： 氯气</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量程：0-20ppm,0.01ppm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检测原理 ：电化学</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采样方式：泵吸式 流量500毫升/分钟</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采样流量：500ml/min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精    度：±3%FS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重 复 性：≤±2%</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线 性 度：≤±2%</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响应时间：T90≤20S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显示方式：2.3寸高清彩屏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显示语言：中英文</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显示内容：单组大字气体显示及单组曲线图形显示可转</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电池容量：4500mA聚合物充电电池</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充 电 器：USB充电器</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数据存储：1O万条数据容量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数据通讯：USB数据接口或选RS232接口</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防护等级：IP65</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防爆等级：Exia II CT4。</w:t>
            </w:r>
          </w:p>
        </w:tc>
      </w:tr>
      <w:tr>
        <w:tblPrEx>
          <w:tblCellMar>
            <w:top w:w="0" w:type="dxa"/>
            <w:left w:w="108" w:type="dxa"/>
            <w:bottom w:w="0" w:type="dxa"/>
            <w:right w:w="108" w:type="dxa"/>
          </w:tblCellMar>
        </w:tblPrEx>
        <w:trPr>
          <w:trHeight w:val="177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13</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甲醛快速测定仪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 xml:space="preserve">  1、检测项目：可快速定量检测各类食品中的甲醛的含量，仪器预留其他项目检测程序和端口，根据日后需求可方便的自主增加检测项目。日后可升级为检测，水产品，肉制品，面制品的综合类型仪器。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仪器特点：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1.仪器构成：由主机、样品前处理器具和试剂盒等构成，适于现场及实验室使用;2.光路系统：采用进口超高亮发光二极管，光源和检测器采用全固态结构，准确度和精密度高、稳定性强、光源可控；采用光源自动开关节能设计，光源使用寿命达10万小时以上。3.内置曲线：仪器具有内置工作曲线，无需配制标准溶液，只需要用配套试剂进行零点校正后，即可实现样品的快速定量测定。4.测量方式：样品显色和测量为为标准1cm比色皿，无需转移，提高检测精密度。5.耗材配件：提供完备的专用前处理设备和耗材，一站式服务。6.专用试剂盒：配备专用的预制试剂，缩短试剂配制时间，操作简单，使用方便。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功能介绍：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1、安卓智能操作系统，采用更加人性化操作，仪器具有网线连接、wifi联网上传、GPRS无线远传功能，快速上传数据。2、智能化程度高，仪器具有自检功能：具有开机自检和调零功能，具有自动检测重复性功能。3、检测通道：≥12个检测通道，可以同时测试多个样品，每个样品由程序控制分别独立工作，不会互相干扰。4、配备新一代嵌入式热敏打印机，检测完成可自动打印检测报告和二维码。5、采用标准USB2.0接口设计，支持U盘存储，免驱动插拔，方便数据灵活存贮和移动。6、仪器带有监管平台。检测结果可直接无线上传。实现数据查询、浏览、分析、统计、打印等，并可进行数据曲线图和饼状图分析处理，检测食品甲醛等长短期动态，达到问题预估、预警。7、仪器具有品类多种类样品菜单库，可灵活选择检测样品，不同的检测通道可同时检测不同的样品项目。8、样品处理简单省力，整体操作快速、安全、便捷。9、仪器具有自身保护功能，可设置用户名及密码，防止非工作人员操作等。 10、仪器具有重新校准、锁定、恢复出厂设置功能。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主要参数：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1、主控芯片采用ARMCortex-A7，RK3288/4核处理器，主频1.88Ghz，运转速度更快速，稳定性更强。2、显示方式：7英寸液晶触摸屏显示，人性化中文操作界面，读数直观、简单。3、直流12V供电，可连接车载电源，可配6ah大容量充电锂电池，方便户外流动测试。4、智能恒流稳压，光强自动校准，长时间连续工作光源无温漂现象。5、不间断进样，连续检测;6、样本编号自动累加。7、检测项目可扩充。8、检测结果可批量打印，批量上传。9、可配置大容量锂电池，固件可升级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技术参数：1、检测下限：1mg/kg;2、检测范围：(0～100)mg/kg;3、吸光度值范围：0.000-4.000A;4、重复性：±0.1%（A）;5、重复性误差：吸光度（A）≤0.003;6、稳定性：光电漂移（A）±0.002（3分钟）;7、吸光度准确度：±2.0%;8、线性误差：±1.0%。</w:t>
            </w:r>
          </w:p>
        </w:tc>
      </w:tr>
      <w:tr>
        <w:tblPrEx>
          <w:tblCellMar>
            <w:top w:w="0" w:type="dxa"/>
            <w:left w:w="108" w:type="dxa"/>
            <w:bottom w:w="0" w:type="dxa"/>
            <w:right w:w="108"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14</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全自动滴定仪</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仪器特点：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按设定电位控制滴定终点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可进行预控制电位(pH)调节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电磁阀控制滴液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可作手动、自动、恒pH(电位)滴定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有滴定终点的延迟电路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供记录仪信号（0～1）V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配本厂生产的JB-1A型搅拌器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新技术指标：</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1.仪器极别:0.5级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2.测量范围 　　　　　　　 分辨率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pH:(0.00～14.00)pH 　　　   pH: 0.01pH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mV:(-1400～1400)mV　　 　 mV: 1mV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3.电子单元基本误差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pH:±0.03pH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mV:±5mV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4.电子单元输入阻抗:3×1011Ω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5.电子单元稳定性:±0.01pH/3h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6.电子单元控制基本误差：±0.1pH或±5mV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7.仪器容量分析重复性误差:0.2%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8.电子单元外形尺寸,mm:280×240×130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9.电子单元重量:3kg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10.仪器正常工作条件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a)环境温度:(5～40)°C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b)相对湿度:不大于85%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c)供电电源:AC (220±22)V；（50±1）Hz 。</w:t>
            </w:r>
          </w:p>
        </w:tc>
      </w:tr>
      <w:tr>
        <w:tblPrEx>
          <w:tblCellMar>
            <w:top w:w="0" w:type="dxa"/>
            <w:left w:w="108" w:type="dxa"/>
            <w:bottom w:w="0" w:type="dxa"/>
            <w:right w:w="108" w:type="dxa"/>
          </w:tblCellMar>
        </w:tblPrEx>
        <w:trPr>
          <w:trHeight w:val="323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16</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多参数水质分析仪（便携式）</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3</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1仪器性能：</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 LED光源/单色器、比色槽、传感器一体化，无可动部件，大大提高了仪器的精度、灵敏度和可靠性。</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1.2电    源：交流电源适配器：220V±10%，50Hz，40W。</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1.3显示方式：不小于4.7英寸液晶显示屏，单片机智能控制，人机交互式操作, 具有测量、设置、记录、保存和数据统计处理功能，存储容量大于2000条检测数据</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1.4显色方式：要求样品显色和测量为同一密闭器皿，内径19mm圆柱形玻璃比色瓶。</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1.5键    盘：5个触摸式微动开关。</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1.6检测方式：无需配制标准溶液，仅需零点校正，加入专用试剂显色包即可现场进行被测物质浓度的检测。</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1.7打印系统：连接电脑后支持外置打印系统。</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1.8软件系统：提供联机软件，可实现样品名称、被检测项目、检测机构、检测人员等信息的。</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1.9供电系统：内置可充电锂电池，800mA/h，可连续工作20个小时，便于现场，野外检测。</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1.10使用环境：0～40℃。</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1.11接口：RS-232/USB接口</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1.12仪器尺寸：不大于310×225×125mm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1.13仪器重量：≤2kg。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2检测项目及指标检测项目测定下限测定范围余 氯0.05mg/L0.00-5.00 mg/L总 氯0.05mg/L0.00-5.00 mg/L二氧化氯0.10mg/L0.00-3.00 mg/L氯化物0.5mg/L0.0-4.0 mg/L氰化物0.03mg/L0.00-1.00 mg/L硝酸盐氮0.5mg/L0.00-20.0 mg/L亚硝酸盐氮0.01mg/L0.00-0.40 mg/L色 度5PCU0-200</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PCU浊 度A5NTU0-400 NTU浊 度B0.5NTU0.0-60.0 NTU氨 氮0.10mg/L0.00-5.00 mg/L氟化物0.01mg/L0.00-1.00 mg/L溶解氧0.1mg/L0.0-10.0 mg/L总 磷0.02mg/L0.00-1.00 mg/L磷酸盐0.1mg/L0.0～1.0mg/L甲 醛0.05mg/L0.0-1.50 mg/L臭 氧0.05mg/L0.00-2.50 mg/L三价铬0.5mg/L0.0-30.0 mg/L六价铬0.01mg/L0.00-1.00 mg/L硫酸盐5.0mg/L0.0-250.0 mg/L硫化物0.02mg/L0.00-1.00 mg/L化学耗氧量（CDD）10mg/L0-500 mg/LCODmm0.5mg/L0.00-8.00 mg/L总硬度12.5mg/L0-450 mg/L挥发酚0.10mg/L0.00-5.00 mg/LPHpH5.5～9.5锰0.05mg/L0.00-5.00 mg/L铝0.01mg/L0.00-0.50 mg/L铜0.05mg/L0.00-1.00 mg/L铁0.10mg/L0.00-3.00 mg/L锌0.05mg/L0.00-3.00 mg/L银0.05mg/L0.00-1.00 mg/L钙0.10mg/L0.00-2.00 mg/L镁0.2mg/L0.00-20.0 mg/L镍0.05mg/L0.00-0.50 mg/L                                                                 3技术指标要求：</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（1）国家标准方法，检测时间5-30分钟。</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（2）波长范围：至少包括380、430、470、520、538、595、612、630nm等波长</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（3）测量范围：0.001～2.000Abs分辨率：0.001Abs（显示），0.0001 Abs（内部计算）</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（4）波长重复性：2nm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（5）稳定性：±0.005A/20min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（6）光    源：光源超高亮发光二极管，使用寿命可达10万小时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（7）检 测 器：集成光电传感器。</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（8）接    口：RS-232/USB接口</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4 主要配置：</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1.4.1 主机1台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1.4.2 恒温消解器1台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1.4.3 滴定器1台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1.4.4 移液器1套</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1.4.5 比色器具1套</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1.4.6 样品前处理器具1套</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1.4.7 微机接口和数据处理软件1套</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1.4.8 试剂各1套（每套50次，其中溶解氧20次）</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1.4.9主机铝合金箱1个。</w:t>
            </w:r>
          </w:p>
        </w:tc>
      </w:tr>
      <w:tr>
        <w:tblPrEx>
          <w:tblCellMar>
            <w:top w:w="0" w:type="dxa"/>
            <w:left w:w="108" w:type="dxa"/>
            <w:bottom w:w="0" w:type="dxa"/>
            <w:right w:w="108" w:type="dxa"/>
          </w:tblCellMar>
        </w:tblPrEx>
        <w:trPr>
          <w:trHeight w:val="436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16</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氧气发生器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1.电源电压：220v   50Hz</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2.产气纯度：99.995 %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3.输出流量;  PGO – 200    0 -200 ml/min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4.输出压力：0.4Mpa  （需特殊压力时,在出厂前通知厂方另定）</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5.最大功率：250W;</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6.环境温度：0-40℃    相对湿度&lt;85%</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7.环境条件：无大量粉尘及腐蚀性气体</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8.外型尺寸： 520×280×400mm   (Ｌ×Ｗ×Ｈ)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重    量:约  13Kg;</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1.操作简单，只需启动电源开关，即可产气，输出压力稳定，流量由 LED   数码显示，更直观醒目。</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2.日常使用只需补充蒸馏水，可连续使用，也可间断使用。</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3.仪器使用电源串连电池技术，可有效降低池内温度。</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4.设有不返液装置，可有效的保证仪器无返液现象。</w:t>
            </w:r>
          </w:p>
        </w:tc>
      </w:tr>
      <w:tr>
        <w:tblPrEx>
          <w:tblCellMar>
            <w:top w:w="0" w:type="dxa"/>
            <w:left w:w="108" w:type="dxa"/>
            <w:bottom w:w="0" w:type="dxa"/>
            <w:right w:w="108" w:type="dxa"/>
          </w:tblCellMar>
        </w:tblPrEx>
        <w:trPr>
          <w:trHeight w:val="7214"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17</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氢气发生器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lang w:bidi="ar"/>
              </w:rPr>
            </w:pPr>
            <w:r>
              <w:rPr>
                <w:rFonts w:hint="eastAsia" w:ascii="宋体" w:hAnsi="宋体" w:eastAsia="宋体" w:cs="宋体"/>
                <w:color w:val="000000"/>
                <w:lang w:val="en-US" w:bidi="ar"/>
              </w:rPr>
              <w:t xml:space="preserve"> </w:t>
            </w:r>
            <w:r>
              <w:rPr>
                <w:rFonts w:hint="eastAsia" w:ascii="宋体" w:hAnsi="宋体" w:eastAsia="宋体" w:cs="宋体"/>
                <w:color w:val="000000"/>
                <w:lang w:bidi="ar"/>
              </w:rPr>
              <w:t>适用于国内外各种气相色谱仪；广泛用于石油、化工、煤炭、医药、食品、饮料酒、环保、室内检测、卫生、检疫、电力、公安、高校等实验室分析检测部门。</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高纯氢气发生器是由电解分离池、开关电源、储液罐、压力控制、干燥净化、流量显示等系统组成。本仪器的“心脏”电解分离池为多组筒式结构。制氢、排氧可同时进行，其电解面积超大、池温低、性能好、纯度高之优点。本仪器设有不返液装置，可有效的保证仪器无返液现象。</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1.电源电压：220v   50Hz</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2.产气纯度：99.995 %（相对含氧量）</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 xml:space="preserve">3.输出流量; </w:t>
            </w:r>
            <w:r>
              <w:rPr>
                <w:rFonts w:ascii="宋体" w:hAnsi="宋体" w:eastAsia="宋体" w:cs="宋体"/>
                <w:color w:val="000000"/>
                <w:lang w:val="en-US" w:bidi="ar"/>
              </w:rPr>
              <w:t xml:space="preserve"> PGH – 2000</w:t>
            </w:r>
            <w:r>
              <w:rPr>
                <w:rFonts w:hint="eastAsia" w:ascii="宋体" w:hAnsi="宋体" w:eastAsia="宋体" w:cs="宋体"/>
                <w:color w:val="000000"/>
                <w:lang w:val="en-US" w:bidi="ar"/>
              </w:rPr>
              <w:t>型</w:t>
            </w:r>
            <w:r>
              <w:rPr>
                <w:rFonts w:ascii="宋体" w:hAnsi="宋体" w:eastAsia="宋体" w:cs="宋体"/>
                <w:color w:val="000000"/>
                <w:lang w:val="en-US" w:bidi="ar"/>
              </w:rPr>
              <w:t xml:space="preserve">      0 -2000 ml/min   </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4.输出压力：</w:t>
            </w:r>
            <w:r>
              <w:rPr>
                <w:rFonts w:ascii="宋体" w:hAnsi="宋体" w:eastAsia="宋体" w:cs="宋体"/>
                <w:color w:val="000000"/>
                <w:lang w:val="en-US" w:bidi="ar"/>
              </w:rPr>
              <w:t xml:space="preserve">0.4Mpa  </w:t>
            </w:r>
            <w:r>
              <w:rPr>
                <w:rFonts w:hint="eastAsia" w:ascii="宋体" w:hAnsi="宋体" w:eastAsia="宋体" w:cs="宋体"/>
                <w:color w:val="000000"/>
                <w:lang w:val="en-US" w:bidi="ar"/>
              </w:rPr>
              <w:t>（需特殊压力时</w:t>
            </w:r>
            <w:r>
              <w:rPr>
                <w:rFonts w:ascii="宋体" w:hAnsi="宋体" w:eastAsia="宋体" w:cs="宋体"/>
                <w:color w:val="000000"/>
                <w:lang w:val="en-US" w:bidi="ar"/>
              </w:rPr>
              <w:t>,</w:t>
            </w:r>
            <w:r>
              <w:rPr>
                <w:rFonts w:hint="eastAsia" w:ascii="宋体" w:hAnsi="宋体" w:eastAsia="宋体" w:cs="宋体"/>
                <w:color w:val="000000"/>
                <w:lang w:val="en-US" w:bidi="ar"/>
              </w:rPr>
              <w:t>在出厂前通知厂方另定）</w:t>
            </w:r>
          </w:p>
          <w:p>
            <w:pPr>
              <w:widowControl/>
              <w:textAlignment w:val="center"/>
              <w:rPr>
                <w:rFonts w:hint="eastAsia" w:ascii="宋体" w:hAnsi="宋体" w:eastAsia="宋体" w:cs="宋体"/>
                <w:color w:val="000000"/>
                <w:lang w:val="en-US" w:bidi="ar"/>
              </w:rPr>
            </w:pPr>
            <w:r>
              <w:rPr>
                <w:rFonts w:ascii="宋体" w:hAnsi="宋体" w:eastAsia="宋体" w:cs="宋体"/>
                <w:color w:val="000000"/>
                <w:lang w:val="en-US" w:bidi="ar"/>
              </w:rPr>
              <w:t>5.</w:t>
            </w:r>
            <w:r>
              <w:rPr>
                <w:rFonts w:hint="eastAsia" w:ascii="宋体" w:hAnsi="宋体" w:eastAsia="宋体" w:cs="宋体"/>
                <w:color w:val="000000"/>
                <w:lang w:val="en-US" w:bidi="ar"/>
              </w:rPr>
              <w:t>最大功率：720W;</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6.环境温度：0-40℃    相对湿度&lt;85%</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7.环境条件：无大量粉尘及腐蚀性气体</w:t>
            </w:r>
          </w:p>
          <w:p>
            <w:pPr>
              <w:widowControl/>
              <w:textAlignment w:val="center"/>
              <w:rPr>
                <w:rFonts w:ascii="宋体" w:hAnsi="宋体" w:eastAsia="宋体" w:cs="宋体"/>
                <w:color w:val="000000"/>
                <w:lang w:val="en-US" w:bidi="ar"/>
              </w:rPr>
            </w:pPr>
            <w:r>
              <w:rPr>
                <w:rFonts w:ascii="宋体" w:hAnsi="宋体" w:eastAsia="宋体" w:cs="宋体"/>
                <w:color w:val="000000"/>
                <w:lang w:val="en-US" w:bidi="ar"/>
              </w:rPr>
              <w:t>8.</w:t>
            </w:r>
            <w:r>
              <w:rPr>
                <w:rFonts w:hint="eastAsia" w:ascii="宋体" w:hAnsi="宋体" w:eastAsia="宋体" w:cs="宋体"/>
                <w:color w:val="000000"/>
                <w:lang w:val="en-US" w:bidi="ar"/>
              </w:rPr>
              <w:t>外型尺寸：</w:t>
            </w:r>
            <w:r>
              <w:rPr>
                <w:rFonts w:ascii="宋体" w:hAnsi="宋体" w:eastAsia="宋体" w:cs="宋体"/>
                <w:color w:val="000000"/>
                <w:lang w:val="en-US" w:bidi="ar"/>
              </w:rPr>
              <w:t>PGH – 2000</w:t>
            </w:r>
            <w:r>
              <w:rPr>
                <w:rFonts w:hint="eastAsia" w:ascii="宋体" w:hAnsi="宋体" w:eastAsia="宋体" w:cs="宋体"/>
                <w:color w:val="000000"/>
                <w:lang w:val="en-US" w:bidi="ar"/>
              </w:rPr>
              <w:t xml:space="preserve">型 </w:t>
            </w:r>
            <w:r>
              <w:rPr>
                <w:rFonts w:ascii="宋体" w:hAnsi="宋体" w:eastAsia="宋体" w:cs="宋体"/>
                <w:color w:val="000000"/>
                <w:lang w:val="en-US" w:bidi="ar"/>
              </w:rPr>
              <w:t xml:space="preserve"> 620</w:t>
            </w:r>
            <w:r>
              <w:rPr>
                <w:rFonts w:hint="eastAsia" w:ascii="宋体" w:hAnsi="宋体" w:eastAsia="宋体" w:cs="宋体"/>
                <w:color w:val="000000"/>
                <w:lang w:val="en-US" w:bidi="ar"/>
              </w:rPr>
              <w:t>×35</w:t>
            </w:r>
            <w:r>
              <w:rPr>
                <w:rFonts w:ascii="宋体" w:hAnsi="宋体" w:eastAsia="宋体" w:cs="宋体"/>
                <w:color w:val="000000"/>
                <w:lang w:val="en-US" w:bidi="ar"/>
              </w:rPr>
              <w:t>0</w:t>
            </w:r>
            <w:r>
              <w:rPr>
                <w:rFonts w:hint="eastAsia" w:ascii="宋体" w:hAnsi="宋体" w:eastAsia="宋体" w:cs="宋体"/>
                <w:color w:val="000000"/>
                <w:lang w:val="en-US" w:bidi="ar"/>
              </w:rPr>
              <w:t>×60</w:t>
            </w:r>
            <w:r>
              <w:rPr>
                <w:rFonts w:ascii="宋体" w:hAnsi="宋体" w:eastAsia="宋体" w:cs="宋体"/>
                <w:color w:val="000000"/>
                <w:lang w:val="en-US" w:bidi="ar"/>
              </w:rPr>
              <w:t>0mm   (</w:t>
            </w:r>
            <w:r>
              <w:rPr>
                <w:rFonts w:hint="eastAsia" w:ascii="宋体" w:hAnsi="宋体" w:eastAsia="宋体" w:cs="宋体"/>
                <w:color w:val="000000"/>
                <w:lang w:val="en-US" w:bidi="ar"/>
              </w:rPr>
              <w:t>Ｌ×Ｗ×Ｈ</w:t>
            </w:r>
            <w:r>
              <w:rPr>
                <w:rFonts w:ascii="宋体" w:hAnsi="宋体" w:eastAsia="宋体" w:cs="宋体"/>
                <w:color w:val="000000"/>
                <w:lang w:val="en-US" w:bidi="ar"/>
              </w:rPr>
              <w:t xml:space="preserve">)           </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重    量:约</w:t>
            </w:r>
            <w:r>
              <w:rPr>
                <w:rFonts w:ascii="宋体" w:hAnsi="宋体" w:eastAsia="宋体" w:cs="宋体"/>
                <w:color w:val="000000"/>
                <w:lang w:val="en-US" w:bidi="ar"/>
              </w:rPr>
              <w:t>45Kg</w:t>
            </w:r>
            <w:r>
              <w:rPr>
                <w:rFonts w:hint="eastAsia" w:ascii="宋体" w:hAnsi="宋体" w:eastAsia="宋体" w:cs="宋体"/>
                <w:color w:val="000000"/>
                <w:lang w:val="en-US" w:bidi="ar"/>
              </w:rPr>
              <w:t>;</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1.操作简单，只需启动电源开关，即可产气，输出压力稳定，流量由 LED 数码显示，更直观醒目。</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2.日常使用只需补充蒸馏水，可连续使用，也可间断使用。</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3.仪器使用电源串连电池技术，可有效降低池内温度。</w:t>
            </w:r>
          </w:p>
          <w:p>
            <w:pPr>
              <w:widowControl/>
              <w:textAlignment w:val="center"/>
              <w:rPr>
                <w:rFonts w:ascii="黑体" w:hAnsi="黑体" w:eastAsia="黑体" w:cs="黑体"/>
                <w:w w:val="90"/>
                <w:sz w:val="32"/>
                <w:szCs w:val="32"/>
              </w:rPr>
            </w:pPr>
            <w:r>
              <w:rPr>
                <w:rFonts w:hint="eastAsia" w:ascii="宋体" w:hAnsi="宋体" w:eastAsia="宋体" w:cs="宋体"/>
                <w:color w:val="000000"/>
                <w:lang w:val="en-US" w:bidi="ar"/>
              </w:rPr>
              <w:t>4.设有不返液装置，可有效的保证仪器无返液现象</w:t>
            </w:r>
            <w:r>
              <w:rPr>
                <w:rFonts w:hint="eastAsia" w:ascii="黑体" w:hAnsi="黑体" w:eastAsia="黑体" w:cs="黑体"/>
                <w:w w:val="90"/>
                <w:sz w:val="32"/>
                <w:szCs w:val="32"/>
              </w:rPr>
              <w:t>。</w:t>
            </w:r>
          </w:p>
          <w:p>
            <w:pPr>
              <w:widowControl/>
              <w:textAlignment w:val="center"/>
              <w:rPr>
                <w:rFonts w:hint="eastAsia" w:ascii="宋体" w:hAnsi="宋体" w:eastAsia="宋体" w:cs="宋体"/>
                <w:color w:val="000000"/>
              </w:rPr>
            </w:pPr>
          </w:p>
        </w:tc>
      </w:tr>
      <w:tr>
        <w:tblPrEx>
          <w:tblCellMar>
            <w:top w:w="0" w:type="dxa"/>
            <w:left w:w="108" w:type="dxa"/>
            <w:bottom w:w="0" w:type="dxa"/>
            <w:right w:w="108" w:type="dxa"/>
          </w:tblCellMar>
        </w:tblPrEx>
        <w:trPr>
          <w:trHeight w:val="418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18</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氮气发生器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lang w:bidi="ar"/>
              </w:rPr>
            </w:pPr>
            <w:r>
              <w:rPr>
                <w:rFonts w:hint="eastAsia" w:ascii="宋体" w:hAnsi="宋体" w:eastAsia="宋体" w:cs="宋体"/>
                <w:color w:val="000000"/>
                <w:lang w:bidi="ar"/>
              </w:rPr>
              <w:t>技术参数</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 xml:space="preserve">1.  </w:t>
            </w:r>
            <w:r>
              <w:rPr>
                <w:rFonts w:hint="eastAsia" w:ascii="宋体" w:hAnsi="宋体" w:eastAsia="宋体" w:cs="宋体"/>
                <w:color w:val="000000"/>
                <w:lang w:bidi="ar"/>
              </w:rPr>
              <w:t>工作条件：电源电压220V   50HZ</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2</w:t>
            </w:r>
            <w:r>
              <w:rPr>
                <w:rFonts w:hint="eastAsia" w:ascii="宋体" w:hAnsi="宋体" w:eastAsia="宋体" w:cs="宋体"/>
                <w:color w:val="000000"/>
                <w:lang w:bidi="ar"/>
              </w:rPr>
              <w:t>、 环境条件：温度10-40℃ 相对温度&lt;85%环境无严重粉尘污染，腐蚀性气体。</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3</w:t>
            </w:r>
            <w:r>
              <w:rPr>
                <w:rFonts w:hint="eastAsia" w:ascii="宋体" w:hAnsi="宋体" w:eastAsia="宋体" w:cs="宋体"/>
                <w:color w:val="000000"/>
                <w:lang w:bidi="ar"/>
              </w:rPr>
              <w:t>、 输入空气压力 ：0.5Mpa</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4</w:t>
            </w:r>
            <w:r>
              <w:rPr>
                <w:rFonts w:hint="eastAsia" w:ascii="宋体" w:hAnsi="宋体" w:eastAsia="宋体" w:cs="宋体"/>
                <w:color w:val="000000"/>
                <w:lang w:bidi="ar"/>
              </w:rPr>
              <w:t>、 最大功率：</w:t>
            </w:r>
            <w:r>
              <w:rPr>
                <w:rFonts w:hint="eastAsia" w:ascii="宋体" w:hAnsi="宋体" w:eastAsia="宋体" w:cs="宋体"/>
                <w:color w:val="000000"/>
                <w:lang w:val="en-US" w:bidi="ar"/>
              </w:rPr>
              <w:t>200</w:t>
            </w:r>
            <w:r>
              <w:rPr>
                <w:rFonts w:hint="eastAsia" w:ascii="宋体" w:hAnsi="宋体" w:eastAsia="宋体" w:cs="宋体"/>
                <w:color w:val="000000"/>
                <w:lang w:bidi="ar"/>
              </w:rPr>
              <w:t>W　　　　　</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5</w:t>
            </w:r>
            <w:r>
              <w:rPr>
                <w:rFonts w:hint="eastAsia" w:ascii="宋体" w:hAnsi="宋体" w:eastAsia="宋体" w:cs="宋体"/>
                <w:color w:val="000000"/>
                <w:lang w:bidi="ar"/>
              </w:rPr>
              <w:t>、 氮气纯度：99.99</w:t>
            </w:r>
            <w:r>
              <w:rPr>
                <w:rFonts w:hint="eastAsia" w:ascii="宋体" w:hAnsi="宋体" w:eastAsia="宋体" w:cs="宋体"/>
                <w:color w:val="000000"/>
                <w:lang w:val="en-US" w:bidi="ar"/>
              </w:rPr>
              <w:t>5</w:t>
            </w:r>
            <w:r>
              <w:rPr>
                <w:rFonts w:hint="eastAsia" w:ascii="宋体" w:hAnsi="宋体" w:eastAsia="宋体" w:cs="宋体"/>
                <w:color w:val="000000"/>
                <w:lang w:bidi="ar"/>
              </w:rPr>
              <w:t>%  （相对含氧量）</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6</w:t>
            </w:r>
            <w:r>
              <w:rPr>
                <w:rFonts w:hint="eastAsia" w:ascii="宋体" w:hAnsi="宋体" w:eastAsia="宋体" w:cs="宋体"/>
                <w:color w:val="000000"/>
                <w:lang w:bidi="ar"/>
              </w:rPr>
              <w:t>、 输出流量：</w:t>
            </w:r>
            <w:r>
              <w:rPr>
                <w:rFonts w:hint="eastAsia" w:ascii="宋体" w:hAnsi="宋体" w:eastAsia="宋体" w:cs="宋体"/>
                <w:color w:val="000000"/>
                <w:lang w:val="en-US" w:bidi="ar"/>
              </w:rPr>
              <w:t>P</w:t>
            </w:r>
            <w:r>
              <w:rPr>
                <w:rFonts w:hint="eastAsia" w:ascii="宋体" w:hAnsi="宋体" w:eastAsia="宋体" w:cs="宋体"/>
                <w:color w:val="000000"/>
                <w:lang w:bidi="ar"/>
              </w:rPr>
              <w:t xml:space="preserve">GN - </w:t>
            </w:r>
            <w:r>
              <w:rPr>
                <w:rFonts w:hint="eastAsia" w:ascii="宋体" w:hAnsi="宋体" w:eastAsia="宋体" w:cs="宋体"/>
                <w:color w:val="000000"/>
                <w:lang w:val="en-US" w:bidi="ar"/>
              </w:rPr>
              <w:t>10</w:t>
            </w:r>
            <w:r>
              <w:rPr>
                <w:rFonts w:hint="eastAsia" w:ascii="宋体" w:hAnsi="宋体" w:eastAsia="宋体" w:cs="宋体"/>
                <w:color w:val="000000"/>
                <w:lang w:bidi="ar"/>
              </w:rPr>
              <w:t>00  型     0-</w:t>
            </w:r>
            <w:r>
              <w:rPr>
                <w:rFonts w:hint="eastAsia" w:ascii="宋体" w:hAnsi="宋体" w:eastAsia="宋体" w:cs="宋体"/>
                <w:color w:val="000000"/>
                <w:lang w:val="en-US" w:bidi="ar"/>
              </w:rPr>
              <w:t>10</w:t>
            </w:r>
            <w:r>
              <w:rPr>
                <w:rFonts w:hint="eastAsia" w:ascii="宋体" w:hAnsi="宋体" w:eastAsia="宋体" w:cs="宋体"/>
                <w:color w:val="000000"/>
                <w:lang w:bidi="ar"/>
              </w:rPr>
              <w:t>00 ml/min</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7</w:t>
            </w:r>
            <w:r>
              <w:rPr>
                <w:rFonts w:hint="eastAsia" w:ascii="宋体" w:hAnsi="宋体" w:eastAsia="宋体" w:cs="宋体"/>
                <w:color w:val="000000"/>
                <w:lang w:bidi="ar"/>
              </w:rPr>
              <w:t>、 输出压力：0.4Mpa　　　　　　　　　　　　　</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8</w:t>
            </w:r>
            <w:r>
              <w:rPr>
                <w:rFonts w:hint="eastAsia" w:ascii="宋体" w:hAnsi="宋体" w:eastAsia="宋体" w:cs="宋体"/>
                <w:color w:val="000000"/>
                <w:lang w:bidi="ar"/>
              </w:rPr>
              <w:t>、 外型尺寸：</w:t>
            </w:r>
            <w:r>
              <w:rPr>
                <w:rFonts w:hint="eastAsia" w:ascii="宋体" w:hAnsi="宋体" w:eastAsia="宋体" w:cs="宋体"/>
                <w:color w:val="000000"/>
                <w:lang w:val="en-US" w:bidi="ar"/>
              </w:rPr>
              <w:t>P</w:t>
            </w:r>
            <w:r>
              <w:rPr>
                <w:rFonts w:hint="eastAsia" w:ascii="宋体" w:hAnsi="宋体" w:eastAsia="宋体" w:cs="宋体"/>
                <w:color w:val="000000"/>
                <w:lang w:bidi="ar"/>
              </w:rPr>
              <w:t xml:space="preserve">GN - </w:t>
            </w:r>
            <w:r>
              <w:rPr>
                <w:rFonts w:hint="eastAsia" w:ascii="宋体" w:hAnsi="宋体" w:eastAsia="宋体" w:cs="宋体"/>
                <w:color w:val="000000"/>
                <w:lang w:val="en-US" w:bidi="ar"/>
              </w:rPr>
              <w:t>10</w:t>
            </w:r>
            <w:r>
              <w:rPr>
                <w:rFonts w:hint="eastAsia" w:ascii="宋体" w:hAnsi="宋体" w:eastAsia="宋体" w:cs="宋体"/>
                <w:color w:val="000000"/>
                <w:lang w:bidi="ar"/>
              </w:rPr>
              <w:t>00  型</w:t>
            </w:r>
            <w:r>
              <w:rPr>
                <w:rFonts w:hint="eastAsia" w:ascii="宋体" w:hAnsi="宋体" w:eastAsia="宋体" w:cs="宋体"/>
                <w:color w:val="000000"/>
                <w:lang w:val="en-US" w:bidi="ar"/>
              </w:rPr>
              <w:t xml:space="preserve"> 520</w:t>
            </w:r>
            <w:r>
              <w:rPr>
                <w:rFonts w:hint="eastAsia" w:ascii="宋体" w:hAnsi="宋体" w:eastAsia="宋体" w:cs="宋体"/>
                <w:color w:val="000000"/>
                <w:lang w:bidi="ar"/>
              </w:rPr>
              <w:t>×</w:t>
            </w:r>
            <w:r>
              <w:rPr>
                <w:rFonts w:hint="eastAsia" w:ascii="宋体" w:hAnsi="宋体" w:eastAsia="宋体" w:cs="宋体"/>
                <w:color w:val="000000"/>
                <w:lang w:val="en-US" w:bidi="ar"/>
              </w:rPr>
              <w:t>28</w:t>
            </w:r>
            <w:r>
              <w:rPr>
                <w:rFonts w:hint="eastAsia" w:ascii="宋体" w:hAnsi="宋体" w:eastAsia="宋体" w:cs="宋体"/>
                <w:color w:val="000000"/>
                <w:lang w:bidi="ar"/>
              </w:rPr>
              <w:t>0×</w:t>
            </w:r>
            <w:r>
              <w:rPr>
                <w:rFonts w:hint="eastAsia" w:ascii="宋体" w:hAnsi="宋体" w:eastAsia="宋体" w:cs="宋体"/>
                <w:color w:val="000000"/>
                <w:lang w:val="en-US" w:bidi="ar"/>
              </w:rPr>
              <w:t>40</w:t>
            </w:r>
            <w:r>
              <w:rPr>
                <w:rFonts w:hint="eastAsia" w:ascii="宋体" w:hAnsi="宋体" w:eastAsia="宋体" w:cs="宋体"/>
                <w:color w:val="000000"/>
                <w:lang w:bidi="ar"/>
              </w:rPr>
              <w:t>0mm（L×W×H）</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bidi="ar"/>
              </w:rPr>
              <w:t>重</w:t>
            </w:r>
            <w:r>
              <w:rPr>
                <w:rFonts w:hint="eastAsia" w:ascii="宋体" w:hAnsi="宋体" w:eastAsia="宋体" w:cs="宋体"/>
                <w:color w:val="000000"/>
                <w:lang w:val="en-US" w:bidi="ar"/>
              </w:rPr>
              <w:t xml:space="preserve">   </w:t>
            </w:r>
            <w:r>
              <w:rPr>
                <w:rFonts w:hint="eastAsia" w:ascii="宋体" w:hAnsi="宋体" w:eastAsia="宋体" w:cs="宋体"/>
                <w:color w:val="000000"/>
                <w:lang w:bidi="ar"/>
              </w:rPr>
              <w:t>量：</w:t>
            </w:r>
            <w:r>
              <w:rPr>
                <w:rFonts w:hint="eastAsia" w:ascii="宋体" w:hAnsi="宋体" w:eastAsia="宋体" w:cs="宋体"/>
                <w:color w:val="000000"/>
                <w:lang w:val="en-US" w:bidi="ar"/>
              </w:rPr>
              <w:t xml:space="preserve"> P</w:t>
            </w:r>
            <w:r>
              <w:rPr>
                <w:rFonts w:hint="eastAsia" w:ascii="宋体" w:hAnsi="宋体" w:eastAsia="宋体" w:cs="宋体"/>
                <w:color w:val="000000"/>
                <w:lang w:bidi="ar"/>
              </w:rPr>
              <w:t>GN –</w:t>
            </w:r>
            <w:r>
              <w:rPr>
                <w:rFonts w:hint="eastAsia" w:ascii="宋体" w:hAnsi="宋体" w:eastAsia="宋体" w:cs="宋体"/>
                <w:color w:val="000000"/>
                <w:lang w:val="en-US" w:bidi="ar"/>
              </w:rPr>
              <w:t>10</w:t>
            </w:r>
            <w:r>
              <w:rPr>
                <w:rFonts w:hint="eastAsia" w:ascii="宋体" w:hAnsi="宋体" w:eastAsia="宋体" w:cs="宋体"/>
                <w:color w:val="000000"/>
                <w:lang w:bidi="ar"/>
              </w:rPr>
              <w:t>00</w:t>
            </w:r>
            <w:r>
              <w:rPr>
                <w:rFonts w:hint="eastAsia" w:ascii="宋体" w:hAnsi="宋体" w:eastAsia="宋体" w:cs="宋体"/>
                <w:color w:val="000000"/>
                <w:lang w:val="en-US" w:bidi="ar"/>
              </w:rPr>
              <w:t xml:space="preserve">  </w:t>
            </w:r>
            <w:r>
              <w:rPr>
                <w:rFonts w:hint="eastAsia" w:ascii="宋体" w:hAnsi="宋体" w:eastAsia="宋体" w:cs="宋体"/>
                <w:color w:val="000000"/>
                <w:lang w:bidi="ar"/>
              </w:rPr>
              <w:t>型 约</w:t>
            </w:r>
            <w:r>
              <w:rPr>
                <w:rFonts w:hint="eastAsia" w:ascii="宋体" w:hAnsi="宋体" w:eastAsia="宋体" w:cs="宋体"/>
                <w:color w:val="000000"/>
                <w:lang w:val="en-US" w:bidi="ar"/>
              </w:rPr>
              <w:t>25</w:t>
            </w:r>
            <w:r>
              <w:rPr>
                <w:rFonts w:hint="eastAsia" w:ascii="宋体" w:hAnsi="宋体" w:eastAsia="宋体" w:cs="宋体"/>
                <w:color w:val="000000"/>
                <w:lang w:bidi="ar"/>
              </w:rPr>
              <w:t>㎏；</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使用技术及技术创新</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1.操作简单，只需启动电源开关，即可产气。</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2.输出压力稳定。</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3..输出流量自动跟踪。</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4.日常使用只需补充蒸馏水，可连续使用，也可间断使用。</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5.设有不返液装置，可有效的保证仪器无返液现象</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创新点1：多片电解池极板依次串联设计方法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第一片阳极板的进液口经流体管与储液罐连通，其余的阳极板进液口分别经流体管与上一个阳极板的出液口连通，第一个阳极板的氧气出口经流体管与储液罐连通，其余阳极板的氧气出口分别经流体管与上一个阳极板的进氧口连通，第一个阴极板的进气口经联接管与空气源连通，其余阴极板的进气口分别经耐压管与上一个阴极板的出气口连通，最末端的阴极板的出气口经耐压管与气水分离器连通，气水分离器的气体出口经联接管依次与单向阀、干燥室连接，干燥室的出口连接输出管道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创新点2 ：普氮制氮方法提纯氮气方法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将分析纯氢氧化钾用蒸馏水或纯净水稀释，待KOH溶解冷却后注入储液罐内，储液罐内的电解液依次进入电解槽内，空气源的气体进入第一个阴极电解槽，接通电源启动开关即可产气，通过电化学反应及物理吸附法把空气中的氧分子吸附在阳极，氧分子在阳极聚集经氧气出口输出，最终进入储液罐释放在大气中，氮气则在阴极聚集经出气口进入下一个电解池内继续反应，以普氮制氮方法输出，经气水分离器除去水分，再经干燥室干燥，进入脱氧催化室内进一步提纯后输出，制得高纯氮气。</w:t>
            </w:r>
          </w:p>
          <w:p>
            <w:pPr>
              <w:widowControl/>
              <w:textAlignment w:val="center"/>
              <w:rPr>
                <w:rFonts w:hint="eastAsia" w:ascii="宋体" w:hAnsi="宋体" w:eastAsia="宋体" w:cs="宋体"/>
                <w:color w:val="000000"/>
              </w:rPr>
            </w:pPr>
          </w:p>
        </w:tc>
      </w:tr>
      <w:tr>
        <w:tblPrEx>
          <w:tblCellMar>
            <w:top w:w="0" w:type="dxa"/>
            <w:left w:w="108" w:type="dxa"/>
            <w:bottom w:w="0" w:type="dxa"/>
            <w:right w:w="108" w:type="dxa"/>
          </w:tblCellMar>
        </w:tblPrEx>
        <w:trPr>
          <w:trHeight w:val="3675"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19</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PH电极（（水质监测）玻璃电极）</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6</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参比电极。一、产品用途：</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PH计是一种用于测量溶液中PH值的测试仪器。该仪器适用于水厂、工业、农业、教学、科研等许多领域的PH值检测，用于控制被测水样的PH值是否达到规定的标准。</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二、技术参数：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1.测量范围： 0-14</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2.分辨率：0.01</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3.重复性：≤3%</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4.示值误差： ±10%</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5.充电器：AC 220V 50Hz</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三、产品特点：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 微电脑，薄膜式键盘使用方便</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 三点校准，读数稳定后锁存当前值</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3、2.4寸TFT彩屏显示。</w:t>
            </w:r>
          </w:p>
        </w:tc>
      </w:tr>
      <w:tr>
        <w:tblPrEx>
          <w:tblCellMar>
            <w:top w:w="0" w:type="dxa"/>
            <w:left w:w="108" w:type="dxa"/>
            <w:bottom w:w="0" w:type="dxa"/>
            <w:right w:w="108" w:type="dxa"/>
          </w:tblCellMar>
        </w:tblPrEx>
        <w:trPr>
          <w:trHeight w:val="609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PH测定仪</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 xml:space="preserve">一、性能特征：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pH 计是一台数字显示 pH 计，它采用蓝色背光、双排数字显示液晶，可同时显示 pH 值、温度值或电位（ mV ）值。该仪器适用于大专院校、研究院所、环境监测、工矿企业等部门的化验室取样测定水溶液的 pH 值和电位（ mV ）值，配上 ORP 电极可测量溶液 ORP （氧化－还原电位）值，配上离子选择性电极可测量该电极的电极电位值。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二、主要技术指标：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 、仪器级别： 0.01 级2 、测量范围： pH 0.00~14.00pH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mV 0 ～ ± 1400mV</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 、分辨率： 0.01pH ， 1mV ， 0.1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 、温度补偿范围： 0 ～ 60 ℃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 、电子单元基本误差： pH ± 0.05pH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mV ± 1% （ FS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6 、仪器基本误差：± 0.1pH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 、电子单元输入电流：不大于 1 × 10 － 11 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 、电子单元输入阻抗：不小于 3 × 10 11 Ω</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9 、电子单元重复性误差： pH 0.05pH</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mV 5mV</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10 、仪器重复性误差：不大于 0.05pH</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 、电子单元稳定性：± 0.05pH ± 1 个字 /3h</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12 、外形尺寸： 220 × 160 × 65mm （ l × b × 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13 、重量： 0.3kg 。</w:t>
            </w:r>
          </w:p>
        </w:tc>
      </w:tr>
      <w:tr>
        <w:tblPrEx>
          <w:tblCellMar>
            <w:top w:w="0" w:type="dxa"/>
            <w:left w:w="108" w:type="dxa"/>
            <w:bottom w:w="0" w:type="dxa"/>
            <w:right w:w="108"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21</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蒸发皿</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50</w:t>
            </w:r>
          </w:p>
        </w:tc>
        <w:tc>
          <w:tcPr>
            <w:tcW w:w="3719"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直径10Cm，陶瓷.</w:t>
            </w:r>
          </w:p>
        </w:tc>
      </w:tr>
      <w:tr>
        <w:tblPrEx>
          <w:tblCellMar>
            <w:top w:w="0" w:type="dxa"/>
            <w:left w:w="108" w:type="dxa"/>
            <w:bottom w:w="0" w:type="dxa"/>
            <w:right w:w="108" w:type="dxa"/>
          </w:tblCellMar>
        </w:tblPrEx>
        <w:trPr>
          <w:trHeight w:val="676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22</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分光光度计（可见光）</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产品介绍</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扫描型可见分光光度计是一款可直接显示标准曲线和测试数据的经济型扫描光度计，适用于食品卫生、药物分析、教学、科研医疗检测、石化工业、环境保护与监控等部门。</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性能特点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光学系统 双光束比例检测</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波长范围 320-1100nm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波长准确率 ±0.5nm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光谱带宽 2nm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波长重复性 0.2nm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杂散光 ≤0.05%T@360nm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光度准确性 0.3%T</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光度重复性 0.15%T</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光度范围 0-200%T，-0.301-3.000A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基线直线型 ±0.002A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稳定性 ±0.001A/h@500nm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显示范围 -0.3-3A,0-200%T,0-9999C</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显示系统 128×64位LCD</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波长驱动方式 自动波长</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能量（灯源） 进口钨灯</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净重 12kg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软件支持 是</w:t>
            </w:r>
          </w:p>
        </w:tc>
      </w:tr>
      <w:tr>
        <w:tblPrEx>
          <w:tblCellMar>
            <w:top w:w="0" w:type="dxa"/>
            <w:left w:w="108" w:type="dxa"/>
            <w:bottom w:w="0" w:type="dxa"/>
            <w:right w:w="108" w:type="dxa"/>
          </w:tblCellMar>
        </w:tblPrEx>
        <w:trPr>
          <w:trHeight w:val="549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23</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生物安全柜</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一、参数：1Ⅱ级A2型生物安全柜，30%气体外排，70%气体循环；2工作区宽度适合1-2人操作；3前窗10度倾角设计，方便操作；4所有污染部位均应处于负压状态或被负压通道和负压通风系统包围；5玻璃门上沿有气幕保护，防止工作区内外气体交互；6凹盘式工作台，防止液体倾洒后外溢；7主过滤器：采用进口品牌超高效过滤器ULPA，工作区洁净度等级10级；8前窗玻璃：使用光学透视清晰、清洁和消毒时不对其产生负面影响，抗冲击性强的防紫外线钢化玻璃；9可插拔式电源线，方便更换并保证操作人员安全；10底脚不锈钢材质，无裸露螺纹，清洁方便，防止微生物滋生；11负压通道专门设计异物过滤装置，防止纸屑等异物通过负压通道进入风机/过滤器影响产品正常运行12风机：高性能静音风机，可自动根据过滤器堵塞情况调节转速，保证下降气流恒定；13风速：下降风速≥0.28m/s；流入风速≥0.55m/s；14照明：采用LED灯管照明，方便耐用，使用时间为普通荧光灯的5倍以上；15人员保护：碘化钾法测试，前窗操作口的保护因子≥1×106；16产品保护：用YY0569标准规定方法测试，在琼脂培养皿上的枯草芽孢杆菌芽孢不超过2CFU；17交叉污染保护：用YY0569标准规定方法测试，在琼脂培养皿上的枯草芽孢杆菌芽孢不超过1CFU；18实时数字显示系统运行情况，其中下降气流流速和流入气流流速同时显示；19前窗玻璃手拉式开启，不得使用电控，以保证断电时能及时关门防护；20打开前窗后，紫外灯应自动关闭，风机、荧光灯自动开始运行；关闭前窗后，风机和荧光灯自动关闭；21可预约紫外灯消毒时间，自动运行；22用数字显示过滤器剩余使用寿命，在使用寿命剩余10%时自动提示；23可查询紫外灯累计工作时间，以便确定更换时间；24有开门高度警示功能，开门超高或过低均有声光报警提示；25有监测气流波动功能，气流波动超过20%有声光报警提示；26有关门监测功能，未关严门有声光报警提示；27有过滤器监测功能，利用过滤器阻力变化监测过滤器寿命，堵塞或破损均有声光报警提示；28具有国家药监总局颁发的三类医疗器械注册证书；国际EN12469认证和CE认。                                                                                                                                  二、技术规格：3气流循环70%循环，30%外排4外形尺寸(宽*深*高)（mm）1360*790*22005内部尺寸(宽*深*高)（mm）1167*610*6806包装尺寸(宽*深*高)（mm）1415*905*17207前窗开口高度（mm）200（最大530）8洁净等级10级（美标FED 209D），CLASS 4（ISO 14644-1）9*过滤器类别防潮、阻燃玻璃纤维超高效过滤器（ULPA）10*过滤器效率99.9995%@0.12µm11下降气流速度(m/s）0.2812流入气流速度(m/s）0.5513排风量（m3/h）45014照度(LX)≥120015噪音dB（A)≤6216*人员保护1*10617产品保护2 CFU18交叉污染保护1 CFU19报警模式声光报警（6种类型）20前窗玻璃材质6mm防紫外线钢化玻璃21工作区内表面材质304不锈钢22积液槽材质304不锈钢23工作区最大承重kg3524柜内插座配置一个防溅插座（左侧）25插座负载能力220V，10A26阀门口2个（右侧），可选配实验室专用水嘴龙头27脚轮万向脚轮28固定底脚可调节高度，无裸露螺纹29工作电压220V±10%30频率50±1HZ31功率(W)（带负载）130032净重（Kg）25833包装重量（Kg）29034认证及体系CFDA三类医疗器械注册证，ISO13485医疗器械生产体系，欧洲EN12469认证，欧洲CE认证35专利气流阻断专利技术（专利号：ZL200520125549.X）</w:t>
            </w:r>
          </w:p>
        </w:tc>
      </w:tr>
      <w:tr>
        <w:tblPrEx>
          <w:tblCellMar>
            <w:top w:w="0" w:type="dxa"/>
            <w:left w:w="108" w:type="dxa"/>
            <w:bottom w:w="0" w:type="dxa"/>
            <w:right w:w="108" w:type="dxa"/>
          </w:tblCellMar>
        </w:tblPrEx>
        <w:trPr>
          <w:trHeight w:val="637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24</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微板孔离心机</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bidi="ar"/>
              </w:rPr>
              <w:t>主要技术参数：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1、触摸面板、LCD液晶显示：时间、转速/离心力、运行状态、错误代码，</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运行中可随时修改参数，无需停机，操作简便。</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2、采用微机控制、交流变频电机，转速控制精度高。</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3、自动计算RCF值，具有RCF/rpm转换键，最短加/减速时间20/25s。时间设定可精确到秒，倒计时小于一分钟时以秒显示。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4、采用特殊的减震器（三级减震），减震效果良好，具有自动平衡功能。</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5、采用电子门锁/机械门锁双重设计，简单耐用。故障报错，自动停机。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6、设有门盖保护、超速和转子参数锁定等多种保护功能，防止意外修改参数避免操作失误，故障自动报警功能。10档升降（0档为自由停车），12种自定义工作模式。可选配48孔脱帽转子。</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7、产品符合CFDA认证。</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8、最高转速：     5500r/min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9、最大相对离心力：4900×g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10、最大容量： 4×250ml</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11、显示类型： LCD液晶显示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12、时间控制： 0sec-99min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13、电机功率： 交流变频电机550W</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14、转速精度：±10rpm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15、噪音： ≤65 dB(A)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16、电源：  DC220V±22V  50Hz 10A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17、外形尺寸： 530×430×370mm（LxWxH）</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18、重量： 40Kg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四、配置清单：</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1、主机  1台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2、水平酶标转子：2*2*96孔板  1套  </w:t>
            </w:r>
          </w:p>
        </w:tc>
      </w:tr>
      <w:tr>
        <w:tblPrEx>
          <w:tblCellMar>
            <w:top w:w="0" w:type="dxa"/>
            <w:left w:w="108" w:type="dxa"/>
            <w:bottom w:w="0" w:type="dxa"/>
            <w:right w:w="108"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25</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过氧化氢消毒机</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1：输入电压   220v50Hz</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2：工作电压   DC 36V</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3：额定功耗   850W</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*4：晶片   Ф20/1.7MHz*24头</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*5：雾化微粒   5um≤</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6：消毒水箱  20L</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7：雾化池储水量   8L</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*8：雾化量   256ml/min</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9：出雾效率   80%</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10：最佳雾化水位   35mm</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11：噪声   ≤50db</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12：缺水保护   电容感应</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*13：喷雾口   ≥3个</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14：喷雾方向   360度可调节</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15：是否移动   整体推车式可移动</w:t>
            </w:r>
          </w:p>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*16：安全性   可提供第三方消毒检测报告</w:t>
            </w:r>
          </w:p>
        </w:tc>
      </w:tr>
    </w:tbl>
    <w:p/>
    <w:p>
      <w:pPr>
        <w:pStyle w:val="3"/>
        <w:spacing w:line="665" w:lineRule="exact"/>
        <w:rPr>
          <w:rFonts w:hint="eastAsia"/>
          <w:b/>
          <w:bCs/>
          <w:color w:val="000000" w:themeColor="text1"/>
          <w:spacing w:val="-4"/>
          <w:sz w:val="24"/>
          <w:szCs w:val="24"/>
          <w14:textFill>
            <w14:solidFill>
              <w14:schemeClr w14:val="tx1"/>
            </w14:solidFill>
          </w14:textFill>
        </w:rPr>
      </w:pPr>
      <w:r>
        <w:rPr>
          <w:rFonts w:hint="eastAsia"/>
          <w:b/>
          <w:bCs/>
          <w:color w:val="000000" w:themeColor="text1"/>
          <w:spacing w:val="-4"/>
          <w:sz w:val="24"/>
          <w:szCs w:val="24"/>
          <w14:textFill>
            <w14:solidFill>
              <w14:schemeClr w14:val="tx1"/>
            </w14:solidFill>
          </w14:textFill>
        </w:rPr>
        <w:t>第</w:t>
      </w:r>
      <w:r>
        <w:rPr>
          <w:rFonts w:hint="eastAsia"/>
          <w:b/>
          <w:bCs/>
          <w:color w:val="000000" w:themeColor="text1"/>
          <w:spacing w:val="-4"/>
          <w:sz w:val="24"/>
          <w:szCs w:val="24"/>
          <w:lang w:eastAsia="zh-CN"/>
          <w14:textFill>
            <w14:solidFill>
              <w14:schemeClr w14:val="tx1"/>
            </w14:solidFill>
          </w14:textFill>
        </w:rPr>
        <w:t>二</w:t>
      </w:r>
      <w:r>
        <w:rPr>
          <w:rFonts w:hint="eastAsia"/>
          <w:b/>
          <w:bCs/>
          <w:color w:val="000000" w:themeColor="text1"/>
          <w:spacing w:val="-4"/>
          <w:sz w:val="24"/>
          <w:szCs w:val="24"/>
          <w14:textFill>
            <w14:solidFill>
              <w14:schemeClr w14:val="tx1"/>
            </w14:solidFill>
          </w14:textFill>
        </w:rPr>
        <w:t>标段：</w:t>
      </w:r>
    </w:p>
    <w:tbl>
      <w:tblPr>
        <w:tblStyle w:val="9"/>
        <w:tblW w:w="0" w:type="auto"/>
        <w:tblInd w:w="93" w:type="dxa"/>
        <w:shd w:val="clear" w:color="auto" w:fill="auto"/>
        <w:tblLayout w:type="autofit"/>
        <w:tblCellMar>
          <w:top w:w="0" w:type="dxa"/>
          <w:left w:w="108" w:type="dxa"/>
          <w:bottom w:w="0" w:type="dxa"/>
          <w:right w:w="108" w:type="dxa"/>
        </w:tblCellMar>
      </w:tblPr>
      <w:tblGrid>
        <w:gridCol w:w="658"/>
        <w:gridCol w:w="987"/>
        <w:gridCol w:w="658"/>
        <w:gridCol w:w="6126"/>
      </w:tblGrid>
      <w:tr>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r>
      <w:tr>
        <w:tblPrEx>
          <w:tblCellMar>
            <w:top w:w="0" w:type="dxa"/>
            <w:left w:w="108" w:type="dxa"/>
            <w:bottom w:w="0" w:type="dxa"/>
            <w:right w:w="108" w:type="dxa"/>
          </w:tblCellMar>
        </w:tblPrEx>
        <w:trPr>
          <w:trHeight w:val="25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扩增仪（96孔）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技术参数：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1、样本容量：96孔（2*48孔、双模块）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2、光 源：大功率LED（免维护）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3、检测器：高灵敏度光电传感器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4、检测动态范围：1-1010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5、检测灵敏度：可检测单拷贝基因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6、反应体系：15ul-50ul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7、荧光激发波长与荧光检测波长：激发波长470-630nm；检测波长510-665nm；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8、检测的荧光素及染料：FAM、SYBR、VIC、HEX、JOE、TET、CY3、ROX、CY5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9、控温方法：半导体热电模块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11、控温模式：模块控温、试管控温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12、温度准确性：±0.1℃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13、温度均匀性：±0.1℃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14、控温范围：4℃-99℃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15、最大升降温速率：4.5℃/s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16、热盖：电子自动热盖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17、操作系统：WindowsXP/VISTA/7/8等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16、适用耗材：0.2ml PCR管、8联管、48孔板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*17、软件：配置结核耐药项目检测结果判读软件，软件拥有著作权证书。仪器自动输出结核杆菌对利福平/异烟肼的耐药检测结果，直接导出耐药或敏感的结论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18、投标仪器获得NMPA</w:t>
            </w:r>
            <w:r>
              <w:rPr>
                <w:rFonts w:hint="eastAsia" w:ascii="宋体" w:hAnsi="宋体" w:eastAsia="宋体" w:cs="宋体"/>
                <w:i w:val="0"/>
                <w:iCs w:val="0"/>
                <w:color w:val="000000"/>
                <w:kern w:val="0"/>
                <w:sz w:val="22"/>
                <w:szCs w:val="22"/>
                <w:highlight w:val="none"/>
                <w:u w:val="none"/>
                <w:lang w:val="en-US" w:eastAsia="zh-CN" w:bidi="ar"/>
              </w:rPr>
              <w:t>的三类注册证。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*19、2块独立反应模块，独立运行2个不同的实验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*20、在耐药检测分析中，能自动识别熔解峰的温度及峰高，能自动识别重叠峰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*21、配套的诊断耐多药试剂，需要包含利福平、异烟肼、乙胺丁醇、链霉素、氟喹诺酮等用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eastAsia="宋体" w:cs="宋体"/>
                <w:i w:val="0"/>
                <w:iCs w:val="0"/>
                <w:color w:val="000000"/>
                <w:kern w:val="0"/>
                <w:sz w:val="22"/>
                <w:szCs w:val="22"/>
                <w:highlight w:val="none"/>
                <w:u w:val="none"/>
                <w:lang w:val="en-US" w:eastAsia="zh-CN" w:bidi="ar"/>
              </w:rPr>
              <w:t>SLAN-96P</w:t>
            </w:r>
            <w:r>
              <w:rPr>
                <w:rFonts w:hint="eastAsia" w:ascii="宋体" w:hAnsi="宋体" w:eastAsia="宋体" w:cs="宋体"/>
                <w:i w:val="0"/>
                <w:iCs w:val="0"/>
                <w:color w:val="000000"/>
                <w:kern w:val="0"/>
                <w:sz w:val="22"/>
                <w:szCs w:val="22"/>
                <w:u w:val="none"/>
                <w:lang w:val="en-US" w:eastAsia="zh-CN" w:bidi="ar"/>
              </w:rPr>
              <w:t xml:space="preserve">主机一台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2、电源线一根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3、RS232通信线一根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4、USB-TO-RS232转接线一根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5、吹气球一个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6、《用户操作指南》一本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7、SLAN-96S系统软件安装光盘一张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8、保险丝两个(Ф5×20mm – 10A、250V)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9、仪器防尘罩一个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10、合格证一份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11、保修卡一份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12、出厂检测报告一份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13、装箱清单一份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14、熔解曲线结果判读软件一套</w:t>
            </w:r>
          </w:p>
        </w:tc>
      </w:tr>
    </w:tbl>
    <w:p/>
    <w:p>
      <w:pPr>
        <w:rPr>
          <w:rFonts w:hint="eastAsia" w:ascii="仿宋_GB2312" w:hAnsi="仿宋_GB2312" w:eastAsia="仿宋_GB2312" w:cs="仿宋_GB2312"/>
          <w:b w:val="0"/>
          <w:bCs w:val="0"/>
          <w:color w:val="auto"/>
          <w:kern w:val="0"/>
          <w:sz w:val="28"/>
          <w:szCs w:val="28"/>
          <w:lang w:val="en-US" w:eastAsia="zh-CN" w:bidi="ar"/>
        </w:rPr>
      </w:pPr>
      <w:r>
        <w:rPr>
          <w:rFonts w:hint="eastAsia" w:ascii="宋体" w:hAnsi="宋体" w:eastAsia="宋体" w:cs="宋体"/>
          <w:b/>
          <w:sz w:val="20"/>
          <w:szCs w:val="20"/>
          <w:lang w:val="en-US"/>
        </w:rPr>
        <w:t>备注：以上参数中若指定品牌仅作参考指标，投标人须满足或高于该品牌下各项功能要求即可。</w:t>
      </w:r>
    </w:p>
    <w:p>
      <w:pPr>
        <w:keepNext w:val="0"/>
        <w:keepLines w:val="0"/>
        <w:widowControl/>
        <w:numPr>
          <w:ilvl w:val="0"/>
          <w:numId w:val="2"/>
        </w:numPr>
        <w:suppressLineNumbers w:val="0"/>
        <w:ind w:firstLine="560" w:firstLineChars="200"/>
        <w:jc w:val="both"/>
        <w:rPr>
          <w:rFonts w:hint="eastAsia" w:ascii="仿宋_GB2312" w:hAnsi="仿宋_GB2312" w:eastAsia="仿宋_GB2312" w:cs="仿宋_GB2312"/>
          <w:b w:val="0"/>
          <w:bCs w:val="0"/>
          <w:color w:val="auto"/>
          <w:kern w:val="0"/>
          <w:sz w:val="28"/>
          <w:szCs w:val="28"/>
          <w:lang w:val="en-US" w:eastAsia="zh-CN" w:bidi="ar"/>
        </w:rPr>
      </w:pPr>
      <w:r>
        <w:rPr>
          <w:rFonts w:ascii="仿宋_GB2312" w:hAnsi="仿宋_GB2312" w:eastAsia="仿宋_GB2312" w:cs="仿宋_GB2312"/>
          <w:b w:val="0"/>
          <w:bCs w:val="0"/>
          <w:color w:val="auto"/>
          <w:kern w:val="0"/>
          <w:sz w:val="28"/>
          <w:szCs w:val="28"/>
          <w:lang w:val="en-US" w:eastAsia="zh-CN" w:bidi="ar"/>
        </w:rPr>
        <w:t>取得采购标的的时间</w:t>
      </w:r>
      <w:r>
        <w:rPr>
          <w:rFonts w:hint="eastAsia" w:ascii="仿宋_GB2312" w:hAnsi="仿宋_GB2312" w:eastAsia="仿宋_GB2312" w:cs="仿宋_GB2312"/>
          <w:b w:val="0"/>
          <w:bCs w:val="0"/>
          <w:color w:val="auto"/>
          <w:kern w:val="0"/>
          <w:sz w:val="28"/>
          <w:szCs w:val="28"/>
          <w:lang w:val="en-US" w:eastAsia="zh-CN" w:bidi="ar"/>
        </w:rPr>
        <w:t>：签订合同后10日内供货</w:t>
      </w:r>
    </w:p>
    <w:p>
      <w:pPr>
        <w:keepNext w:val="0"/>
        <w:keepLines w:val="0"/>
        <w:widowControl/>
        <w:numPr>
          <w:ilvl w:val="0"/>
          <w:numId w:val="0"/>
        </w:numPr>
        <w:suppressLineNumbers w:val="0"/>
        <w:ind w:firstLine="560" w:firstLineChars="200"/>
        <w:jc w:val="both"/>
        <w:rPr>
          <w:b w:val="0"/>
          <w:bCs w:val="0"/>
          <w:color w:val="auto"/>
          <w:sz w:val="20"/>
          <w:szCs w:val="20"/>
        </w:rPr>
      </w:pPr>
      <w:r>
        <w:rPr>
          <w:rFonts w:hint="eastAsia" w:ascii="仿宋_GB2312" w:hAnsi="仿宋_GB2312" w:eastAsia="仿宋_GB2312" w:cs="仿宋_GB2312"/>
          <w:b w:val="0"/>
          <w:bCs w:val="0"/>
          <w:color w:val="auto"/>
          <w:kern w:val="0"/>
          <w:sz w:val="28"/>
          <w:szCs w:val="28"/>
          <w:lang w:val="en-US" w:eastAsia="zh-CN" w:bidi="ar"/>
        </w:rPr>
        <w:t>（2）</w:t>
      </w:r>
      <w:r>
        <w:rPr>
          <w:rFonts w:ascii="仿宋_GB2312" w:hAnsi="仿宋_GB2312" w:eastAsia="仿宋_GB2312" w:cs="仿宋_GB2312"/>
          <w:b w:val="0"/>
          <w:bCs w:val="0"/>
          <w:color w:val="auto"/>
          <w:kern w:val="0"/>
          <w:sz w:val="28"/>
          <w:szCs w:val="28"/>
          <w:lang w:val="en-US" w:eastAsia="zh-CN" w:bidi="ar"/>
        </w:rPr>
        <w:t>取得采购标的的地点</w:t>
      </w:r>
      <w:r>
        <w:rPr>
          <w:rFonts w:hint="eastAsia" w:ascii="仿宋_GB2312" w:hAnsi="仿宋_GB2312" w:eastAsia="仿宋_GB2312" w:cs="仿宋_GB2312"/>
          <w:b w:val="0"/>
          <w:bCs w:val="0"/>
          <w:color w:val="auto"/>
          <w:kern w:val="0"/>
          <w:sz w:val="28"/>
          <w:szCs w:val="28"/>
          <w:lang w:val="en-US" w:eastAsia="zh-CN" w:bidi="ar"/>
        </w:rPr>
        <w:t>：莎车县疾病预防控制中心指定地点</w:t>
      </w:r>
    </w:p>
    <w:p>
      <w:pPr>
        <w:pStyle w:val="7"/>
        <w:spacing w:before="120" w:beforeLines="50" w:after="0" w:line="360" w:lineRule="auto"/>
        <w:ind w:firstLine="560" w:firstLineChars="200"/>
        <w:jc w:val="both"/>
        <w:outlineLvl w:val="9"/>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（3）</w:t>
      </w:r>
      <w:r>
        <w:rPr>
          <w:rFonts w:ascii="仿宋_GB2312" w:hAnsi="仿宋_GB2312" w:eastAsia="仿宋_GB2312" w:cs="仿宋_GB2312"/>
          <w:b w:val="0"/>
          <w:bCs w:val="0"/>
          <w:color w:val="auto"/>
          <w:kern w:val="0"/>
          <w:sz w:val="28"/>
          <w:szCs w:val="28"/>
          <w:lang w:val="en-US" w:eastAsia="zh-CN" w:bidi="ar"/>
        </w:rPr>
        <w:t>付款条件</w:t>
      </w:r>
      <w:r>
        <w:rPr>
          <w:rFonts w:hint="eastAsia" w:ascii="仿宋_GB2312" w:hAnsi="仿宋_GB2312" w:eastAsia="仿宋_GB2312" w:cs="仿宋_GB2312"/>
          <w:b w:val="0"/>
          <w:bCs w:val="0"/>
          <w:color w:val="auto"/>
          <w:kern w:val="0"/>
          <w:sz w:val="28"/>
          <w:szCs w:val="28"/>
          <w:lang w:val="en-US" w:eastAsia="zh-CN" w:bidi="ar"/>
        </w:rPr>
        <w:t>：签订合同后支付30%，货物调试安装完成支付65%，质保期结束支付剩余5%</w:t>
      </w:r>
    </w:p>
    <w:p>
      <w:pPr>
        <w:pStyle w:val="7"/>
        <w:spacing w:before="120" w:beforeLines="50" w:after="0" w:line="360" w:lineRule="auto"/>
        <w:ind w:firstLine="560" w:firstLineChars="200"/>
        <w:jc w:val="both"/>
        <w:outlineLvl w:val="9"/>
        <w:rPr>
          <w:rFonts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（4）</w:t>
      </w:r>
      <w:r>
        <w:rPr>
          <w:rFonts w:ascii="仿宋_GB2312" w:hAnsi="仿宋_GB2312" w:eastAsia="仿宋_GB2312" w:cs="仿宋_GB2312"/>
          <w:b w:val="0"/>
          <w:bCs w:val="0"/>
          <w:color w:val="auto"/>
          <w:kern w:val="0"/>
          <w:sz w:val="28"/>
          <w:szCs w:val="28"/>
          <w:lang w:val="en-US" w:eastAsia="zh-CN" w:bidi="ar"/>
        </w:rPr>
        <w:t>售后服务</w:t>
      </w:r>
      <w:r>
        <w:rPr>
          <w:rFonts w:hint="eastAsia" w:ascii="仿宋_GB2312" w:hAnsi="仿宋_GB2312" w:eastAsia="仿宋_GB2312" w:cs="仿宋_GB2312"/>
          <w:b w:val="0"/>
          <w:bCs w:val="0"/>
          <w:color w:val="auto"/>
          <w:kern w:val="0"/>
          <w:sz w:val="28"/>
          <w:szCs w:val="28"/>
          <w:lang w:val="en-US" w:eastAsia="zh-CN" w:bidi="ar"/>
        </w:rPr>
        <w:t>：除参数中规定的年限外，其余售后三年</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（五）</w:t>
      </w:r>
      <w:r>
        <w:rPr>
          <w:rFonts w:ascii="仿宋_GB2312" w:hAnsi="仿宋_GB2312" w:eastAsia="仿宋_GB2312" w:cs="仿宋_GB2312"/>
          <w:b w:val="0"/>
          <w:bCs w:val="0"/>
          <w:color w:val="auto"/>
          <w:kern w:val="0"/>
          <w:sz w:val="28"/>
          <w:szCs w:val="28"/>
          <w:lang w:val="en-US" w:eastAsia="zh-CN" w:bidi="ar"/>
        </w:rPr>
        <w:t>可能影响供应商报价和项目实施风险的因素</w:t>
      </w:r>
      <w:r>
        <w:rPr>
          <w:rFonts w:hint="eastAsia" w:ascii="仿宋_GB2312" w:hAnsi="仿宋_GB2312" w:eastAsia="仿宋_GB2312" w:cs="仿宋_GB2312"/>
          <w:b w:val="0"/>
          <w:bCs w:val="0"/>
          <w:color w:val="auto"/>
          <w:kern w:val="0"/>
          <w:sz w:val="28"/>
          <w:szCs w:val="28"/>
          <w:lang w:val="en-US" w:eastAsia="zh-CN" w:bidi="ar"/>
        </w:rPr>
        <w:t>：</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（1）自然风险：因自然界中的不可抗力所造成的本次公开招标采购工作不能顺利实施的风险。比如因自然灾害影响，供应商不能按时参加本次公开招标活动的风险。</w:t>
      </w:r>
      <w:r>
        <w:rPr>
          <w:rFonts w:hint="eastAsia" w:ascii="仿宋_GB2312" w:hAnsi="仿宋_GB2312" w:eastAsia="仿宋_GB2312" w:cs="仿宋_GB2312"/>
          <w:b w:val="0"/>
          <w:bCs w:val="0"/>
          <w:color w:val="auto"/>
          <w:kern w:val="0"/>
          <w:sz w:val="28"/>
          <w:szCs w:val="28"/>
          <w:lang w:val="en-US" w:eastAsia="zh-CN" w:bidi="ar"/>
        </w:rPr>
        <w:br w:type="textWrapping"/>
      </w:r>
      <w:r>
        <w:rPr>
          <w:rFonts w:hint="eastAsia" w:ascii="仿宋_GB2312" w:hAnsi="仿宋_GB2312" w:eastAsia="仿宋_GB2312" w:cs="仿宋_GB2312"/>
          <w:b w:val="0"/>
          <w:bCs w:val="0"/>
          <w:color w:val="auto"/>
          <w:kern w:val="0"/>
          <w:sz w:val="28"/>
          <w:szCs w:val="28"/>
          <w:lang w:val="en-US" w:eastAsia="zh-CN" w:bidi="ar"/>
        </w:rPr>
        <w:t>       （2）政策风险：因政府政策或行业标准改变，或者企业发展方向改变、企业升级等问题导致本次公开招标采购项目不得不取消或者进行调整。</w:t>
      </w:r>
      <w:r>
        <w:rPr>
          <w:rFonts w:hint="eastAsia" w:ascii="仿宋_GB2312" w:hAnsi="仿宋_GB2312" w:eastAsia="仿宋_GB2312" w:cs="仿宋_GB2312"/>
          <w:b w:val="0"/>
          <w:bCs w:val="0"/>
          <w:color w:val="auto"/>
          <w:kern w:val="0"/>
          <w:sz w:val="28"/>
          <w:szCs w:val="28"/>
          <w:lang w:val="en-US" w:eastAsia="zh-CN" w:bidi="ar"/>
        </w:rPr>
        <w:br w:type="textWrapping"/>
      </w:r>
      <w:r>
        <w:rPr>
          <w:rFonts w:hint="eastAsia" w:ascii="仿宋_GB2312" w:hAnsi="仿宋_GB2312" w:eastAsia="仿宋_GB2312" w:cs="仿宋_GB2312"/>
          <w:b w:val="0"/>
          <w:bCs w:val="0"/>
          <w:color w:val="auto"/>
          <w:kern w:val="0"/>
          <w:sz w:val="28"/>
          <w:szCs w:val="28"/>
          <w:lang w:val="en-US" w:eastAsia="zh-CN" w:bidi="ar"/>
        </w:rPr>
        <w:t>        （3）投标单位风险：投标单位风险是本次公开招标采购中的主要风险之一。投标单位风险主要体现在以下几个方面：一是投标单位本身生产能力达不到，但是却恶意拉低投标价格，以低价格中标之后再在生产中通过不良手段降低产品生产成本，提高利润，损害招标单位的行为；二是投标单位相互串通，实施围标、窜标等违法行为；三是投标单位与企业招标人员相互勾结，通过串通的方式拿到标底价格，进行恶意竞争，影响企业公开招标活动的实施。</w:t>
      </w:r>
      <w:r>
        <w:rPr>
          <w:rFonts w:hint="eastAsia" w:ascii="仿宋_GB2312" w:hAnsi="仿宋_GB2312" w:eastAsia="仿宋_GB2312" w:cs="仿宋_GB2312"/>
          <w:b w:val="0"/>
          <w:bCs w:val="0"/>
          <w:color w:val="auto"/>
          <w:kern w:val="0"/>
          <w:sz w:val="28"/>
          <w:szCs w:val="28"/>
          <w:lang w:val="en-US" w:eastAsia="zh-CN" w:bidi="ar"/>
        </w:rPr>
        <w:br w:type="textWrapping"/>
      </w:r>
      <w:r>
        <w:rPr>
          <w:rFonts w:hint="eastAsia" w:ascii="仿宋_GB2312" w:hAnsi="仿宋_GB2312" w:eastAsia="仿宋_GB2312" w:cs="仿宋_GB2312"/>
          <w:b w:val="0"/>
          <w:bCs w:val="0"/>
          <w:color w:val="auto"/>
          <w:kern w:val="0"/>
          <w:sz w:val="28"/>
          <w:szCs w:val="28"/>
          <w:lang w:val="en-US" w:eastAsia="zh-CN" w:bidi="ar"/>
        </w:rPr>
        <w:t>       （4）质量安全风险：中标单位没有按照标书中的产品技术标准进行供货。</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（六）该项目无需开展需求调查</w:t>
      </w:r>
    </w:p>
    <w:p>
      <w:pPr>
        <w:keepNext w:val="0"/>
        <w:keepLines w:val="0"/>
        <w:widowControl/>
        <w:suppressLineNumbers w:val="0"/>
        <w:ind w:firstLine="562"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六、采购标的的验收标准</w:t>
      </w:r>
    </w:p>
    <w:p>
      <w:pPr>
        <w:keepNext w:val="0"/>
        <w:keepLines w:val="0"/>
        <w:widowControl/>
        <w:suppressLineNumbers w:val="0"/>
        <w:ind w:firstLine="560" w:firstLineChars="200"/>
        <w:jc w:val="both"/>
        <w:rPr>
          <w:rFonts w:ascii="仿宋_GB2312" w:hAnsi="仿宋_GB2312" w:eastAsia="仿宋_GB2312" w:cs="仿宋_GB2312"/>
          <w:b w:val="0"/>
          <w:bCs w:val="0"/>
          <w:color w:val="000000"/>
          <w:kern w:val="0"/>
          <w:sz w:val="28"/>
          <w:szCs w:val="28"/>
          <w:lang w:val="en-US" w:eastAsia="zh-CN" w:bidi="ar"/>
        </w:rPr>
      </w:pPr>
      <w:r>
        <w:rPr>
          <w:rFonts w:ascii="仿宋_GB2312" w:hAnsi="仿宋_GB2312" w:eastAsia="仿宋_GB2312" w:cs="仿宋_GB2312"/>
          <w:b w:val="0"/>
          <w:bCs w:val="0"/>
          <w:color w:val="000000"/>
          <w:kern w:val="0"/>
          <w:sz w:val="28"/>
          <w:szCs w:val="28"/>
          <w:lang w:val="en-US" w:eastAsia="zh-CN" w:bidi="ar"/>
        </w:rPr>
        <w:t>验收主体</w:t>
      </w:r>
      <w:r>
        <w:rPr>
          <w:rFonts w:hint="eastAsia" w:ascii="仿宋_GB2312" w:hAnsi="仿宋_GB2312" w:eastAsia="仿宋_GB2312" w:cs="仿宋_GB2312"/>
          <w:b w:val="0"/>
          <w:bCs w:val="0"/>
          <w:color w:val="000000"/>
          <w:kern w:val="0"/>
          <w:sz w:val="28"/>
          <w:szCs w:val="28"/>
          <w:lang w:val="en-US" w:eastAsia="zh-CN" w:bidi="ar"/>
        </w:rPr>
        <w:t>：</w:t>
      </w:r>
      <w:r>
        <w:rPr>
          <w:rFonts w:hint="eastAsia" w:ascii="仿宋_GB2312" w:hAnsi="仿宋_GB2312" w:eastAsia="仿宋_GB2312" w:cs="仿宋_GB2312"/>
          <w:b w:val="0"/>
          <w:bCs w:val="0"/>
          <w:color w:val="auto"/>
          <w:kern w:val="0"/>
          <w:sz w:val="28"/>
          <w:szCs w:val="28"/>
          <w:lang w:val="en-US" w:eastAsia="zh-CN" w:bidi="ar"/>
        </w:rPr>
        <w:t>采购人</w:t>
      </w:r>
    </w:p>
    <w:p>
      <w:pPr>
        <w:keepNext w:val="0"/>
        <w:keepLines w:val="0"/>
        <w:widowControl/>
        <w:suppressLineNumbers w:val="0"/>
        <w:ind w:firstLine="560"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验收</w:t>
      </w:r>
      <w:r>
        <w:rPr>
          <w:rFonts w:ascii="仿宋_GB2312" w:hAnsi="仿宋_GB2312" w:eastAsia="仿宋_GB2312" w:cs="仿宋_GB2312"/>
          <w:b w:val="0"/>
          <w:bCs w:val="0"/>
          <w:color w:val="000000"/>
          <w:kern w:val="0"/>
          <w:sz w:val="28"/>
          <w:szCs w:val="28"/>
          <w:lang w:val="en-US" w:eastAsia="zh-CN" w:bidi="ar"/>
        </w:rPr>
        <w:t>时间</w:t>
      </w:r>
      <w:r>
        <w:rPr>
          <w:rFonts w:hint="eastAsia" w:ascii="仿宋_GB2312" w:hAnsi="仿宋_GB2312" w:eastAsia="仿宋_GB2312" w:cs="仿宋_GB2312"/>
          <w:b w:val="0"/>
          <w:bCs w:val="0"/>
          <w:color w:val="000000"/>
          <w:kern w:val="0"/>
          <w:sz w:val="28"/>
          <w:szCs w:val="28"/>
          <w:lang w:val="en-US" w:eastAsia="zh-CN" w:bidi="ar"/>
        </w:rPr>
        <w:t>：签订合同后10日内</w:t>
      </w:r>
    </w:p>
    <w:p>
      <w:pPr>
        <w:widowControl/>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val="0"/>
          <w:bCs w:val="0"/>
          <w:color w:val="000000"/>
          <w:kern w:val="0"/>
          <w:sz w:val="28"/>
          <w:szCs w:val="28"/>
          <w:lang w:val="en-US" w:eastAsia="zh-CN" w:bidi="ar"/>
        </w:rPr>
        <w:t>验收</w:t>
      </w:r>
      <w:r>
        <w:rPr>
          <w:rFonts w:ascii="仿宋_GB2312" w:hAnsi="仿宋_GB2312" w:eastAsia="仿宋_GB2312" w:cs="仿宋_GB2312"/>
          <w:b w:val="0"/>
          <w:bCs w:val="0"/>
          <w:color w:val="000000"/>
          <w:kern w:val="0"/>
          <w:sz w:val="28"/>
          <w:szCs w:val="28"/>
          <w:lang w:val="en-US" w:eastAsia="zh-CN" w:bidi="ar"/>
        </w:rPr>
        <w:t>方式</w:t>
      </w:r>
      <w:r>
        <w:rPr>
          <w:rFonts w:hint="eastAsia" w:ascii="仿宋_GB2312" w:hAnsi="仿宋_GB2312" w:eastAsia="仿宋_GB2312" w:cs="仿宋_GB2312"/>
          <w:b w:val="0"/>
          <w:bCs w:val="0"/>
          <w:color w:val="000000"/>
          <w:kern w:val="0"/>
          <w:sz w:val="28"/>
          <w:szCs w:val="28"/>
          <w:lang w:val="en-US" w:eastAsia="zh-CN" w:bidi="ar"/>
        </w:rPr>
        <w:t>：</w:t>
      </w:r>
      <w:r>
        <w:rPr>
          <w:rFonts w:hint="eastAsia" w:ascii="仿宋_GB2312" w:hAnsi="仿宋_GB2312" w:eastAsia="仿宋_GB2312" w:cs="仿宋_GB2312"/>
          <w:color w:val="000000"/>
          <w:kern w:val="0"/>
          <w:sz w:val="28"/>
          <w:szCs w:val="28"/>
          <w:lang w:bidi="ar"/>
        </w:rPr>
        <w:t>合同期满或者履行完毕后，甲方有权组织对乙方履约的验收。</w:t>
      </w:r>
    </w:p>
    <w:p>
      <w:pPr>
        <w:keepNext w:val="0"/>
        <w:keepLines w:val="0"/>
        <w:widowControl/>
        <w:suppressLineNumbers w:val="0"/>
        <w:ind w:firstLine="560"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验收</w:t>
      </w:r>
      <w:r>
        <w:rPr>
          <w:rFonts w:ascii="仿宋_GB2312" w:hAnsi="仿宋_GB2312" w:eastAsia="仿宋_GB2312" w:cs="仿宋_GB2312"/>
          <w:b w:val="0"/>
          <w:bCs w:val="0"/>
          <w:color w:val="000000"/>
          <w:kern w:val="0"/>
          <w:sz w:val="28"/>
          <w:szCs w:val="28"/>
          <w:lang w:val="en-US" w:eastAsia="zh-CN" w:bidi="ar"/>
        </w:rPr>
        <w:t>内容</w:t>
      </w:r>
      <w:r>
        <w:rPr>
          <w:rFonts w:hint="eastAsia" w:ascii="仿宋_GB2312" w:hAnsi="仿宋_GB2312" w:eastAsia="仿宋_GB2312" w:cs="仿宋_GB2312"/>
          <w:b w:val="0"/>
          <w:bCs w:val="0"/>
          <w:color w:val="000000"/>
          <w:kern w:val="0"/>
          <w:sz w:val="28"/>
          <w:szCs w:val="28"/>
          <w:lang w:val="en-US" w:eastAsia="zh-CN" w:bidi="ar"/>
        </w:rPr>
        <w:t>：实验室仪器设备</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ascii="仿宋_GB2312" w:hAnsi="仿宋_GB2312" w:eastAsia="仿宋_GB2312" w:cs="仿宋_GB2312"/>
          <w:b w:val="0"/>
          <w:bCs w:val="0"/>
          <w:color w:val="000000"/>
          <w:kern w:val="0"/>
          <w:sz w:val="28"/>
          <w:szCs w:val="28"/>
          <w:lang w:val="en-US" w:eastAsia="zh-CN" w:bidi="ar"/>
        </w:rPr>
        <w:t>验收标准</w:t>
      </w:r>
      <w:r>
        <w:rPr>
          <w:rFonts w:hint="eastAsia" w:ascii="仿宋_GB2312" w:hAnsi="仿宋_GB2312" w:eastAsia="仿宋_GB2312" w:cs="仿宋_GB2312"/>
          <w:b w:val="0"/>
          <w:bCs w:val="0"/>
          <w:color w:val="000000"/>
          <w:kern w:val="0"/>
          <w:sz w:val="28"/>
          <w:szCs w:val="28"/>
          <w:lang w:val="en-US" w:eastAsia="zh-CN" w:bidi="ar"/>
        </w:rPr>
        <w:t>：经检验达到合格标准。</w:t>
      </w:r>
    </w:p>
    <w:p>
      <w:pPr>
        <w:keepNext w:val="0"/>
        <w:keepLines w:val="0"/>
        <w:widowControl/>
        <w:suppressLineNumbers w:val="0"/>
        <w:ind w:firstLine="562"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七、采购标的的其他技术、服务等要求：</w:t>
      </w:r>
      <w:r>
        <w:rPr>
          <w:rFonts w:hint="eastAsia" w:ascii="仿宋_GB2312" w:hAnsi="仿宋_GB2312" w:eastAsia="仿宋_GB2312" w:cs="仿宋_GB2312"/>
          <w:b w:val="0"/>
          <w:bCs w:val="0"/>
          <w:color w:val="000000"/>
          <w:kern w:val="0"/>
          <w:sz w:val="28"/>
          <w:szCs w:val="28"/>
          <w:lang w:val="en-US" w:eastAsia="zh-CN" w:bidi="ar"/>
        </w:rPr>
        <w:t>无</w:t>
      </w:r>
    </w:p>
    <w:p>
      <w:pPr>
        <w:keepNext w:val="0"/>
        <w:keepLines w:val="0"/>
        <w:widowControl/>
        <w:suppressLineNumbers w:val="0"/>
        <w:ind w:firstLine="562"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八、需要满足的其他技术规格要求</w:t>
      </w:r>
    </w:p>
    <w:p>
      <w:pPr>
        <w:keepNext w:val="0"/>
        <w:keepLines w:val="0"/>
        <w:widowControl/>
        <w:suppressLineNumbers w:val="0"/>
        <w:ind w:firstLine="560"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1、货物名称：实验室仪器设备</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2、维保期限：除参数中规定的年限外，其余售后三年</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3、货物使用单位：实验室仪器设备</w:t>
      </w:r>
    </w:p>
    <w:p>
      <w:pPr>
        <w:keepNext w:val="0"/>
        <w:keepLines w:val="0"/>
        <w:widowControl/>
        <w:suppressLineNumbers w:val="0"/>
        <w:ind w:firstLine="560" w:firstLineChars="200"/>
        <w:jc w:val="both"/>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4、维保用途说明：实验室仪器设备维护</w:t>
      </w:r>
    </w:p>
    <w:p>
      <w:pPr>
        <w:keepNext w:val="0"/>
        <w:keepLines w:val="0"/>
        <w:widowControl/>
        <w:suppressLineNumbers w:val="0"/>
        <w:ind w:firstLine="560"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5、维保服务参数要求：中标投标单位应保证所供货物质量合格，若质保期内出现问题，采购人有权全部退货。</w:t>
      </w:r>
    </w:p>
    <w:p>
      <w:pPr>
        <w:keepNext w:val="0"/>
        <w:keepLines w:val="0"/>
        <w:widowControl/>
        <w:suppressLineNumbers w:val="0"/>
        <w:ind w:firstLine="562" w:firstLineChars="200"/>
        <w:jc w:val="both"/>
        <w:rPr>
          <w:rFonts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九、该项目为一般性审查</w:t>
      </w:r>
    </w:p>
    <w:p>
      <w:pPr>
        <w:pStyle w:val="4"/>
        <w:numPr>
          <w:ilvl w:val="0"/>
          <w:numId w:val="3"/>
        </w:numPr>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采购单位审查人员姓名：严伟</w:t>
      </w:r>
    </w:p>
    <w:p>
      <w:pPr>
        <w:pStyle w:val="4"/>
        <w:numPr>
          <w:ilvl w:val="0"/>
          <w:numId w:val="3"/>
        </w:numPr>
        <w:rPr>
          <w:rFonts w:hint="default"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lang w:val="en-US" w:eastAsia="zh-CN" w:bidi="ar"/>
        </w:rPr>
        <w:t>审查时间</w:t>
      </w:r>
      <w:r>
        <w:rPr>
          <w:rFonts w:hint="eastAsia" w:ascii="仿宋_GB2312" w:hAnsi="仿宋_GB2312" w:eastAsia="仿宋_GB2312" w:cs="仿宋_GB2312"/>
          <w:b w:val="0"/>
          <w:bCs w:val="0"/>
          <w:color w:val="000000"/>
          <w:kern w:val="0"/>
          <w:sz w:val="28"/>
          <w:szCs w:val="28"/>
          <w:highlight w:val="none"/>
          <w:lang w:val="en-US" w:eastAsia="zh-CN" w:bidi="ar"/>
        </w:rPr>
        <w:t>：2021.9.28</w:t>
      </w:r>
    </w:p>
    <w:p>
      <w:pPr>
        <w:pStyle w:val="4"/>
        <w:numPr>
          <w:ilvl w:val="0"/>
          <w:numId w:val="0"/>
        </w:numPr>
        <w:jc w:val="both"/>
        <w:rPr>
          <w:rFonts w:hint="eastAsia" w:ascii="仿宋_GB2312" w:hAnsi="仿宋_GB2312" w:eastAsia="仿宋_GB2312" w:cs="仿宋_GB2312"/>
          <w:b w:val="0"/>
          <w:bCs w:val="0"/>
          <w:color w:val="000000"/>
          <w:kern w:val="0"/>
          <w:sz w:val="28"/>
          <w:szCs w:val="28"/>
          <w:highlight w:val="none"/>
          <w:lang w:val="en-US" w:eastAsia="zh-CN" w:bidi="ar"/>
        </w:rPr>
      </w:pPr>
    </w:p>
    <w:p>
      <w:pPr>
        <w:pStyle w:val="4"/>
        <w:numPr>
          <w:ilvl w:val="0"/>
          <w:numId w:val="0"/>
        </w:numPr>
        <w:jc w:val="center"/>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 xml:space="preserve">                   采 购 单 位：莎车县疾病预防控制中心</w:t>
      </w:r>
    </w:p>
    <w:p>
      <w:pPr>
        <w:pStyle w:val="4"/>
        <w:numPr>
          <w:ilvl w:val="0"/>
          <w:numId w:val="0"/>
        </w:numPr>
        <w:ind w:firstLine="560" w:firstLineChars="200"/>
        <w:jc w:val="center"/>
        <w:rPr>
          <w:rFonts w:hint="default" w:ascii="仿宋_GB2312" w:hAnsi="仿宋_GB2312" w:eastAsia="仿宋_GB2312" w:cs="仿宋_GB2312"/>
          <w:b w:val="0"/>
          <w:bCs w:val="0"/>
          <w:color w:val="000000"/>
          <w:kern w:val="0"/>
          <w:sz w:val="31"/>
          <w:szCs w:val="31"/>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 xml:space="preserve">        </w:t>
      </w:r>
      <w:r>
        <w:rPr>
          <w:rFonts w:hint="eastAsia" w:ascii="仿宋_GB2312" w:hAnsi="仿宋_GB2312" w:eastAsia="仿宋_GB2312" w:cs="仿宋_GB2312"/>
          <w:b w:val="0"/>
          <w:bCs w:val="0"/>
          <w:color w:val="000000"/>
          <w:kern w:val="0"/>
          <w:sz w:val="31"/>
          <w:szCs w:val="31"/>
          <w:highlight w:val="none"/>
          <w:lang w:val="en-US" w:eastAsia="zh-CN" w:bidi="ar"/>
        </w:rPr>
        <w:t xml:space="preserve">     </w:t>
      </w:r>
      <w:r>
        <w:rPr>
          <w:rFonts w:hint="default" w:ascii="仿宋_GB2312" w:hAnsi="仿宋_GB2312" w:eastAsia="仿宋_GB2312" w:cs="仿宋_GB2312"/>
          <w:b w:val="0"/>
          <w:bCs w:val="0"/>
          <w:color w:val="000000"/>
          <w:kern w:val="0"/>
          <w:sz w:val="31"/>
          <w:szCs w:val="31"/>
          <w:highlight w:val="none"/>
          <w:lang w:val="en-US" w:eastAsia="zh-CN" w:bidi="ar"/>
        </w:rPr>
        <w:t>2021年9月2</w:t>
      </w:r>
      <w:r>
        <w:rPr>
          <w:rFonts w:hint="eastAsia" w:ascii="仿宋_GB2312" w:hAnsi="仿宋_GB2312" w:eastAsia="仿宋_GB2312" w:cs="仿宋_GB2312"/>
          <w:b w:val="0"/>
          <w:bCs w:val="0"/>
          <w:color w:val="000000"/>
          <w:kern w:val="0"/>
          <w:sz w:val="31"/>
          <w:szCs w:val="31"/>
          <w:highlight w:val="none"/>
          <w:lang w:val="en-US" w:eastAsia="zh-CN" w:bidi="ar"/>
        </w:rPr>
        <w:t>8</w:t>
      </w:r>
      <w:r>
        <w:rPr>
          <w:rFonts w:hint="default" w:ascii="仿宋_GB2312" w:hAnsi="仿宋_GB2312" w:eastAsia="仿宋_GB2312" w:cs="仿宋_GB2312"/>
          <w:b w:val="0"/>
          <w:bCs w:val="0"/>
          <w:color w:val="000000"/>
          <w:kern w:val="0"/>
          <w:sz w:val="31"/>
          <w:szCs w:val="31"/>
          <w:highlight w:val="none"/>
          <w:lang w:val="en-US" w:eastAsia="zh-CN" w:bidi="ar"/>
        </w:rPr>
        <w:t>日</w:t>
      </w:r>
    </w:p>
    <w:p>
      <w:pPr>
        <w:keepNext w:val="0"/>
        <w:keepLines w:val="0"/>
        <w:widowControl/>
        <w:suppressLineNumbers w:val="0"/>
        <w:ind w:firstLine="620" w:firstLineChars="200"/>
        <w:jc w:val="both"/>
        <w:rPr>
          <w:rFonts w:ascii="仿宋_GB2312" w:hAnsi="仿宋_GB2312" w:eastAsia="仿宋_GB2312" w:cs="仿宋_GB2312"/>
          <w:b w:val="0"/>
          <w:bCs w:val="0"/>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Mono CJK JP Regular">
    <w:altName w:val="Arial"/>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CEEA0"/>
    <w:multiLevelType w:val="singleLevel"/>
    <w:tmpl w:val="8ECCEEA0"/>
    <w:lvl w:ilvl="0" w:tentative="0">
      <w:start w:val="1"/>
      <w:numFmt w:val="chineseCounting"/>
      <w:suff w:val="nothing"/>
      <w:lvlText w:val="%1、"/>
      <w:lvlJc w:val="left"/>
      <w:rPr>
        <w:rFonts w:hint="eastAsia"/>
      </w:rPr>
    </w:lvl>
  </w:abstractNum>
  <w:abstractNum w:abstractNumId="1">
    <w:nsid w:val="12869633"/>
    <w:multiLevelType w:val="singleLevel"/>
    <w:tmpl w:val="12869633"/>
    <w:lvl w:ilvl="0" w:tentative="0">
      <w:start w:val="1"/>
      <w:numFmt w:val="decimal"/>
      <w:suff w:val="nothing"/>
      <w:lvlText w:val="%1、"/>
      <w:lvlJc w:val="left"/>
    </w:lvl>
  </w:abstractNum>
  <w:abstractNum w:abstractNumId="2">
    <w:nsid w:val="6EAF9B0A"/>
    <w:multiLevelType w:val="singleLevel"/>
    <w:tmpl w:val="6EAF9B0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0205"/>
    <w:rsid w:val="02C40FCF"/>
    <w:rsid w:val="048F729C"/>
    <w:rsid w:val="04911826"/>
    <w:rsid w:val="04A93FDF"/>
    <w:rsid w:val="06C15122"/>
    <w:rsid w:val="09966EBD"/>
    <w:rsid w:val="0A766299"/>
    <w:rsid w:val="0B004148"/>
    <w:rsid w:val="0BB330CE"/>
    <w:rsid w:val="0DA21A93"/>
    <w:rsid w:val="10816206"/>
    <w:rsid w:val="126E010B"/>
    <w:rsid w:val="13D66CA8"/>
    <w:rsid w:val="15524A55"/>
    <w:rsid w:val="1656228F"/>
    <w:rsid w:val="1EC137C2"/>
    <w:rsid w:val="1F316138"/>
    <w:rsid w:val="1F4E69F5"/>
    <w:rsid w:val="1FBB359D"/>
    <w:rsid w:val="209078C3"/>
    <w:rsid w:val="20EB52D0"/>
    <w:rsid w:val="250B0954"/>
    <w:rsid w:val="275333B7"/>
    <w:rsid w:val="2A867A10"/>
    <w:rsid w:val="33D76E9C"/>
    <w:rsid w:val="34414952"/>
    <w:rsid w:val="34756087"/>
    <w:rsid w:val="368E64D2"/>
    <w:rsid w:val="3C7E355F"/>
    <w:rsid w:val="3CED0AEB"/>
    <w:rsid w:val="403F35BB"/>
    <w:rsid w:val="47741A2D"/>
    <w:rsid w:val="485F1214"/>
    <w:rsid w:val="4A1D570A"/>
    <w:rsid w:val="500C48E2"/>
    <w:rsid w:val="512A1DC8"/>
    <w:rsid w:val="52244CD2"/>
    <w:rsid w:val="527D0205"/>
    <w:rsid w:val="53403E04"/>
    <w:rsid w:val="559C75AA"/>
    <w:rsid w:val="570F7309"/>
    <w:rsid w:val="596D3821"/>
    <w:rsid w:val="5D8B0702"/>
    <w:rsid w:val="614F3DBC"/>
    <w:rsid w:val="62BC3321"/>
    <w:rsid w:val="651631C7"/>
    <w:rsid w:val="682C2D0D"/>
    <w:rsid w:val="687D3E14"/>
    <w:rsid w:val="6C51790E"/>
    <w:rsid w:val="6F2C480B"/>
    <w:rsid w:val="6FD72C97"/>
    <w:rsid w:val="726C3FDA"/>
    <w:rsid w:val="78620DA2"/>
    <w:rsid w:val="79B42C26"/>
    <w:rsid w:val="7A9A4B8D"/>
    <w:rsid w:val="7CAC3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line="580" w:lineRule="exact"/>
      <w:outlineLvl w:val="0"/>
    </w:pPr>
    <w:rPr>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528"/>
    </w:pPr>
    <w:rPr>
      <w:sz w:val="24"/>
      <w:szCs w:val="24"/>
    </w:rPr>
  </w:style>
  <w:style w:type="paragraph" w:styleId="4">
    <w:name w:val="Normal Indent"/>
    <w:basedOn w:val="1"/>
    <w:next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styleId="5">
    <w:name w:val="Body Text Indent"/>
    <w:basedOn w:val="1"/>
    <w:unhideWhenUsed/>
    <w:qFormat/>
    <w:uiPriority w:val="0"/>
    <w:pPr>
      <w:spacing w:after="120"/>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qFormat/>
    <w:uiPriority w:val="0"/>
    <w:pPr>
      <w:spacing w:before="240" w:after="60"/>
      <w:jc w:val="center"/>
      <w:outlineLvl w:val="0"/>
    </w:pPr>
    <w:rPr>
      <w:rFonts w:ascii="Arial" w:hAnsi="Arial" w:cs="Arial"/>
      <w:b/>
      <w:bCs/>
      <w:sz w:val="32"/>
      <w:szCs w:val="32"/>
    </w:rPr>
  </w:style>
  <w:style w:type="paragraph" w:styleId="8">
    <w:name w:val="Body Text First Indent 2"/>
    <w:basedOn w:val="5"/>
    <w:next w:val="1"/>
    <w:qFormat/>
    <w:uiPriority w:val="0"/>
    <w:pPr>
      <w:spacing w:line="360" w:lineRule="auto"/>
      <w:ind w:firstLine="200" w:firstLineChars="200"/>
    </w:pPr>
    <w:rPr>
      <w:rFonts w:eastAsia="仿宋_GB2312"/>
      <w:spacing w:val="15"/>
      <w:kern w:val="10"/>
      <w:sz w:val="24"/>
    </w:rPr>
  </w:style>
  <w:style w:type="paragraph" w:customStyle="1" w:styleId="11">
    <w:name w:val="正文3"/>
    <w:qFormat/>
    <w:uiPriority w:val="99"/>
    <w:pPr>
      <w:jc w:val="both"/>
    </w:pPr>
    <w:rPr>
      <w:rFonts w:ascii="Calibri" w:hAnsi="Calibri" w:eastAsia="宋体" w:cs="Calibri"/>
      <w:kern w:val="2"/>
      <w:sz w:val="21"/>
      <w:szCs w:val="21"/>
      <w:lang w:val="en-US" w:eastAsia="zh-CN" w:bidi="ar-SA"/>
    </w:rPr>
  </w:style>
  <w:style w:type="character" w:customStyle="1" w:styleId="12">
    <w:name w:val="font61"/>
    <w:basedOn w:val="10"/>
    <w:qFormat/>
    <w:uiPriority w:val="0"/>
    <w:rPr>
      <w:rFonts w:hint="eastAsia" w:ascii="宋体" w:hAnsi="宋体" w:eastAsia="宋体" w:cs="宋体"/>
      <w:color w:val="000000"/>
      <w:sz w:val="18"/>
      <w:szCs w:val="18"/>
      <w:u w:val="none"/>
    </w:rPr>
  </w:style>
  <w:style w:type="character" w:customStyle="1" w:styleId="13">
    <w:name w:val="font41"/>
    <w:basedOn w:val="10"/>
    <w:qFormat/>
    <w:uiPriority w:val="0"/>
    <w:rPr>
      <w:rFonts w:hint="eastAsia" w:ascii="宋体" w:hAnsi="宋体" w:eastAsia="宋体" w:cs="宋体"/>
      <w:color w:val="000000"/>
      <w:sz w:val="22"/>
      <w:szCs w:val="22"/>
      <w:u w:val="none"/>
    </w:rPr>
  </w:style>
  <w:style w:type="paragraph" w:customStyle="1" w:styleId="14">
    <w:name w:val="列表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t-05 style3 style30"/>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2021-08-11T04:46:00Z</dcterms:created>
  <dc:creator>张珊</dc:creator>
  <cp:lastModifiedBy>Administrator</cp:lastModifiedBy>
  <dcterms:modified xsi:type="dcterms:W3CDTF">2021-09-30T12:05:55Z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986BC928C5A2480F96EB8E1E80BF37A9</vt:lpwstr>
  </property>
</Properties>
</file>