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7A8FDB">
      <w:pPr>
        <w:adjustRightInd w:val="0"/>
        <w:snapToGrid w:val="0"/>
        <w:jc w:val="left"/>
        <w:rPr>
          <w:rFonts w:ascii="宋体" w:hAnsi="宋体" w:eastAsia="宋体" w:cs="仿宋"/>
        </w:rPr>
      </w:pPr>
      <w:r>
        <w:rPr>
          <w:rFonts w:ascii="宋体" w:hAnsi="宋体" w:eastAsia="宋体" w:cs="仿宋"/>
        </w:rPr>
        <w:drawing>
          <wp:inline distT="0" distB="0" distL="0" distR="0">
            <wp:extent cx="1439545" cy="1439545"/>
            <wp:effectExtent l="0" t="0" r="8255" b="8255"/>
            <wp:docPr id="5" name="图片 5" descr="C:\Users\Administrator\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440000" cy="1440000"/>
                    </a:xfrm>
                    <a:prstGeom prst="rect">
                      <a:avLst/>
                    </a:prstGeom>
                    <a:noFill/>
                    <a:ln>
                      <a:noFill/>
                    </a:ln>
                  </pic:spPr>
                </pic:pic>
              </a:graphicData>
            </a:graphic>
          </wp:inline>
        </w:drawing>
      </w:r>
    </w:p>
    <w:p w14:paraId="0CCD89D2">
      <w:pPr>
        <w:adjustRightInd w:val="0"/>
        <w:snapToGrid w:val="0"/>
        <w:spacing w:line="360" w:lineRule="auto"/>
        <w:jc w:val="center"/>
        <w:outlineLvl w:val="0"/>
        <w:rPr>
          <w:rFonts w:ascii="宋体" w:hAnsi="宋体" w:eastAsia="宋体" w:cs="仿宋"/>
          <w:b/>
          <w:bCs/>
        </w:rPr>
      </w:pPr>
      <w:bookmarkStart w:id="0" w:name="_Toc200016440"/>
      <w:bookmarkStart w:id="1" w:name="_Toc31457"/>
      <w:r>
        <w:rPr>
          <w:rFonts w:hint="eastAsia" w:ascii="宋体" w:hAnsi="宋体" w:eastAsia="宋体" w:cs="仿宋"/>
          <w:bCs/>
          <w:sz w:val="48"/>
          <w:szCs w:val="48"/>
        </w:rPr>
        <w:t>招 标 文 件</w:t>
      </w:r>
      <w:bookmarkEnd w:id="0"/>
      <w:bookmarkEnd w:id="1"/>
    </w:p>
    <w:p w14:paraId="48651FBF">
      <w:pPr>
        <w:spacing w:line="360" w:lineRule="auto"/>
        <w:ind w:left="1574" w:right="-191" w:rightChars="-91" w:hanging="1574" w:hangingChars="492"/>
        <w:rPr>
          <w:rFonts w:ascii="宋体" w:hAnsi="宋体" w:eastAsia="宋体" w:cs="仿宋"/>
          <w:bCs/>
          <w:kern w:val="0"/>
          <w:sz w:val="32"/>
          <w:szCs w:val="32"/>
        </w:rPr>
      </w:pPr>
    </w:p>
    <w:p w14:paraId="020B3FB0">
      <w:pPr>
        <w:spacing w:line="360" w:lineRule="auto"/>
        <w:ind w:left="1574" w:right="-191" w:rightChars="-91" w:hanging="1574" w:hangingChars="492"/>
        <w:rPr>
          <w:rFonts w:ascii="宋体" w:hAnsi="宋体" w:eastAsia="宋体" w:cs="仿宋"/>
          <w:bCs/>
          <w:sz w:val="32"/>
        </w:rPr>
      </w:pPr>
      <w:r>
        <w:rPr>
          <w:rFonts w:hint="eastAsia" w:ascii="宋体" w:hAnsi="宋体" w:eastAsia="宋体" w:cs="仿宋"/>
          <w:bCs/>
          <w:kern w:val="0"/>
          <w:sz w:val="32"/>
          <w:szCs w:val="32"/>
        </w:rPr>
        <w:t>项目名称：</w:t>
      </w:r>
      <w:r>
        <w:rPr>
          <w:rFonts w:hint="eastAsia" w:ascii="宋体" w:hAnsi="宋体" w:eastAsia="宋体" w:cs="仿宋"/>
          <w:bCs/>
          <w:sz w:val="32"/>
        </w:rPr>
        <w:t>新疆应用职业技术学院新图书馆智慧体验设备采购项目</w:t>
      </w:r>
    </w:p>
    <w:p w14:paraId="171E6615">
      <w:pPr>
        <w:adjustRightInd w:val="0"/>
        <w:snapToGrid w:val="0"/>
        <w:spacing w:line="360" w:lineRule="auto"/>
        <w:jc w:val="center"/>
        <w:rPr>
          <w:rFonts w:ascii="宋体" w:hAnsi="宋体" w:eastAsia="宋体" w:cs="仿宋"/>
          <w:bCs/>
          <w:sz w:val="32"/>
          <w:szCs w:val="32"/>
        </w:rPr>
      </w:pPr>
    </w:p>
    <w:p w14:paraId="1961667E">
      <w:pPr>
        <w:adjustRightInd w:val="0"/>
        <w:snapToGrid w:val="0"/>
        <w:spacing w:line="360" w:lineRule="auto"/>
        <w:rPr>
          <w:rFonts w:ascii="宋体" w:hAnsi="宋体" w:eastAsia="宋体" w:cs="仿宋"/>
          <w:bCs/>
          <w:kern w:val="0"/>
          <w:sz w:val="32"/>
          <w:szCs w:val="32"/>
        </w:rPr>
      </w:pPr>
      <w:r>
        <w:rPr>
          <w:rFonts w:hint="eastAsia" w:ascii="宋体" w:hAnsi="宋体" w:eastAsia="宋体" w:cs="仿宋"/>
          <w:bCs/>
          <w:kern w:val="0"/>
          <w:sz w:val="32"/>
          <w:szCs w:val="32"/>
        </w:rPr>
        <w:t>采购人(盖章)：</w:t>
      </w:r>
      <w:r>
        <w:rPr>
          <w:rFonts w:hint="eastAsia" w:ascii="宋体" w:hAnsi="宋体" w:eastAsia="宋体" w:cs="仿宋"/>
          <w:bCs/>
          <w:sz w:val="32"/>
        </w:rPr>
        <w:t>新疆应用职业技术学院</w:t>
      </w:r>
    </w:p>
    <w:p w14:paraId="1010BDA2">
      <w:pPr>
        <w:adjustRightInd w:val="0"/>
        <w:snapToGrid w:val="0"/>
        <w:spacing w:line="360" w:lineRule="auto"/>
        <w:rPr>
          <w:rFonts w:ascii="宋体" w:hAnsi="宋体" w:eastAsia="宋体" w:cs="仿宋"/>
          <w:bCs/>
          <w:sz w:val="32"/>
          <w:szCs w:val="32"/>
        </w:rPr>
      </w:pPr>
    </w:p>
    <w:p w14:paraId="43F37318">
      <w:pPr>
        <w:adjustRightInd w:val="0"/>
        <w:snapToGrid w:val="0"/>
        <w:spacing w:line="360" w:lineRule="auto"/>
        <w:rPr>
          <w:rFonts w:ascii="宋体" w:hAnsi="宋体" w:eastAsia="宋体" w:cs="仿宋"/>
          <w:bCs/>
          <w:sz w:val="32"/>
          <w:szCs w:val="24"/>
        </w:rPr>
      </w:pPr>
      <w:r>
        <w:rPr>
          <w:rFonts w:hint="eastAsia" w:ascii="宋体" w:hAnsi="宋体" w:eastAsia="宋体" w:cs="仿宋"/>
          <w:bCs/>
          <w:sz w:val="32"/>
          <w:szCs w:val="24"/>
        </w:rPr>
        <w:t>联系人：李老师</w:t>
      </w:r>
    </w:p>
    <w:p w14:paraId="66B41418">
      <w:pPr>
        <w:adjustRightInd w:val="0"/>
        <w:snapToGrid w:val="0"/>
        <w:spacing w:line="360" w:lineRule="auto"/>
        <w:jc w:val="center"/>
        <w:rPr>
          <w:rFonts w:ascii="宋体" w:hAnsi="宋体" w:eastAsia="宋体" w:cs="仿宋"/>
          <w:bCs/>
          <w:sz w:val="32"/>
          <w:szCs w:val="24"/>
        </w:rPr>
      </w:pPr>
    </w:p>
    <w:p w14:paraId="75770A9E">
      <w:pPr>
        <w:adjustRightInd w:val="0"/>
        <w:snapToGrid w:val="0"/>
        <w:spacing w:line="360" w:lineRule="auto"/>
        <w:jc w:val="left"/>
        <w:rPr>
          <w:rFonts w:ascii="宋体" w:hAnsi="宋体" w:eastAsia="宋体" w:cs="仿宋"/>
          <w:bCs/>
          <w:sz w:val="32"/>
          <w:szCs w:val="24"/>
        </w:rPr>
      </w:pPr>
      <w:r>
        <w:rPr>
          <w:rFonts w:hint="eastAsia" w:ascii="宋体" w:hAnsi="宋体" w:eastAsia="宋体" w:cs="仿宋"/>
          <w:bCs/>
          <w:sz w:val="32"/>
          <w:szCs w:val="24"/>
        </w:rPr>
        <w:t>电话：18609921657</w:t>
      </w:r>
    </w:p>
    <w:p w14:paraId="6B74D909">
      <w:pPr>
        <w:adjustRightInd w:val="0"/>
        <w:snapToGrid w:val="0"/>
        <w:spacing w:line="360" w:lineRule="auto"/>
        <w:jc w:val="left"/>
        <w:rPr>
          <w:rFonts w:ascii="宋体" w:hAnsi="宋体" w:eastAsia="宋体" w:cs="仿宋"/>
          <w:bCs/>
          <w:kern w:val="0"/>
          <w:sz w:val="32"/>
          <w:szCs w:val="32"/>
        </w:rPr>
      </w:pPr>
      <w:r>
        <w:rPr>
          <w:rFonts w:hint="eastAsia" w:ascii="宋体" w:hAnsi="宋体" w:eastAsia="宋体" w:cs="仿宋"/>
          <w:bCs/>
          <w:kern w:val="0"/>
          <w:sz w:val="32"/>
          <w:szCs w:val="32"/>
        </w:rPr>
        <w:t>—————————————————————————————</w:t>
      </w:r>
    </w:p>
    <w:p w14:paraId="5A56BA50">
      <w:pPr>
        <w:adjustRightInd w:val="0"/>
        <w:snapToGrid w:val="0"/>
        <w:spacing w:line="360" w:lineRule="auto"/>
        <w:rPr>
          <w:rFonts w:ascii="宋体" w:hAnsi="宋体" w:eastAsia="宋体" w:cs="仿宋"/>
          <w:bCs/>
          <w:sz w:val="32"/>
          <w:szCs w:val="32"/>
        </w:rPr>
      </w:pPr>
      <w:r>
        <w:rPr>
          <w:rFonts w:hint="eastAsia" w:ascii="宋体" w:hAnsi="宋体" w:eastAsia="宋体" w:cs="仿宋"/>
          <w:bCs/>
          <w:sz w:val="32"/>
          <w:szCs w:val="32"/>
        </w:rPr>
        <w:t>采购代理机构</w:t>
      </w:r>
      <w:r>
        <w:rPr>
          <w:rFonts w:hint="eastAsia" w:ascii="宋体" w:hAnsi="宋体" w:eastAsia="宋体" w:cs="仿宋"/>
          <w:sz w:val="32"/>
          <w:szCs w:val="32"/>
        </w:rPr>
        <w:t>(盖章)</w:t>
      </w:r>
      <w:r>
        <w:rPr>
          <w:rFonts w:hint="eastAsia" w:ascii="宋体" w:hAnsi="宋体" w:eastAsia="宋体" w:cs="仿宋"/>
          <w:bCs/>
          <w:sz w:val="32"/>
          <w:szCs w:val="32"/>
        </w:rPr>
        <w:t>：新疆清恒招标代理有限公司</w:t>
      </w:r>
    </w:p>
    <w:p w14:paraId="6A057085">
      <w:pPr>
        <w:adjustRightInd w:val="0"/>
        <w:snapToGrid w:val="0"/>
        <w:spacing w:line="360" w:lineRule="auto"/>
        <w:jc w:val="center"/>
        <w:rPr>
          <w:rFonts w:ascii="宋体" w:hAnsi="宋体" w:eastAsia="宋体" w:cs="仿宋"/>
          <w:bCs/>
          <w:sz w:val="32"/>
          <w:szCs w:val="32"/>
        </w:rPr>
      </w:pPr>
    </w:p>
    <w:p w14:paraId="1AB3C3C9">
      <w:pPr>
        <w:adjustRightInd w:val="0"/>
        <w:snapToGrid w:val="0"/>
        <w:spacing w:line="360" w:lineRule="auto"/>
        <w:rPr>
          <w:rFonts w:ascii="宋体" w:hAnsi="宋体" w:eastAsia="宋体" w:cs="仿宋"/>
          <w:bCs/>
          <w:sz w:val="32"/>
          <w:szCs w:val="32"/>
        </w:rPr>
      </w:pPr>
      <w:r>
        <w:rPr>
          <w:rFonts w:hint="eastAsia" w:ascii="宋体" w:hAnsi="宋体" w:eastAsia="宋体" w:cs="仿宋"/>
          <w:bCs/>
          <w:sz w:val="32"/>
          <w:szCs w:val="32"/>
        </w:rPr>
        <w:t>联系人：王春霞</w:t>
      </w:r>
    </w:p>
    <w:p w14:paraId="79F3419C">
      <w:pPr>
        <w:adjustRightInd w:val="0"/>
        <w:snapToGrid w:val="0"/>
        <w:spacing w:line="360" w:lineRule="auto"/>
        <w:jc w:val="center"/>
        <w:rPr>
          <w:rFonts w:ascii="宋体" w:hAnsi="宋体" w:eastAsia="宋体" w:cs="仿宋"/>
          <w:bCs/>
          <w:sz w:val="32"/>
          <w:szCs w:val="32"/>
        </w:rPr>
      </w:pPr>
    </w:p>
    <w:p w14:paraId="5233C2D1">
      <w:pPr>
        <w:adjustRightInd w:val="0"/>
        <w:snapToGrid w:val="0"/>
        <w:spacing w:line="360" w:lineRule="auto"/>
        <w:rPr>
          <w:rFonts w:ascii="宋体" w:hAnsi="宋体" w:eastAsia="宋体" w:cs="仿宋"/>
          <w:bCs/>
          <w:sz w:val="32"/>
          <w:szCs w:val="32"/>
        </w:rPr>
      </w:pPr>
      <w:r>
        <w:rPr>
          <w:rFonts w:hint="eastAsia" w:ascii="宋体" w:hAnsi="宋体" w:eastAsia="宋体" w:cs="仿宋"/>
          <w:bCs/>
          <w:kern w:val="0"/>
          <w:sz w:val="32"/>
          <w:szCs w:val="32"/>
        </w:rPr>
        <w:t>电话</w:t>
      </w:r>
      <w:r>
        <w:rPr>
          <w:rFonts w:hint="eastAsia" w:ascii="宋体" w:hAnsi="宋体" w:eastAsia="宋体" w:cs="仿宋"/>
          <w:bCs/>
          <w:sz w:val="32"/>
          <w:szCs w:val="32"/>
        </w:rPr>
        <w:t>：19909926296</w:t>
      </w:r>
    </w:p>
    <w:p w14:paraId="0E165B24">
      <w:pPr>
        <w:adjustRightInd w:val="0"/>
        <w:snapToGrid w:val="0"/>
        <w:spacing w:line="360" w:lineRule="auto"/>
        <w:rPr>
          <w:rFonts w:ascii="宋体" w:hAnsi="宋体" w:eastAsia="宋体" w:cs="仿宋"/>
          <w:bCs/>
          <w:sz w:val="32"/>
          <w:szCs w:val="32"/>
        </w:rPr>
      </w:pPr>
    </w:p>
    <w:p w14:paraId="36533ADB">
      <w:pPr>
        <w:adjustRightInd w:val="0"/>
        <w:snapToGrid w:val="0"/>
        <w:spacing w:line="360" w:lineRule="auto"/>
        <w:rPr>
          <w:rFonts w:ascii="宋体" w:hAnsi="宋体" w:eastAsia="宋体" w:cs="仿宋"/>
          <w:bCs/>
          <w:sz w:val="32"/>
          <w:szCs w:val="32"/>
        </w:rPr>
      </w:pPr>
      <w:r>
        <w:rPr>
          <w:rFonts w:hint="eastAsia" w:ascii="宋体" w:hAnsi="宋体" w:eastAsia="宋体" w:cs="仿宋"/>
          <w:bCs/>
          <w:sz w:val="32"/>
          <w:szCs w:val="32"/>
        </w:rPr>
        <w:t>详细地址：新疆伊犁州奎屯市北京路街道康乐园129幢72号</w:t>
      </w:r>
    </w:p>
    <w:p w14:paraId="58447B3F">
      <w:pPr>
        <w:jc w:val="center"/>
        <w:outlineLvl w:val="0"/>
        <w:rPr>
          <w:rFonts w:ascii="宋体" w:hAnsi="宋体" w:eastAsia="宋体" w:cs="仿宋"/>
          <w:b/>
          <w:bCs/>
          <w:sz w:val="24"/>
          <w:szCs w:val="24"/>
        </w:rPr>
        <w:sectPr>
          <w:pgSz w:w="11906" w:h="16838"/>
          <w:pgMar w:top="1361" w:right="1134" w:bottom="1361" w:left="1418" w:header="851" w:footer="992" w:gutter="0"/>
          <w:pgNumType w:start="1"/>
          <w:cols w:space="720" w:num="1"/>
          <w:docGrid w:type="lines" w:linePitch="312" w:charSpace="0"/>
        </w:sectPr>
      </w:pPr>
    </w:p>
    <w:p w14:paraId="501428C0">
      <w:pPr>
        <w:jc w:val="center"/>
        <w:outlineLvl w:val="0"/>
      </w:pPr>
      <w:bookmarkStart w:id="2" w:name="_Toc5199"/>
      <w:bookmarkStart w:id="3" w:name="_Toc200016441"/>
      <w:r>
        <w:rPr>
          <w:rFonts w:hint="eastAsia" w:ascii="宋体" w:hAnsi="宋体" w:eastAsia="宋体" w:cs="仿宋"/>
          <w:b/>
          <w:bCs/>
          <w:sz w:val="28"/>
          <w:szCs w:val="24"/>
        </w:rPr>
        <w:t>目 录</w:t>
      </w:r>
      <w:bookmarkEnd w:id="2"/>
      <w:bookmarkEnd w:id="3"/>
      <w:r>
        <w:rPr>
          <w:rFonts w:ascii="宋体" w:hAnsi="宋体" w:eastAsia="宋体" w:cs="仿宋"/>
          <w:b/>
          <w:bCs/>
          <w:sz w:val="28"/>
          <w:szCs w:val="24"/>
        </w:rPr>
        <w:fldChar w:fldCharType="begin"/>
      </w:r>
      <w:r>
        <w:rPr>
          <w:rFonts w:ascii="宋体" w:hAnsi="宋体" w:eastAsia="宋体" w:cs="仿宋"/>
          <w:b/>
          <w:bCs/>
          <w:sz w:val="28"/>
          <w:szCs w:val="24"/>
        </w:rPr>
        <w:instrText xml:space="preserve"> </w:instrText>
      </w:r>
      <w:r>
        <w:rPr>
          <w:rFonts w:hint="eastAsia" w:ascii="宋体" w:hAnsi="宋体" w:eastAsia="宋体" w:cs="仿宋"/>
          <w:b/>
          <w:bCs/>
          <w:sz w:val="28"/>
          <w:szCs w:val="24"/>
        </w:rPr>
        <w:instrText xml:space="preserve">TOC \o "1-4" \h \z \u</w:instrText>
      </w:r>
      <w:r>
        <w:rPr>
          <w:rFonts w:ascii="宋体" w:hAnsi="宋体" w:eastAsia="宋体" w:cs="仿宋"/>
          <w:b/>
          <w:bCs/>
          <w:sz w:val="28"/>
          <w:szCs w:val="24"/>
        </w:rPr>
        <w:instrText xml:space="preserve"> </w:instrText>
      </w:r>
      <w:r>
        <w:rPr>
          <w:rFonts w:ascii="宋体" w:hAnsi="宋体" w:eastAsia="宋体" w:cs="仿宋"/>
          <w:b/>
          <w:bCs/>
          <w:sz w:val="28"/>
          <w:szCs w:val="24"/>
        </w:rPr>
        <w:fldChar w:fldCharType="separate"/>
      </w:r>
    </w:p>
    <w:p w14:paraId="35033423">
      <w:pPr>
        <w:pStyle w:val="24"/>
        <w:tabs>
          <w:tab w:val="right" w:leader="dot" w:pos="9344"/>
        </w:tabs>
        <w:rPr>
          <w:rFonts w:cstheme="minorBidi"/>
          <w:b w:val="0"/>
          <w:bCs w:val="0"/>
          <w:caps w:val="0"/>
          <w:sz w:val="21"/>
          <w:szCs w:val="22"/>
        </w:rPr>
      </w:pPr>
      <w:r>
        <w:fldChar w:fldCharType="begin"/>
      </w:r>
      <w:r>
        <w:instrText xml:space="preserve"> HYPERLINK \l "_Toc200016440" </w:instrText>
      </w:r>
      <w:r>
        <w:fldChar w:fldCharType="separate"/>
      </w:r>
      <w:r>
        <w:rPr>
          <w:rStyle w:val="48"/>
          <w:rFonts w:hint="eastAsia" w:ascii="宋体" w:hAnsi="宋体" w:eastAsia="宋体" w:cs="仿宋"/>
        </w:rPr>
        <w:t>招</w:t>
      </w:r>
      <w:r>
        <w:rPr>
          <w:rStyle w:val="48"/>
          <w:rFonts w:ascii="宋体" w:hAnsi="宋体" w:eastAsia="宋体" w:cs="仿宋"/>
        </w:rPr>
        <w:t xml:space="preserve"> </w:t>
      </w:r>
      <w:r>
        <w:rPr>
          <w:rStyle w:val="48"/>
          <w:rFonts w:hint="eastAsia" w:ascii="宋体" w:hAnsi="宋体" w:eastAsia="宋体" w:cs="仿宋"/>
        </w:rPr>
        <w:t>标</w:t>
      </w:r>
      <w:r>
        <w:rPr>
          <w:rStyle w:val="48"/>
          <w:rFonts w:ascii="宋体" w:hAnsi="宋体" w:eastAsia="宋体" w:cs="仿宋"/>
        </w:rPr>
        <w:t xml:space="preserve"> </w:t>
      </w:r>
      <w:r>
        <w:rPr>
          <w:rStyle w:val="48"/>
          <w:rFonts w:hint="eastAsia" w:ascii="宋体" w:hAnsi="宋体" w:eastAsia="宋体" w:cs="仿宋"/>
        </w:rPr>
        <w:t>文</w:t>
      </w:r>
      <w:r>
        <w:rPr>
          <w:rStyle w:val="48"/>
          <w:rFonts w:ascii="宋体" w:hAnsi="宋体" w:eastAsia="宋体" w:cs="仿宋"/>
        </w:rPr>
        <w:t xml:space="preserve"> </w:t>
      </w:r>
      <w:r>
        <w:rPr>
          <w:rStyle w:val="48"/>
          <w:rFonts w:hint="eastAsia" w:ascii="宋体" w:hAnsi="宋体" w:eastAsia="宋体" w:cs="仿宋"/>
        </w:rPr>
        <w:t>件</w:t>
      </w:r>
      <w:r>
        <w:tab/>
      </w:r>
      <w:r>
        <w:fldChar w:fldCharType="begin"/>
      </w:r>
      <w:r>
        <w:instrText xml:space="preserve"> PAGEREF _Toc200016440 \h </w:instrText>
      </w:r>
      <w:r>
        <w:fldChar w:fldCharType="separate"/>
      </w:r>
      <w:r>
        <w:t>1</w:t>
      </w:r>
      <w:r>
        <w:fldChar w:fldCharType="end"/>
      </w:r>
      <w:r>
        <w:fldChar w:fldCharType="end"/>
      </w:r>
    </w:p>
    <w:p w14:paraId="685262A8">
      <w:pPr>
        <w:pStyle w:val="24"/>
        <w:tabs>
          <w:tab w:val="right" w:leader="dot" w:pos="9344"/>
        </w:tabs>
        <w:rPr>
          <w:rFonts w:cstheme="minorBidi"/>
          <w:b w:val="0"/>
          <w:bCs w:val="0"/>
          <w:caps w:val="0"/>
          <w:sz w:val="21"/>
          <w:szCs w:val="22"/>
        </w:rPr>
      </w:pPr>
      <w:r>
        <w:fldChar w:fldCharType="begin"/>
      </w:r>
      <w:r>
        <w:instrText xml:space="preserve"> HYPERLINK \l "_Toc200016441" </w:instrText>
      </w:r>
      <w:r>
        <w:fldChar w:fldCharType="separate"/>
      </w:r>
      <w:r>
        <w:rPr>
          <w:rStyle w:val="48"/>
          <w:rFonts w:hint="eastAsia" w:ascii="宋体" w:hAnsi="宋体" w:eastAsia="宋体" w:cs="仿宋"/>
        </w:rPr>
        <w:t>目</w:t>
      </w:r>
      <w:r>
        <w:rPr>
          <w:rStyle w:val="48"/>
          <w:rFonts w:ascii="宋体" w:hAnsi="宋体" w:eastAsia="宋体" w:cs="仿宋"/>
        </w:rPr>
        <w:t xml:space="preserve"> </w:t>
      </w:r>
      <w:r>
        <w:rPr>
          <w:rStyle w:val="48"/>
          <w:rFonts w:hint="eastAsia" w:ascii="宋体" w:hAnsi="宋体" w:eastAsia="宋体" w:cs="仿宋"/>
        </w:rPr>
        <w:t>录</w:t>
      </w:r>
      <w:r>
        <w:tab/>
      </w:r>
      <w:r>
        <w:fldChar w:fldCharType="begin"/>
      </w:r>
      <w:r>
        <w:instrText xml:space="preserve"> PAGEREF _Toc200016441 \h </w:instrText>
      </w:r>
      <w:r>
        <w:fldChar w:fldCharType="separate"/>
      </w:r>
      <w:r>
        <w:t>1</w:t>
      </w:r>
      <w:r>
        <w:fldChar w:fldCharType="end"/>
      </w:r>
      <w:r>
        <w:fldChar w:fldCharType="end"/>
      </w:r>
    </w:p>
    <w:p w14:paraId="015631C7">
      <w:pPr>
        <w:pStyle w:val="24"/>
        <w:tabs>
          <w:tab w:val="right" w:leader="dot" w:pos="9344"/>
        </w:tabs>
        <w:rPr>
          <w:rFonts w:cstheme="minorBidi"/>
          <w:b w:val="0"/>
          <w:bCs w:val="0"/>
          <w:caps w:val="0"/>
          <w:sz w:val="21"/>
          <w:szCs w:val="22"/>
        </w:rPr>
      </w:pPr>
      <w:r>
        <w:fldChar w:fldCharType="begin"/>
      </w:r>
      <w:r>
        <w:instrText xml:space="preserve"> HYPERLINK \l "_Toc200016442" </w:instrText>
      </w:r>
      <w:r>
        <w:fldChar w:fldCharType="separate"/>
      </w:r>
      <w:r>
        <w:rPr>
          <w:rStyle w:val="48"/>
          <w:rFonts w:hint="eastAsia" w:ascii="宋体" w:hAnsi="宋体" w:eastAsia="宋体" w:cs="仿宋"/>
        </w:rPr>
        <w:t>招</w:t>
      </w:r>
      <w:r>
        <w:rPr>
          <w:rStyle w:val="48"/>
          <w:rFonts w:ascii="宋体" w:hAnsi="宋体" w:eastAsia="宋体" w:cs="仿宋"/>
        </w:rPr>
        <w:t xml:space="preserve"> </w:t>
      </w:r>
      <w:r>
        <w:rPr>
          <w:rStyle w:val="48"/>
          <w:rFonts w:hint="eastAsia" w:ascii="宋体" w:hAnsi="宋体" w:eastAsia="宋体" w:cs="仿宋"/>
        </w:rPr>
        <w:t>标</w:t>
      </w:r>
      <w:r>
        <w:rPr>
          <w:rStyle w:val="48"/>
          <w:rFonts w:ascii="宋体" w:hAnsi="宋体" w:eastAsia="宋体" w:cs="仿宋"/>
        </w:rPr>
        <w:t xml:space="preserve"> </w:t>
      </w:r>
      <w:r>
        <w:rPr>
          <w:rStyle w:val="48"/>
          <w:rFonts w:hint="eastAsia" w:ascii="宋体" w:hAnsi="宋体" w:eastAsia="宋体" w:cs="仿宋"/>
        </w:rPr>
        <w:t>公</w:t>
      </w:r>
      <w:r>
        <w:rPr>
          <w:rStyle w:val="48"/>
          <w:rFonts w:ascii="宋体" w:hAnsi="宋体" w:eastAsia="宋体" w:cs="仿宋"/>
        </w:rPr>
        <w:t xml:space="preserve"> </w:t>
      </w:r>
      <w:r>
        <w:rPr>
          <w:rStyle w:val="48"/>
          <w:rFonts w:hint="eastAsia" w:ascii="宋体" w:hAnsi="宋体" w:eastAsia="宋体" w:cs="仿宋"/>
        </w:rPr>
        <w:t>告</w:t>
      </w:r>
      <w:r>
        <w:tab/>
      </w:r>
      <w:r>
        <w:fldChar w:fldCharType="begin"/>
      </w:r>
      <w:r>
        <w:instrText xml:space="preserve"> PAGEREF _Toc200016442 \h </w:instrText>
      </w:r>
      <w:r>
        <w:fldChar w:fldCharType="separate"/>
      </w:r>
      <w:r>
        <w:t>1</w:t>
      </w:r>
      <w:r>
        <w:fldChar w:fldCharType="end"/>
      </w:r>
      <w:r>
        <w:fldChar w:fldCharType="end"/>
      </w:r>
    </w:p>
    <w:p w14:paraId="319F1A3D">
      <w:pPr>
        <w:pStyle w:val="24"/>
        <w:tabs>
          <w:tab w:val="right" w:leader="dot" w:pos="9344"/>
        </w:tabs>
        <w:rPr>
          <w:rFonts w:cstheme="minorBidi"/>
          <w:b w:val="0"/>
          <w:bCs w:val="0"/>
          <w:caps w:val="0"/>
          <w:sz w:val="21"/>
          <w:szCs w:val="22"/>
        </w:rPr>
      </w:pPr>
      <w:r>
        <w:fldChar w:fldCharType="begin"/>
      </w:r>
      <w:r>
        <w:instrText xml:space="preserve"> HYPERLINK \l "_Toc200016443" </w:instrText>
      </w:r>
      <w:r>
        <w:fldChar w:fldCharType="separate"/>
      </w:r>
      <w:r>
        <w:rPr>
          <w:rStyle w:val="48"/>
          <w:rFonts w:hint="eastAsia" w:ascii="宋体" w:hAnsi="宋体" w:eastAsia="宋体" w:cs="仿宋"/>
        </w:rPr>
        <w:t>投标人须知前附表</w:t>
      </w:r>
      <w:r>
        <w:tab/>
      </w:r>
      <w:r>
        <w:fldChar w:fldCharType="begin"/>
      </w:r>
      <w:r>
        <w:instrText xml:space="preserve"> PAGEREF _Toc200016443 \h </w:instrText>
      </w:r>
      <w:r>
        <w:fldChar w:fldCharType="separate"/>
      </w:r>
      <w:r>
        <w:t>4</w:t>
      </w:r>
      <w:r>
        <w:fldChar w:fldCharType="end"/>
      </w:r>
      <w:r>
        <w:fldChar w:fldCharType="end"/>
      </w:r>
    </w:p>
    <w:p w14:paraId="1CCCAF66">
      <w:pPr>
        <w:pStyle w:val="24"/>
        <w:tabs>
          <w:tab w:val="right" w:leader="dot" w:pos="9344"/>
        </w:tabs>
        <w:rPr>
          <w:rFonts w:cstheme="minorBidi"/>
          <w:b w:val="0"/>
          <w:bCs w:val="0"/>
          <w:caps w:val="0"/>
          <w:sz w:val="21"/>
          <w:szCs w:val="22"/>
        </w:rPr>
      </w:pPr>
      <w:r>
        <w:fldChar w:fldCharType="begin"/>
      </w:r>
      <w:r>
        <w:instrText xml:space="preserve"> HYPERLINK \l "_Toc200016444" </w:instrText>
      </w:r>
      <w:r>
        <w:fldChar w:fldCharType="separate"/>
      </w:r>
      <w:r>
        <w:rPr>
          <w:rStyle w:val="48"/>
          <w:rFonts w:hint="eastAsia" w:ascii="宋体" w:hAnsi="宋体" w:eastAsia="宋体" w:cs="仿宋"/>
        </w:rPr>
        <w:t>第一章</w:t>
      </w:r>
      <w:r>
        <w:rPr>
          <w:rStyle w:val="48"/>
          <w:rFonts w:ascii="宋体" w:hAnsi="宋体" w:eastAsia="宋体" w:cs="仿宋"/>
        </w:rPr>
        <w:t xml:space="preserve"> </w:t>
      </w:r>
      <w:r>
        <w:rPr>
          <w:rStyle w:val="48"/>
          <w:rFonts w:hint="eastAsia" w:ascii="宋体" w:hAnsi="宋体" w:eastAsia="宋体" w:cs="仿宋"/>
        </w:rPr>
        <w:t>投标人须知</w:t>
      </w:r>
      <w:r>
        <w:tab/>
      </w:r>
      <w:r>
        <w:fldChar w:fldCharType="begin"/>
      </w:r>
      <w:r>
        <w:instrText xml:space="preserve"> PAGEREF _Toc200016444 \h </w:instrText>
      </w:r>
      <w:r>
        <w:fldChar w:fldCharType="separate"/>
      </w:r>
      <w:r>
        <w:t>8</w:t>
      </w:r>
      <w:r>
        <w:fldChar w:fldCharType="end"/>
      </w:r>
      <w:r>
        <w:fldChar w:fldCharType="end"/>
      </w:r>
    </w:p>
    <w:p w14:paraId="595107E3">
      <w:pPr>
        <w:pStyle w:val="30"/>
        <w:tabs>
          <w:tab w:val="right" w:leader="dot" w:pos="9344"/>
        </w:tabs>
        <w:rPr>
          <w:rFonts w:cstheme="minorBidi"/>
          <w:smallCaps w:val="0"/>
          <w:sz w:val="21"/>
          <w:szCs w:val="22"/>
        </w:rPr>
      </w:pPr>
      <w:r>
        <w:fldChar w:fldCharType="begin"/>
      </w:r>
      <w:r>
        <w:instrText xml:space="preserve"> HYPERLINK \l "_Toc200016445" </w:instrText>
      </w:r>
      <w:r>
        <w:fldChar w:fldCharType="separate"/>
      </w:r>
      <w:r>
        <w:rPr>
          <w:rStyle w:val="48"/>
          <w:rFonts w:ascii="宋体" w:hAnsi="宋体" w:eastAsia="宋体" w:cs="仿宋"/>
          <w:b/>
        </w:rPr>
        <w:t>1</w:t>
      </w:r>
      <w:r>
        <w:rPr>
          <w:rStyle w:val="48"/>
          <w:rFonts w:hint="eastAsia" w:ascii="宋体" w:hAnsi="宋体" w:eastAsia="宋体" w:cs="仿宋"/>
          <w:b/>
        </w:rPr>
        <w:t>．总则</w:t>
      </w:r>
      <w:r>
        <w:tab/>
      </w:r>
      <w:r>
        <w:fldChar w:fldCharType="begin"/>
      </w:r>
      <w:r>
        <w:instrText xml:space="preserve"> PAGEREF _Toc200016445 \h </w:instrText>
      </w:r>
      <w:r>
        <w:fldChar w:fldCharType="separate"/>
      </w:r>
      <w:r>
        <w:t>8</w:t>
      </w:r>
      <w:r>
        <w:fldChar w:fldCharType="end"/>
      </w:r>
      <w:r>
        <w:fldChar w:fldCharType="end"/>
      </w:r>
    </w:p>
    <w:p w14:paraId="0C7CAE7C">
      <w:pPr>
        <w:pStyle w:val="30"/>
        <w:tabs>
          <w:tab w:val="right" w:leader="dot" w:pos="9344"/>
        </w:tabs>
        <w:rPr>
          <w:rFonts w:cstheme="minorBidi"/>
          <w:smallCaps w:val="0"/>
          <w:sz w:val="21"/>
          <w:szCs w:val="22"/>
        </w:rPr>
      </w:pPr>
      <w:r>
        <w:fldChar w:fldCharType="begin"/>
      </w:r>
      <w:r>
        <w:instrText xml:space="preserve"> HYPERLINK \l "_Toc200016446" </w:instrText>
      </w:r>
      <w:r>
        <w:fldChar w:fldCharType="separate"/>
      </w:r>
      <w:r>
        <w:rPr>
          <w:rStyle w:val="48"/>
          <w:rFonts w:ascii="宋体" w:hAnsi="宋体" w:eastAsia="宋体" w:cs="仿宋"/>
          <w:b/>
        </w:rPr>
        <w:t>2</w:t>
      </w:r>
      <w:r>
        <w:rPr>
          <w:rStyle w:val="48"/>
          <w:rFonts w:hint="eastAsia" w:ascii="宋体" w:hAnsi="宋体" w:eastAsia="宋体" w:cs="仿宋"/>
          <w:b/>
        </w:rPr>
        <w:t>．招标文件</w:t>
      </w:r>
      <w:r>
        <w:tab/>
      </w:r>
      <w:r>
        <w:fldChar w:fldCharType="begin"/>
      </w:r>
      <w:r>
        <w:instrText xml:space="preserve"> PAGEREF _Toc200016446 \h </w:instrText>
      </w:r>
      <w:r>
        <w:fldChar w:fldCharType="separate"/>
      </w:r>
      <w:r>
        <w:t>10</w:t>
      </w:r>
      <w:r>
        <w:fldChar w:fldCharType="end"/>
      </w:r>
      <w:r>
        <w:fldChar w:fldCharType="end"/>
      </w:r>
    </w:p>
    <w:p w14:paraId="3F6AA1C0">
      <w:pPr>
        <w:pStyle w:val="30"/>
        <w:tabs>
          <w:tab w:val="right" w:leader="dot" w:pos="9344"/>
        </w:tabs>
        <w:rPr>
          <w:rFonts w:cstheme="minorBidi"/>
          <w:smallCaps w:val="0"/>
          <w:sz w:val="21"/>
          <w:szCs w:val="22"/>
        </w:rPr>
      </w:pPr>
      <w:r>
        <w:fldChar w:fldCharType="begin"/>
      </w:r>
      <w:r>
        <w:instrText xml:space="preserve"> HYPERLINK \l "_Toc200016447" </w:instrText>
      </w:r>
      <w:r>
        <w:fldChar w:fldCharType="separate"/>
      </w:r>
      <w:r>
        <w:rPr>
          <w:rStyle w:val="48"/>
          <w:rFonts w:ascii="宋体" w:hAnsi="宋体" w:eastAsia="宋体" w:cs="仿宋"/>
          <w:b/>
        </w:rPr>
        <w:t>3</w:t>
      </w:r>
      <w:r>
        <w:rPr>
          <w:rStyle w:val="48"/>
          <w:rFonts w:hint="eastAsia" w:ascii="宋体" w:hAnsi="宋体" w:eastAsia="宋体" w:cs="仿宋"/>
          <w:b/>
        </w:rPr>
        <w:t>．投标文件</w:t>
      </w:r>
      <w:r>
        <w:tab/>
      </w:r>
      <w:r>
        <w:fldChar w:fldCharType="begin"/>
      </w:r>
      <w:r>
        <w:instrText xml:space="preserve"> PAGEREF _Toc200016447 \h </w:instrText>
      </w:r>
      <w:r>
        <w:fldChar w:fldCharType="separate"/>
      </w:r>
      <w:r>
        <w:t>11</w:t>
      </w:r>
      <w:r>
        <w:fldChar w:fldCharType="end"/>
      </w:r>
      <w:r>
        <w:fldChar w:fldCharType="end"/>
      </w:r>
    </w:p>
    <w:p w14:paraId="24C9B5D8">
      <w:pPr>
        <w:pStyle w:val="30"/>
        <w:tabs>
          <w:tab w:val="right" w:leader="dot" w:pos="9344"/>
        </w:tabs>
        <w:rPr>
          <w:rFonts w:cstheme="minorBidi"/>
          <w:smallCaps w:val="0"/>
          <w:sz w:val="21"/>
          <w:szCs w:val="22"/>
        </w:rPr>
      </w:pPr>
      <w:r>
        <w:fldChar w:fldCharType="begin"/>
      </w:r>
      <w:r>
        <w:instrText xml:space="preserve"> HYPERLINK \l "_Toc200016448" </w:instrText>
      </w:r>
      <w:r>
        <w:fldChar w:fldCharType="separate"/>
      </w:r>
      <w:r>
        <w:rPr>
          <w:rStyle w:val="48"/>
          <w:rFonts w:ascii="宋体" w:hAnsi="宋体" w:eastAsia="宋体" w:cs="仿宋"/>
          <w:b/>
        </w:rPr>
        <w:t>4</w:t>
      </w:r>
      <w:r>
        <w:rPr>
          <w:rStyle w:val="48"/>
          <w:rFonts w:hint="eastAsia" w:ascii="宋体" w:hAnsi="宋体" w:eastAsia="宋体" w:cs="仿宋"/>
          <w:b/>
        </w:rPr>
        <w:t>．投标</w:t>
      </w:r>
      <w:r>
        <w:tab/>
      </w:r>
      <w:r>
        <w:fldChar w:fldCharType="begin"/>
      </w:r>
      <w:r>
        <w:instrText xml:space="preserve"> PAGEREF _Toc200016448 \h </w:instrText>
      </w:r>
      <w:r>
        <w:fldChar w:fldCharType="separate"/>
      </w:r>
      <w:r>
        <w:t>13</w:t>
      </w:r>
      <w:r>
        <w:fldChar w:fldCharType="end"/>
      </w:r>
      <w:r>
        <w:fldChar w:fldCharType="end"/>
      </w:r>
    </w:p>
    <w:p w14:paraId="5268A3AB">
      <w:pPr>
        <w:pStyle w:val="30"/>
        <w:tabs>
          <w:tab w:val="right" w:leader="dot" w:pos="9344"/>
        </w:tabs>
        <w:rPr>
          <w:rFonts w:cstheme="minorBidi"/>
          <w:smallCaps w:val="0"/>
          <w:sz w:val="21"/>
          <w:szCs w:val="22"/>
        </w:rPr>
      </w:pPr>
      <w:r>
        <w:fldChar w:fldCharType="begin"/>
      </w:r>
      <w:r>
        <w:instrText xml:space="preserve"> HYPERLINK \l "_Toc200016449" </w:instrText>
      </w:r>
      <w:r>
        <w:fldChar w:fldCharType="separate"/>
      </w:r>
      <w:r>
        <w:rPr>
          <w:rStyle w:val="48"/>
          <w:rFonts w:ascii="宋体" w:hAnsi="宋体" w:eastAsia="宋体" w:cs="仿宋"/>
          <w:b/>
        </w:rPr>
        <w:t>5</w:t>
      </w:r>
      <w:r>
        <w:rPr>
          <w:rStyle w:val="48"/>
          <w:rFonts w:hint="eastAsia" w:ascii="宋体" w:hAnsi="宋体" w:eastAsia="宋体" w:cs="仿宋"/>
          <w:b/>
        </w:rPr>
        <w:t>．开标</w:t>
      </w:r>
      <w:r>
        <w:tab/>
      </w:r>
      <w:r>
        <w:fldChar w:fldCharType="begin"/>
      </w:r>
      <w:r>
        <w:instrText xml:space="preserve"> PAGEREF _Toc200016449 \h </w:instrText>
      </w:r>
      <w:r>
        <w:fldChar w:fldCharType="separate"/>
      </w:r>
      <w:r>
        <w:t>14</w:t>
      </w:r>
      <w:r>
        <w:fldChar w:fldCharType="end"/>
      </w:r>
      <w:r>
        <w:fldChar w:fldCharType="end"/>
      </w:r>
    </w:p>
    <w:p w14:paraId="0AC09EA2">
      <w:pPr>
        <w:pStyle w:val="30"/>
        <w:tabs>
          <w:tab w:val="right" w:leader="dot" w:pos="9344"/>
        </w:tabs>
        <w:rPr>
          <w:rFonts w:cstheme="minorBidi"/>
          <w:smallCaps w:val="0"/>
          <w:sz w:val="21"/>
          <w:szCs w:val="22"/>
        </w:rPr>
      </w:pPr>
      <w:r>
        <w:fldChar w:fldCharType="begin"/>
      </w:r>
      <w:r>
        <w:instrText xml:space="preserve"> HYPERLINK \l "_Toc200016450" </w:instrText>
      </w:r>
      <w:r>
        <w:fldChar w:fldCharType="separate"/>
      </w:r>
      <w:r>
        <w:rPr>
          <w:rStyle w:val="48"/>
          <w:rFonts w:ascii="宋体" w:hAnsi="宋体" w:eastAsia="宋体" w:cs="仿宋"/>
          <w:b/>
        </w:rPr>
        <w:t>6</w:t>
      </w:r>
      <w:r>
        <w:rPr>
          <w:rStyle w:val="48"/>
          <w:rFonts w:hint="eastAsia" w:ascii="宋体" w:hAnsi="宋体" w:eastAsia="宋体" w:cs="仿宋"/>
          <w:b/>
        </w:rPr>
        <w:t>．评标</w:t>
      </w:r>
      <w:r>
        <w:tab/>
      </w:r>
      <w:r>
        <w:fldChar w:fldCharType="begin"/>
      </w:r>
      <w:r>
        <w:instrText xml:space="preserve"> PAGEREF _Toc200016450 \h </w:instrText>
      </w:r>
      <w:r>
        <w:fldChar w:fldCharType="separate"/>
      </w:r>
      <w:r>
        <w:t>14</w:t>
      </w:r>
      <w:r>
        <w:fldChar w:fldCharType="end"/>
      </w:r>
      <w:r>
        <w:fldChar w:fldCharType="end"/>
      </w:r>
    </w:p>
    <w:p w14:paraId="0346F743">
      <w:pPr>
        <w:pStyle w:val="30"/>
        <w:tabs>
          <w:tab w:val="right" w:leader="dot" w:pos="9344"/>
        </w:tabs>
        <w:rPr>
          <w:rFonts w:cstheme="minorBidi"/>
          <w:smallCaps w:val="0"/>
          <w:sz w:val="21"/>
          <w:szCs w:val="22"/>
        </w:rPr>
      </w:pPr>
      <w:r>
        <w:fldChar w:fldCharType="begin"/>
      </w:r>
      <w:r>
        <w:instrText xml:space="preserve"> HYPERLINK \l "_Toc200016451" </w:instrText>
      </w:r>
      <w:r>
        <w:fldChar w:fldCharType="separate"/>
      </w:r>
      <w:r>
        <w:rPr>
          <w:rStyle w:val="48"/>
          <w:rFonts w:ascii="宋体" w:hAnsi="宋体" w:eastAsia="宋体" w:cs="仿宋"/>
          <w:b/>
        </w:rPr>
        <w:t>7</w:t>
      </w:r>
      <w:r>
        <w:rPr>
          <w:rStyle w:val="48"/>
          <w:rFonts w:hint="eastAsia" w:ascii="宋体" w:hAnsi="宋体" w:eastAsia="宋体" w:cs="仿宋"/>
          <w:b/>
        </w:rPr>
        <w:t>．定标及合同授予</w:t>
      </w:r>
      <w:r>
        <w:tab/>
      </w:r>
      <w:r>
        <w:fldChar w:fldCharType="begin"/>
      </w:r>
      <w:r>
        <w:instrText xml:space="preserve"> PAGEREF _Toc200016451 \h </w:instrText>
      </w:r>
      <w:r>
        <w:fldChar w:fldCharType="separate"/>
      </w:r>
      <w:r>
        <w:t>15</w:t>
      </w:r>
      <w:r>
        <w:fldChar w:fldCharType="end"/>
      </w:r>
      <w:r>
        <w:fldChar w:fldCharType="end"/>
      </w:r>
    </w:p>
    <w:p w14:paraId="26CAB903">
      <w:pPr>
        <w:pStyle w:val="30"/>
        <w:tabs>
          <w:tab w:val="right" w:leader="dot" w:pos="9344"/>
        </w:tabs>
        <w:rPr>
          <w:rFonts w:cstheme="minorBidi"/>
          <w:smallCaps w:val="0"/>
          <w:sz w:val="21"/>
          <w:szCs w:val="22"/>
        </w:rPr>
      </w:pPr>
      <w:r>
        <w:fldChar w:fldCharType="begin"/>
      </w:r>
      <w:r>
        <w:instrText xml:space="preserve"> HYPERLINK \l "_Toc200016452" </w:instrText>
      </w:r>
      <w:r>
        <w:fldChar w:fldCharType="separate"/>
      </w:r>
      <w:r>
        <w:rPr>
          <w:rStyle w:val="48"/>
          <w:rFonts w:ascii="宋体" w:hAnsi="宋体" w:eastAsia="宋体" w:cs="仿宋"/>
          <w:b/>
        </w:rPr>
        <w:t>8</w:t>
      </w:r>
      <w:r>
        <w:rPr>
          <w:rStyle w:val="48"/>
          <w:rFonts w:hint="eastAsia" w:ascii="宋体" w:hAnsi="宋体" w:eastAsia="宋体" w:cs="仿宋"/>
          <w:b/>
        </w:rPr>
        <w:t>．纪律和监督</w:t>
      </w:r>
      <w:r>
        <w:tab/>
      </w:r>
      <w:r>
        <w:fldChar w:fldCharType="begin"/>
      </w:r>
      <w:r>
        <w:instrText xml:space="preserve"> PAGEREF _Toc200016452 \h </w:instrText>
      </w:r>
      <w:r>
        <w:fldChar w:fldCharType="separate"/>
      </w:r>
      <w:r>
        <w:t>16</w:t>
      </w:r>
      <w:r>
        <w:fldChar w:fldCharType="end"/>
      </w:r>
      <w:r>
        <w:fldChar w:fldCharType="end"/>
      </w:r>
    </w:p>
    <w:p w14:paraId="6E7CA19E">
      <w:pPr>
        <w:pStyle w:val="24"/>
        <w:tabs>
          <w:tab w:val="right" w:leader="dot" w:pos="9344"/>
        </w:tabs>
        <w:rPr>
          <w:rFonts w:cstheme="minorBidi"/>
          <w:b w:val="0"/>
          <w:bCs w:val="0"/>
          <w:caps w:val="0"/>
          <w:sz w:val="21"/>
          <w:szCs w:val="22"/>
        </w:rPr>
      </w:pPr>
      <w:r>
        <w:fldChar w:fldCharType="begin"/>
      </w:r>
      <w:r>
        <w:instrText xml:space="preserve"> HYPERLINK \l "_Toc200016453" </w:instrText>
      </w:r>
      <w:r>
        <w:fldChar w:fldCharType="separate"/>
      </w:r>
      <w:r>
        <w:rPr>
          <w:rStyle w:val="48"/>
          <w:rFonts w:hint="eastAsia" w:ascii="宋体" w:hAnsi="宋体" w:eastAsia="宋体" w:cs="仿宋"/>
        </w:rPr>
        <w:t>第二章</w:t>
      </w:r>
      <w:r>
        <w:rPr>
          <w:rStyle w:val="48"/>
          <w:rFonts w:ascii="宋体" w:hAnsi="宋体" w:eastAsia="宋体" w:cs="仿宋"/>
        </w:rPr>
        <w:t xml:space="preserve"> </w:t>
      </w:r>
      <w:r>
        <w:rPr>
          <w:rStyle w:val="48"/>
          <w:rFonts w:hint="eastAsia" w:ascii="宋体" w:hAnsi="宋体" w:eastAsia="宋体" w:cs="仿宋"/>
        </w:rPr>
        <w:t>评标办法</w:t>
      </w:r>
      <w:r>
        <w:tab/>
      </w:r>
      <w:r>
        <w:fldChar w:fldCharType="begin"/>
      </w:r>
      <w:r>
        <w:instrText xml:space="preserve"> PAGEREF _Toc200016453 \h </w:instrText>
      </w:r>
      <w:r>
        <w:fldChar w:fldCharType="separate"/>
      </w:r>
      <w:r>
        <w:t>17</w:t>
      </w:r>
      <w:r>
        <w:fldChar w:fldCharType="end"/>
      </w:r>
      <w:r>
        <w:fldChar w:fldCharType="end"/>
      </w:r>
    </w:p>
    <w:p w14:paraId="5516DD02">
      <w:pPr>
        <w:pStyle w:val="30"/>
        <w:tabs>
          <w:tab w:val="right" w:leader="dot" w:pos="9344"/>
        </w:tabs>
        <w:rPr>
          <w:rFonts w:cstheme="minorBidi"/>
          <w:smallCaps w:val="0"/>
          <w:sz w:val="21"/>
          <w:szCs w:val="22"/>
        </w:rPr>
      </w:pPr>
      <w:r>
        <w:fldChar w:fldCharType="begin"/>
      </w:r>
      <w:r>
        <w:instrText xml:space="preserve"> HYPERLINK \l "_Toc200016454" </w:instrText>
      </w:r>
      <w:r>
        <w:fldChar w:fldCharType="separate"/>
      </w:r>
      <w:r>
        <w:rPr>
          <w:rStyle w:val="48"/>
          <w:rFonts w:hint="eastAsia" w:ascii="宋体" w:hAnsi="宋体" w:eastAsia="宋体" w:cs="仿宋"/>
          <w:b/>
        </w:rPr>
        <w:t>评审办法前附表</w:t>
      </w:r>
      <w:r>
        <w:tab/>
      </w:r>
      <w:r>
        <w:fldChar w:fldCharType="begin"/>
      </w:r>
      <w:r>
        <w:instrText xml:space="preserve"> PAGEREF _Toc200016454 \h </w:instrText>
      </w:r>
      <w:r>
        <w:fldChar w:fldCharType="separate"/>
      </w:r>
      <w:r>
        <w:t>17</w:t>
      </w:r>
      <w:r>
        <w:fldChar w:fldCharType="end"/>
      </w:r>
      <w:r>
        <w:fldChar w:fldCharType="end"/>
      </w:r>
    </w:p>
    <w:p w14:paraId="5F253BF4">
      <w:pPr>
        <w:pStyle w:val="30"/>
        <w:tabs>
          <w:tab w:val="right" w:leader="dot" w:pos="9344"/>
        </w:tabs>
        <w:rPr>
          <w:rFonts w:cstheme="minorBidi"/>
          <w:smallCaps w:val="0"/>
          <w:sz w:val="21"/>
          <w:szCs w:val="22"/>
        </w:rPr>
      </w:pPr>
      <w:r>
        <w:fldChar w:fldCharType="begin"/>
      </w:r>
      <w:r>
        <w:instrText xml:space="preserve"> HYPERLINK \l "_Toc200016455" </w:instrText>
      </w:r>
      <w:r>
        <w:fldChar w:fldCharType="separate"/>
      </w:r>
      <w:r>
        <w:rPr>
          <w:rStyle w:val="48"/>
          <w:rFonts w:hint="eastAsia" w:ascii="宋体" w:hAnsi="宋体" w:eastAsia="宋体" w:cs="仿宋"/>
          <w:b/>
          <w:kern w:val="0"/>
        </w:rPr>
        <w:t>《资格审查标准》</w:t>
      </w:r>
      <w:r>
        <w:tab/>
      </w:r>
      <w:r>
        <w:fldChar w:fldCharType="begin"/>
      </w:r>
      <w:r>
        <w:instrText xml:space="preserve"> PAGEREF _Toc200016455 \h </w:instrText>
      </w:r>
      <w:r>
        <w:fldChar w:fldCharType="separate"/>
      </w:r>
      <w:r>
        <w:t>18</w:t>
      </w:r>
      <w:r>
        <w:fldChar w:fldCharType="end"/>
      </w:r>
      <w:r>
        <w:fldChar w:fldCharType="end"/>
      </w:r>
    </w:p>
    <w:p w14:paraId="7969460E">
      <w:pPr>
        <w:pStyle w:val="30"/>
        <w:tabs>
          <w:tab w:val="right" w:leader="dot" w:pos="9344"/>
        </w:tabs>
        <w:rPr>
          <w:rFonts w:cstheme="minorBidi"/>
          <w:smallCaps w:val="0"/>
          <w:sz w:val="21"/>
          <w:szCs w:val="22"/>
        </w:rPr>
      </w:pPr>
      <w:r>
        <w:fldChar w:fldCharType="begin"/>
      </w:r>
      <w:r>
        <w:instrText xml:space="preserve"> HYPERLINK \l "_Toc200016456" </w:instrText>
      </w:r>
      <w:r>
        <w:fldChar w:fldCharType="separate"/>
      </w:r>
      <w:r>
        <w:rPr>
          <w:rStyle w:val="48"/>
          <w:rFonts w:hint="eastAsia" w:ascii="宋体" w:hAnsi="宋体" w:eastAsia="宋体" w:cs="仿宋"/>
          <w:b/>
          <w:kern w:val="0"/>
        </w:rPr>
        <w:t>《完备性及符合性审查标准》</w:t>
      </w:r>
      <w:r>
        <w:tab/>
      </w:r>
      <w:r>
        <w:fldChar w:fldCharType="begin"/>
      </w:r>
      <w:r>
        <w:instrText xml:space="preserve"> PAGEREF _Toc200016456 \h </w:instrText>
      </w:r>
      <w:r>
        <w:fldChar w:fldCharType="separate"/>
      </w:r>
      <w:r>
        <w:t>19</w:t>
      </w:r>
      <w:r>
        <w:fldChar w:fldCharType="end"/>
      </w:r>
      <w:r>
        <w:fldChar w:fldCharType="end"/>
      </w:r>
    </w:p>
    <w:p w14:paraId="19A759B5">
      <w:pPr>
        <w:pStyle w:val="30"/>
        <w:tabs>
          <w:tab w:val="right" w:leader="dot" w:pos="9344"/>
        </w:tabs>
        <w:rPr>
          <w:rFonts w:cstheme="minorBidi"/>
          <w:smallCaps w:val="0"/>
          <w:sz w:val="21"/>
          <w:szCs w:val="22"/>
        </w:rPr>
      </w:pPr>
      <w:r>
        <w:fldChar w:fldCharType="begin"/>
      </w:r>
      <w:r>
        <w:instrText xml:space="preserve"> HYPERLINK \l "_Toc200016457" </w:instrText>
      </w:r>
      <w:r>
        <w:fldChar w:fldCharType="separate"/>
      </w:r>
      <w:r>
        <w:rPr>
          <w:rStyle w:val="48"/>
          <w:rFonts w:hint="eastAsia" w:ascii="宋体" w:hAnsi="宋体" w:eastAsia="宋体" w:cs="仿宋"/>
          <w:b/>
          <w:kern w:val="0"/>
        </w:rPr>
        <w:t>《投标品牌统计》</w:t>
      </w:r>
      <w:r>
        <w:tab/>
      </w:r>
      <w:r>
        <w:fldChar w:fldCharType="begin"/>
      </w:r>
      <w:r>
        <w:instrText xml:space="preserve"> PAGEREF _Toc200016457 \h </w:instrText>
      </w:r>
      <w:r>
        <w:fldChar w:fldCharType="separate"/>
      </w:r>
      <w:r>
        <w:t>19</w:t>
      </w:r>
      <w:r>
        <w:fldChar w:fldCharType="end"/>
      </w:r>
      <w:r>
        <w:fldChar w:fldCharType="end"/>
      </w:r>
    </w:p>
    <w:p w14:paraId="76C8EB1A">
      <w:pPr>
        <w:pStyle w:val="30"/>
        <w:tabs>
          <w:tab w:val="right" w:leader="dot" w:pos="9344"/>
        </w:tabs>
        <w:rPr>
          <w:rFonts w:cstheme="minorBidi"/>
          <w:smallCaps w:val="0"/>
          <w:sz w:val="21"/>
          <w:szCs w:val="22"/>
        </w:rPr>
      </w:pPr>
      <w:r>
        <w:fldChar w:fldCharType="begin"/>
      </w:r>
      <w:r>
        <w:instrText xml:space="preserve"> HYPERLINK \l "_Toc200016458" </w:instrText>
      </w:r>
      <w:r>
        <w:fldChar w:fldCharType="separate"/>
      </w:r>
      <w:r>
        <w:rPr>
          <w:rStyle w:val="48"/>
          <w:rFonts w:hint="eastAsia" w:ascii="宋体" w:hAnsi="宋体" w:cs="仿宋"/>
          <w:b/>
        </w:rPr>
        <w:t>《详细评审标准》</w:t>
      </w:r>
      <w:r>
        <w:tab/>
      </w:r>
      <w:r>
        <w:fldChar w:fldCharType="begin"/>
      </w:r>
      <w:r>
        <w:instrText xml:space="preserve"> PAGEREF _Toc200016458 \h </w:instrText>
      </w:r>
      <w:r>
        <w:fldChar w:fldCharType="separate"/>
      </w:r>
      <w:r>
        <w:t>20</w:t>
      </w:r>
      <w:r>
        <w:fldChar w:fldCharType="end"/>
      </w:r>
      <w:r>
        <w:fldChar w:fldCharType="end"/>
      </w:r>
    </w:p>
    <w:p w14:paraId="655120BF">
      <w:pPr>
        <w:pStyle w:val="30"/>
        <w:tabs>
          <w:tab w:val="right" w:leader="dot" w:pos="9344"/>
        </w:tabs>
        <w:rPr>
          <w:rFonts w:cstheme="minorBidi"/>
          <w:smallCaps w:val="0"/>
          <w:sz w:val="21"/>
          <w:szCs w:val="22"/>
        </w:rPr>
      </w:pPr>
      <w:r>
        <w:fldChar w:fldCharType="begin"/>
      </w:r>
      <w:r>
        <w:instrText xml:space="preserve"> HYPERLINK \l "_Toc200016459" </w:instrText>
      </w:r>
      <w:r>
        <w:fldChar w:fldCharType="separate"/>
      </w:r>
      <w:r>
        <w:rPr>
          <w:rStyle w:val="48"/>
          <w:rFonts w:ascii="宋体" w:hAnsi="宋体" w:eastAsia="宋体" w:cs="仿宋"/>
          <w:b/>
        </w:rPr>
        <w:t xml:space="preserve">1. </w:t>
      </w:r>
      <w:r>
        <w:rPr>
          <w:rStyle w:val="48"/>
          <w:rFonts w:hint="eastAsia" w:ascii="宋体" w:hAnsi="宋体" w:eastAsia="宋体" w:cs="仿宋"/>
          <w:b/>
        </w:rPr>
        <w:t>评标方法</w:t>
      </w:r>
      <w:r>
        <w:tab/>
      </w:r>
      <w:r>
        <w:fldChar w:fldCharType="begin"/>
      </w:r>
      <w:r>
        <w:instrText xml:space="preserve"> PAGEREF _Toc200016459 \h </w:instrText>
      </w:r>
      <w:r>
        <w:fldChar w:fldCharType="separate"/>
      </w:r>
      <w:r>
        <w:t>21</w:t>
      </w:r>
      <w:r>
        <w:fldChar w:fldCharType="end"/>
      </w:r>
      <w:r>
        <w:fldChar w:fldCharType="end"/>
      </w:r>
    </w:p>
    <w:p w14:paraId="17A2335D">
      <w:pPr>
        <w:pStyle w:val="30"/>
        <w:tabs>
          <w:tab w:val="right" w:leader="dot" w:pos="9344"/>
        </w:tabs>
        <w:rPr>
          <w:rFonts w:cstheme="minorBidi"/>
          <w:smallCaps w:val="0"/>
          <w:sz w:val="21"/>
          <w:szCs w:val="22"/>
        </w:rPr>
      </w:pPr>
      <w:r>
        <w:fldChar w:fldCharType="begin"/>
      </w:r>
      <w:r>
        <w:instrText xml:space="preserve"> HYPERLINK \l "_Toc200016460" </w:instrText>
      </w:r>
      <w:r>
        <w:fldChar w:fldCharType="separate"/>
      </w:r>
      <w:r>
        <w:rPr>
          <w:rStyle w:val="48"/>
          <w:rFonts w:ascii="宋体" w:hAnsi="宋体" w:eastAsia="宋体" w:cs="仿宋"/>
          <w:b/>
        </w:rPr>
        <w:t xml:space="preserve">2. </w:t>
      </w:r>
      <w:r>
        <w:rPr>
          <w:rStyle w:val="48"/>
          <w:rFonts w:hint="eastAsia" w:ascii="宋体" w:hAnsi="宋体" w:eastAsia="宋体" w:cs="仿宋"/>
          <w:b/>
        </w:rPr>
        <w:t>评审标准</w:t>
      </w:r>
      <w:r>
        <w:tab/>
      </w:r>
      <w:r>
        <w:fldChar w:fldCharType="begin"/>
      </w:r>
      <w:r>
        <w:instrText xml:space="preserve"> PAGEREF _Toc200016460 \h </w:instrText>
      </w:r>
      <w:r>
        <w:fldChar w:fldCharType="separate"/>
      </w:r>
      <w:r>
        <w:t>21</w:t>
      </w:r>
      <w:r>
        <w:fldChar w:fldCharType="end"/>
      </w:r>
      <w:r>
        <w:fldChar w:fldCharType="end"/>
      </w:r>
    </w:p>
    <w:p w14:paraId="2EF721A6">
      <w:pPr>
        <w:pStyle w:val="30"/>
        <w:tabs>
          <w:tab w:val="right" w:leader="dot" w:pos="9344"/>
        </w:tabs>
        <w:rPr>
          <w:rFonts w:cstheme="minorBidi"/>
          <w:smallCaps w:val="0"/>
          <w:sz w:val="21"/>
          <w:szCs w:val="22"/>
        </w:rPr>
      </w:pPr>
      <w:r>
        <w:fldChar w:fldCharType="begin"/>
      </w:r>
      <w:r>
        <w:instrText xml:space="preserve"> HYPERLINK \l "_Toc200016461" </w:instrText>
      </w:r>
      <w:r>
        <w:fldChar w:fldCharType="separate"/>
      </w:r>
      <w:r>
        <w:rPr>
          <w:rStyle w:val="48"/>
          <w:rFonts w:ascii="宋体" w:hAnsi="宋体" w:eastAsia="宋体" w:cs="仿宋"/>
          <w:b/>
        </w:rPr>
        <w:t xml:space="preserve">3. </w:t>
      </w:r>
      <w:r>
        <w:rPr>
          <w:rStyle w:val="48"/>
          <w:rFonts w:hint="eastAsia" w:ascii="宋体" w:hAnsi="宋体" w:eastAsia="宋体" w:cs="仿宋"/>
          <w:b/>
        </w:rPr>
        <w:t>评标程序</w:t>
      </w:r>
      <w:r>
        <w:tab/>
      </w:r>
      <w:r>
        <w:fldChar w:fldCharType="begin"/>
      </w:r>
      <w:r>
        <w:instrText xml:space="preserve"> PAGEREF _Toc200016461 \h </w:instrText>
      </w:r>
      <w:r>
        <w:fldChar w:fldCharType="separate"/>
      </w:r>
      <w:r>
        <w:t>22</w:t>
      </w:r>
      <w:r>
        <w:fldChar w:fldCharType="end"/>
      </w:r>
      <w:r>
        <w:fldChar w:fldCharType="end"/>
      </w:r>
    </w:p>
    <w:p w14:paraId="2A1A69F3">
      <w:pPr>
        <w:pStyle w:val="24"/>
        <w:tabs>
          <w:tab w:val="right" w:leader="dot" w:pos="9344"/>
        </w:tabs>
        <w:rPr>
          <w:rFonts w:cstheme="minorBidi"/>
          <w:b w:val="0"/>
          <w:bCs w:val="0"/>
          <w:caps w:val="0"/>
          <w:sz w:val="21"/>
          <w:szCs w:val="22"/>
        </w:rPr>
      </w:pPr>
      <w:r>
        <w:fldChar w:fldCharType="begin"/>
      </w:r>
      <w:r>
        <w:instrText xml:space="preserve"> HYPERLINK \l "_Toc200016462" </w:instrText>
      </w:r>
      <w:r>
        <w:fldChar w:fldCharType="separate"/>
      </w:r>
      <w:r>
        <w:rPr>
          <w:rStyle w:val="48"/>
          <w:rFonts w:hint="eastAsia" w:ascii="宋体" w:hAnsi="宋体" w:eastAsia="宋体" w:cs="仿宋"/>
        </w:rPr>
        <w:t>第三章</w:t>
      </w:r>
      <w:r>
        <w:rPr>
          <w:rStyle w:val="48"/>
          <w:rFonts w:ascii="宋体" w:hAnsi="宋体" w:eastAsia="宋体" w:cs="仿宋"/>
        </w:rPr>
        <w:t xml:space="preserve"> </w:t>
      </w:r>
      <w:r>
        <w:rPr>
          <w:rStyle w:val="48"/>
          <w:rFonts w:hint="eastAsia" w:ascii="宋体" w:hAnsi="宋体" w:eastAsia="宋体" w:cs="仿宋"/>
        </w:rPr>
        <w:t>合同</w:t>
      </w:r>
      <w:r>
        <w:tab/>
      </w:r>
      <w:r>
        <w:fldChar w:fldCharType="begin"/>
      </w:r>
      <w:r>
        <w:instrText xml:space="preserve"> PAGEREF _Toc200016462 \h </w:instrText>
      </w:r>
      <w:r>
        <w:fldChar w:fldCharType="separate"/>
      </w:r>
      <w:r>
        <w:t>26</w:t>
      </w:r>
      <w:r>
        <w:fldChar w:fldCharType="end"/>
      </w:r>
      <w:r>
        <w:fldChar w:fldCharType="end"/>
      </w:r>
    </w:p>
    <w:p w14:paraId="6422B344">
      <w:pPr>
        <w:pStyle w:val="30"/>
        <w:tabs>
          <w:tab w:val="right" w:leader="dot" w:pos="9344"/>
        </w:tabs>
        <w:rPr>
          <w:rFonts w:cstheme="minorBidi"/>
          <w:smallCaps w:val="0"/>
          <w:sz w:val="21"/>
          <w:szCs w:val="22"/>
        </w:rPr>
      </w:pPr>
      <w:r>
        <w:fldChar w:fldCharType="begin"/>
      </w:r>
      <w:r>
        <w:instrText xml:space="preserve"> HYPERLINK \l "_Toc200016463" </w:instrText>
      </w:r>
      <w:r>
        <w:fldChar w:fldCharType="separate"/>
      </w:r>
      <w:r>
        <w:rPr>
          <w:rStyle w:val="48"/>
          <w:rFonts w:hint="eastAsia" w:ascii="宋体" w:hAnsi="宋体" w:eastAsia="宋体" w:cs="黑体"/>
          <w:b/>
        </w:rPr>
        <w:t>第一部分</w:t>
      </w:r>
      <w:r>
        <w:rPr>
          <w:rStyle w:val="48"/>
          <w:rFonts w:ascii="宋体" w:hAnsi="宋体" w:eastAsia="宋体" w:cs="黑体"/>
          <w:b/>
        </w:rPr>
        <w:t xml:space="preserve"> </w:t>
      </w:r>
      <w:r>
        <w:rPr>
          <w:rStyle w:val="48"/>
          <w:rFonts w:hint="eastAsia" w:ascii="宋体" w:hAnsi="宋体" w:eastAsia="宋体" w:cs="黑体"/>
          <w:b/>
        </w:rPr>
        <w:t>合同书</w:t>
      </w:r>
      <w:r>
        <w:tab/>
      </w:r>
      <w:r>
        <w:fldChar w:fldCharType="begin"/>
      </w:r>
      <w:r>
        <w:instrText xml:space="preserve"> PAGEREF _Toc200016463 \h </w:instrText>
      </w:r>
      <w:r>
        <w:fldChar w:fldCharType="separate"/>
      </w:r>
      <w:r>
        <w:t>26</w:t>
      </w:r>
      <w:r>
        <w:fldChar w:fldCharType="end"/>
      </w:r>
      <w:r>
        <w:fldChar w:fldCharType="end"/>
      </w:r>
    </w:p>
    <w:p w14:paraId="16134945">
      <w:pPr>
        <w:pStyle w:val="30"/>
        <w:tabs>
          <w:tab w:val="right" w:leader="dot" w:pos="9344"/>
        </w:tabs>
        <w:rPr>
          <w:rFonts w:cstheme="minorBidi"/>
          <w:smallCaps w:val="0"/>
          <w:sz w:val="21"/>
          <w:szCs w:val="22"/>
        </w:rPr>
      </w:pPr>
      <w:r>
        <w:fldChar w:fldCharType="begin"/>
      </w:r>
      <w:r>
        <w:instrText xml:space="preserve"> HYPERLINK \l "_Toc200016464" </w:instrText>
      </w:r>
      <w:r>
        <w:fldChar w:fldCharType="separate"/>
      </w:r>
      <w:r>
        <w:rPr>
          <w:rStyle w:val="48"/>
          <w:rFonts w:hint="eastAsia" w:ascii="宋体" w:hAnsi="宋体" w:eastAsia="宋体" w:cs="黑体"/>
          <w:b/>
        </w:rPr>
        <w:t>第二部分</w:t>
      </w:r>
      <w:r>
        <w:rPr>
          <w:rStyle w:val="48"/>
          <w:rFonts w:ascii="宋体" w:hAnsi="宋体" w:eastAsia="宋体" w:cs="黑体"/>
          <w:b/>
        </w:rPr>
        <w:t xml:space="preserve"> </w:t>
      </w:r>
      <w:r>
        <w:rPr>
          <w:rStyle w:val="48"/>
          <w:rFonts w:hint="eastAsia" w:ascii="宋体" w:hAnsi="宋体" w:eastAsia="宋体" w:cs="黑体"/>
          <w:b/>
        </w:rPr>
        <w:t>合同一般条款</w:t>
      </w:r>
      <w:r>
        <w:tab/>
      </w:r>
      <w:r>
        <w:fldChar w:fldCharType="begin"/>
      </w:r>
      <w:r>
        <w:instrText xml:space="preserve"> PAGEREF _Toc200016464 \h </w:instrText>
      </w:r>
      <w:r>
        <w:fldChar w:fldCharType="separate"/>
      </w:r>
      <w:r>
        <w:t>30</w:t>
      </w:r>
      <w:r>
        <w:fldChar w:fldCharType="end"/>
      </w:r>
      <w:r>
        <w:fldChar w:fldCharType="end"/>
      </w:r>
    </w:p>
    <w:p w14:paraId="04FE87AD">
      <w:pPr>
        <w:pStyle w:val="30"/>
        <w:tabs>
          <w:tab w:val="right" w:leader="dot" w:pos="9344"/>
        </w:tabs>
        <w:rPr>
          <w:rFonts w:cstheme="minorBidi"/>
          <w:smallCaps w:val="0"/>
          <w:sz w:val="21"/>
          <w:szCs w:val="22"/>
        </w:rPr>
      </w:pPr>
      <w:r>
        <w:fldChar w:fldCharType="begin"/>
      </w:r>
      <w:r>
        <w:instrText xml:space="preserve"> HYPERLINK \l "_Toc200016465" </w:instrText>
      </w:r>
      <w:r>
        <w:fldChar w:fldCharType="separate"/>
      </w:r>
      <w:r>
        <w:rPr>
          <w:rStyle w:val="48"/>
          <w:rFonts w:hint="eastAsia" w:ascii="宋体" w:hAnsi="宋体" w:eastAsia="宋体" w:cs="黑体"/>
          <w:b/>
        </w:rPr>
        <w:t>第三部分</w:t>
      </w:r>
      <w:r>
        <w:rPr>
          <w:rStyle w:val="48"/>
          <w:rFonts w:ascii="宋体" w:hAnsi="宋体" w:eastAsia="宋体" w:cs="黑体"/>
          <w:b/>
        </w:rPr>
        <w:t xml:space="preserve"> </w:t>
      </w:r>
      <w:r>
        <w:rPr>
          <w:rStyle w:val="48"/>
          <w:rFonts w:hint="eastAsia" w:ascii="宋体" w:hAnsi="宋体" w:eastAsia="宋体" w:cs="黑体"/>
          <w:b/>
        </w:rPr>
        <w:t>合同专用条款</w:t>
      </w:r>
      <w:r>
        <w:tab/>
      </w:r>
      <w:r>
        <w:fldChar w:fldCharType="begin"/>
      </w:r>
      <w:r>
        <w:instrText xml:space="preserve"> PAGEREF _Toc200016465 \h </w:instrText>
      </w:r>
      <w:r>
        <w:fldChar w:fldCharType="separate"/>
      </w:r>
      <w:r>
        <w:t>35</w:t>
      </w:r>
      <w:r>
        <w:fldChar w:fldCharType="end"/>
      </w:r>
      <w:r>
        <w:fldChar w:fldCharType="end"/>
      </w:r>
    </w:p>
    <w:p w14:paraId="2351867B">
      <w:pPr>
        <w:pStyle w:val="24"/>
        <w:tabs>
          <w:tab w:val="right" w:leader="dot" w:pos="9344"/>
        </w:tabs>
        <w:rPr>
          <w:rFonts w:cstheme="minorBidi"/>
          <w:b w:val="0"/>
          <w:bCs w:val="0"/>
          <w:caps w:val="0"/>
          <w:sz w:val="21"/>
          <w:szCs w:val="22"/>
        </w:rPr>
      </w:pPr>
      <w:r>
        <w:fldChar w:fldCharType="begin"/>
      </w:r>
      <w:r>
        <w:instrText xml:space="preserve"> HYPERLINK \l "_Toc200016466" </w:instrText>
      </w:r>
      <w:r>
        <w:fldChar w:fldCharType="separate"/>
      </w:r>
      <w:r>
        <w:rPr>
          <w:rStyle w:val="48"/>
          <w:rFonts w:hint="eastAsia" w:ascii="宋体" w:hAnsi="宋体" w:eastAsia="宋体" w:cs="仿宋"/>
        </w:rPr>
        <w:t>第四章</w:t>
      </w:r>
      <w:r>
        <w:rPr>
          <w:rStyle w:val="48"/>
          <w:rFonts w:ascii="宋体" w:hAnsi="宋体" w:eastAsia="宋体" w:cs="仿宋"/>
        </w:rPr>
        <w:t xml:space="preserve"> </w:t>
      </w:r>
      <w:r>
        <w:rPr>
          <w:rStyle w:val="48"/>
          <w:rFonts w:hint="eastAsia" w:ascii="宋体" w:hAnsi="宋体" w:eastAsia="宋体" w:cs="仿宋"/>
        </w:rPr>
        <w:t>技术标准和要求</w:t>
      </w:r>
      <w:r>
        <w:tab/>
      </w:r>
      <w:r>
        <w:fldChar w:fldCharType="begin"/>
      </w:r>
      <w:r>
        <w:instrText xml:space="preserve"> PAGEREF _Toc200016466 \h </w:instrText>
      </w:r>
      <w:r>
        <w:fldChar w:fldCharType="separate"/>
      </w:r>
      <w:r>
        <w:t>36</w:t>
      </w:r>
      <w:r>
        <w:fldChar w:fldCharType="end"/>
      </w:r>
      <w:r>
        <w:fldChar w:fldCharType="end"/>
      </w:r>
    </w:p>
    <w:p w14:paraId="7052BAC3">
      <w:pPr>
        <w:pStyle w:val="30"/>
        <w:tabs>
          <w:tab w:val="right" w:leader="dot" w:pos="9344"/>
        </w:tabs>
        <w:rPr>
          <w:rFonts w:cstheme="minorBidi"/>
          <w:smallCaps w:val="0"/>
          <w:sz w:val="21"/>
          <w:szCs w:val="22"/>
        </w:rPr>
      </w:pPr>
      <w:r>
        <w:fldChar w:fldCharType="begin"/>
      </w:r>
      <w:r>
        <w:instrText xml:space="preserve"> HYPERLINK \l "_Toc200016467" </w:instrText>
      </w:r>
      <w:r>
        <w:fldChar w:fldCharType="separate"/>
      </w:r>
      <w:r>
        <w:rPr>
          <w:rStyle w:val="48"/>
          <w:rFonts w:hint="eastAsia" w:ascii="宋体" w:hAnsi="宋体" w:eastAsia="宋体" w:cs="宋体"/>
          <w:b/>
          <w:bCs/>
        </w:rPr>
        <w:t>采购需求清单</w:t>
      </w:r>
      <w:r>
        <w:tab/>
      </w:r>
      <w:r>
        <w:fldChar w:fldCharType="begin"/>
      </w:r>
      <w:r>
        <w:instrText xml:space="preserve"> PAGEREF _Toc200016467 \h </w:instrText>
      </w:r>
      <w:r>
        <w:fldChar w:fldCharType="separate"/>
      </w:r>
      <w:r>
        <w:t>36</w:t>
      </w:r>
      <w:r>
        <w:fldChar w:fldCharType="end"/>
      </w:r>
      <w:r>
        <w:fldChar w:fldCharType="end"/>
      </w:r>
    </w:p>
    <w:p w14:paraId="2CD27481">
      <w:pPr>
        <w:pStyle w:val="30"/>
        <w:tabs>
          <w:tab w:val="right" w:leader="dot" w:pos="9344"/>
        </w:tabs>
        <w:rPr>
          <w:rFonts w:cstheme="minorBidi"/>
          <w:smallCaps w:val="0"/>
          <w:sz w:val="21"/>
          <w:szCs w:val="22"/>
        </w:rPr>
      </w:pPr>
      <w:r>
        <w:fldChar w:fldCharType="begin"/>
      </w:r>
      <w:r>
        <w:instrText xml:space="preserve"> HYPERLINK \l "_Toc200016468" </w:instrText>
      </w:r>
      <w:r>
        <w:fldChar w:fldCharType="separate"/>
      </w:r>
      <w:r>
        <w:rPr>
          <w:rStyle w:val="48"/>
          <w:rFonts w:hint="eastAsia" w:ascii="宋体" w:hAnsi="宋体" w:eastAsia="宋体" w:cs="宋体"/>
          <w:b/>
          <w:bCs/>
        </w:rPr>
        <w:t>技术参数</w:t>
      </w:r>
      <w:r>
        <w:tab/>
      </w:r>
      <w:r>
        <w:fldChar w:fldCharType="begin"/>
      </w:r>
      <w:r>
        <w:instrText xml:space="preserve"> PAGEREF _Toc200016468 \h </w:instrText>
      </w:r>
      <w:r>
        <w:fldChar w:fldCharType="separate"/>
      </w:r>
      <w:r>
        <w:t>36</w:t>
      </w:r>
      <w:r>
        <w:fldChar w:fldCharType="end"/>
      </w:r>
      <w:r>
        <w:fldChar w:fldCharType="end"/>
      </w:r>
    </w:p>
    <w:p w14:paraId="16525ABD">
      <w:pPr>
        <w:pStyle w:val="30"/>
        <w:tabs>
          <w:tab w:val="right" w:leader="dot" w:pos="9344"/>
        </w:tabs>
        <w:rPr>
          <w:rFonts w:cstheme="minorBidi"/>
          <w:smallCaps w:val="0"/>
          <w:sz w:val="21"/>
          <w:szCs w:val="22"/>
        </w:rPr>
      </w:pPr>
      <w:r>
        <w:fldChar w:fldCharType="begin"/>
      </w:r>
      <w:r>
        <w:instrText xml:space="preserve"> HYPERLINK \l "_Toc200016469" </w:instrText>
      </w:r>
      <w:r>
        <w:fldChar w:fldCharType="separate"/>
      </w:r>
      <w:r>
        <w:rPr>
          <w:rStyle w:val="48"/>
          <w:rFonts w:hint="eastAsia" w:ascii="宋体" w:hAnsi="宋体" w:eastAsia="宋体" w:cs="宋体"/>
          <w:b/>
          <w:bCs/>
        </w:rPr>
        <w:t>其他要求</w:t>
      </w:r>
      <w:r>
        <w:tab/>
      </w:r>
      <w:r>
        <w:fldChar w:fldCharType="begin"/>
      </w:r>
      <w:r>
        <w:instrText xml:space="preserve"> PAGEREF _Toc200016469 \h </w:instrText>
      </w:r>
      <w:r>
        <w:fldChar w:fldCharType="separate"/>
      </w:r>
      <w:r>
        <w:t>59</w:t>
      </w:r>
      <w:r>
        <w:fldChar w:fldCharType="end"/>
      </w:r>
      <w:r>
        <w:fldChar w:fldCharType="end"/>
      </w:r>
    </w:p>
    <w:p w14:paraId="1DC4F759">
      <w:pPr>
        <w:pStyle w:val="24"/>
        <w:tabs>
          <w:tab w:val="right" w:leader="dot" w:pos="9344"/>
        </w:tabs>
        <w:rPr>
          <w:rFonts w:cstheme="minorBidi"/>
          <w:b w:val="0"/>
          <w:bCs w:val="0"/>
          <w:caps w:val="0"/>
          <w:sz w:val="21"/>
          <w:szCs w:val="22"/>
        </w:rPr>
      </w:pPr>
      <w:r>
        <w:fldChar w:fldCharType="begin"/>
      </w:r>
      <w:r>
        <w:instrText xml:space="preserve"> HYPERLINK \l "_Toc200016470" </w:instrText>
      </w:r>
      <w:r>
        <w:fldChar w:fldCharType="separate"/>
      </w:r>
      <w:r>
        <w:rPr>
          <w:rStyle w:val="48"/>
          <w:rFonts w:hint="eastAsia" w:ascii="宋体" w:hAnsi="宋体" w:eastAsia="宋体" w:cs="仿宋"/>
        </w:rPr>
        <w:t>第五章</w:t>
      </w:r>
      <w:r>
        <w:rPr>
          <w:rStyle w:val="48"/>
          <w:rFonts w:ascii="宋体" w:hAnsi="宋体" w:eastAsia="宋体" w:cs="仿宋"/>
        </w:rPr>
        <w:t xml:space="preserve"> </w:t>
      </w:r>
      <w:r>
        <w:rPr>
          <w:rStyle w:val="48"/>
          <w:rFonts w:hint="eastAsia" w:ascii="宋体" w:hAnsi="宋体" w:eastAsia="宋体" w:cs="仿宋"/>
        </w:rPr>
        <w:t>投标文件格式</w:t>
      </w:r>
      <w:r>
        <w:tab/>
      </w:r>
      <w:r>
        <w:fldChar w:fldCharType="begin"/>
      </w:r>
      <w:r>
        <w:instrText xml:space="preserve"> PAGEREF _Toc200016470 \h </w:instrText>
      </w:r>
      <w:r>
        <w:fldChar w:fldCharType="separate"/>
      </w:r>
      <w:r>
        <w:t>61</w:t>
      </w:r>
      <w:r>
        <w:fldChar w:fldCharType="end"/>
      </w:r>
      <w:r>
        <w:fldChar w:fldCharType="end"/>
      </w:r>
    </w:p>
    <w:p w14:paraId="570DB2F7">
      <w:pPr>
        <w:pStyle w:val="30"/>
        <w:tabs>
          <w:tab w:val="right" w:leader="dot" w:pos="9344"/>
        </w:tabs>
        <w:rPr>
          <w:rFonts w:cstheme="minorBidi"/>
          <w:smallCaps w:val="0"/>
          <w:sz w:val="21"/>
          <w:szCs w:val="22"/>
        </w:rPr>
      </w:pPr>
      <w:r>
        <w:fldChar w:fldCharType="begin"/>
      </w:r>
      <w:r>
        <w:instrText xml:space="preserve"> HYPERLINK \l "_Toc200016471" </w:instrText>
      </w:r>
      <w:r>
        <w:fldChar w:fldCharType="separate"/>
      </w:r>
      <w:r>
        <w:rPr>
          <w:rStyle w:val="48"/>
          <w:rFonts w:hint="eastAsia" w:ascii="宋体" w:hAnsi="宋体" w:eastAsia="宋体" w:cs="仿宋"/>
          <w:b/>
        </w:rPr>
        <w:t>一、投标函</w:t>
      </w:r>
      <w:r>
        <w:tab/>
      </w:r>
      <w:r>
        <w:fldChar w:fldCharType="begin"/>
      </w:r>
      <w:r>
        <w:instrText xml:space="preserve"> PAGEREF _Toc200016471 \h </w:instrText>
      </w:r>
      <w:r>
        <w:fldChar w:fldCharType="separate"/>
      </w:r>
      <w:r>
        <w:t>63</w:t>
      </w:r>
      <w:r>
        <w:fldChar w:fldCharType="end"/>
      </w:r>
      <w:r>
        <w:fldChar w:fldCharType="end"/>
      </w:r>
    </w:p>
    <w:p w14:paraId="31646B93">
      <w:pPr>
        <w:pStyle w:val="30"/>
        <w:tabs>
          <w:tab w:val="right" w:leader="dot" w:pos="9344"/>
        </w:tabs>
        <w:rPr>
          <w:rFonts w:cstheme="minorBidi"/>
          <w:smallCaps w:val="0"/>
          <w:sz w:val="21"/>
          <w:szCs w:val="22"/>
        </w:rPr>
      </w:pPr>
      <w:r>
        <w:fldChar w:fldCharType="begin"/>
      </w:r>
      <w:r>
        <w:instrText xml:space="preserve"> HYPERLINK \l "_Toc200016472" </w:instrText>
      </w:r>
      <w:r>
        <w:fldChar w:fldCharType="separate"/>
      </w:r>
      <w:r>
        <w:rPr>
          <w:rStyle w:val="48"/>
          <w:rFonts w:hint="eastAsia" w:ascii="宋体" w:hAnsi="宋体" w:eastAsia="宋体" w:cs="仿宋"/>
          <w:b/>
        </w:rPr>
        <w:t>二、投标价格明细表</w:t>
      </w:r>
      <w:r>
        <w:tab/>
      </w:r>
      <w:r>
        <w:fldChar w:fldCharType="begin"/>
      </w:r>
      <w:r>
        <w:instrText xml:space="preserve"> PAGEREF _Toc200016472 \h </w:instrText>
      </w:r>
      <w:r>
        <w:fldChar w:fldCharType="separate"/>
      </w:r>
      <w:r>
        <w:t>65</w:t>
      </w:r>
      <w:r>
        <w:fldChar w:fldCharType="end"/>
      </w:r>
      <w:r>
        <w:fldChar w:fldCharType="end"/>
      </w:r>
    </w:p>
    <w:p w14:paraId="6CDCDB99">
      <w:pPr>
        <w:pStyle w:val="30"/>
        <w:tabs>
          <w:tab w:val="right" w:leader="dot" w:pos="9344"/>
        </w:tabs>
        <w:rPr>
          <w:rFonts w:cstheme="minorBidi"/>
          <w:smallCaps w:val="0"/>
          <w:sz w:val="21"/>
          <w:szCs w:val="22"/>
        </w:rPr>
      </w:pPr>
      <w:r>
        <w:fldChar w:fldCharType="begin"/>
      </w:r>
      <w:r>
        <w:instrText xml:space="preserve"> HYPERLINK \l "_Toc200016473" </w:instrText>
      </w:r>
      <w:r>
        <w:fldChar w:fldCharType="separate"/>
      </w:r>
      <w:r>
        <w:rPr>
          <w:rStyle w:val="48"/>
          <w:rFonts w:hint="eastAsia" w:ascii="宋体" w:hAnsi="宋体" w:eastAsia="宋体" w:cs="仿宋"/>
          <w:b/>
        </w:rPr>
        <w:t>三、技术条款偏离表</w:t>
      </w:r>
      <w:r>
        <w:tab/>
      </w:r>
      <w:r>
        <w:fldChar w:fldCharType="begin"/>
      </w:r>
      <w:r>
        <w:instrText xml:space="preserve"> PAGEREF _Toc200016473 \h </w:instrText>
      </w:r>
      <w:r>
        <w:fldChar w:fldCharType="separate"/>
      </w:r>
      <w:r>
        <w:t>66</w:t>
      </w:r>
      <w:r>
        <w:fldChar w:fldCharType="end"/>
      </w:r>
      <w:r>
        <w:fldChar w:fldCharType="end"/>
      </w:r>
    </w:p>
    <w:p w14:paraId="606102E8">
      <w:pPr>
        <w:pStyle w:val="30"/>
        <w:tabs>
          <w:tab w:val="right" w:leader="dot" w:pos="9344"/>
        </w:tabs>
        <w:rPr>
          <w:rFonts w:cstheme="minorBidi"/>
          <w:smallCaps w:val="0"/>
          <w:sz w:val="21"/>
          <w:szCs w:val="22"/>
        </w:rPr>
      </w:pPr>
      <w:r>
        <w:fldChar w:fldCharType="begin"/>
      </w:r>
      <w:r>
        <w:instrText xml:space="preserve"> HYPERLINK \l "_Toc200016474" </w:instrText>
      </w:r>
      <w:r>
        <w:fldChar w:fldCharType="separate"/>
      </w:r>
      <w:r>
        <w:rPr>
          <w:rStyle w:val="48"/>
          <w:rFonts w:hint="eastAsia" w:ascii="宋体" w:hAnsi="宋体" w:eastAsia="宋体" w:cs="仿宋"/>
          <w:b/>
          <w:bCs/>
          <w:kern w:val="36"/>
        </w:rPr>
        <w:t>四</w:t>
      </w:r>
      <w:r>
        <w:rPr>
          <w:rStyle w:val="48"/>
          <w:rFonts w:hint="eastAsia" w:ascii="宋体" w:hAnsi="宋体" w:eastAsia="宋体" w:cs="仿宋"/>
          <w:b/>
        </w:rPr>
        <w:t>、商务条款偏离表</w:t>
      </w:r>
      <w:r>
        <w:tab/>
      </w:r>
      <w:r>
        <w:fldChar w:fldCharType="begin"/>
      </w:r>
      <w:r>
        <w:instrText xml:space="preserve"> PAGEREF _Toc200016474 \h </w:instrText>
      </w:r>
      <w:r>
        <w:fldChar w:fldCharType="separate"/>
      </w:r>
      <w:r>
        <w:t>67</w:t>
      </w:r>
      <w:r>
        <w:fldChar w:fldCharType="end"/>
      </w:r>
      <w:r>
        <w:fldChar w:fldCharType="end"/>
      </w:r>
    </w:p>
    <w:p w14:paraId="4E41CEAF">
      <w:pPr>
        <w:pStyle w:val="30"/>
        <w:tabs>
          <w:tab w:val="right" w:leader="dot" w:pos="9344"/>
        </w:tabs>
        <w:rPr>
          <w:rFonts w:cstheme="minorBidi"/>
          <w:smallCaps w:val="0"/>
          <w:sz w:val="21"/>
          <w:szCs w:val="22"/>
        </w:rPr>
      </w:pPr>
      <w:r>
        <w:fldChar w:fldCharType="begin"/>
      </w:r>
      <w:r>
        <w:instrText xml:space="preserve"> HYPERLINK \l "_Toc200016475" </w:instrText>
      </w:r>
      <w:r>
        <w:fldChar w:fldCharType="separate"/>
      </w:r>
      <w:r>
        <w:rPr>
          <w:rStyle w:val="48"/>
          <w:rFonts w:hint="eastAsia" w:ascii="宋体" w:hAnsi="宋体" w:eastAsia="宋体" w:cs="仿宋"/>
          <w:b/>
          <w:bCs/>
          <w:kern w:val="36"/>
        </w:rPr>
        <w:t>五</w:t>
      </w:r>
      <w:r>
        <w:rPr>
          <w:rStyle w:val="48"/>
          <w:rFonts w:hint="eastAsia" w:ascii="宋体" w:hAnsi="宋体" w:eastAsia="宋体" w:cs="仿宋"/>
          <w:b/>
        </w:rPr>
        <w:t>、法定代表人身份证明书</w:t>
      </w:r>
      <w:r>
        <w:tab/>
      </w:r>
      <w:r>
        <w:fldChar w:fldCharType="begin"/>
      </w:r>
      <w:r>
        <w:instrText xml:space="preserve"> PAGEREF _Toc200016475 \h </w:instrText>
      </w:r>
      <w:r>
        <w:fldChar w:fldCharType="separate"/>
      </w:r>
      <w:r>
        <w:t>68</w:t>
      </w:r>
      <w:r>
        <w:fldChar w:fldCharType="end"/>
      </w:r>
      <w:r>
        <w:fldChar w:fldCharType="end"/>
      </w:r>
    </w:p>
    <w:p w14:paraId="57A895DB">
      <w:pPr>
        <w:pStyle w:val="30"/>
        <w:tabs>
          <w:tab w:val="right" w:leader="dot" w:pos="9344"/>
        </w:tabs>
        <w:rPr>
          <w:rFonts w:cstheme="minorBidi"/>
          <w:smallCaps w:val="0"/>
          <w:sz w:val="21"/>
          <w:szCs w:val="22"/>
        </w:rPr>
      </w:pPr>
      <w:r>
        <w:fldChar w:fldCharType="begin"/>
      </w:r>
      <w:r>
        <w:instrText xml:space="preserve"> HYPERLINK \l "_Toc200016476" </w:instrText>
      </w:r>
      <w:r>
        <w:fldChar w:fldCharType="separate"/>
      </w:r>
      <w:r>
        <w:rPr>
          <w:rStyle w:val="48"/>
          <w:rFonts w:hint="eastAsia" w:ascii="宋体" w:hAnsi="宋体" w:eastAsia="宋体" w:cs="仿宋"/>
          <w:b/>
          <w:bCs/>
          <w:kern w:val="0"/>
        </w:rPr>
        <w:t>六</w:t>
      </w:r>
      <w:r>
        <w:rPr>
          <w:rStyle w:val="48"/>
          <w:rFonts w:hint="eastAsia" w:ascii="宋体" w:hAnsi="宋体" w:eastAsia="宋体" w:cs="仿宋"/>
          <w:b/>
        </w:rPr>
        <w:t>、法定代表人授权委托书</w:t>
      </w:r>
      <w:r>
        <w:tab/>
      </w:r>
      <w:r>
        <w:fldChar w:fldCharType="begin"/>
      </w:r>
      <w:r>
        <w:instrText xml:space="preserve"> PAGEREF _Toc200016476 \h </w:instrText>
      </w:r>
      <w:r>
        <w:fldChar w:fldCharType="separate"/>
      </w:r>
      <w:r>
        <w:t>69</w:t>
      </w:r>
      <w:r>
        <w:fldChar w:fldCharType="end"/>
      </w:r>
      <w:r>
        <w:fldChar w:fldCharType="end"/>
      </w:r>
    </w:p>
    <w:p w14:paraId="3B33959C">
      <w:pPr>
        <w:pStyle w:val="30"/>
        <w:tabs>
          <w:tab w:val="right" w:leader="dot" w:pos="9344"/>
        </w:tabs>
        <w:rPr>
          <w:rFonts w:cstheme="minorBidi"/>
          <w:smallCaps w:val="0"/>
          <w:sz w:val="21"/>
          <w:szCs w:val="22"/>
        </w:rPr>
      </w:pPr>
      <w:r>
        <w:fldChar w:fldCharType="begin"/>
      </w:r>
      <w:r>
        <w:instrText xml:space="preserve"> HYPERLINK \l "_Toc200016477" </w:instrText>
      </w:r>
      <w:r>
        <w:fldChar w:fldCharType="separate"/>
      </w:r>
      <w:r>
        <w:rPr>
          <w:rStyle w:val="48"/>
          <w:rFonts w:hint="eastAsia" w:ascii="宋体" w:hAnsi="宋体" w:eastAsia="宋体" w:cs="仿宋"/>
          <w:b/>
          <w:kern w:val="0"/>
        </w:rPr>
        <w:t>七</w:t>
      </w:r>
      <w:r>
        <w:rPr>
          <w:rStyle w:val="48"/>
          <w:rFonts w:hint="eastAsia" w:ascii="宋体" w:hAnsi="宋体" w:eastAsia="宋体" w:cs="仿宋"/>
          <w:b/>
        </w:rPr>
        <w:t>、</w:t>
      </w:r>
      <w:r>
        <w:rPr>
          <w:rStyle w:val="48"/>
          <w:rFonts w:hint="eastAsia" w:ascii="宋体" w:hAnsi="宋体" w:eastAsia="宋体" w:cs="仿宋"/>
          <w:b/>
          <w:bCs/>
        </w:rPr>
        <w:t>投标人资格条件证明材料</w:t>
      </w:r>
      <w:r>
        <w:tab/>
      </w:r>
      <w:r>
        <w:fldChar w:fldCharType="begin"/>
      </w:r>
      <w:r>
        <w:instrText xml:space="preserve"> PAGEREF _Toc200016477 \h </w:instrText>
      </w:r>
      <w:r>
        <w:fldChar w:fldCharType="separate"/>
      </w:r>
      <w:r>
        <w:t>70</w:t>
      </w:r>
      <w:r>
        <w:fldChar w:fldCharType="end"/>
      </w:r>
      <w:r>
        <w:fldChar w:fldCharType="end"/>
      </w:r>
    </w:p>
    <w:p w14:paraId="0D0F2B30">
      <w:pPr>
        <w:pStyle w:val="16"/>
        <w:tabs>
          <w:tab w:val="right" w:leader="dot" w:pos="9344"/>
        </w:tabs>
        <w:rPr>
          <w:rFonts w:cstheme="minorBidi"/>
          <w:i w:val="0"/>
          <w:iCs w:val="0"/>
          <w:sz w:val="21"/>
          <w:szCs w:val="22"/>
        </w:rPr>
      </w:pPr>
      <w:r>
        <w:fldChar w:fldCharType="begin"/>
      </w:r>
      <w:r>
        <w:instrText xml:space="preserve"> HYPERLINK \l "_Toc200016478" </w:instrText>
      </w:r>
      <w:r>
        <w:fldChar w:fldCharType="separate"/>
      </w:r>
      <w:r>
        <w:rPr>
          <w:rStyle w:val="48"/>
          <w:rFonts w:ascii="宋体" w:hAnsi="宋体" w:eastAsia="宋体" w:cs="仿宋"/>
          <w:b/>
        </w:rPr>
        <w:t>7.1</w:t>
      </w:r>
      <w:r>
        <w:rPr>
          <w:rStyle w:val="48"/>
          <w:rFonts w:hint="eastAsia" w:ascii="宋体" w:hAnsi="宋体" w:eastAsia="宋体" w:cs="仿宋"/>
          <w:b/>
        </w:rPr>
        <w:t>法人或者其他组织的营业执照等证明文件，自然人的身份证明</w:t>
      </w:r>
      <w:r>
        <w:tab/>
      </w:r>
      <w:r>
        <w:fldChar w:fldCharType="begin"/>
      </w:r>
      <w:r>
        <w:instrText xml:space="preserve"> PAGEREF _Toc200016478 \h </w:instrText>
      </w:r>
      <w:r>
        <w:fldChar w:fldCharType="separate"/>
      </w:r>
      <w:r>
        <w:t>71</w:t>
      </w:r>
      <w:r>
        <w:fldChar w:fldCharType="end"/>
      </w:r>
      <w:r>
        <w:fldChar w:fldCharType="end"/>
      </w:r>
    </w:p>
    <w:p w14:paraId="1D2480A5">
      <w:pPr>
        <w:pStyle w:val="16"/>
        <w:tabs>
          <w:tab w:val="right" w:leader="dot" w:pos="9344"/>
        </w:tabs>
        <w:rPr>
          <w:rFonts w:cstheme="minorBidi"/>
          <w:i w:val="0"/>
          <w:iCs w:val="0"/>
          <w:sz w:val="21"/>
          <w:szCs w:val="22"/>
        </w:rPr>
      </w:pPr>
      <w:r>
        <w:fldChar w:fldCharType="begin"/>
      </w:r>
      <w:r>
        <w:instrText xml:space="preserve"> HYPERLINK \l "_Toc200016479" </w:instrText>
      </w:r>
      <w:r>
        <w:fldChar w:fldCharType="separate"/>
      </w:r>
      <w:r>
        <w:rPr>
          <w:rStyle w:val="48"/>
          <w:rFonts w:ascii="宋体" w:hAnsi="宋体" w:eastAsia="宋体" w:cs="仿宋"/>
          <w:b/>
        </w:rPr>
        <w:t>7.2</w:t>
      </w:r>
      <w:r>
        <w:rPr>
          <w:rStyle w:val="48"/>
          <w:rFonts w:hint="eastAsia" w:ascii="宋体" w:hAnsi="宋体" w:eastAsia="宋体" w:cs="仿宋"/>
          <w:b/>
        </w:rPr>
        <w:t>财务状况报告，依法缴纳税收和社会保障资金的相关材料</w:t>
      </w:r>
      <w:r>
        <w:tab/>
      </w:r>
      <w:r>
        <w:fldChar w:fldCharType="begin"/>
      </w:r>
      <w:r>
        <w:instrText xml:space="preserve"> PAGEREF _Toc200016479 \h </w:instrText>
      </w:r>
      <w:r>
        <w:fldChar w:fldCharType="separate"/>
      </w:r>
      <w:r>
        <w:t>72</w:t>
      </w:r>
      <w:r>
        <w:fldChar w:fldCharType="end"/>
      </w:r>
      <w:r>
        <w:fldChar w:fldCharType="end"/>
      </w:r>
    </w:p>
    <w:p w14:paraId="06EDD65F">
      <w:pPr>
        <w:pStyle w:val="16"/>
        <w:tabs>
          <w:tab w:val="right" w:leader="dot" w:pos="9344"/>
        </w:tabs>
        <w:rPr>
          <w:rFonts w:cstheme="minorBidi"/>
          <w:i w:val="0"/>
          <w:iCs w:val="0"/>
          <w:sz w:val="21"/>
          <w:szCs w:val="22"/>
        </w:rPr>
      </w:pPr>
      <w:r>
        <w:fldChar w:fldCharType="begin"/>
      </w:r>
      <w:r>
        <w:instrText xml:space="preserve"> HYPERLINK \l "_Toc200016480" </w:instrText>
      </w:r>
      <w:r>
        <w:fldChar w:fldCharType="separate"/>
      </w:r>
      <w:r>
        <w:rPr>
          <w:rStyle w:val="48"/>
          <w:rFonts w:ascii="宋体" w:hAnsi="宋体" w:eastAsia="宋体" w:cs="仿宋"/>
          <w:b/>
        </w:rPr>
        <w:t>7.3</w:t>
      </w:r>
      <w:r>
        <w:rPr>
          <w:rStyle w:val="48"/>
          <w:rFonts w:hint="eastAsia" w:ascii="宋体" w:hAnsi="宋体" w:eastAsia="宋体" w:cs="仿宋"/>
          <w:b/>
        </w:rPr>
        <w:t>具备履行合同所必需的设备和专业技术能力的证明材料</w:t>
      </w:r>
      <w:r>
        <w:tab/>
      </w:r>
      <w:r>
        <w:fldChar w:fldCharType="begin"/>
      </w:r>
      <w:r>
        <w:instrText xml:space="preserve"> PAGEREF _Toc200016480 \h </w:instrText>
      </w:r>
      <w:r>
        <w:fldChar w:fldCharType="separate"/>
      </w:r>
      <w:r>
        <w:t>73</w:t>
      </w:r>
      <w:r>
        <w:fldChar w:fldCharType="end"/>
      </w:r>
      <w:r>
        <w:fldChar w:fldCharType="end"/>
      </w:r>
    </w:p>
    <w:p w14:paraId="0EE7A73B">
      <w:pPr>
        <w:pStyle w:val="16"/>
        <w:tabs>
          <w:tab w:val="right" w:leader="dot" w:pos="9344"/>
        </w:tabs>
        <w:rPr>
          <w:rFonts w:cstheme="minorBidi"/>
          <w:i w:val="0"/>
          <w:iCs w:val="0"/>
          <w:sz w:val="21"/>
          <w:szCs w:val="22"/>
        </w:rPr>
      </w:pPr>
      <w:r>
        <w:fldChar w:fldCharType="begin"/>
      </w:r>
      <w:r>
        <w:instrText xml:space="preserve"> HYPERLINK \l "_Toc200016481" </w:instrText>
      </w:r>
      <w:r>
        <w:fldChar w:fldCharType="separate"/>
      </w:r>
      <w:r>
        <w:rPr>
          <w:rStyle w:val="48"/>
          <w:rFonts w:ascii="宋体" w:hAnsi="宋体" w:eastAsia="宋体" w:cs="仿宋"/>
          <w:b/>
        </w:rPr>
        <w:t>7.4</w:t>
      </w:r>
      <w:r>
        <w:rPr>
          <w:rStyle w:val="48"/>
          <w:rFonts w:hint="eastAsia" w:ascii="宋体" w:hAnsi="宋体" w:eastAsia="宋体" w:cs="仿宋"/>
          <w:b/>
        </w:rPr>
        <w:t>参加政府采购活动前</w:t>
      </w:r>
      <w:r>
        <w:rPr>
          <w:rStyle w:val="48"/>
          <w:rFonts w:ascii="宋体" w:hAnsi="宋体" w:eastAsia="宋体" w:cs="仿宋"/>
          <w:b/>
        </w:rPr>
        <w:t>3</w:t>
      </w:r>
      <w:r>
        <w:rPr>
          <w:rStyle w:val="48"/>
          <w:rFonts w:hint="eastAsia" w:ascii="宋体" w:hAnsi="宋体" w:eastAsia="宋体" w:cs="仿宋"/>
          <w:b/>
        </w:rPr>
        <w:t>年内在经营活动中没有重大违法记录的书面声明</w:t>
      </w:r>
      <w:r>
        <w:tab/>
      </w:r>
      <w:r>
        <w:fldChar w:fldCharType="begin"/>
      </w:r>
      <w:r>
        <w:instrText xml:space="preserve"> PAGEREF _Toc200016481 \h </w:instrText>
      </w:r>
      <w:r>
        <w:fldChar w:fldCharType="separate"/>
      </w:r>
      <w:r>
        <w:t>74</w:t>
      </w:r>
      <w:r>
        <w:fldChar w:fldCharType="end"/>
      </w:r>
      <w:r>
        <w:fldChar w:fldCharType="end"/>
      </w:r>
    </w:p>
    <w:p w14:paraId="7EDF7E36">
      <w:pPr>
        <w:pStyle w:val="16"/>
        <w:tabs>
          <w:tab w:val="right" w:leader="dot" w:pos="9344"/>
        </w:tabs>
        <w:rPr>
          <w:rFonts w:cstheme="minorBidi"/>
          <w:i w:val="0"/>
          <w:iCs w:val="0"/>
          <w:sz w:val="21"/>
          <w:szCs w:val="22"/>
        </w:rPr>
      </w:pPr>
      <w:r>
        <w:fldChar w:fldCharType="begin"/>
      </w:r>
      <w:r>
        <w:instrText xml:space="preserve"> HYPERLINK \l "_Toc200016482" </w:instrText>
      </w:r>
      <w:r>
        <w:fldChar w:fldCharType="separate"/>
      </w:r>
      <w:r>
        <w:rPr>
          <w:rStyle w:val="48"/>
          <w:rFonts w:ascii="宋体" w:hAnsi="宋体" w:eastAsia="宋体" w:cs="仿宋"/>
          <w:b/>
        </w:rPr>
        <w:t>7.5</w:t>
      </w:r>
      <w:r>
        <w:rPr>
          <w:rStyle w:val="48"/>
          <w:rFonts w:hint="eastAsia" w:ascii="宋体" w:hAnsi="宋体" w:eastAsia="宋体" w:cs="仿宋"/>
          <w:b/>
        </w:rPr>
        <w:t>具备法律、行政法规规定的其他条件的证明材料</w:t>
      </w:r>
      <w:r>
        <w:tab/>
      </w:r>
      <w:r>
        <w:fldChar w:fldCharType="begin"/>
      </w:r>
      <w:r>
        <w:instrText xml:space="preserve"> PAGEREF _Toc200016482 \h </w:instrText>
      </w:r>
      <w:r>
        <w:fldChar w:fldCharType="separate"/>
      </w:r>
      <w:r>
        <w:t>75</w:t>
      </w:r>
      <w:r>
        <w:fldChar w:fldCharType="end"/>
      </w:r>
      <w:r>
        <w:fldChar w:fldCharType="end"/>
      </w:r>
    </w:p>
    <w:p w14:paraId="739C1DE3">
      <w:pPr>
        <w:pStyle w:val="30"/>
        <w:tabs>
          <w:tab w:val="right" w:leader="dot" w:pos="9344"/>
        </w:tabs>
        <w:rPr>
          <w:rFonts w:cstheme="minorBidi"/>
          <w:smallCaps w:val="0"/>
          <w:sz w:val="21"/>
          <w:szCs w:val="22"/>
        </w:rPr>
      </w:pPr>
      <w:r>
        <w:fldChar w:fldCharType="begin"/>
      </w:r>
      <w:r>
        <w:instrText xml:space="preserve"> HYPERLINK \l "_Toc200016483" </w:instrText>
      </w:r>
      <w:r>
        <w:fldChar w:fldCharType="separate"/>
      </w:r>
      <w:r>
        <w:rPr>
          <w:rStyle w:val="48"/>
          <w:rFonts w:hint="eastAsia" w:ascii="宋体" w:hAnsi="宋体" w:eastAsia="宋体" w:cs="仿宋"/>
          <w:b/>
        </w:rPr>
        <w:t>八、投标人近年类似项目情况表</w:t>
      </w:r>
      <w:r>
        <w:tab/>
      </w:r>
      <w:r>
        <w:fldChar w:fldCharType="begin"/>
      </w:r>
      <w:r>
        <w:instrText xml:space="preserve"> PAGEREF _Toc200016483 \h </w:instrText>
      </w:r>
      <w:r>
        <w:fldChar w:fldCharType="separate"/>
      </w:r>
      <w:r>
        <w:t>78</w:t>
      </w:r>
      <w:r>
        <w:fldChar w:fldCharType="end"/>
      </w:r>
      <w:r>
        <w:fldChar w:fldCharType="end"/>
      </w:r>
    </w:p>
    <w:p w14:paraId="04202D7E">
      <w:pPr>
        <w:pStyle w:val="30"/>
        <w:tabs>
          <w:tab w:val="right" w:leader="dot" w:pos="9344"/>
        </w:tabs>
        <w:rPr>
          <w:rFonts w:cstheme="minorBidi"/>
          <w:smallCaps w:val="0"/>
          <w:sz w:val="21"/>
          <w:szCs w:val="22"/>
        </w:rPr>
      </w:pPr>
      <w:r>
        <w:fldChar w:fldCharType="begin"/>
      </w:r>
      <w:r>
        <w:instrText xml:space="preserve"> HYPERLINK \l "_Toc200016484" </w:instrText>
      </w:r>
      <w:r>
        <w:fldChar w:fldCharType="separate"/>
      </w:r>
      <w:r>
        <w:rPr>
          <w:rStyle w:val="48"/>
          <w:rFonts w:hint="eastAsia" w:ascii="宋体" w:hAnsi="宋体" w:eastAsia="宋体" w:cs="仿宋"/>
          <w:b/>
        </w:rPr>
        <w:t>九、技术方案</w:t>
      </w:r>
      <w:r>
        <w:tab/>
      </w:r>
      <w:r>
        <w:fldChar w:fldCharType="begin"/>
      </w:r>
      <w:r>
        <w:instrText xml:space="preserve"> PAGEREF _Toc200016484 \h </w:instrText>
      </w:r>
      <w:r>
        <w:fldChar w:fldCharType="separate"/>
      </w:r>
      <w:r>
        <w:t>79</w:t>
      </w:r>
      <w:r>
        <w:fldChar w:fldCharType="end"/>
      </w:r>
      <w:r>
        <w:fldChar w:fldCharType="end"/>
      </w:r>
    </w:p>
    <w:p w14:paraId="029D1E7B">
      <w:pPr>
        <w:pStyle w:val="30"/>
        <w:tabs>
          <w:tab w:val="right" w:leader="dot" w:pos="9344"/>
        </w:tabs>
        <w:rPr>
          <w:rFonts w:cstheme="minorBidi"/>
          <w:smallCaps w:val="0"/>
          <w:sz w:val="21"/>
          <w:szCs w:val="22"/>
        </w:rPr>
      </w:pPr>
      <w:r>
        <w:fldChar w:fldCharType="begin"/>
      </w:r>
      <w:r>
        <w:instrText xml:space="preserve"> HYPERLINK \l "_Toc200016485" </w:instrText>
      </w:r>
      <w:r>
        <w:fldChar w:fldCharType="separate"/>
      </w:r>
      <w:r>
        <w:rPr>
          <w:rStyle w:val="48"/>
          <w:rFonts w:hint="eastAsia" w:ascii="宋体" w:hAnsi="宋体" w:eastAsia="宋体" w:cs="仿宋"/>
          <w:b/>
        </w:rPr>
        <w:t>十、其它需要提交的资料</w:t>
      </w:r>
      <w:r>
        <w:tab/>
      </w:r>
      <w:r>
        <w:fldChar w:fldCharType="begin"/>
      </w:r>
      <w:r>
        <w:instrText xml:space="preserve"> PAGEREF _Toc200016485 \h </w:instrText>
      </w:r>
      <w:r>
        <w:fldChar w:fldCharType="separate"/>
      </w:r>
      <w:r>
        <w:t>79</w:t>
      </w:r>
      <w:r>
        <w:fldChar w:fldCharType="end"/>
      </w:r>
      <w:r>
        <w:fldChar w:fldCharType="end"/>
      </w:r>
    </w:p>
    <w:p w14:paraId="00BF9A12">
      <w:pPr>
        <w:pStyle w:val="24"/>
        <w:tabs>
          <w:tab w:val="right" w:leader="dot" w:pos="9344"/>
        </w:tabs>
        <w:rPr>
          <w:rFonts w:cstheme="minorBidi"/>
          <w:b w:val="0"/>
          <w:bCs w:val="0"/>
          <w:caps w:val="0"/>
          <w:sz w:val="21"/>
          <w:szCs w:val="22"/>
        </w:rPr>
      </w:pPr>
      <w:r>
        <w:fldChar w:fldCharType="begin"/>
      </w:r>
      <w:r>
        <w:instrText xml:space="preserve"> HYPERLINK \l "_Toc200016486" </w:instrText>
      </w:r>
      <w:r>
        <w:fldChar w:fldCharType="separate"/>
      </w:r>
      <w:r>
        <w:rPr>
          <w:rStyle w:val="48"/>
          <w:rFonts w:hint="eastAsia" w:ascii="宋体" w:hAnsi="宋体" w:eastAsia="宋体" w:cs="仿宋"/>
        </w:rPr>
        <w:t>第六章</w:t>
      </w:r>
      <w:r>
        <w:rPr>
          <w:rStyle w:val="48"/>
          <w:rFonts w:ascii="宋体" w:hAnsi="宋体" w:eastAsia="宋体" w:cs="仿宋"/>
        </w:rPr>
        <w:t xml:space="preserve"> </w:t>
      </w:r>
      <w:r>
        <w:rPr>
          <w:rStyle w:val="48"/>
          <w:rFonts w:hint="eastAsia" w:ascii="宋体" w:hAnsi="宋体" w:eastAsia="宋体" w:cs="仿宋"/>
        </w:rPr>
        <w:t>补充条款</w:t>
      </w:r>
      <w:r>
        <w:tab/>
      </w:r>
      <w:r>
        <w:fldChar w:fldCharType="begin"/>
      </w:r>
      <w:r>
        <w:instrText xml:space="preserve"> PAGEREF _Toc200016486 \h </w:instrText>
      </w:r>
      <w:r>
        <w:fldChar w:fldCharType="separate"/>
      </w:r>
      <w:r>
        <w:t>80</w:t>
      </w:r>
      <w:r>
        <w:fldChar w:fldCharType="end"/>
      </w:r>
      <w:r>
        <w:fldChar w:fldCharType="end"/>
      </w:r>
    </w:p>
    <w:p w14:paraId="2834656A">
      <w:pPr>
        <w:pStyle w:val="30"/>
        <w:tabs>
          <w:tab w:val="right" w:leader="dot" w:pos="9344"/>
        </w:tabs>
        <w:rPr>
          <w:rFonts w:cstheme="minorBidi"/>
          <w:smallCaps w:val="0"/>
          <w:sz w:val="21"/>
          <w:szCs w:val="22"/>
        </w:rPr>
      </w:pPr>
      <w:r>
        <w:fldChar w:fldCharType="begin"/>
      </w:r>
      <w:r>
        <w:instrText xml:space="preserve"> HYPERLINK \l "_Toc200016487" </w:instrText>
      </w:r>
      <w:r>
        <w:fldChar w:fldCharType="separate"/>
      </w:r>
      <w:r>
        <w:rPr>
          <w:rStyle w:val="48"/>
          <w:rFonts w:hint="eastAsia" w:ascii="宋体" w:hAnsi="宋体" w:eastAsia="宋体" w:cs="仿宋"/>
          <w:b/>
          <w:bCs/>
        </w:rPr>
        <w:t>质疑函范本</w:t>
      </w:r>
      <w:r>
        <w:tab/>
      </w:r>
      <w:r>
        <w:fldChar w:fldCharType="begin"/>
      </w:r>
      <w:r>
        <w:instrText xml:space="preserve"> PAGEREF _Toc200016487 \h </w:instrText>
      </w:r>
      <w:r>
        <w:fldChar w:fldCharType="separate"/>
      </w:r>
      <w:r>
        <w:t>80</w:t>
      </w:r>
      <w:r>
        <w:fldChar w:fldCharType="end"/>
      </w:r>
      <w:r>
        <w:fldChar w:fldCharType="end"/>
      </w:r>
    </w:p>
    <w:p w14:paraId="06AA1B9B">
      <w:pPr>
        <w:pStyle w:val="30"/>
        <w:tabs>
          <w:tab w:val="right" w:leader="dot" w:pos="9344"/>
        </w:tabs>
        <w:rPr>
          <w:rFonts w:cstheme="minorBidi"/>
          <w:smallCaps w:val="0"/>
          <w:sz w:val="21"/>
          <w:szCs w:val="22"/>
        </w:rPr>
      </w:pPr>
      <w:r>
        <w:fldChar w:fldCharType="begin"/>
      </w:r>
      <w:r>
        <w:instrText xml:space="preserve"> HYPERLINK \l "_Toc200016488" </w:instrText>
      </w:r>
      <w:r>
        <w:fldChar w:fldCharType="separate"/>
      </w:r>
      <w:r>
        <w:rPr>
          <w:rStyle w:val="48"/>
          <w:rFonts w:hint="eastAsia" w:ascii="宋体" w:hAnsi="宋体" w:eastAsia="宋体"/>
          <w:b/>
        </w:rPr>
        <w:t>质疑函制作说明：</w:t>
      </w:r>
      <w:r>
        <w:tab/>
      </w:r>
      <w:r>
        <w:fldChar w:fldCharType="begin"/>
      </w:r>
      <w:r>
        <w:instrText xml:space="preserve"> PAGEREF _Toc200016488 \h </w:instrText>
      </w:r>
      <w:r>
        <w:fldChar w:fldCharType="separate"/>
      </w:r>
      <w:r>
        <w:t>81</w:t>
      </w:r>
      <w:r>
        <w:fldChar w:fldCharType="end"/>
      </w:r>
      <w:r>
        <w:fldChar w:fldCharType="end"/>
      </w:r>
    </w:p>
    <w:p w14:paraId="6377DC91">
      <w:pPr>
        <w:jc w:val="center"/>
        <w:rPr>
          <w:rFonts w:ascii="宋体" w:hAnsi="宋体" w:eastAsia="宋体" w:cs="仿宋"/>
          <w:b/>
          <w:bCs/>
          <w:sz w:val="28"/>
          <w:szCs w:val="24"/>
        </w:rPr>
        <w:sectPr>
          <w:footerReference r:id="rId3" w:type="default"/>
          <w:pgSz w:w="11906" w:h="16838"/>
          <w:pgMar w:top="1361" w:right="1134" w:bottom="1361" w:left="1418" w:header="851" w:footer="992" w:gutter="0"/>
          <w:pgNumType w:start="1"/>
          <w:cols w:space="720" w:num="1"/>
          <w:docGrid w:type="lines" w:linePitch="312" w:charSpace="0"/>
        </w:sectPr>
      </w:pPr>
      <w:r>
        <w:rPr>
          <w:rFonts w:ascii="宋体" w:hAnsi="宋体" w:eastAsia="宋体" w:cs="仿宋"/>
          <w:b/>
          <w:bCs/>
          <w:sz w:val="28"/>
          <w:szCs w:val="24"/>
        </w:rPr>
        <w:fldChar w:fldCharType="end"/>
      </w:r>
    </w:p>
    <w:p w14:paraId="38127AD9">
      <w:pPr>
        <w:spacing w:line="360" w:lineRule="auto"/>
        <w:jc w:val="center"/>
        <w:outlineLvl w:val="0"/>
        <w:rPr>
          <w:rFonts w:ascii="宋体" w:hAnsi="宋体" w:eastAsia="宋体" w:cs="仿宋"/>
          <w:b/>
          <w:bCs/>
          <w:sz w:val="24"/>
          <w:szCs w:val="24"/>
        </w:rPr>
      </w:pPr>
      <w:bookmarkStart w:id="4" w:name="_Toc200016442"/>
      <w:r>
        <w:rPr>
          <w:rFonts w:hint="eastAsia" w:ascii="宋体" w:hAnsi="宋体" w:eastAsia="宋体" w:cs="仿宋"/>
          <w:b/>
          <w:bCs/>
          <w:sz w:val="32"/>
          <w:szCs w:val="32"/>
        </w:rPr>
        <w:t>招 标 公 告</w:t>
      </w:r>
      <w:bookmarkEnd w:id="4"/>
    </w:p>
    <w:p w14:paraId="04353422">
      <w:pPr>
        <w:spacing w:line="360" w:lineRule="auto"/>
        <w:rPr>
          <w:rFonts w:ascii="宋体" w:hAnsi="宋体" w:eastAsia="宋体" w:cs="仿宋"/>
          <w:sz w:val="24"/>
          <w:szCs w:val="24"/>
        </w:rPr>
      </w:pPr>
      <w:r>
        <w:rPr>
          <w:rFonts w:hint="eastAsia" w:ascii="宋体" w:hAnsi="宋体" w:eastAsia="宋体" w:cs="仿宋"/>
          <w:sz w:val="24"/>
          <w:szCs w:val="24"/>
        </w:rPr>
        <w:t>项目概况</w:t>
      </w:r>
    </w:p>
    <w:p w14:paraId="5CECB9FD">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新疆应用职业技术学院新图书馆智慧体验设备采购项目的潜在投标人应在政采云平台线上获取招标文件，并于</w:t>
      </w:r>
      <w:r>
        <w:rPr>
          <w:rFonts w:hint="eastAsia" w:ascii="宋体" w:hAnsi="宋体" w:eastAsia="宋体" w:cs="仿宋"/>
          <w:sz w:val="24"/>
          <w:szCs w:val="24"/>
          <w:lang w:eastAsia="zh-CN"/>
        </w:rPr>
        <w:t>2025年07月16日11:00</w:t>
      </w:r>
      <w:r>
        <w:rPr>
          <w:rFonts w:hint="eastAsia" w:ascii="宋体" w:hAnsi="宋体" w:eastAsia="宋体" w:cs="仿宋"/>
          <w:sz w:val="24"/>
          <w:szCs w:val="24"/>
        </w:rPr>
        <w:t>（北京时间）前递交投标文件。</w:t>
      </w:r>
    </w:p>
    <w:p w14:paraId="09DA00C8">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一、项目基本情况</w:t>
      </w:r>
    </w:p>
    <w:p w14:paraId="54738824">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项目编号：QHZB20250528001</w:t>
      </w:r>
    </w:p>
    <w:p w14:paraId="48E86781">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项目名称：新疆应用职业技术学院新图书馆智慧体验设备采购项目</w:t>
      </w:r>
    </w:p>
    <w:p w14:paraId="23FE3842">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采购方式：公开招标</w:t>
      </w:r>
    </w:p>
    <w:p w14:paraId="6A52A7E9">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预算金额（元）：</w:t>
      </w:r>
      <w:r>
        <w:rPr>
          <w:rFonts w:ascii="宋体" w:hAnsi="宋体" w:eastAsia="宋体" w:cs="仿宋"/>
          <w:sz w:val="24"/>
          <w:szCs w:val="24"/>
        </w:rPr>
        <w:t>1300000</w:t>
      </w:r>
    </w:p>
    <w:p w14:paraId="0687F4DA">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最高限价（元）：</w:t>
      </w:r>
      <w:r>
        <w:rPr>
          <w:rFonts w:ascii="宋体" w:hAnsi="宋体" w:eastAsia="宋体" w:cs="仿宋"/>
          <w:sz w:val="24"/>
          <w:szCs w:val="24"/>
        </w:rPr>
        <w:t>1300000</w:t>
      </w:r>
    </w:p>
    <w:p w14:paraId="3DE1FAFC">
      <w:pPr>
        <w:spacing w:line="360" w:lineRule="auto"/>
        <w:ind w:left="239" w:leftChars="114" w:firstLine="240" w:firstLineChars="100"/>
        <w:rPr>
          <w:rFonts w:ascii="宋体" w:hAnsi="宋体" w:eastAsia="宋体" w:cs="仿宋"/>
          <w:sz w:val="24"/>
          <w:szCs w:val="24"/>
        </w:rPr>
      </w:pPr>
      <w:r>
        <w:rPr>
          <w:rFonts w:hint="eastAsia" w:ascii="宋体" w:hAnsi="宋体" w:eastAsia="宋体" w:cs="仿宋"/>
          <w:sz w:val="24"/>
          <w:szCs w:val="24"/>
        </w:rPr>
        <w:t>简要规格描述：新图书馆智慧体验设备硬件、软件、安装工程与售后服务等，详见招标文件第四章 技术标准和要求。</w:t>
      </w:r>
    </w:p>
    <w:p w14:paraId="044DC41F">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合同履约期限：自合同签订之日起30个日历日完成安装调试并交付采购人使用</w:t>
      </w:r>
    </w:p>
    <w:p w14:paraId="2AD57F3E">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质保期：最少三年</w:t>
      </w:r>
    </w:p>
    <w:p w14:paraId="2F5263C1">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本项目（不）接受联合体投标。</w:t>
      </w:r>
    </w:p>
    <w:p w14:paraId="7118EDDE">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二、申请人的资格要求：</w:t>
      </w:r>
    </w:p>
    <w:p w14:paraId="49EB4114">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1、满足《中华人民共和国政府采购法》第二十二条规定：</w:t>
      </w:r>
    </w:p>
    <w:p w14:paraId="60097131">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①具有独立承担民事责任的能力；</w:t>
      </w:r>
    </w:p>
    <w:p w14:paraId="024B2580">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 xml:space="preserve">②具有良好的商业信誉和健全的财务会计制度； </w:t>
      </w:r>
    </w:p>
    <w:p w14:paraId="02CAA270">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③具有履行合同所必需的设备和专业技术能力；</w:t>
      </w:r>
    </w:p>
    <w:p w14:paraId="0F03277D">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 xml:space="preserve">④有依法缴纳税收和社会保障资金的良好记录； </w:t>
      </w:r>
    </w:p>
    <w:p w14:paraId="08EB1D10">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⑤近三年内，在经营活动中没有重大违法记录；</w:t>
      </w:r>
    </w:p>
    <w:p w14:paraId="16D295AA">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⑥法律、行政法规规定的其他条件；</w:t>
      </w:r>
    </w:p>
    <w:p w14:paraId="149F34EB">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2、投标人如在“信用中国”网站（www.creditchina.gov.cn）、中国政府采购网（www.ccgp.gov.cn）等渠道被列入失信被执行人、重大税收违法失信主体、政府采购严重违法失信行为记录名单及其它不符合《中华人民共和国政府采购法》第二十二条规定条件的投标人，尚在处罚期内的将被拒绝参加本次投标活动。</w:t>
      </w:r>
    </w:p>
    <w:p w14:paraId="6C65E0D9">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3、本项目专门面向中小企业（含中型、小型、微型企业）采购。</w:t>
      </w:r>
    </w:p>
    <w:p w14:paraId="1D0C5455">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三、获取招标文件</w:t>
      </w:r>
    </w:p>
    <w:p w14:paraId="4D1173F7">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时间：</w:t>
      </w:r>
      <w:bookmarkStart w:id="180" w:name="_GoBack"/>
      <w:bookmarkEnd w:id="180"/>
      <w:r>
        <w:rPr>
          <w:rFonts w:hint="eastAsia" w:ascii="宋体" w:hAnsi="宋体" w:eastAsia="宋体" w:cs="仿宋"/>
          <w:sz w:val="24"/>
          <w:szCs w:val="24"/>
          <w:lang w:eastAsia="zh-CN"/>
        </w:rPr>
        <w:t>2025年06月25日至2025年07月08日</w:t>
      </w:r>
      <w:r>
        <w:rPr>
          <w:rFonts w:hint="eastAsia" w:ascii="宋体" w:hAnsi="宋体" w:eastAsia="宋体" w:cs="仿宋"/>
          <w:sz w:val="24"/>
          <w:szCs w:val="24"/>
        </w:rPr>
        <w:t>，每天上午00:00至12:00，下午12:00至23:59（北京时间，法定节假日除外）</w:t>
      </w:r>
    </w:p>
    <w:p w14:paraId="5B49B9B4">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地点：政采云平台线上获取</w:t>
      </w:r>
    </w:p>
    <w:p w14:paraId="5DE6755D">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方式：供应商登录政采云在线获取采购文件（进入“项目采购”应用，在获取采购文件菜单中选择项目，申请获取采购文件.</w:t>
      </w:r>
    </w:p>
    <w:p w14:paraId="58ADD68A">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售价（元）：0</w:t>
      </w:r>
    </w:p>
    <w:p w14:paraId="232991FE">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四、投标文件提交</w:t>
      </w:r>
    </w:p>
    <w:p w14:paraId="197CA447">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截止时间：</w:t>
      </w:r>
      <w:r>
        <w:rPr>
          <w:rFonts w:hint="eastAsia" w:ascii="宋体" w:hAnsi="宋体" w:eastAsia="宋体" w:cs="仿宋"/>
          <w:sz w:val="24"/>
          <w:szCs w:val="24"/>
          <w:lang w:eastAsia="zh-CN"/>
        </w:rPr>
        <w:t>2025年07月16日11:00</w:t>
      </w:r>
      <w:r>
        <w:rPr>
          <w:rFonts w:hint="eastAsia" w:ascii="宋体" w:hAnsi="宋体" w:eastAsia="宋体" w:cs="仿宋"/>
          <w:sz w:val="24"/>
          <w:szCs w:val="24"/>
        </w:rPr>
        <w:t>（北京时间）</w:t>
      </w:r>
    </w:p>
    <w:p w14:paraId="528ED86D">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 xml:space="preserve">地点：请登录政采云投标客户端投标（政采云平台（https://www.zcygov.cn/））   </w:t>
      </w:r>
    </w:p>
    <w:p w14:paraId="60B5767E">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五、投标文件开启 </w:t>
      </w:r>
    </w:p>
    <w:p w14:paraId="7F665020">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开启时间：</w:t>
      </w:r>
      <w:r>
        <w:rPr>
          <w:rFonts w:hint="eastAsia" w:ascii="宋体" w:hAnsi="宋体" w:eastAsia="宋体" w:cs="仿宋"/>
          <w:sz w:val="24"/>
          <w:szCs w:val="24"/>
          <w:lang w:eastAsia="zh-CN"/>
        </w:rPr>
        <w:t>2025年07月16日11:00</w:t>
      </w:r>
      <w:r>
        <w:rPr>
          <w:rFonts w:hint="eastAsia" w:ascii="宋体" w:hAnsi="宋体" w:eastAsia="宋体" w:cs="仿宋"/>
          <w:sz w:val="24"/>
          <w:szCs w:val="24"/>
        </w:rPr>
        <w:t>（北京时间）</w:t>
      </w:r>
    </w:p>
    <w:p w14:paraId="524BCDD1">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 xml:space="preserve">地点：请登录政采云投标客户端投标（政采云平台（https://www.zcygov.cn/））   </w:t>
      </w:r>
    </w:p>
    <w:p w14:paraId="5CC82008">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六、公告期限</w:t>
      </w:r>
    </w:p>
    <w:p w14:paraId="0A83ACCB">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自本公告发布之日起5个工作日。</w:t>
      </w:r>
    </w:p>
    <w:p w14:paraId="3F4295AF">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七、其他补充事宜</w:t>
      </w:r>
    </w:p>
    <w:p w14:paraId="14D35B85">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1、本次采购采用电子交易方式，电子交易平台为“政采云平台（https://www.zcygov.cn/）”。供应商参与本项目电子交易活动前，应注册成为政府采购云平台正式供应商。编制电子响应文件前还需申领CA证书并绑定帐号。供应商应充分考虑完成平台注册、申领CA证书等所需的时间。因未注册入库、未办理CA数字证书等原因造成无法投标或投标失败等后果由供应商自行承担。</w:t>
      </w:r>
    </w:p>
    <w:p w14:paraId="32283448">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2、供应商将政采云电子交易客户端下载、安装完成后，可通过账号密码或CA登录客户端进行响应文件制作。在使用政采云投标客户端时，建议使用WIN7及以上操作系统。客户端请至新疆政府采购网（www.ccgp-xinjiang.gov.cn）下载专区查看，如有问题可拨打政采云客户服务热线95763进行咨询。</w:t>
      </w:r>
    </w:p>
    <w:p w14:paraId="7B8DBE8D">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3、加密的电子响应文件应在响应文件递交截止时间前通过政采云平台上传完成。逾期上传或者未上传指定地点的响应文件，不予受理。</w:t>
      </w:r>
    </w:p>
    <w:p w14:paraId="5DBE20A7">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4、供应商在开标前须提前配置好电脑浏览器，开标时请使用制作加密电子响应文件的CA锁进行解密及报价确认。本项目响应文件解密时间定为30分钟，如因自身原因导致无法正常解密，后果由供应商自行承担。</w:t>
      </w:r>
    </w:p>
    <w:p w14:paraId="59EE07FA">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5、凡有意参加投标者，请于发售时间登陆政采云平台http://www.zcygov.cn项目采购工作台“政采云”线上获取电子采购文件；</w:t>
      </w:r>
    </w:p>
    <w:p w14:paraId="760FDCBA">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6、如遇“政采云平台（https://www.zcygov.cn/）”电子交易规则调整，以最新要求为准。</w:t>
      </w:r>
    </w:p>
    <w:p w14:paraId="793F2CA2">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八、对本次采购提出询问，请按以下方式联系</w:t>
      </w:r>
    </w:p>
    <w:p w14:paraId="6D2755D9">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1.采购人信息</w:t>
      </w:r>
    </w:p>
    <w:p w14:paraId="18B128C9">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名 称：新疆应用职业技术学院</w:t>
      </w:r>
    </w:p>
    <w:p w14:paraId="3DBC1847">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地 址：新疆奎屯市北京西路62号</w:t>
      </w:r>
    </w:p>
    <w:p w14:paraId="54511C20">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联系方式：18609921657</w:t>
      </w:r>
    </w:p>
    <w:p w14:paraId="451E37CF">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2.采购代理机构信息</w:t>
      </w:r>
    </w:p>
    <w:p w14:paraId="27F4C988">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名 称：新疆清恒招标代理有限公司</w:t>
      </w:r>
    </w:p>
    <w:p w14:paraId="166BA050">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地 址：新疆伊犁州奎屯市北京路街道康乐园129幢72号</w:t>
      </w:r>
    </w:p>
    <w:p w14:paraId="2F03FA86">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联系方式：19909926296</w:t>
      </w:r>
    </w:p>
    <w:p w14:paraId="70519951">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项目联系人：王春霞</w:t>
      </w:r>
    </w:p>
    <w:p w14:paraId="47AC5328">
      <w:pPr>
        <w:spacing w:line="360" w:lineRule="auto"/>
        <w:ind w:firstLine="480" w:firstLineChars="200"/>
        <w:rPr>
          <w:rFonts w:ascii="宋体" w:hAnsi="宋体" w:eastAsia="宋体" w:cs="仿宋"/>
          <w:sz w:val="24"/>
          <w:szCs w:val="24"/>
        </w:rPr>
      </w:pPr>
    </w:p>
    <w:p w14:paraId="5999EFDD">
      <w:pPr>
        <w:rPr>
          <w:rFonts w:ascii="宋体" w:hAnsi="宋体" w:eastAsia="宋体"/>
        </w:rPr>
        <w:sectPr>
          <w:footerReference r:id="rId4" w:type="default"/>
          <w:pgSz w:w="11906" w:h="16838"/>
          <w:pgMar w:top="1361" w:right="1134" w:bottom="1361" w:left="1418" w:header="851" w:footer="992" w:gutter="0"/>
          <w:pgNumType w:start="1"/>
          <w:cols w:space="720" w:num="1"/>
          <w:docGrid w:type="lines" w:linePitch="312" w:charSpace="0"/>
        </w:sectPr>
      </w:pPr>
    </w:p>
    <w:p w14:paraId="3AA1196F">
      <w:pPr>
        <w:spacing w:line="440" w:lineRule="exact"/>
        <w:jc w:val="center"/>
        <w:outlineLvl w:val="0"/>
        <w:rPr>
          <w:rFonts w:ascii="宋体" w:hAnsi="宋体" w:eastAsia="宋体" w:cs="仿宋"/>
          <w:b/>
          <w:sz w:val="24"/>
          <w:szCs w:val="24"/>
        </w:rPr>
      </w:pPr>
      <w:bookmarkStart w:id="5" w:name="_Toc200016443"/>
      <w:r>
        <w:rPr>
          <w:rFonts w:hint="eastAsia" w:ascii="宋体" w:hAnsi="宋体" w:eastAsia="宋体" w:cs="仿宋"/>
          <w:b/>
          <w:sz w:val="24"/>
          <w:szCs w:val="24"/>
        </w:rPr>
        <w:t>投标人须知前附表</w:t>
      </w:r>
      <w:bookmarkEnd w:id="5"/>
    </w:p>
    <w:tbl>
      <w:tblPr>
        <w:tblStyle w:val="38"/>
        <w:tblW w:w="90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57" w:type="dxa"/>
          <w:left w:w="57" w:type="dxa"/>
          <w:bottom w:w="57" w:type="dxa"/>
          <w:right w:w="57" w:type="dxa"/>
        </w:tblCellMar>
      </w:tblPr>
      <w:tblGrid>
        <w:gridCol w:w="597"/>
        <w:gridCol w:w="1410"/>
        <w:gridCol w:w="7073"/>
      </w:tblGrid>
      <w:tr w14:paraId="5D52B6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87" w:hRule="atLeast"/>
          <w:jc w:val="center"/>
        </w:trPr>
        <w:tc>
          <w:tcPr>
            <w:tcW w:w="597" w:type="dxa"/>
            <w:vAlign w:val="center"/>
          </w:tcPr>
          <w:p w14:paraId="20AEA6F0">
            <w:pPr>
              <w:spacing w:line="360" w:lineRule="auto"/>
              <w:jc w:val="center"/>
              <w:rPr>
                <w:rFonts w:ascii="宋体" w:hAnsi="宋体" w:eastAsia="宋体" w:cs="仿宋"/>
                <w:b/>
                <w:kern w:val="0"/>
                <w:szCs w:val="21"/>
              </w:rPr>
            </w:pPr>
            <w:r>
              <w:rPr>
                <w:rFonts w:hint="eastAsia" w:ascii="宋体" w:hAnsi="宋体" w:eastAsia="宋体" w:cs="仿宋"/>
                <w:b/>
                <w:kern w:val="0"/>
                <w:szCs w:val="21"/>
              </w:rPr>
              <w:t>项号</w:t>
            </w:r>
          </w:p>
        </w:tc>
        <w:tc>
          <w:tcPr>
            <w:tcW w:w="8483" w:type="dxa"/>
            <w:gridSpan w:val="2"/>
            <w:vAlign w:val="center"/>
          </w:tcPr>
          <w:p w14:paraId="12D71741">
            <w:pPr>
              <w:spacing w:line="360" w:lineRule="auto"/>
              <w:jc w:val="center"/>
              <w:rPr>
                <w:rFonts w:ascii="宋体" w:hAnsi="宋体" w:eastAsia="宋体" w:cs="仿宋"/>
                <w:b/>
                <w:kern w:val="0"/>
                <w:szCs w:val="21"/>
              </w:rPr>
            </w:pPr>
            <w:r>
              <w:rPr>
                <w:rFonts w:hint="eastAsia" w:ascii="宋体" w:hAnsi="宋体" w:eastAsia="宋体" w:cs="仿宋"/>
                <w:b/>
                <w:kern w:val="0"/>
                <w:szCs w:val="21"/>
              </w:rPr>
              <w:t>编列内容</w:t>
            </w:r>
          </w:p>
        </w:tc>
      </w:tr>
      <w:tr w14:paraId="2FA696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01DF6C97">
            <w:pPr>
              <w:spacing w:line="360" w:lineRule="auto"/>
              <w:jc w:val="center"/>
              <w:rPr>
                <w:rFonts w:ascii="宋体" w:hAnsi="宋体" w:eastAsia="宋体" w:cs="仿宋"/>
                <w:kern w:val="0"/>
                <w:szCs w:val="21"/>
              </w:rPr>
            </w:pPr>
            <w:r>
              <w:rPr>
                <w:rFonts w:hint="eastAsia" w:ascii="宋体" w:hAnsi="宋体" w:eastAsia="宋体" w:cs="仿宋"/>
                <w:kern w:val="0"/>
                <w:szCs w:val="21"/>
              </w:rPr>
              <w:t>1</w:t>
            </w:r>
          </w:p>
        </w:tc>
        <w:tc>
          <w:tcPr>
            <w:tcW w:w="1410" w:type="dxa"/>
            <w:vAlign w:val="center"/>
          </w:tcPr>
          <w:p w14:paraId="2759B16A">
            <w:pPr>
              <w:keepNext/>
              <w:widowControl/>
              <w:spacing w:line="360" w:lineRule="auto"/>
              <w:jc w:val="center"/>
              <w:rPr>
                <w:rFonts w:ascii="宋体" w:hAnsi="宋体" w:eastAsia="宋体" w:cs="仿宋"/>
                <w:kern w:val="0"/>
                <w:szCs w:val="21"/>
              </w:rPr>
            </w:pPr>
            <w:r>
              <w:rPr>
                <w:rFonts w:hint="eastAsia" w:ascii="宋体" w:hAnsi="宋体" w:eastAsia="宋体" w:cs="仿宋"/>
                <w:kern w:val="0"/>
                <w:szCs w:val="21"/>
              </w:rPr>
              <w:t>项目名称</w:t>
            </w:r>
          </w:p>
        </w:tc>
        <w:tc>
          <w:tcPr>
            <w:tcW w:w="7073" w:type="dxa"/>
            <w:vAlign w:val="center"/>
          </w:tcPr>
          <w:p w14:paraId="05852191">
            <w:pPr>
              <w:keepNext/>
              <w:widowControl/>
              <w:spacing w:line="360" w:lineRule="auto"/>
              <w:jc w:val="left"/>
              <w:rPr>
                <w:rFonts w:ascii="宋体" w:hAnsi="宋体" w:eastAsia="宋体" w:cs="仿宋"/>
                <w:kern w:val="0"/>
                <w:szCs w:val="21"/>
              </w:rPr>
            </w:pPr>
            <w:r>
              <w:rPr>
                <w:rFonts w:hint="eastAsia" w:ascii="宋体" w:hAnsi="宋体" w:eastAsia="宋体" w:cs="仿宋"/>
                <w:kern w:val="0"/>
                <w:szCs w:val="21"/>
              </w:rPr>
              <w:t>新疆应用职业技术学院新图书馆智慧体验设备采购项目</w:t>
            </w:r>
          </w:p>
        </w:tc>
      </w:tr>
      <w:tr w14:paraId="72EDB6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21929D78">
            <w:pPr>
              <w:spacing w:line="360" w:lineRule="auto"/>
              <w:jc w:val="center"/>
              <w:rPr>
                <w:rFonts w:ascii="宋体" w:hAnsi="宋体" w:eastAsia="宋体" w:cs="仿宋"/>
                <w:kern w:val="0"/>
                <w:szCs w:val="21"/>
              </w:rPr>
            </w:pPr>
          </w:p>
        </w:tc>
        <w:tc>
          <w:tcPr>
            <w:tcW w:w="1410" w:type="dxa"/>
            <w:vAlign w:val="center"/>
          </w:tcPr>
          <w:p w14:paraId="67FC08F9">
            <w:pPr>
              <w:keepNext/>
              <w:widowControl/>
              <w:spacing w:line="360" w:lineRule="auto"/>
              <w:jc w:val="center"/>
              <w:rPr>
                <w:rFonts w:ascii="宋体" w:hAnsi="宋体" w:eastAsia="宋体" w:cs="仿宋"/>
                <w:kern w:val="0"/>
                <w:szCs w:val="21"/>
              </w:rPr>
            </w:pPr>
            <w:r>
              <w:rPr>
                <w:rFonts w:hint="eastAsia" w:ascii="宋体" w:hAnsi="宋体" w:eastAsia="宋体" w:cs="仿宋"/>
                <w:kern w:val="0"/>
                <w:szCs w:val="21"/>
              </w:rPr>
              <w:t>项目编号</w:t>
            </w:r>
          </w:p>
        </w:tc>
        <w:tc>
          <w:tcPr>
            <w:tcW w:w="7073" w:type="dxa"/>
            <w:vAlign w:val="center"/>
          </w:tcPr>
          <w:p w14:paraId="448A55FB">
            <w:pPr>
              <w:keepNext/>
              <w:widowControl/>
              <w:spacing w:line="360" w:lineRule="auto"/>
              <w:jc w:val="left"/>
              <w:rPr>
                <w:rFonts w:ascii="宋体" w:hAnsi="宋体" w:eastAsia="宋体" w:cs="仿宋"/>
                <w:kern w:val="0"/>
                <w:szCs w:val="21"/>
              </w:rPr>
            </w:pPr>
            <w:r>
              <w:rPr>
                <w:rFonts w:hint="eastAsia" w:ascii="宋体" w:hAnsi="宋体" w:eastAsia="宋体" w:cs="仿宋"/>
                <w:kern w:val="0"/>
                <w:szCs w:val="21"/>
              </w:rPr>
              <w:t>QHZB20250528001</w:t>
            </w:r>
          </w:p>
        </w:tc>
      </w:tr>
      <w:tr w14:paraId="502C4E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1FB781E4">
            <w:pPr>
              <w:spacing w:line="360" w:lineRule="auto"/>
              <w:jc w:val="center"/>
              <w:rPr>
                <w:rFonts w:ascii="宋体" w:hAnsi="宋体" w:eastAsia="宋体" w:cs="仿宋"/>
                <w:kern w:val="0"/>
                <w:szCs w:val="21"/>
              </w:rPr>
            </w:pPr>
          </w:p>
        </w:tc>
        <w:tc>
          <w:tcPr>
            <w:tcW w:w="1410" w:type="dxa"/>
            <w:vAlign w:val="center"/>
          </w:tcPr>
          <w:p w14:paraId="7CB2CC8C">
            <w:pPr>
              <w:keepNext/>
              <w:widowControl/>
              <w:spacing w:line="360" w:lineRule="auto"/>
              <w:jc w:val="center"/>
              <w:rPr>
                <w:rFonts w:ascii="宋体" w:hAnsi="宋体" w:eastAsia="宋体" w:cs="仿宋"/>
                <w:kern w:val="0"/>
                <w:szCs w:val="21"/>
              </w:rPr>
            </w:pPr>
            <w:r>
              <w:rPr>
                <w:rFonts w:hint="eastAsia" w:ascii="宋体" w:hAnsi="宋体" w:eastAsia="宋体" w:cs="仿宋"/>
                <w:kern w:val="0"/>
                <w:szCs w:val="21"/>
              </w:rPr>
              <w:t>采购人</w:t>
            </w:r>
          </w:p>
        </w:tc>
        <w:tc>
          <w:tcPr>
            <w:tcW w:w="7073" w:type="dxa"/>
            <w:vAlign w:val="center"/>
          </w:tcPr>
          <w:p w14:paraId="620ABBD5">
            <w:pPr>
              <w:keepNext/>
              <w:widowControl/>
              <w:spacing w:line="360" w:lineRule="auto"/>
              <w:jc w:val="left"/>
              <w:rPr>
                <w:rFonts w:ascii="宋体" w:hAnsi="宋体" w:eastAsia="宋体" w:cs="仿宋"/>
                <w:kern w:val="0"/>
                <w:szCs w:val="21"/>
              </w:rPr>
            </w:pPr>
            <w:r>
              <w:rPr>
                <w:rFonts w:hint="eastAsia" w:ascii="宋体" w:hAnsi="宋体" w:eastAsia="宋体" w:cs="仿宋"/>
                <w:kern w:val="0"/>
                <w:szCs w:val="21"/>
              </w:rPr>
              <w:t>新疆应用职业技术学院</w:t>
            </w:r>
          </w:p>
        </w:tc>
      </w:tr>
      <w:tr w14:paraId="6833DB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85" w:hRule="atLeast"/>
          <w:jc w:val="center"/>
        </w:trPr>
        <w:tc>
          <w:tcPr>
            <w:tcW w:w="597" w:type="dxa"/>
            <w:vMerge w:val="continue"/>
            <w:vAlign w:val="center"/>
          </w:tcPr>
          <w:p w14:paraId="5861FEE8">
            <w:pPr>
              <w:spacing w:line="360" w:lineRule="auto"/>
              <w:jc w:val="center"/>
              <w:rPr>
                <w:rFonts w:ascii="宋体" w:hAnsi="宋体" w:eastAsia="宋体" w:cs="仿宋"/>
                <w:kern w:val="0"/>
                <w:szCs w:val="21"/>
              </w:rPr>
            </w:pPr>
          </w:p>
        </w:tc>
        <w:tc>
          <w:tcPr>
            <w:tcW w:w="1410" w:type="dxa"/>
            <w:vAlign w:val="center"/>
          </w:tcPr>
          <w:p w14:paraId="55430B86">
            <w:pPr>
              <w:keepNext/>
              <w:widowControl/>
              <w:spacing w:line="360" w:lineRule="auto"/>
              <w:jc w:val="center"/>
              <w:rPr>
                <w:rFonts w:ascii="宋体" w:hAnsi="宋体" w:eastAsia="宋体" w:cs="仿宋"/>
                <w:kern w:val="0"/>
                <w:szCs w:val="21"/>
              </w:rPr>
            </w:pPr>
            <w:r>
              <w:rPr>
                <w:rFonts w:hint="eastAsia" w:ascii="宋体" w:hAnsi="宋体" w:eastAsia="宋体" w:cs="仿宋"/>
                <w:kern w:val="0"/>
                <w:szCs w:val="21"/>
              </w:rPr>
              <w:t>采购代理机构</w:t>
            </w:r>
          </w:p>
        </w:tc>
        <w:tc>
          <w:tcPr>
            <w:tcW w:w="7073" w:type="dxa"/>
            <w:vAlign w:val="center"/>
          </w:tcPr>
          <w:p w14:paraId="4A050AC5">
            <w:pPr>
              <w:keepNext/>
              <w:widowControl/>
              <w:spacing w:line="360" w:lineRule="auto"/>
              <w:jc w:val="left"/>
              <w:rPr>
                <w:rFonts w:ascii="宋体" w:hAnsi="宋体" w:eastAsia="宋体" w:cs="仿宋"/>
                <w:kern w:val="0"/>
                <w:szCs w:val="21"/>
              </w:rPr>
            </w:pPr>
            <w:r>
              <w:rPr>
                <w:rFonts w:hint="eastAsia" w:ascii="宋体" w:hAnsi="宋体" w:eastAsia="宋体" w:cs="仿宋"/>
                <w:kern w:val="0"/>
                <w:szCs w:val="21"/>
              </w:rPr>
              <w:t>新疆清恒招标代理有限公司</w:t>
            </w:r>
          </w:p>
        </w:tc>
      </w:tr>
      <w:tr w14:paraId="7F03BC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072DA27F">
            <w:pPr>
              <w:spacing w:line="360" w:lineRule="auto"/>
              <w:jc w:val="center"/>
              <w:rPr>
                <w:rFonts w:ascii="宋体" w:hAnsi="宋体" w:eastAsia="宋体" w:cs="仿宋"/>
                <w:kern w:val="0"/>
                <w:szCs w:val="21"/>
              </w:rPr>
            </w:pPr>
          </w:p>
        </w:tc>
        <w:tc>
          <w:tcPr>
            <w:tcW w:w="1410" w:type="dxa"/>
            <w:vAlign w:val="center"/>
          </w:tcPr>
          <w:p w14:paraId="1242FEDF">
            <w:pPr>
              <w:keepNext/>
              <w:widowControl/>
              <w:spacing w:line="360" w:lineRule="auto"/>
              <w:jc w:val="center"/>
              <w:rPr>
                <w:rFonts w:ascii="宋体" w:hAnsi="宋体" w:eastAsia="宋体" w:cs="仿宋"/>
                <w:kern w:val="0"/>
                <w:szCs w:val="21"/>
              </w:rPr>
            </w:pPr>
            <w:r>
              <w:rPr>
                <w:rFonts w:hint="eastAsia" w:ascii="宋体" w:hAnsi="宋体" w:eastAsia="宋体" w:cs="仿宋"/>
                <w:kern w:val="0"/>
                <w:szCs w:val="21"/>
              </w:rPr>
              <w:t>项目地点</w:t>
            </w:r>
          </w:p>
        </w:tc>
        <w:tc>
          <w:tcPr>
            <w:tcW w:w="7073" w:type="dxa"/>
            <w:vAlign w:val="center"/>
          </w:tcPr>
          <w:p w14:paraId="0BA246FF">
            <w:pPr>
              <w:keepNext/>
              <w:widowControl/>
              <w:spacing w:line="360" w:lineRule="auto"/>
              <w:jc w:val="left"/>
              <w:rPr>
                <w:rFonts w:ascii="宋体" w:hAnsi="宋体" w:eastAsia="宋体" w:cs="仿宋"/>
                <w:kern w:val="0"/>
                <w:szCs w:val="21"/>
              </w:rPr>
            </w:pPr>
            <w:r>
              <w:rPr>
                <w:rFonts w:hint="eastAsia" w:ascii="宋体" w:hAnsi="宋体" w:eastAsia="宋体" w:cs="仿宋"/>
                <w:kern w:val="0"/>
                <w:szCs w:val="21"/>
              </w:rPr>
              <w:t>奎屯市</w:t>
            </w:r>
          </w:p>
        </w:tc>
      </w:tr>
      <w:tr w14:paraId="57D86D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4AA8CD71">
            <w:pPr>
              <w:spacing w:line="360" w:lineRule="auto"/>
              <w:jc w:val="center"/>
              <w:rPr>
                <w:rFonts w:ascii="宋体" w:hAnsi="宋体" w:eastAsia="宋体" w:cs="仿宋"/>
                <w:kern w:val="0"/>
                <w:szCs w:val="21"/>
              </w:rPr>
            </w:pPr>
          </w:p>
        </w:tc>
        <w:tc>
          <w:tcPr>
            <w:tcW w:w="1410" w:type="dxa"/>
            <w:vAlign w:val="center"/>
          </w:tcPr>
          <w:p w14:paraId="740B268D">
            <w:pPr>
              <w:keepNext/>
              <w:widowControl/>
              <w:spacing w:line="360" w:lineRule="auto"/>
              <w:jc w:val="center"/>
              <w:rPr>
                <w:rFonts w:ascii="宋体" w:hAnsi="宋体" w:eastAsia="宋体" w:cs="仿宋"/>
                <w:kern w:val="0"/>
                <w:szCs w:val="21"/>
              </w:rPr>
            </w:pPr>
            <w:r>
              <w:rPr>
                <w:rFonts w:hint="eastAsia" w:ascii="宋体" w:hAnsi="宋体" w:eastAsia="宋体" w:cs="仿宋"/>
                <w:kern w:val="0"/>
                <w:szCs w:val="21"/>
              </w:rPr>
              <w:t>资金来源</w:t>
            </w:r>
          </w:p>
        </w:tc>
        <w:tc>
          <w:tcPr>
            <w:tcW w:w="7073" w:type="dxa"/>
            <w:vAlign w:val="center"/>
          </w:tcPr>
          <w:p w14:paraId="4DB1A383">
            <w:pPr>
              <w:keepNext/>
              <w:widowControl/>
              <w:spacing w:line="360" w:lineRule="auto"/>
              <w:jc w:val="left"/>
              <w:rPr>
                <w:rFonts w:ascii="宋体" w:hAnsi="宋体" w:eastAsia="宋体" w:cs="仿宋"/>
                <w:kern w:val="0"/>
                <w:szCs w:val="21"/>
              </w:rPr>
            </w:pPr>
            <w:r>
              <w:rPr>
                <w:rFonts w:hint="eastAsia" w:ascii="宋体" w:hAnsi="宋体" w:eastAsia="宋体" w:cs="仿宋"/>
                <w:kern w:val="0"/>
                <w:szCs w:val="21"/>
              </w:rPr>
              <w:t>财政资金</w:t>
            </w:r>
          </w:p>
        </w:tc>
      </w:tr>
      <w:tr w14:paraId="3AD7EC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15A50C54">
            <w:pPr>
              <w:spacing w:line="360" w:lineRule="auto"/>
              <w:jc w:val="center"/>
              <w:rPr>
                <w:rFonts w:ascii="宋体" w:hAnsi="宋体" w:eastAsia="宋体" w:cs="仿宋"/>
                <w:kern w:val="0"/>
                <w:szCs w:val="21"/>
              </w:rPr>
            </w:pPr>
          </w:p>
        </w:tc>
        <w:tc>
          <w:tcPr>
            <w:tcW w:w="1410" w:type="dxa"/>
            <w:vAlign w:val="center"/>
          </w:tcPr>
          <w:p w14:paraId="58FC552E">
            <w:pPr>
              <w:keepNext/>
              <w:widowControl/>
              <w:spacing w:line="360" w:lineRule="auto"/>
              <w:jc w:val="center"/>
              <w:rPr>
                <w:rFonts w:ascii="宋体" w:hAnsi="宋体" w:eastAsia="宋体" w:cs="仿宋"/>
                <w:kern w:val="0"/>
                <w:szCs w:val="21"/>
              </w:rPr>
            </w:pPr>
            <w:r>
              <w:rPr>
                <w:rFonts w:hint="eastAsia" w:ascii="宋体" w:hAnsi="宋体" w:eastAsia="宋体" w:cs="仿宋"/>
                <w:kern w:val="0"/>
                <w:szCs w:val="21"/>
              </w:rPr>
              <w:t>采购预算金额</w:t>
            </w:r>
          </w:p>
        </w:tc>
        <w:tc>
          <w:tcPr>
            <w:tcW w:w="7073" w:type="dxa"/>
            <w:vAlign w:val="center"/>
          </w:tcPr>
          <w:p w14:paraId="169EDEC7">
            <w:pPr>
              <w:keepNext/>
              <w:widowControl/>
              <w:spacing w:line="360" w:lineRule="auto"/>
              <w:jc w:val="left"/>
              <w:rPr>
                <w:rFonts w:ascii="宋体" w:hAnsi="宋体" w:eastAsia="宋体" w:cs="仿宋"/>
              </w:rPr>
            </w:pPr>
            <w:r>
              <w:rPr>
                <w:rFonts w:ascii="宋体" w:hAnsi="宋体" w:eastAsia="宋体" w:cs="仿宋"/>
              </w:rPr>
              <w:t>1300000</w:t>
            </w:r>
            <w:r>
              <w:rPr>
                <w:rFonts w:hint="eastAsia" w:ascii="宋体" w:hAnsi="宋体" w:eastAsia="宋体" w:cs="仿宋"/>
              </w:rPr>
              <w:t>元</w:t>
            </w:r>
          </w:p>
        </w:tc>
      </w:tr>
      <w:tr w14:paraId="2E2F74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1B1A1E07">
            <w:pPr>
              <w:spacing w:line="360" w:lineRule="auto"/>
              <w:jc w:val="center"/>
              <w:rPr>
                <w:rFonts w:ascii="宋体" w:hAnsi="宋体" w:eastAsia="宋体" w:cs="仿宋"/>
                <w:kern w:val="0"/>
                <w:szCs w:val="21"/>
              </w:rPr>
            </w:pPr>
          </w:p>
        </w:tc>
        <w:tc>
          <w:tcPr>
            <w:tcW w:w="1410" w:type="dxa"/>
            <w:vAlign w:val="center"/>
          </w:tcPr>
          <w:p w14:paraId="6845DDF0">
            <w:pPr>
              <w:keepNext/>
              <w:widowControl/>
              <w:spacing w:line="360" w:lineRule="auto"/>
              <w:jc w:val="center"/>
              <w:rPr>
                <w:rFonts w:ascii="宋体" w:hAnsi="宋体" w:eastAsia="宋体" w:cs="仿宋"/>
                <w:kern w:val="0"/>
                <w:szCs w:val="21"/>
              </w:rPr>
            </w:pPr>
            <w:r>
              <w:rPr>
                <w:rFonts w:hint="eastAsia" w:ascii="宋体" w:hAnsi="宋体" w:eastAsia="宋体" w:cs="仿宋"/>
                <w:kern w:val="0"/>
                <w:szCs w:val="21"/>
              </w:rPr>
              <w:t>是否单一产品</w:t>
            </w:r>
          </w:p>
        </w:tc>
        <w:tc>
          <w:tcPr>
            <w:tcW w:w="7073" w:type="dxa"/>
            <w:vAlign w:val="center"/>
          </w:tcPr>
          <w:p w14:paraId="2ACB33CF">
            <w:pPr>
              <w:keepNext/>
              <w:widowControl/>
              <w:spacing w:line="360" w:lineRule="auto"/>
              <w:jc w:val="left"/>
              <w:rPr>
                <w:rFonts w:ascii="宋体" w:hAnsi="宋体" w:eastAsia="宋体" w:cs="仿宋"/>
                <w:kern w:val="0"/>
                <w:szCs w:val="21"/>
              </w:rPr>
            </w:pPr>
            <w:r>
              <w:rPr>
                <w:rFonts w:hint="eastAsia" w:ascii="宋体" w:hAnsi="宋体" w:eastAsia="宋体" w:cs="仿宋"/>
                <w:kern w:val="0"/>
                <w:szCs w:val="21"/>
              </w:rPr>
              <w:t>否，核心产品为：朗读亭、瀑布流移动阅读借阅机</w:t>
            </w:r>
          </w:p>
        </w:tc>
      </w:tr>
      <w:tr w14:paraId="329413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08CEBB23">
            <w:pPr>
              <w:spacing w:line="360" w:lineRule="auto"/>
              <w:jc w:val="center"/>
              <w:rPr>
                <w:rFonts w:ascii="宋体" w:hAnsi="宋体" w:eastAsia="宋体" w:cs="仿宋"/>
                <w:kern w:val="0"/>
                <w:szCs w:val="21"/>
              </w:rPr>
            </w:pPr>
          </w:p>
        </w:tc>
        <w:tc>
          <w:tcPr>
            <w:tcW w:w="1410" w:type="dxa"/>
            <w:vAlign w:val="center"/>
          </w:tcPr>
          <w:p w14:paraId="2771EAB3">
            <w:pPr>
              <w:keepNext/>
              <w:widowControl/>
              <w:spacing w:line="360" w:lineRule="auto"/>
              <w:jc w:val="center"/>
              <w:rPr>
                <w:rFonts w:ascii="宋体" w:hAnsi="宋体" w:eastAsia="宋体" w:cs="仿宋"/>
                <w:szCs w:val="21"/>
              </w:rPr>
            </w:pPr>
            <w:r>
              <w:rPr>
                <w:rFonts w:hint="eastAsia" w:ascii="宋体" w:hAnsi="宋体" w:eastAsia="宋体" w:cs="仿宋"/>
                <w:kern w:val="0"/>
                <w:szCs w:val="21"/>
              </w:rPr>
              <w:t>合同履约期限</w:t>
            </w:r>
          </w:p>
        </w:tc>
        <w:tc>
          <w:tcPr>
            <w:tcW w:w="7073" w:type="dxa"/>
            <w:vAlign w:val="center"/>
          </w:tcPr>
          <w:p w14:paraId="5B02B79F">
            <w:pPr>
              <w:spacing w:line="360" w:lineRule="auto"/>
              <w:jc w:val="left"/>
              <w:rPr>
                <w:rFonts w:ascii="宋体" w:hAnsi="宋体" w:eastAsia="宋体" w:cs="仿宋"/>
                <w:szCs w:val="21"/>
              </w:rPr>
            </w:pPr>
            <w:r>
              <w:rPr>
                <w:rFonts w:hint="eastAsia" w:ascii="宋体" w:hAnsi="宋体" w:eastAsia="宋体" w:cs="仿宋"/>
                <w:szCs w:val="21"/>
              </w:rPr>
              <w:t>自合同签订之日起30个日历日完成安装调试并交付采购人使用</w:t>
            </w:r>
          </w:p>
        </w:tc>
      </w:tr>
      <w:tr w14:paraId="1E3931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7E50EEC5">
            <w:pPr>
              <w:spacing w:line="360" w:lineRule="auto"/>
              <w:jc w:val="center"/>
              <w:rPr>
                <w:rFonts w:ascii="宋体" w:hAnsi="宋体" w:eastAsia="宋体" w:cs="仿宋"/>
                <w:kern w:val="0"/>
                <w:szCs w:val="21"/>
              </w:rPr>
            </w:pPr>
          </w:p>
        </w:tc>
        <w:tc>
          <w:tcPr>
            <w:tcW w:w="1410" w:type="dxa"/>
            <w:vAlign w:val="center"/>
          </w:tcPr>
          <w:p w14:paraId="0B0A5AE4">
            <w:pPr>
              <w:keepNext/>
              <w:widowControl/>
              <w:spacing w:line="360" w:lineRule="auto"/>
              <w:jc w:val="center"/>
              <w:rPr>
                <w:rFonts w:ascii="宋体" w:hAnsi="宋体" w:eastAsia="宋体" w:cs="仿宋"/>
                <w:kern w:val="0"/>
                <w:szCs w:val="21"/>
              </w:rPr>
            </w:pPr>
            <w:r>
              <w:rPr>
                <w:rFonts w:hint="eastAsia" w:ascii="宋体" w:hAnsi="宋体" w:eastAsia="宋体" w:cs="仿宋"/>
                <w:kern w:val="0"/>
                <w:szCs w:val="21"/>
              </w:rPr>
              <w:t>供货地点</w:t>
            </w:r>
          </w:p>
        </w:tc>
        <w:tc>
          <w:tcPr>
            <w:tcW w:w="7073" w:type="dxa"/>
            <w:vAlign w:val="center"/>
          </w:tcPr>
          <w:p w14:paraId="2200EC9D">
            <w:pPr>
              <w:keepNext/>
              <w:widowControl/>
              <w:spacing w:line="360" w:lineRule="auto"/>
              <w:jc w:val="left"/>
              <w:rPr>
                <w:rFonts w:ascii="宋体" w:hAnsi="宋体" w:eastAsia="宋体" w:cs="仿宋"/>
                <w:kern w:val="0"/>
                <w:szCs w:val="21"/>
              </w:rPr>
            </w:pPr>
            <w:r>
              <w:rPr>
                <w:rFonts w:hint="eastAsia" w:ascii="宋体" w:hAnsi="宋体" w:eastAsia="宋体" w:cs="仿宋"/>
                <w:szCs w:val="21"/>
              </w:rPr>
              <w:t>采购人指定地点</w:t>
            </w:r>
          </w:p>
        </w:tc>
      </w:tr>
      <w:tr w14:paraId="02ABFB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63206563">
            <w:pPr>
              <w:spacing w:line="360" w:lineRule="auto"/>
              <w:jc w:val="center"/>
              <w:rPr>
                <w:rFonts w:ascii="宋体" w:hAnsi="宋体" w:eastAsia="宋体" w:cs="仿宋"/>
                <w:kern w:val="0"/>
                <w:szCs w:val="21"/>
              </w:rPr>
            </w:pPr>
          </w:p>
        </w:tc>
        <w:tc>
          <w:tcPr>
            <w:tcW w:w="1410" w:type="dxa"/>
            <w:vAlign w:val="center"/>
          </w:tcPr>
          <w:p w14:paraId="003D9625">
            <w:pPr>
              <w:keepNext/>
              <w:widowControl/>
              <w:spacing w:line="360" w:lineRule="auto"/>
              <w:jc w:val="center"/>
              <w:rPr>
                <w:rFonts w:ascii="宋体" w:hAnsi="宋体" w:eastAsia="宋体" w:cs="仿宋"/>
                <w:kern w:val="0"/>
                <w:szCs w:val="21"/>
              </w:rPr>
            </w:pPr>
            <w:r>
              <w:rPr>
                <w:rFonts w:ascii="宋体" w:hAnsi="宋体" w:eastAsia="宋体" w:cs="仿宋"/>
                <w:kern w:val="0"/>
                <w:szCs w:val="21"/>
              </w:rPr>
              <w:t>质保期</w:t>
            </w:r>
          </w:p>
        </w:tc>
        <w:tc>
          <w:tcPr>
            <w:tcW w:w="7073" w:type="dxa"/>
            <w:vAlign w:val="center"/>
          </w:tcPr>
          <w:p w14:paraId="60091734">
            <w:pPr>
              <w:keepNext/>
              <w:widowControl/>
              <w:spacing w:line="360" w:lineRule="auto"/>
              <w:jc w:val="left"/>
              <w:rPr>
                <w:rFonts w:ascii="宋体" w:hAnsi="宋体" w:eastAsia="宋体" w:cs="仿宋"/>
                <w:kern w:val="0"/>
                <w:szCs w:val="21"/>
              </w:rPr>
            </w:pPr>
            <w:r>
              <w:rPr>
                <w:rFonts w:hint="eastAsia" w:ascii="宋体" w:hAnsi="宋体" w:eastAsia="宋体" w:cs="仿宋"/>
                <w:kern w:val="0"/>
                <w:szCs w:val="21"/>
              </w:rPr>
              <w:t>最少三年</w:t>
            </w:r>
          </w:p>
        </w:tc>
      </w:tr>
      <w:tr w14:paraId="2CBE0C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67BC21B1">
            <w:pPr>
              <w:spacing w:line="360" w:lineRule="auto"/>
              <w:jc w:val="center"/>
              <w:rPr>
                <w:rFonts w:ascii="宋体" w:hAnsi="宋体" w:eastAsia="宋体" w:cs="仿宋"/>
                <w:kern w:val="0"/>
                <w:szCs w:val="21"/>
              </w:rPr>
            </w:pPr>
            <w:r>
              <w:rPr>
                <w:rFonts w:hint="eastAsia" w:ascii="宋体" w:hAnsi="宋体" w:eastAsia="宋体" w:cs="仿宋"/>
                <w:kern w:val="0"/>
                <w:szCs w:val="21"/>
              </w:rPr>
              <w:t>2</w:t>
            </w:r>
          </w:p>
        </w:tc>
        <w:tc>
          <w:tcPr>
            <w:tcW w:w="1410" w:type="dxa"/>
            <w:vAlign w:val="center"/>
          </w:tcPr>
          <w:p w14:paraId="2377D7B1">
            <w:pPr>
              <w:keepNext/>
              <w:widowControl/>
              <w:spacing w:line="360" w:lineRule="auto"/>
              <w:jc w:val="center"/>
              <w:rPr>
                <w:rFonts w:ascii="宋体" w:hAnsi="宋体" w:eastAsia="宋体" w:cs="仿宋"/>
                <w:kern w:val="0"/>
                <w:szCs w:val="21"/>
              </w:rPr>
            </w:pPr>
            <w:r>
              <w:rPr>
                <w:rFonts w:hint="eastAsia" w:ascii="宋体" w:hAnsi="宋体" w:eastAsia="宋体" w:cs="仿宋"/>
                <w:kern w:val="0"/>
                <w:szCs w:val="21"/>
              </w:rPr>
              <w:t>采购范围</w:t>
            </w:r>
          </w:p>
        </w:tc>
        <w:tc>
          <w:tcPr>
            <w:tcW w:w="7073" w:type="dxa"/>
            <w:vAlign w:val="center"/>
          </w:tcPr>
          <w:p w14:paraId="34C504EF">
            <w:pPr>
              <w:keepNext/>
              <w:widowControl/>
              <w:spacing w:line="360" w:lineRule="auto"/>
              <w:jc w:val="left"/>
              <w:rPr>
                <w:rFonts w:ascii="宋体" w:hAnsi="宋体" w:eastAsia="宋体" w:cs="仿宋"/>
                <w:kern w:val="0"/>
                <w:szCs w:val="21"/>
              </w:rPr>
            </w:pPr>
            <w:r>
              <w:rPr>
                <w:rFonts w:hint="eastAsia" w:ascii="宋体" w:hAnsi="宋体" w:eastAsia="宋体" w:cs="仿宋"/>
                <w:kern w:val="0"/>
                <w:szCs w:val="21"/>
              </w:rPr>
              <w:t>新疆应用职业技术学院新图书馆智慧体验设备采购项目范围内的所有工作内容，关于采购范围的详细说明见招标文件第四章“技术标准和要求”。</w:t>
            </w:r>
          </w:p>
        </w:tc>
      </w:tr>
      <w:tr w14:paraId="28315A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594F72E2">
            <w:pPr>
              <w:spacing w:line="360" w:lineRule="auto"/>
              <w:jc w:val="center"/>
              <w:rPr>
                <w:rFonts w:ascii="宋体" w:hAnsi="宋体" w:eastAsia="宋体" w:cs="仿宋"/>
                <w:kern w:val="0"/>
                <w:szCs w:val="21"/>
              </w:rPr>
            </w:pPr>
            <w:r>
              <w:rPr>
                <w:rFonts w:hint="eastAsia" w:ascii="宋体" w:hAnsi="宋体" w:eastAsia="宋体" w:cs="仿宋"/>
                <w:kern w:val="0"/>
                <w:szCs w:val="21"/>
              </w:rPr>
              <w:t>3</w:t>
            </w:r>
          </w:p>
        </w:tc>
        <w:tc>
          <w:tcPr>
            <w:tcW w:w="1410" w:type="dxa"/>
            <w:vAlign w:val="center"/>
          </w:tcPr>
          <w:p w14:paraId="04CC633E">
            <w:pPr>
              <w:keepNext/>
              <w:widowControl/>
              <w:spacing w:line="360" w:lineRule="auto"/>
              <w:jc w:val="center"/>
              <w:rPr>
                <w:rFonts w:ascii="宋体" w:hAnsi="宋体" w:eastAsia="宋体" w:cs="仿宋"/>
                <w:kern w:val="0"/>
                <w:szCs w:val="21"/>
              </w:rPr>
            </w:pPr>
            <w:r>
              <w:rPr>
                <w:rFonts w:hint="eastAsia" w:ascii="宋体" w:hAnsi="宋体" w:eastAsia="宋体" w:cs="仿宋"/>
                <w:kern w:val="0"/>
                <w:szCs w:val="21"/>
              </w:rPr>
              <w:t>采购方式</w:t>
            </w:r>
          </w:p>
        </w:tc>
        <w:tc>
          <w:tcPr>
            <w:tcW w:w="7073" w:type="dxa"/>
            <w:vAlign w:val="center"/>
          </w:tcPr>
          <w:p w14:paraId="5DC28AC8">
            <w:pPr>
              <w:keepNext/>
              <w:widowControl/>
              <w:spacing w:line="360" w:lineRule="auto"/>
              <w:jc w:val="left"/>
              <w:rPr>
                <w:rFonts w:ascii="宋体" w:hAnsi="宋体" w:eastAsia="宋体" w:cs="仿宋"/>
                <w:kern w:val="0"/>
                <w:szCs w:val="21"/>
              </w:rPr>
            </w:pPr>
            <w:r>
              <w:rPr>
                <w:rFonts w:hint="eastAsia" w:ascii="宋体" w:hAnsi="宋体" w:eastAsia="宋体" w:cs="仿宋"/>
                <w:kern w:val="0"/>
                <w:szCs w:val="21"/>
              </w:rPr>
              <w:t>公开招标</w:t>
            </w:r>
          </w:p>
        </w:tc>
      </w:tr>
      <w:tr w14:paraId="780B4C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0B159CEF">
            <w:pPr>
              <w:spacing w:line="360" w:lineRule="auto"/>
              <w:jc w:val="center"/>
              <w:rPr>
                <w:rFonts w:ascii="宋体" w:hAnsi="宋体" w:eastAsia="宋体" w:cs="仿宋"/>
                <w:kern w:val="0"/>
                <w:szCs w:val="21"/>
              </w:rPr>
            </w:pPr>
          </w:p>
        </w:tc>
        <w:tc>
          <w:tcPr>
            <w:tcW w:w="1410" w:type="dxa"/>
            <w:vAlign w:val="center"/>
          </w:tcPr>
          <w:p w14:paraId="1B1CE0A4">
            <w:pPr>
              <w:keepNext/>
              <w:widowControl/>
              <w:spacing w:line="360" w:lineRule="auto"/>
              <w:jc w:val="center"/>
              <w:rPr>
                <w:rFonts w:ascii="宋体" w:hAnsi="宋体" w:eastAsia="宋体" w:cs="仿宋"/>
                <w:kern w:val="0"/>
                <w:szCs w:val="21"/>
              </w:rPr>
            </w:pPr>
            <w:r>
              <w:rPr>
                <w:rFonts w:hint="eastAsia" w:ascii="宋体" w:hAnsi="宋体" w:eastAsia="宋体" w:cs="仿宋"/>
                <w:kern w:val="0"/>
                <w:szCs w:val="21"/>
              </w:rPr>
              <w:t>资格审查方式</w:t>
            </w:r>
          </w:p>
        </w:tc>
        <w:tc>
          <w:tcPr>
            <w:tcW w:w="7073" w:type="dxa"/>
            <w:vAlign w:val="center"/>
          </w:tcPr>
          <w:p w14:paraId="57389E3A">
            <w:pPr>
              <w:keepNext/>
              <w:widowControl/>
              <w:spacing w:line="360" w:lineRule="auto"/>
              <w:jc w:val="left"/>
              <w:rPr>
                <w:rFonts w:ascii="宋体" w:hAnsi="宋体" w:eastAsia="宋体" w:cs="仿宋"/>
                <w:kern w:val="0"/>
                <w:szCs w:val="21"/>
              </w:rPr>
            </w:pPr>
            <w:r>
              <w:rPr>
                <w:rFonts w:hint="eastAsia" w:ascii="宋体" w:hAnsi="宋体" w:eastAsia="宋体" w:cs="仿宋"/>
                <w:kern w:val="0"/>
                <w:szCs w:val="21"/>
              </w:rPr>
              <w:t>资格后审</w:t>
            </w:r>
          </w:p>
        </w:tc>
      </w:tr>
      <w:tr w14:paraId="30D215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6B49522A">
            <w:pPr>
              <w:spacing w:line="360" w:lineRule="auto"/>
              <w:jc w:val="center"/>
              <w:rPr>
                <w:rFonts w:ascii="宋体" w:hAnsi="宋体" w:eastAsia="宋体" w:cs="仿宋"/>
                <w:kern w:val="0"/>
                <w:szCs w:val="21"/>
              </w:rPr>
            </w:pPr>
            <w:r>
              <w:rPr>
                <w:rFonts w:hint="eastAsia" w:ascii="宋体" w:hAnsi="宋体" w:eastAsia="宋体" w:cs="仿宋"/>
                <w:kern w:val="0"/>
                <w:szCs w:val="21"/>
              </w:rPr>
              <w:t>4</w:t>
            </w:r>
          </w:p>
        </w:tc>
        <w:tc>
          <w:tcPr>
            <w:tcW w:w="1410" w:type="dxa"/>
            <w:vAlign w:val="center"/>
          </w:tcPr>
          <w:p w14:paraId="10A965BE">
            <w:pPr>
              <w:keepNext/>
              <w:widowControl/>
              <w:spacing w:line="360" w:lineRule="auto"/>
              <w:jc w:val="center"/>
              <w:rPr>
                <w:rFonts w:ascii="宋体" w:hAnsi="宋体" w:eastAsia="宋体" w:cs="仿宋"/>
                <w:kern w:val="0"/>
                <w:szCs w:val="21"/>
              </w:rPr>
            </w:pPr>
            <w:r>
              <w:rPr>
                <w:rFonts w:hint="eastAsia" w:ascii="宋体" w:hAnsi="宋体" w:eastAsia="宋体" w:cs="仿宋"/>
                <w:kern w:val="0"/>
                <w:szCs w:val="21"/>
              </w:rPr>
              <w:t>评审办法</w:t>
            </w:r>
          </w:p>
        </w:tc>
        <w:tc>
          <w:tcPr>
            <w:tcW w:w="7073" w:type="dxa"/>
            <w:vAlign w:val="center"/>
          </w:tcPr>
          <w:p w14:paraId="671F8F1B">
            <w:pPr>
              <w:keepNext/>
              <w:widowControl/>
              <w:spacing w:line="360" w:lineRule="auto"/>
              <w:jc w:val="left"/>
              <w:rPr>
                <w:rFonts w:ascii="宋体" w:hAnsi="宋体" w:eastAsia="宋体" w:cs="仿宋"/>
                <w:kern w:val="0"/>
                <w:szCs w:val="21"/>
              </w:rPr>
            </w:pPr>
            <w:r>
              <w:rPr>
                <w:rFonts w:hint="eastAsia" w:ascii="宋体" w:hAnsi="宋体" w:eastAsia="宋体" w:cs="仿宋"/>
                <w:kern w:val="0"/>
                <w:szCs w:val="21"/>
              </w:rPr>
              <w:t>综合评分法</w:t>
            </w:r>
          </w:p>
        </w:tc>
      </w:tr>
      <w:tr w14:paraId="4CA35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3AEAE894">
            <w:pPr>
              <w:spacing w:line="360" w:lineRule="auto"/>
              <w:jc w:val="center"/>
              <w:rPr>
                <w:rFonts w:ascii="宋体" w:hAnsi="宋体" w:eastAsia="宋体" w:cs="仿宋"/>
                <w:kern w:val="0"/>
                <w:szCs w:val="21"/>
              </w:rPr>
            </w:pPr>
          </w:p>
        </w:tc>
        <w:tc>
          <w:tcPr>
            <w:tcW w:w="1410" w:type="dxa"/>
            <w:vAlign w:val="center"/>
          </w:tcPr>
          <w:p w14:paraId="372AAC7B">
            <w:pPr>
              <w:keepNext/>
              <w:widowControl/>
              <w:spacing w:line="360" w:lineRule="auto"/>
              <w:jc w:val="center"/>
              <w:rPr>
                <w:rFonts w:ascii="宋体" w:hAnsi="宋体" w:eastAsia="宋体" w:cs="仿宋"/>
                <w:kern w:val="0"/>
                <w:szCs w:val="21"/>
              </w:rPr>
            </w:pPr>
            <w:r>
              <w:rPr>
                <w:rFonts w:hint="eastAsia" w:ascii="宋体" w:hAnsi="宋体" w:eastAsia="宋体" w:cs="仿宋"/>
                <w:kern w:val="0"/>
                <w:szCs w:val="21"/>
              </w:rPr>
              <w:t>定标方法</w:t>
            </w:r>
          </w:p>
        </w:tc>
        <w:tc>
          <w:tcPr>
            <w:tcW w:w="7073" w:type="dxa"/>
            <w:vAlign w:val="center"/>
          </w:tcPr>
          <w:p w14:paraId="2B493812">
            <w:pPr>
              <w:keepNext/>
              <w:widowControl/>
              <w:spacing w:line="360" w:lineRule="auto"/>
              <w:jc w:val="left"/>
              <w:rPr>
                <w:rFonts w:ascii="宋体" w:hAnsi="宋体" w:eastAsia="宋体" w:cs="仿宋"/>
                <w:kern w:val="0"/>
                <w:szCs w:val="21"/>
              </w:rPr>
            </w:pPr>
            <w:r>
              <w:rPr>
                <w:rFonts w:hint="eastAsia" w:ascii="宋体" w:hAnsi="宋体" w:eastAsia="宋体" w:cs="仿宋"/>
                <w:kern w:val="0"/>
                <w:szCs w:val="21"/>
              </w:rPr>
              <w:t>评标委员会推荐三名中标候选人</w:t>
            </w:r>
          </w:p>
        </w:tc>
      </w:tr>
      <w:tr w14:paraId="134233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6C91449A">
            <w:pPr>
              <w:spacing w:line="360" w:lineRule="auto"/>
              <w:jc w:val="center"/>
              <w:rPr>
                <w:rFonts w:ascii="宋体" w:hAnsi="宋体" w:eastAsia="宋体" w:cs="仿宋"/>
                <w:kern w:val="0"/>
                <w:szCs w:val="21"/>
              </w:rPr>
            </w:pPr>
            <w:r>
              <w:rPr>
                <w:rFonts w:hint="eastAsia" w:ascii="宋体" w:hAnsi="宋体" w:eastAsia="宋体" w:cs="仿宋"/>
                <w:kern w:val="0"/>
                <w:szCs w:val="21"/>
              </w:rPr>
              <w:t>5</w:t>
            </w:r>
          </w:p>
        </w:tc>
        <w:tc>
          <w:tcPr>
            <w:tcW w:w="1410" w:type="dxa"/>
            <w:vAlign w:val="center"/>
          </w:tcPr>
          <w:p w14:paraId="5BBEB3BF">
            <w:pPr>
              <w:keepNext/>
              <w:widowControl/>
              <w:spacing w:line="360" w:lineRule="auto"/>
              <w:jc w:val="center"/>
              <w:rPr>
                <w:rFonts w:ascii="宋体" w:hAnsi="宋体" w:eastAsia="宋体" w:cs="仿宋"/>
                <w:kern w:val="0"/>
                <w:szCs w:val="21"/>
              </w:rPr>
            </w:pPr>
            <w:r>
              <w:rPr>
                <w:rFonts w:hint="eastAsia" w:ascii="宋体" w:hAnsi="宋体" w:eastAsia="宋体" w:cs="仿宋"/>
                <w:kern w:val="0"/>
                <w:szCs w:val="21"/>
              </w:rPr>
              <w:t>投标人资格条件和能力</w:t>
            </w:r>
          </w:p>
        </w:tc>
        <w:tc>
          <w:tcPr>
            <w:tcW w:w="7073" w:type="dxa"/>
            <w:vAlign w:val="center"/>
          </w:tcPr>
          <w:p w14:paraId="7F8A2052">
            <w:pPr>
              <w:keepNext/>
              <w:widowControl/>
              <w:spacing w:line="360" w:lineRule="auto"/>
              <w:jc w:val="left"/>
              <w:rPr>
                <w:rFonts w:ascii="宋体" w:hAnsi="宋体" w:eastAsia="宋体" w:cs="仿宋"/>
                <w:kern w:val="0"/>
                <w:szCs w:val="21"/>
              </w:rPr>
            </w:pPr>
            <w:r>
              <w:rPr>
                <w:rFonts w:hint="eastAsia" w:ascii="宋体" w:hAnsi="宋体" w:eastAsia="宋体" w:cs="仿宋"/>
                <w:kern w:val="0"/>
                <w:szCs w:val="21"/>
              </w:rPr>
              <w:t>1、满足《中华人民共和国政府采购法》第二十二条规定：</w:t>
            </w:r>
          </w:p>
          <w:p w14:paraId="450BC1C3">
            <w:pPr>
              <w:keepNext/>
              <w:widowControl/>
              <w:spacing w:line="360" w:lineRule="auto"/>
              <w:jc w:val="left"/>
              <w:rPr>
                <w:rFonts w:ascii="宋体" w:hAnsi="宋体" w:eastAsia="宋体" w:cs="仿宋"/>
                <w:kern w:val="0"/>
                <w:szCs w:val="21"/>
              </w:rPr>
            </w:pPr>
            <w:r>
              <w:rPr>
                <w:rFonts w:hint="eastAsia" w:ascii="宋体" w:hAnsi="宋体" w:eastAsia="宋体" w:cs="仿宋"/>
                <w:kern w:val="0"/>
                <w:szCs w:val="21"/>
              </w:rPr>
              <w:t>①具有独立承担民事责任的能力；</w:t>
            </w:r>
          </w:p>
          <w:p w14:paraId="13B98920">
            <w:pPr>
              <w:keepNext/>
              <w:widowControl/>
              <w:spacing w:line="360" w:lineRule="auto"/>
              <w:jc w:val="left"/>
              <w:rPr>
                <w:rFonts w:ascii="宋体" w:hAnsi="宋体" w:eastAsia="宋体" w:cs="仿宋"/>
                <w:kern w:val="0"/>
                <w:szCs w:val="21"/>
              </w:rPr>
            </w:pPr>
            <w:r>
              <w:rPr>
                <w:rFonts w:hint="eastAsia" w:ascii="宋体" w:hAnsi="宋体" w:eastAsia="宋体" w:cs="仿宋"/>
                <w:kern w:val="0"/>
                <w:szCs w:val="21"/>
              </w:rPr>
              <w:t xml:space="preserve">②具有良好的商业信誉和健全的财务会计制度； </w:t>
            </w:r>
          </w:p>
          <w:p w14:paraId="7A880136">
            <w:pPr>
              <w:keepNext/>
              <w:widowControl/>
              <w:spacing w:line="360" w:lineRule="auto"/>
              <w:jc w:val="left"/>
              <w:rPr>
                <w:rFonts w:ascii="宋体" w:hAnsi="宋体" w:eastAsia="宋体" w:cs="仿宋"/>
                <w:kern w:val="0"/>
                <w:szCs w:val="21"/>
              </w:rPr>
            </w:pPr>
            <w:r>
              <w:rPr>
                <w:rFonts w:hint="eastAsia" w:ascii="宋体" w:hAnsi="宋体" w:eastAsia="宋体" w:cs="仿宋"/>
                <w:kern w:val="0"/>
                <w:szCs w:val="21"/>
              </w:rPr>
              <w:t>③具有履行合同所必需的设备和专业技术能力；</w:t>
            </w:r>
          </w:p>
          <w:p w14:paraId="5B2B4E28">
            <w:pPr>
              <w:keepNext/>
              <w:widowControl/>
              <w:spacing w:line="360" w:lineRule="auto"/>
              <w:jc w:val="left"/>
              <w:rPr>
                <w:rFonts w:ascii="宋体" w:hAnsi="宋体" w:eastAsia="宋体" w:cs="仿宋"/>
                <w:kern w:val="0"/>
                <w:szCs w:val="21"/>
              </w:rPr>
            </w:pPr>
            <w:r>
              <w:rPr>
                <w:rFonts w:hint="eastAsia" w:ascii="宋体" w:hAnsi="宋体" w:eastAsia="宋体" w:cs="仿宋"/>
                <w:kern w:val="0"/>
                <w:szCs w:val="21"/>
              </w:rPr>
              <w:t xml:space="preserve">④有依法缴纳税收和社会保障资金的良好记录； </w:t>
            </w:r>
          </w:p>
          <w:p w14:paraId="37AF423B">
            <w:pPr>
              <w:keepNext/>
              <w:widowControl/>
              <w:spacing w:line="360" w:lineRule="auto"/>
              <w:jc w:val="left"/>
              <w:rPr>
                <w:rFonts w:ascii="宋体" w:hAnsi="宋体" w:eastAsia="宋体" w:cs="仿宋"/>
                <w:kern w:val="0"/>
                <w:szCs w:val="21"/>
              </w:rPr>
            </w:pPr>
            <w:r>
              <w:rPr>
                <w:rFonts w:hint="eastAsia" w:ascii="宋体" w:hAnsi="宋体" w:eastAsia="宋体" w:cs="仿宋"/>
                <w:kern w:val="0"/>
                <w:szCs w:val="21"/>
              </w:rPr>
              <w:t>⑤近三年内，在经营活动中没有重大违法记录；</w:t>
            </w:r>
          </w:p>
          <w:p w14:paraId="38C3CDCD">
            <w:pPr>
              <w:keepNext/>
              <w:widowControl/>
              <w:spacing w:line="360" w:lineRule="auto"/>
              <w:jc w:val="left"/>
              <w:rPr>
                <w:rFonts w:ascii="宋体" w:hAnsi="宋体" w:eastAsia="宋体" w:cs="仿宋"/>
                <w:kern w:val="0"/>
                <w:szCs w:val="21"/>
              </w:rPr>
            </w:pPr>
            <w:r>
              <w:rPr>
                <w:rFonts w:hint="eastAsia" w:ascii="宋体" w:hAnsi="宋体" w:eastAsia="宋体" w:cs="仿宋"/>
                <w:kern w:val="0"/>
                <w:szCs w:val="21"/>
              </w:rPr>
              <w:t>⑥法律、行政法规规定的其他条件；</w:t>
            </w:r>
          </w:p>
          <w:p w14:paraId="6B9783EA">
            <w:pPr>
              <w:keepNext/>
              <w:widowControl/>
              <w:spacing w:line="360" w:lineRule="auto"/>
              <w:jc w:val="left"/>
              <w:rPr>
                <w:rFonts w:ascii="宋体" w:hAnsi="宋体" w:eastAsia="宋体" w:cs="仿宋"/>
                <w:kern w:val="0"/>
                <w:szCs w:val="21"/>
              </w:rPr>
            </w:pPr>
            <w:r>
              <w:rPr>
                <w:rFonts w:hint="eastAsia" w:ascii="宋体" w:hAnsi="宋体" w:eastAsia="宋体" w:cs="仿宋"/>
                <w:kern w:val="0"/>
                <w:szCs w:val="21"/>
              </w:rPr>
              <w:t>2、投标人如在“信用中国”网站（www.creditchina.gov.cn）、中国政府采购网（www.ccgp.gov.cn）等渠道被列入失信被执行人、重大税收违法失信主体、政府采购严重违法失信行为记录名单及其它不符合《中华人民共和国政府采购法》第二十二条规定条件的投标人，尚在处罚期内的将被拒绝参加本次招标活动。</w:t>
            </w:r>
          </w:p>
          <w:p w14:paraId="660D8A68">
            <w:pPr>
              <w:keepNext/>
              <w:widowControl/>
              <w:spacing w:line="360" w:lineRule="auto"/>
              <w:jc w:val="left"/>
              <w:rPr>
                <w:rFonts w:ascii="宋体" w:hAnsi="宋体" w:eastAsia="宋体" w:cs="仿宋"/>
                <w:kern w:val="0"/>
                <w:szCs w:val="21"/>
              </w:rPr>
            </w:pPr>
            <w:r>
              <w:rPr>
                <w:rFonts w:hint="eastAsia" w:ascii="宋体" w:hAnsi="宋体" w:eastAsia="宋体" w:cs="仿宋"/>
                <w:kern w:val="0"/>
                <w:szCs w:val="21"/>
              </w:rPr>
              <w:t>3、本项目专门面向中小企业（含中型、小型、微型企业）采购。</w:t>
            </w:r>
          </w:p>
        </w:tc>
      </w:tr>
      <w:tr w14:paraId="34E1A4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0A01C218">
            <w:pPr>
              <w:spacing w:line="360" w:lineRule="auto"/>
              <w:jc w:val="center"/>
              <w:rPr>
                <w:rFonts w:ascii="宋体" w:hAnsi="宋体" w:eastAsia="宋体" w:cs="仿宋"/>
                <w:kern w:val="0"/>
                <w:szCs w:val="21"/>
              </w:rPr>
            </w:pPr>
            <w:r>
              <w:rPr>
                <w:rFonts w:hint="eastAsia" w:ascii="宋体" w:hAnsi="宋体" w:eastAsia="宋体" w:cs="仿宋"/>
                <w:kern w:val="0"/>
                <w:szCs w:val="21"/>
              </w:rPr>
              <w:t>6</w:t>
            </w:r>
          </w:p>
        </w:tc>
        <w:tc>
          <w:tcPr>
            <w:tcW w:w="1410" w:type="dxa"/>
            <w:vAlign w:val="center"/>
          </w:tcPr>
          <w:p w14:paraId="76C05D9F">
            <w:pPr>
              <w:spacing w:line="360" w:lineRule="auto"/>
              <w:jc w:val="center"/>
              <w:rPr>
                <w:rFonts w:ascii="宋体" w:hAnsi="宋体" w:eastAsia="宋体" w:cs="仿宋"/>
                <w:kern w:val="0"/>
                <w:szCs w:val="21"/>
              </w:rPr>
            </w:pPr>
            <w:r>
              <w:rPr>
                <w:rFonts w:hint="eastAsia" w:ascii="宋体" w:hAnsi="宋体" w:eastAsia="宋体" w:cs="仿宋"/>
                <w:kern w:val="0"/>
                <w:szCs w:val="21"/>
              </w:rPr>
              <w:t>投标人不得存在的情形</w:t>
            </w:r>
          </w:p>
        </w:tc>
        <w:tc>
          <w:tcPr>
            <w:tcW w:w="7073" w:type="dxa"/>
            <w:vAlign w:val="center"/>
          </w:tcPr>
          <w:p w14:paraId="3BA31E25">
            <w:pPr>
              <w:keepNext/>
              <w:widowControl/>
              <w:spacing w:line="360" w:lineRule="auto"/>
              <w:jc w:val="left"/>
              <w:rPr>
                <w:rFonts w:ascii="宋体" w:hAnsi="宋体" w:eastAsia="宋体" w:cs="仿宋"/>
                <w:kern w:val="0"/>
                <w:szCs w:val="21"/>
              </w:rPr>
            </w:pPr>
            <w:r>
              <w:rPr>
                <w:rFonts w:hint="eastAsia" w:ascii="宋体" w:hAnsi="宋体" w:eastAsia="宋体" w:cs="仿宋"/>
                <w:kern w:val="0"/>
                <w:szCs w:val="21"/>
              </w:rPr>
              <w:t>1、本项目不接受联合体。</w:t>
            </w:r>
          </w:p>
          <w:p w14:paraId="2EFBC2AA">
            <w:pPr>
              <w:keepNext/>
              <w:widowControl/>
              <w:spacing w:line="360" w:lineRule="auto"/>
              <w:jc w:val="left"/>
              <w:rPr>
                <w:rFonts w:ascii="宋体" w:hAnsi="宋体" w:eastAsia="宋体" w:cs="仿宋"/>
                <w:kern w:val="0"/>
                <w:szCs w:val="21"/>
              </w:rPr>
            </w:pPr>
            <w:r>
              <w:rPr>
                <w:rFonts w:hint="eastAsia" w:ascii="宋体" w:hAnsi="宋体" w:eastAsia="宋体" w:cs="仿宋"/>
                <w:kern w:val="0"/>
                <w:szCs w:val="21"/>
              </w:rPr>
              <w:t>2、为采购项目提供整体设计、规范编制或者项目管理、监理、检测等服务的投标人，不得再参加该采购项目的其他采购活动。</w:t>
            </w:r>
          </w:p>
          <w:p w14:paraId="57F59125">
            <w:pPr>
              <w:keepNext/>
              <w:widowControl/>
              <w:spacing w:line="360" w:lineRule="auto"/>
              <w:jc w:val="left"/>
              <w:rPr>
                <w:rFonts w:ascii="宋体" w:hAnsi="宋体" w:eastAsia="宋体" w:cs="仿宋"/>
                <w:kern w:val="0"/>
                <w:szCs w:val="21"/>
              </w:rPr>
            </w:pPr>
            <w:r>
              <w:rPr>
                <w:rFonts w:hint="eastAsia" w:ascii="宋体" w:hAnsi="宋体" w:eastAsia="宋体" w:cs="仿宋"/>
                <w:kern w:val="0"/>
                <w:szCs w:val="21"/>
              </w:rPr>
              <w:t>3、单位负责人为同一人或者存在直接控股、管理关系的不同投标人不得参加本项目同一包的采购活动。</w:t>
            </w:r>
          </w:p>
          <w:p w14:paraId="19D155FC">
            <w:pPr>
              <w:keepNext/>
              <w:widowControl/>
              <w:spacing w:line="360" w:lineRule="auto"/>
              <w:jc w:val="left"/>
              <w:rPr>
                <w:rFonts w:ascii="宋体" w:hAnsi="宋体" w:eastAsia="宋体" w:cs="仿宋"/>
                <w:kern w:val="0"/>
                <w:szCs w:val="21"/>
              </w:rPr>
            </w:pPr>
            <w:r>
              <w:rPr>
                <w:rFonts w:hint="eastAsia" w:ascii="宋体" w:hAnsi="宋体" w:eastAsia="宋体" w:cs="仿宋"/>
                <w:kern w:val="0"/>
                <w:szCs w:val="21"/>
              </w:rPr>
              <w:t>4、投标人处于被责令停业、财产被接管、冻结和破产状态，以及投标资格被取消或者被暂停且在暂停期内。</w:t>
            </w:r>
          </w:p>
        </w:tc>
      </w:tr>
      <w:tr w14:paraId="03F836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02EB98CB">
            <w:pPr>
              <w:spacing w:line="360" w:lineRule="auto"/>
              <w:jc w:val="center"/>
              <w:rPr>
                <w:rFonts w:ascii="宋体" w:hAnsi="宋体" w:eastAsia="宋体" w:cs="仿宋"/>
                <w:kern w:val="0"/>
                <w:szCs w:val="21"/>
              </w:rPr>
            </w:pPr>
            <w:r>
              <w:rPr>
                <w:rFonts w:hint="eastAsia" w:ascii="宋体" w:hAnsi="宋体" w:eastAsia="宋体" w:cs="仿宋"/>
                <w:kern w:val="0"/>
                <w:szCs w:val="21"/>
              </w:rPr>
              <w:t>7</w:t>
            </w:r>
          </w:p>
        </w:tc>
        <w:tc>
          <w:tcPr>
            <w:tcW w:w="1410" w:type="dxa"/>
            <w:vAlign w:val="center"/>
          </w:tcPr>
          <w:p w14:paraId="0DB31A74">
            <w:pPr>
              <w:keepNext/>
              <w:widowControl/>
              <w:spacing w:line="360" w:lineRule="auto"/>
              <w:jc w:val="center"/>
              <w:rPr>
                <w:rFonts w:ascii="宋体" w:hAnsi="宋体" w:eastAsia="宋体" w:cs="仿宋"/>
                <w:kern w:val="0"/>
                <w:szCs w:val="21"/>
              </w:rPr>
            </w:pPr>
            <w:r>
              <w:rPr>
                <w:rFonts w:hint="eastAsia" w:ascii="宋体" w:hAnsi="宋体" w:eastAsia="宋体" w:cs="仿宋"/>
                <w:kern w:val="0"/>
                <w:szCs w:val="21"/>
              </w:rPr>
              <w:t>文件费</w:t>
            </w:r>
          </w:p>
        </w:tc>
        <w:tc>
          <w:tcPr>
            <w:tcW w:w="7073" w:type="dxa"/>
            <w:vAlign w:val="center"/>
          </w:tcPr>
          <w:p w14:paraId="5FF9B980">
            <w:pPr>
              <w:keepNext/>
              <w:widowControl/>
              <w:spacing w:line="360" w:lineRule="auto"/>
              <w:jc w:val="left"/>
              <w:rPr>
                <w:rFonts w:ascii="宋体" w:hAnsi="宋体" w:eastAsia="宋体" w:cs="仿宋"/>
                <w:kern w:val="0"/>
                <w:szCs w:val="21"/>
              </w:rPr>
            </w:pPr>
            <w:r>
              <w:rPr>
                <w:rFonts w:hint="eastAsia" w:ascii="宋体" w:hAnsi="宋体" w:eastAsia="宋体" w:cs="仿宋"/>
                <w:kern w:val="0"/>
                <w:szCs w:val="21"/>
              </w:rPr>
              <w:t>0元</w:t>
            </w:r>
          </w:p>
        </w:tc>
      </w:tr>
      <w:tr w14:paraId="5C785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45C04F0B">
            <w:pPr>
              <w:spacing w:line="360" w:lineRule="auto"/>
              <w:jc w:val="center"/>
              <w:rPr>
                <w:rFonts w:ascii="宋体" w:hAnsi="宋体" w:eastAsia="宋体" w:cs="仿宋"/>
                <w:kern w:val="0"/>
                <w:szCs w:val="21"/>
              </w:rPr>
            </w:pPr>
            <w:r>
              <w:rPr>
                <w:rFonts w:hint="eastAsia" w:ascii="宋体" w:hAnsi="宋体" w:eastAsia="宋体" w:cs="仿宋"/>
                <w:kern w:val="0"/>
                <w:szCs w:val="21"/>
              </w:rPr>
              <w:t>8</w:t>
            </w:r>
          </w:p>
        </w:tc>
        <w:tc>
          <w:tcPr>
            <w:tcW w:w="1410" w:type="dxa"/>
            <w:vAlign w:val="center"/>
          </w:tcPr>
          <w:p w14:paraId="7A0661AD">
            <w:pPr>
              <w:keepNext/>
              <w:widowControl/>
              <w:spacing w:line="360" w:lineRule="auto"/>
              <w:jc w:val="center"/>
              <w:rPr>
                <w:rFonts w:ascii="宋体" w:hAnsi="宋体" w:eastAsia="宋体" w:cs="仿宋"/>
                <w:kern w:val="0"/>
                <w:szCs w:val="21"/>
              </w:rPr>
            </w:pPr>
            <w:r>
              <w:rPr>
                <w:rFonts w:hint="eastAsia" w:ascii="宋体" w:hAnsi="宋体" w:eastAsia="宋体" w:cs="仿宋"/>
                <w:kern w:val="0"/>
                <w:szCs w:val="21"/>
              </w:rPr>
              <w:t>投标保证金</w:t>
            </w:r>
          </w:p>
        </w:tc>
        <w:tc>
          <w:tcPr>
            <w:tcW w:w="7073" w:type="dxa"/>
            <w:vAlign w:val="center"/>
          </w:tcPr>
          <w:p w14:paraId="50158527">
            <w:pPr>
              <w:keepNext/>
              <w:widowControl/>
              <w:spacing w:line="360" w:lineRule="auto"/>
              <w:jc w:val="left"/>
              <w:rPr>
                <w:rFonts w:ascii="宋体" w:hAnsi="宋体" w:eastAsia="宋体" w:cs="仿宋"/>
                <w:kern w:val="0"/>
                <w:szCs w:val="21"/>
              </w:rPr>
            </w:pPr>
            <w:r>
              <w:rPr>
                <w:rFonts w:hint="eastAsia" w:ascii="宋体" w:hAnsi="宋体" w:eastAsia="宋体" w:cs="仿宋"/>
                <w:kern w:val="0"/>
                <w:szCs w:val="21"/>
              </w:rPr>
              <w:t>26000元整</w:t>
            </w:r>
          </w:p>
          <w:p w14:paraId="01ED616E">
            <w:pPr>
              <w:keepNext/>
              <w:widowControl/>
              <w:spacing w:line="360" w:lineRule="auto"/>
              <w:jc w:val="left"/>
              <w:rPr>
                <w:rFonts w:ascii="宋体" w:hAnsi="宋体" w:eastAsia="宋体" w:cs="仿宋"/>
                <w:kern w:val="0"/>
                <w:szCs w:val="21"/>
              </w:rPr>
            </w:pPr>
            <w:r>
              <w:rPr>
                <w:rFonts w:hint="eastAsia" w:ascii="宋体" w:hAnsi="宋体" w:eastAsia="宋体" w:cs="仿宋"/>
                <w:kern w:val="0"/>
                <w:szCs w:val="21"/>
              </w:rPr>
              <w:t>谈判保证金以支票、汇票、本票或者金融机构、担保机构出具的保函等非现金形式提交至采购代理机构。</w:t>
            </w:r>
          </w:p>
          <w:p w14:paraId="4FC7D6E3">
            <w:pPr>
              <w:keepNext/>
              <w:widowControl/>
              <w:spacing w:line="360" w:lineRule="auto"/>
              <w:jc w:val="left"/>
              <w:rPr>
                <w:rFonts w:ascii="宋体" w:hAnsi="宋体" w:eastAsia="宋体" w:cs="仿宋"/>
                <w:b/>
                <w:kern w:val="0"/>
                <w:szCs w:val="21"/>
              </w:rPr>
            </w:pPr>
            <w:r>
              <w:rPr>
                <w:rFonts w:hint="eastAsia" w:ascii="宋体" w:hAnsi="宋体" w:eastAsia="宋体" w:cs="仿宋"/>
                <w:b/>
                <w:kern w:val="0"/>
                <w:szCs w:val="21"/>
              </w:rPr>
              <w:t>采购代理机构名称：新疆清恒招标代理有限公司奎屯分公司</w:t>
            </w:r>
          </w:p>
          <w:p w14:paraId="53006A3E">
            <w:pPr>
              <w:keepNext/>
              <w:widowControl/>
              <w:spacing w:line="360" w:lineRule="auto"/>
              <w:jc w:val="left"/>
              <w:rPr>
                <w:rFonts w:ascii="宋体" w:hAnsi="宋体" w:eastAsia="宋体" w:cs="仿宋"/>
                <w:b/>
                <w:kern w:val="0"/>
                <w:szCs w:val="21"/>
              </w:rPr>
            </w:pPr>
            <w:r>
              <w:rPr>
                <w:rFonts w:hint="eastAsia" w:ascii="宋体" w:hAnsi="宋体" w:eastAsia="宋体" w:cs="仿宋"/>
                <w:b/>
                <w:kern w:val="0"/>
                <w:szCs w:val="21"/>
              </w:rPr>
              <w:t>纳税人识别号：91654003MAD4EM1E1N</w:t>
            </w:r>
          </w:p>
          <w:p w14:paraId="5BAC3E29">
            <w:pPr>
              <w:keepNext/>
              <w:widowControl/>
              <w:spacing w:line="360" w:lineRule="auto"/>
              <w:jc w:val="left"/>
              <w:rPr>
                <w:rFonts w:ascii="宋体" w:hAnsi="宋体" w:eastAsia="宋体" w:cs="仿宋"/>
                <w:b/>
                <w:kern w:val="0"/>
                <w:szCs w:val="21"/>
              </w:rPr>
            </w:pPr>
            <w:r>
              <w:rPr>
                <w:rFonts w:hint="eastAsia" w:ascii="宋体" w:hAnsi="宋体" w:eastAsia="宋体" w:cs="仿宋"/>
                <w:b/>
                <w:kern w:val="0"/>
                <w:szCs w:val="21"/>
              </w:rPr>
              <w:t>开户行：中国农业发展银行奎屯市支行</w:t>
            </w:r>
          </w:p>
          <w:p w14:paraId="6F63ABB3">
            <w:pPr>
              <w:keepNext/>
              <w:widowControl/>
              <w:spacing w:line="360" w:lineRule="auto"/>
              <w:jc w:val="left"/>
              <w:rPr>
                <w:rFonts w:ascii="宋体" w:hAnsi="宋体" w:eastAsia="宋体" w:cs="仿宋"/>
                <w:b/>
                <w:kern w:val="0"/>
                <w:szCs w:val="21"/>
              </w:rPr>
            </w:pPr>
            <w:r>
              <w:rPr>
                <w:rFonts w:hint="eastAsia" w:ascii="宋体" w:hAnsi="宋体" w:eastAsia="宋体" w:cs="仿宋"/>
                <w:b/>
                <w:kern w:val="0"/>
                <w:szCs w:val="21"/>
              </w:rPr>
              <w:t>账号：20365400300100000653441</w:t>
            </w:r>
          </w:p>
          <w:p w14:paraId="16FE02F2">
            <w:pPr>
              <w:keepNext/>
              <w:widowControl/>
              <w:spacing w:line="360" w:lineRule="auto"/>
              <w:jc w:val="left"/>
              <w:rPr>
                <w:rFonts w:ascii="宋体" w:hAnsi="宋体" w:eastAsia="宋体" w:cs="仿宋"/>
                <w:b/>
                <w:kern w:val="0"/>
                <w:szCs w:val="21"/>
              </w:rPr>
            </w:pPr>
            <w:r>
              <w:rPr>
                <w:rFonts w:hint="eastAsia" w:ascii="宋体" w:hAnsi="宋体" w:eastAsia="宋体" w:cs="仿宋"/>
                <w:b/>
                <w:kern w:val="0"/>
                <w:szCs w:val="21"/>
              </w:rPr>
              <w:t>行号：203898107017</w:t>
            </w:r>
          </w:p>
          <w:p w14:paraId="438DE9E6">
            <w:pPr>
              <w:keepNext/>
              <w:widowControl/>
              <w:spacing w:line="360" w:lineRule="auto"/>
              <w:jc w:val="left"/>
              <w:rPr>
                <w:rFonts w:ascii="宋体" w:hAnsi="宋体" w:eastAsia="宋体" w:cs="仿宋"/>
                <w:b/>
                <w:kern w:val="0"/>
                <w:szCs w:val="21"/>
              </w:rPr>
            </w:pPr>
            <w:r>
              <w:rPr>
                <w:rFonts w:hint="eastAsia" w:ascii="宋体" w:hAnsi="宋体" w:eastAsia="宋体" w:cs="仿宋"/>
                <w:b/>
                <w:kern w:val="0"/>
                <w:szCs w:val="21"/>
              </w:rPr>
              <w:t>注：汇款单上请注明项目编号或项目名称、标段序号</w:t>
            </w:r>
          </w:p>
          <w:p w14:paraId="2C86CD54">
            <w:pPr>
              <w:keepNext/>
              <w:widowControl/>
              <w:spacing w:line="360" w:lineRule="auto"/>
              <w:jc w:val="left"/>
              <w:rPr>
                <w:rFonts w:ascii="宋体" w:hAnsi="宋体" w:eastAsia="宋体" w:cs="仿宋"/>
                <w:b/>
                <w:kern w:val="0"/>
                <w:szCs w:val="21"/>
              </w:rPr>
            </w:pPr>
            <w:r>
              <w:rPr>
                <w:rFonts w:hint="eastAsia" w:ascii="宋体" w:hAnsi="宋体" w:eastAsia="宋体" w:cs="仿宋"/>
                <w:b/>
                <w:kern w:val="0"/>
                <w:szCs w:val="21"/>
              </w:rPr>
              <w:t>例如：QHZB20240000000-00 标段1 保证金/服务费</w:t>
            </w:r>
          </w:p>
          <w:p w14:paraId="11F8A2F2">
            <w:pPr>
              <w:keepNext/>
              <w:widowControl/>
              <w:spacing w:line="360" w:lineRule="auto"/>
              <w:jc w:val="left"/>
              <w:rPr>
                <w:rFonts w:ascii="宋体" w:hAnsi="宋体" w:eastAsia="宋体" w:cs="仿宋"/>
                <w:kern w:val="0"/>
                <w:szCs w:val="21"/>
              </w:rPr>
            </w:pPr>
            <w:r>
              <w:rPr>
                <w:rFonts w:hint="eastAsia" w:ascii="宋体" w:hAnsi="宋体" w:eastAsia="宋体" w:cs="仿宋"/>
                <w:kern w:val="0"/>
                <w:szCs w:val="21"/>
              </w:rPr>
              <w:t>注：有下列情形之一的，保证金不予退还：</w:t>
            </w:r>
          </w:p>
          <w:p w14:paraId="721BCB65">
            <w:pPr>
              <w:keepNext/>
              <w:widowControl/>
              <w:spacing w:line="360" w:lineRule="auto"/>
              <w:jc w:val="left"/>
              <w:rPr>
                <w:rFonts w:ascii="宋体" w:hAnsi="宋体" w:eastAsia="宋体" w:cs="仿宋"/>
                <w:kern w:val="0"/>
                <w:szCs w:val="21"/>
              </w:rPr>
            </w:pPr>
            <w:r>
              <w:rPr>
                <w:rFonts w:hint="eastAsia" w:ascii="宋体" w:hAnsi="宋体" w:eastAsia="宋体" w:cs="仿宋"/>
                <w:kern w:val="0"/>
                <w:szCs w:val="21"/>
              </w:rPr>
              <w:t>（1）投标单位在提交投标文件截止时间后撤回投标文件的；</w:t>
            </w:r>
          </w:p>
          <w:p w14:paraId="75B2BDFF">
            <w:pPr>
              <w:keepNext/>
              <w:widowControl/>
              <w:spacing w:line="360" w:lineRule="auto"/>
              <w:jc w:val="left"/>
              <w:rPr>
                <w:rFonts w:ascii="宋体" w:hAnsi="宋体" w:eastAsia="宋体" w:cs="仿宋"/>
                <w:kern w:val="0"/>
                <w:szCs w:val="21"/>
              </w:rPr>
            </w:pPr>
            <w:r>
              <w:rPr>
                <w:rFonts w:hint="eastAsia" w:ascii="宋体" w:hAnsi="宋体" w:eastAsia="宋体" w:cs="仿宋"/>
                <w:kern w:val="0"/>
                <w:szCs w:val="21"/>
              </w:rPr>
              <w:t>（2）除因不可抗力或招标文件认可的情形以外，中标投标单位不与招标人签订合同的</w:t>
            </w:r>
          </w:p>
        </w:tc>
      </w:tr>
      <w:tr w14:paraId="47FB18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58B435E6">
            <w:pPr>
              <w:spacing w:line="360" w:lineRule="auto"/>
              <w:jc w:val="center"/>
              <w:rPr>
                <w:rFonts w:ascii="宋体" w:hAnsi="宋体" w:eastAsia="宋体" w:cs="仿宋"/>
                <w:kern w:val="0"/>
                <w:szCs w:val="21"/>
              </w:rPr>
            </w:pPr>
            <w:r>
              <w:rPr>
                <w:rFonts w:hint="eastAsia" w:ascii="宋体" w:hAnsi="宋体" w:eastAsia="宋体" w:cs="仿宋"/>
                <w:kern w:val="0"/>
                <w:szCs w:val="21"/>
              </w:rPr>
              <w:t>9</w:t>
            </w:r>
          </w:p>
        </w:tc>
        <w:tc>
          <w:tcPr>
            <w:tcW w:w="1410" w:type="dxa"/>
            <w:vAlign w:val="center"/>
          </w:tcPr>
          <w:p w14:paraId="6A9F22D4">
            <w:pPr>
              <w:keepNext/>
              <w:widowControl/>
              <w:spacing w:line="360" w:lineRule="auto"/>
              <w:jc w:val="center"/>
              <w:rPr>
                <w:rFonts w:ascii="宋体" w:hAnsi="宋体" w:eastAsia="宋体" w:cs="仿宋"/>
                <w:kern w:val="0"/>
                <w:szCs w:val="21"/>
              </w:rPr>
            </w:pPr>
            <w:r>
              <w:rPr>
                <w:rFonts w:hint="eastAsia" w:ascii="宋体" w:hAnsi="宋体" w:eastAsia="宋体" w:cs="仿宋"/>
                <w:kern w:val="0"/>
                <w:szCs w:val="21"/>
              </w:rPr>
              <w:t>现场踏勘</w:t>
            </w:r>
          </w:p>
        </w:tc>
        <w:tc>
          <w:tcPr>
            <w:tcW w:w="7073" w:type="dxa"/>
            <w:vAlign w:val="center"/>
          </w:tcPr>
          <w:p w14:paraId="201941F7">
            <w:pPr>
              <w:spacing w:line="360" w:lineRule="auto"/>
              <w:jc w:val="left"/>
              <w:rPr>
                <w:rFonts w:ascii="宋体" w:hAnsi="宋体" w:eastAsia="宋体" w:cs="仿宋"/>
                <w:kern w:val="0"/>
                <w:szCs w:val="21"/>
              </w:rPr>
            </w:pPr>
            <w:r>
              <w:rPr>
                <w:rFonts w:hint="eastAsia" w:ascii="宋体" w:hAnsi="宋体" w:eastAsia="宋体" w:cs="仿宋"/>
                <w:szCs w:val="21"/>
              </w:rPr>
              <w:t>不组织</w:t>
            </w:r>
          </w:p>
        </w:tc>
      </w:tr>
      <w:tr w14:paraId="186899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628673C7">
            <w:pPr>
              <w:spacing w:line="360" w:lineRule="auto"/>
              <w:jc w:val="center"/>
              <w:rPr>
                <w:rFonts w:ascii="宋体" w:hAnsi="宋体" w:eastAsia="宋体" w:cs="仿宋"/>
                <w:kern w:val="0"/>
                <w:szCs w:val="21"/>
              </w:rPr>
            </w:pPr>
            <w:r>
              <w:rPr>
                <w:rFonts w:hint="eastAsia" w:ascii="宋体" w:hAnsi="宋体" w:eastAsia="宋体" w:cs="仿宋"/>
                <w:kern w:val="0"/>
                <w:szCs w:val="21"/>
              </w:rPr>
              <w:t>10</w:t>
            </w:r>
          </w:p>
        </w:tc>
        <w:tc>
          <w:tcPr>
            <w:tcW w:w="1410" w:type="dxa"/>
            <w:vAlign w:val="center"/>
          </w:tcPr>
          <w:p w14:paraId="69D0A462">
            <w:pPr>
              <w:keepNext/>
              <w:widowControl/>
              <w:spacing w:line="360" w:lineRule="auto"/>
              <w:jc w:val="center"/>
              <w:rPr>
                <w:rFonts w:ascii="宋体" w:hAnsi="宋体" w:eastAsia="宋体" w:cs="仿宋"/>
                <w:kern w:val="0"/>
                <w:szCs w:val="21"/>
              </w:rPr>
            </w:pPr>
            <w:r>
              <w:rPr>
                <w:rFonts w:hint="eastAsia" w:ascii="宋体" w:hAnsi="宋体" w:eastAsia="宋体" w:cs="仿宋"/>
                <w:kern w:val="0"/>
                <w:szCs w:val="21"/>
              </w:rPr>
              <w:t>招标答疑</w:t>
            </w:r>
          </w:p>
        </w:tc>
        <w:tc>
          <w:tcPr>
            <w:tcW w:w="7073" w:type="dxa"/>
            <w:vAlign w:val="center"/>
          </w:tcPr>
          <w:p w14:paraId="737057A6">
            <w:pPr>
              <w:keepNext/>
              <w:widowControl/>
              <w:spacing w:line="360" w:lineRule="auto"/>
              <w:jc w:val="left"/>
              <w:rPr>
                <w:rFonts w:ascii="宋体" w:hAnsi="宋体" w:eastAsia="宋体" w:cs="仿宋"/>
                <w:kern w:val="0"/>
                <w:szCs w:val="21"/>
              </w:rPr>
            </w:pPr>
            <w:r>
              <w:rPr>
                <w:rFonts w:hint="eastAsia" w:ascii="宋体" w:hAnsi="宋体" w:eastAsia="宋体" w:cs="仿宋"/>
                <w:kern w:val="0"/>
                <w:szCs w:val="21"/>
              </w:rPr>
              <w:t>1、不召开答疑会。</w:t>
            </w:r>
          </w:p>
          <w:p w14:paraId="233C0810">
            <w:pPr>
              <w:keepNext/>
              <w:widowControl/>
              <w:spacing w:line="360" w:lineRule="auto"/>
              <w:jc w:val="left"/>
              <w:rPr>
                <w:rFonts w:ascii="宋体" w:hAnsi="宋体" w:eastAsia="宋体" w:cs="仿宋"/>
                <w:kern w:val="0"/>
                <w:szCs w:val="21"/>
              </w:rPr>
            </w:pPr>
            <w:r>
              <w:rPr>
                <w:rFonts w:hint="eastAsia" w:ascii="宋体" w:hAnsi="宋体" w:eastAsia="宋体" w:cs="仿宋"/>
                <w:kern w:val="0"/>
                <w:szCs w:val="21"/>
              </w:rPr>
              <w:t>2、提出询问的，应当在投标文件递交截止时间6日前以书面形式（加盖公章）递交至新疆清恒招标代理有限公司，否则采购人不作任何解释。</w:t>
            </w:r>
          </w:p>
          <w:p w14:paraId="42B48BDF">
            <w:pPr>
              <w:keepNext/>
              <w:widowControl/>
              <w:spacing w:line="360" w:lineRule="auto"/>
              <w:jc w:val="left"/>
              <w:rPr>
                <w:rFonts w:ascii="宋体" w:hAnsi="宋体" w:eastAsia="宋体" w:cs="仿宋"/>
                <w:kern w:val="0"/>
                <w:szCs w:val="21"/>
              </w:rPr>
            </w:pPr>
            <w:r>
              <w:rPr>
                <w:rFonts w:hint="eastAsia" w:ascii="宋体" w:hAnsi="宋体" w:eastAsia="宋体" w:cs="仿宋"/>
                <w:kern w:val="0"/>
                <w:szCs w:val="21"/>
              </w:rPr>
              <w:t>3、对招标文件提出质疑的，应当在获取招标文件或者招标公告期限届满之日起7个工作日内一次性以书面形式（按照财政部制定的质疑函范本编写）提出并递交至采购代理机构。</w:t>
            </w:r>
          </w:p>
          <w:p w14:paraId="6F7E9CF2">
            <w:pPr>
              <w:keepNext/>
              <w:widowControl/>
              <w:spacing w:line="360" w:lineRule="auto"/>
              <w:jc w:val="left"/>
              <w:rPr>
                <w:rFonts w:ascii="宋体" w:hAnsi="宋体" w:eastAsia="宋体" w:cs="仿宋"/>
                <w:kern w:val="0"/>
                <w:szCs w:val="21"/>
              </w:rPr>
            </w:pPr>
            <w:r>
              <w:rPr>
                <w:rFonts w:hint="eastAsia" w:ascii="宋体" w:hAnsi="宋体" w:eastAsia="宋体" w:cs="仿宋"/>
                <w:kern w:val="0"/>
                <w:szCs w:val="21"/>
              </w:rPr>
              <w:t>质疑接收人：王春霞；联系方式：19909926296</w:t>
            </w:r>
          </w:p>
          <w:p w14:paraId="5A7A8346">
            <w:pPr>
              <w:keepNext/>
              <w:widowControl/>
              <w:spacing w:line="360" w:lineRule="auto"/>
              <w:jc w:val="left"/>
              <w:rPr>
                <w:rFonts w:ascii="宋体" w:hAnsi="宋体" w:eastAsia="宋体" w:cs="仿宋"/>
                <w:kern w:val="0"/>
                <w:szCs w:val="21"/>
              </w:rPr>
            </w:pPr>
            <w:r>
              <w:rPr>
                <w:rFonts w:hint="eastAsia" w:ascii="宋体" w:hAnsi="宋体" w:eastAsia="宋体" w:cs="仿宋"/>
                <w:kern w:val="0"/>
                <w:szCs w:val="21"/>
              </w:rPr>
              <w:t>4、注：①、投标人必须在法定质疑期内一次性提出针对同一采购程序环节的质疑；投标人投诉的事项不得超出已质疑事项的范围。②、投标人在国家法律规定的时间内未提出书面疑问，视为对招标文件的服务要求、资格条件、评审方法、合同文本等所有内容无异议。</w:t>
            </w:r>
          </w:p>
        </w:tc>
      </w:tr>
      <w:tr w14:paraId="313A6E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7CE17E38">
            <w:pPr>
              <w:spacing w:line="360" w:lineRule="auto"/>
              <w:jc w:val="center"/>
              <w:rPr>
                <w:rFonts w:ascii="宋体" w:hAnsi="宋体" w:eastAsia="宋体" w:cs="仿宋"/>
                <w:kern w:val="0"/>
                <w:szCs w:val="21"/>
              </w:rPr>
            </w:pPr>
            <w:r>
              <w:rPr>
                <w:rFonts w:hint="eastAsia" w:ascii="宋体" w:hAnsi="宋体" w:eastAsia="宋体" w:cs="仿宋"/>
                <w:kern w:val="0"/>
                <w:szCs w:val="21"/>
              </w:rPr>
              <w:t>11</w:t>
            </w:r>
          </w:p>
        </w:tc>
        <w:tc>
          <w:tcPr>
            <w:tcW w:w="1410" w:type="dxa"/>
            <w:vAlign w:val="center"/>
          </w:tcPr>
          <w:p w14:paraId="6010E244">
            <w:pPr>
              <w:keepNext/>
              <w:widowControl/>
              <w:spacing w:line="360" w:lineRule="auto"/>
              <w:jc w:val="center"/>
              <w:rPr>
                <w:rFonts w:ascii="宋体" w:hAnsi="宋体" w:eastAsia="宋体" w:cs="仿宋"/>
                <w:kern w:val="0"/>
                <w:szCs w:val="21"/>
              </w:rPr>
            </w:pPr>
            <w:r>
              <w:rPr>
                <w:rFonts w:hint="eastAsia" w:ascii="宋体" w:hAnsi="宋体" w:eastAsia="宋体" w:cs="仿宋"/>
                <w:kern w:val="0"/>
                <w:szCs w:val="21"/>
              </w:rPr>
              <w:t>投标文件</w:t>
            </w:r>
          </w:p>
        </w:tc>
        <w:tc>
          <w:tcPr>
            <w:tcW w:w="7073" w:type="dxa"/>
            <w:shd w:val="clear" w:color="auto" w:fill="auto"/>
            <w:vAlign w:val="center"/>
          </w:tcPr>
          <w:p w14:paraId="1CC93B93">
            <w:pPr>
              <w:spacing w:line="360" w:lineRule="auto"/>
              <w:jc w:val="left"/>
              <w:rPr>
                <w:rFonts w:ascii="宋体" w:hAnsi="宋体" w:eastAsia="宋体" w:cs="Times New Roman"/>
                <w:kern w:val="0"/>
                <w:szCs w:val="21"/>
                <w:shd w:val="clear" w:color="auto" w:fill="FFFFFF" w:themeFill="background1"/>
              </w:rPr>
            </w:pPr>
            <w:r>
              <w:rPr>
                <w:rFonts w:hint="eastAsia" w:ascii="宋体" w:hAnsi="宋体" w:eastAsia="宋体" w:cs="Times New Roman"/>
                <w:kern w:val="0"/>
                <w:szCs w:val="21"/>
                <w:shd w:val="clear" w:color="auto" w:fill="FFFFFF" w:themeFill="background1"/>
              </w:rPr>
              <w:t xml:space="preserve">1、本次采购采用电子交易方式，电子交易平台为“政采云平台（https://www.zcygov.cn/）”。供应商参与本项目电子交易活动前，应注册成为政府采购云平台正式供应商。编制电子响应文件前还需申领CA证书并绑定帐号。供应商应充分考虑完成平台注册、申领CA证书等所需的时间。因未注册入库、未办理CA数字证书等原因造成无法投标或投标失败等后果由供应商自行承担。 </w:t>
            </w:r>
          </w:p>
          <w:p w14:paraId="2725A18C">
            <w:pPr>
              <w:spacing w:line="360" w:lineRule="auto"/>
              <w:jc w:val="left"/>
              <w:rPr>
                <w:rFonts w:ascii="宋体" w:hAnsi="宋体" w:eastAsia="宋体" w:cs="Times New Roman"/>
                <w:kern w:val="0"/>
                <w:szCs w:val="21"/>
                <w:shd w:val="clear" w:color="auto" w:fill="FFFFFF" w:themeFill="background1"/>
              </w:rPr>
            </w:pPr>
            <w:r>
              <w:rPr>
                <w:rFonts w:hint="eastAsia" w:ascii="宋体" w:hAnsi="宋体" w:eastAsia="宋体" w:cs="Times New Roman"/>
                <w:kern w:val="0"/>
                <w:szCs w:val="21"/>
                <w:shd w:val="clear" w:color="auto" w:fill="FFFFFF" w:themeFill="background1"/>
              </w:rPr>
              <w:t>2、供应商将政采云电子交易客户端下载、安装完成后，可通过账号密码或CA登录客户端进行响应文件制作。在使用政采云投标客户端时，建议使用WIN7及以上操作系统。客户端请至新疆政府采购网（www.ccgp-xinjiang.gov.cn）下载专区查看，如有问题可拨打政采云客户服务热线95763进行咨询。</w:t>
            </w:r>
          </w:p>
          <w:p w14:paraId="3F273A8D">
            <w:pPr>
              <w:spacing w:line="360" w:lineRule="auto"/>
              <w:jc w:val="left"/>
              <w:rPr>
                <w:rFonts w:ascii="宋体" w:hAnsi="宋体" w:eastAsia="宋体" w:cs="Times New Roman"/>
                <w:kern w:val="0"/>
                <w:szCs w:val="21"/>
                <w:shd w:val="clear" w:color="auto" w:fill="FFFFFF" w:themeFill="background1"/>
              </w:rPr>
            </w:pPr>
            <w:r>
              <w:rPr>
                <w:rFonts w:hint="eastAsia" w:ascii="宋体" w:hAnsi="宋体" w:eastAsia="宋体" w:cs="Times New Roman"/>
                <w:kern w:val="0"/>
                <w:szCs w:val="21"/>
                <w:shd w:val="clear" w:color="auto" w:fill="FFFFFF" w:themeFill="background1"/>
              </w:rPr>
              <w:t>3、加密的电子响应文件（.jmbs格式）应在响应文件递交截止时间前通过政采云平台上传完成。逾期上传或者未上传指定地点的响应文件，不予受理。</w:t>
            </w:r>
          </w:p>
          <w:p w14:paraId="5E4F4F2C">
            <w:pPr>
              <w:spacing w:line="360" w:lineRule="auto"/>
              <w:jc w:val="left"/>
              <w:rPr>
                <w:rFonts w:ascii="宋体" w:hAnsi="宋体" w:eastAsia="宋体" w:cs="Times New Roman"/>
                <w:kern w:val="0"/>
                <w:szCs w:val="21"/>
                <w:shd w:val="clear" w:color="auto" w:fill="FFFFFF" w:themeFill="background1"/>
              </w:rPr>
            </w:pPr>
            <w:r>
              <w:rPr>
                <w:rFonts w:hint="eastAsia" w:ascii="宋体" w:hAnsi="宋体" w:eastAsia="宋体" w:cs="Times New Roman"/>
                <w:kern w:val="0"/>
                <w:szCs w:val="21"/>
                <w:shd w:val="clear" w:color="auto" w:fill="FFFFFF" w:themeFill="background1"/>
              </w:rPr>
              <w:t>4、供应商在开标前须提前配置好电脑浏览器，开标时请使用制作加密电子响应文件的CA锁进行解密及报价确认。本项目响应文件解密时间定为30分钟，如因自身原因导致无法正常解密，后果由供应商自行承担。</w:t>
            </w:r>
          </w:p>
          <w:p w14:paraId="0E8725EA">
            <w:pPr>
              <w:spacing w:line="360" w:lineRule="auto"/>
              <w:jc w:val="left"/>
              <w:rPr>
                <w:rFonts w:ascii="宋体" w:hAnsi="宋体" w:eastAsia="宋体" w:cs="Times New Roman"/>
                <w:kern w:val="0"/>
                <w:szCs w:val="21"/>
                <w:shd w:val="clear" w:color="auto" w:fill="FFFFFF" w:themeFill="background1"/>
              </w:rPr>
            </w:pPr>
            <w:r>
              <w:rPr>
                <w:rFonts w:hint="eastAsia" w:ascii="宋体" w:hAnsi="宋体" w:eastAsia="宋体" w:cs="Times New Roman"/>
                <w:kern w:val="0"/>
                <w:szCs w:val="21"/>
                <w:shd w:val="clear" w:color="auto" w:fill="FFFFFF" w:themeFill="background1"/>
              </w:rPr>
              <w:t>5、如遇“政采云平台（https://www.zcygov.cn/）”电子交易规则调整，以最新要求为准。</w:t>
            </w:r>
          </w:p>
          <w:p w14:paraId="6C0A9B98">
            <w:pPr>
              <w:keepNext/>
              <w:widowControl/>
              <w:spacing w:line="360" w:lineRule="auto"/>
              <w:jc w:val="left"/>
              <w:rPr>
                <w:rFonts w:ascii="宋体" w:hAnsi="宋体" w:eastAsia="宋体" w:cs="仿宋"/>
                <w:kern w:val="0"/>
                <w:szCs w:val="21"/>
              </w:rPr>
            </w:pPr>
            <w:r>
              <w:rPr>
                <w:rFonts w:hint="eastAsia" w:ascii="宋体" w:hAnsi="宋体" w:eastAsia="宋体" w:cs="仿宋"/>
                <w:kern w:val="0"/>
                <w:szCs w:val="21"/>
              </w:rPr>
              <w:t>6、成交投标人须在招标结束后五个工作日内向采购代理机构递交纸质版投标文件两份（用于档案资料编制），投标人自行下载政采云盖章电子版投标文件并打印胶装、封面加盖投标人公章（鲜章）及法定代表人章（鲜章）。</w:t>
            </w:r>
          </w:p>
        </w:tc>
      </w:tr>
      <w:tr w14:paraId="7A8CAA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2C5CE3D1">
            <w:pPr>
              <w:spacing w:line="360" w:lineRule="auto"/>
              <w:jc w:val="center"/>
              <w:rPr>
                <w:rFonts w:ascii="宋体" w:hAnsi="宋体" w:eastAsia="宋体" w:cs="仿宋"/>
                <w:kern w:val="0"/>
                <w:szCs w:val="21"/>
              </w:rPr>
            </w:pPr>
            <w:r>
              <w:rPr>
                <w:rFonts w:hint="eastAsia" w:ascii="宋体" w:hAnsi="宋体" w:eastAsia="宋体" w:cs="仿宋"/>
                <w:kern w:val="0"/>
                <w:szCs w:val="21"/>
              </w:rPr>
              <w:t>12</w:t>
            </w:r>
          </w:p>
        </w:tc>
        <w:tc>
          <w:tcPr>
            <w:tcW w:w="1410" w:type="dxa"/>
            <w:vAlign w:val="center"/>
          </w:tcPr>
          <w:p w14:paraId="0DBFD350">
            <w:pPr>
              <w:keepNext/>
              <w:widowControl/>
              <w:spacing w:line="360" w:lineRule="auto"/>
              <w:jc w:val="center"/>
              <w:rPr>
                <w:rFonts w:ascii="宋体" w:hAnsi="宋体" w:eastAsia="宋体" w:cs="仿宋"/>
                <w:kern w:val="0"/>
                <w:szCs w:val="21"/>
              </w:rPr>
            </w:pPr>
            <w:r>
              <w:rPr>
                <w:rFonts w:hint="eastAsia" w:ascii="宋体" w:hAnsi="宋体" w:eastAsia="宋体" w:cs="仿宋"/>
                <w:kern w:val="0"/>
                <w:szCs w:val="21"/>
              </w:rPr>
              <w:t>投标文件递交</w:t>
            </w:r>
          </w:p>
        </w:tc>
        <w:tc>
          <w:tcPr>
            <w:tcW w:w="7073" w:type="dxa"/>
            <w:shd w:val="clear" w:color="auto" w:fill="auto"/>
            <w:vAlign w:val="center"/>
          </w:tcPr>
          <w:p w14:paraId="050D1F93">
            <w:pPr>
              <w:spacing w:line="360" w:lineRule="auto"/>
              <w:jc w:val="left"/>
              <w:rPr>
                <w:rFonts w:ascii="宋体" w:hAnsi="宋体" w:eastAsia="宋体" w:cs="宋体"/>
                <w:kern w:val="0"/>
                <w:szCs w:val="21"/>
                <w:shd w:val="clear" w:color="auto" w:fill="FFFFFF" w:themeFill="background1"/>
              </w:rPr>
            </w:pPr>
            <w:r>
              <w:rPr>
                <w:rFonts w:hint="eastAsia" w:ascii="宋体" w:hAnsi="宋体" w:eastAsia="宋体" w:cs="宋体"/>
                <w:kern w:val="0"/>
                <w:szCs w:val="21"/>
                <w:shd w:val="clear" w:color="auto" w:fill="FFFFFF" w:themeFill="background1"/>
              </w:rPr>
              <w:t>截止时间：</w:t>
            </w:r>
            <w:r>
              <w:rPr>
                <w:rFonts w:hint="eastAsia" w:ascii="宋体" w:hAnsi="宋体" w:eastAsia="宋体" w:cs="宋体"/>
                <w:kern w:val="0"/>
                <w:szCs w:val="21"/>
                <w:u w:val="single"/>
                <w:shd w:val="clear" w:color="auto" w:fill="FFFFFF" w:themeFill="background1"/>
                <w:lang w:eastAsia="zh-CN"/>
              </w:rPr>
              <w:t>2025年07月16日11:00</w:t>
            </w:r>
            <w:r>
              <w:rPr>
                <w:rFonts w:hint="eastAsia" w:ascii="宋体" w:hAnsi="宋体" w:eastAsia="宋体" w:cs="宋体"/>
                <w:kern w:val="0"/>
                <w:szCs w:val="21"/>
                <w:u w:val="single"/>
                <w:shd w:val="clear" w:color="auto" w:fill="FFFFFF" w:themeFill="background1"/>
              </w:rPr>
              <w:t>（北京时间）</w:t>
            </w:r>
          </w:p>
          <w:p w14:paraId="5224FE93">
            <w:pPr>
              <w:keepNext/>
              <w:widowControl/>
              <w:spacing w:line="360" w:lineRule="auto"/>
              <w:jc w:val="left"/>
              <w:rPr>
                <w:rFonts w:ascii="宋体" w:hAnsi="宋体" w:eastAsia="宋体" w:cs="仿宋"/>
                <w:kern w:val="0"/>
                <w:szCs w:val="21"/>
                <w:highlight w:val="yellow"/>
              </w:rPr>
            </w:pPr>
            <w:r>
              <w:rPr>
                <w:rFonts w:hint="eastAsia" w:ascii="宋体" w:hAnsi="宋体" w:eastAsia="宋体" w:cs="宋体"/>
                <w:kern w:val="0"/>
                <w:szCs w:val="21"/>
                <w:shd w:val="clear" w:color="auto" w:fill="FFFFFF" w:themeFill="background1"/>
              </w:rPr>
              <w:t>递交地点：</w:t>
            </w:r>
            <w:r>
              <w:rPr>
                <w:rFonts w:hint="eastAsia" w:ascii="宋体" w:hAnsi="宋体" w:eastAsia="宋体" w:cs="Times New Roman"/>
                <w:kern w:val="0"/>
                <w:szCs w:val="21"/>
                <w:shd w:val="clear" w:color="auto" w:fill="FFFFFF" w:themeFill="background1"/>
              </w:rPr>
              <w:t xml:space="preserve">请登录政采云投标客户端投标（政采云平台（https://www.zcygov.cn/））   </w:t>
            </w:r>
          </w:p>
        </w:tc>
      </w:tr>
      <w:tr w14:paraId="305225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791EF046">
            <w:pPr>
              <w:spacing w:line="360" w:lineRule="auto"/>
              <w:jc w:val="center"/>
              <w:rPr>
                <w:rFonts w:ascii="宋体" w:hAnsi="宋体" w:eastAsia="宋体" w:cs="仿宋"/>
                <w:kern w:val="0"/>
                <w:szCs w:val="21"/>
              </w:rPr>
            </w:pPr>
            <w:r>
              <w:rPr>
                <w:rFonts w:hint="eastAsia" w:ascii="宋体" w:hAnsi="宋体" w:eastAsia="宋体" w:cs="仿宋"/>
                <w:kern w:val="0"/>
                <w:szCs w:val="21"/>
              </w:rPr>
              <w:t>13</w:t>
            </w:r>
          </w:p>
        </w:tc>
        <w:tc>
          <w:tcPr>
            <w:tcW w:w="1410" w:type="dxa"/>
            <w:vAlign w:val="center"/>
          </w:tcPr>
          <w:p w14:paraId="4AE6644A">
            <w:pPr>
              <w:keepNext/>
              <w:widowControl/>
              <w:spacing w:line="360" w:lineRule="auto"/>
              <w:jc w:val="center"/>
              <w:rPr>
                <w:rFonts w:ascii="宋体" w:hAnsi="宋体" w:eastAsia="宋体" w:cs="仿宋"/>
                <w:kern w:val="0"/>
                <w:szCs w:val="21"/>
              </w:rPr>
            </w:pPr>
            <w:r>
              <w:rPr>
                <w:rFonts w:hint="eastAsia" w:ascii="宋体" w:hAnsi="宋体" w:eastAsia="宋体" w:cs="仿宋"/>
                <w:kern w:val="0"/>
                <w:szCs w:val="21"/>
              </w:rPr>
              <w:t>开标</w:t>
            </w:r>
          </w:p>
        </w:tc>
        <w:tc>
          <w:tcPr>
            <w:tcW w:w="7073" w:type="dxa"/>
            <w:shd w:val="clear" w:color="auto" w:fill="auto"/>
            <w:vAlign w:val="center"/>
          </w:tcPr>
          <w:p w14:paraId="67498A8F">
            <w:pPr>
              <w:keepNext/>
              <w:widowControl/>
              <w:spacing w:line="360" w:lineRule="auto"/>
              <w:jc w:val="left"/>
              <w:rPr>
                <w:rFonts w:ascii="宋体" w:hAnsi="宋体" w:eastAsia="宋体" w:cs="宋体"/>
                <w:kern w:val="0"/>
                <w:szCs w:val="21"/>
                <w:u w:val="single"/>
                <w:shd w:val="clear" w:color="auto" w:fill="FFFFFF" w:themeFill="background1"/>
              </w:rPr>
            </w:pPr>
            <w:r>
              <w:rPr>
                <w:rFonts w:hint="eastAsia" w:ascii="宋体" w:hAnsi="宋体" w:eastAsia="宋体" w:cs="宋体"/>
                <w:kern w:val="0"/>
                <w:szCs w:val="21"/>
                <w:shd w:val="clear" w:color="auto" w:fill="FFFFFF" w:themeFill="background1"/>
              </w:rPr>
              <w:t>时间：</w:t>
            </w:r>
            <w:r>
              <w:rPr>
                <w:rFonts w:hint="eastAsia" w:ascii="宋体" w:hAnsi="宋体" w:eastAsia="宋体" w:cs="宋体"/>
                <w:kern w:val="0"/>
                <w:szCs w:val="21"/>
                <w:u w:val="single"/>
                <w:shd w:val="clear" w:color="auto" w:fill="FFFFFF" w:themeFill="background1"/>
                <w:lang w:eastAsia="zh-CN"/>
              </w:rPr>
              <w:t>2025年07月16日11:00</w:t>
            </w:r>
            <w:r>
              <w:rPr>
                <w:rFonts w:hint="eastAsia" w:ascii="宋体" w:hAnsi="宋体" w:eastAsia="宋体" w:cs="宋体"/>
                <w:kern w:val="0"/>
                <w:szCs w:val="21"/>
                <w:u w:val="single"/>
                <w:shd w:val="clear" w:color="auto" w:fill="FFFFFF" w:themeFill="background1"/>
              </w:rPr>
              <w:t>（北京时间）</w:t>
            </w:r>
          </w:p>
          <w:p w14:paraId="2DA0909B">
            <w:pPr>
              <w:keepNext/>
              <w:widowControl/>
              <w:spacing w:line="360" w:lineRule="auto"/>
              <w:jc w:val="left"/>
              <w:rPr>
                <w:rFonts w:ascii="宋体" w:hAnsi="宋体" w:eastAsia="宋体" w:cs="仿宋"/>
                <w:kern w:val="0"/>
                <w:szCs w:val="21"/>
                <w:highlight w:val="yellow"/>
              </w:rPr>
            </w:pPr>
            <w:r>
              <w:rPr>
                <w:rFonts w:hint="eastAsia" w:ascii="宋体" w:hAnsi="宋体" w:eastAsia="宋体" w:cs="宋体"/>
                <w:kern w:val="0"/>
                <w:szCs w:val="21"/>
                <w:shd w:val="clear" w:color="auto" w:fill="FFFFFF" w:themeFill="background1"/>
              </w:rPr>
              <w:t>地点：</w:t>
            </w:r>
            <w:r>
              <w:rPr>
                <w:rFonts w:hint="eastAsia" w:ascii="宋体" w:hAnsi="宋体" w:eastAsia="宋体" w:cs="Times New Roman"/>
                <w:kern w:val="0"/>
                <w:szCs w:val="21"/>
                <w:shd w:val="clear" w:color="auto" w:fill="FFFFFF" w:themeFill="background1"/>
              </w:rPr>
              <w:t>请登录政采云投标客户端投标（政采云平台（https://www.zcygov.cn/））</w:t>
            </w:r>
          </w:p>
        </w:tc>
      </w:tr>
      <w:tr w14:paraId="34E237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0129AFD3">
            <w:pPr>
              <w:spacing w:line="360" w:lineRule="auto"/>
              <w:jc w:val="center"/>
              <w:rPr>
                <w:rFonts w:ascii="宋体" w:hAnsi="宋体" w:eastAsia="宋体" w:cs="仿宋"/>
                <w:kern w:val="0"/>
                <w:szCs w:val="21"/>
              </w:rPr>
            </w:pPr>
            <w:r>
              <w:rPr>
                <w:rFonts w:hint="eastAsia" w:ascii="宋体" w:hAnsi="宋体" w:eastAsia="宋体" w:cs="仿宋"/>
                <w:kern w:val="0"/>
                <w:szCs w:val="21"/>
              </w:rPr>
              <w:t>14</w:t>
            </w:r>
          </w:p>
        </w:tc>
        <w:tc>
          <w:tcPr>
            <w:tcW w:w="1410" w:type="dxa"/>
            <w:vAlign w:val="center"/>
          </w:tcPr>
          <w:p w14:paraId="09B6D38E">
            <w:pPr>
              <w:keepNext/>
              <w:widowControl/>
              <w:spacing w:line="360" w:lineRule="auto"/>
              <w:jc w:val="center"/>
              <w:rPr>
                <w:rFonts w:ascii="宋体" w:hAnsi="宋体" w:eastAsia="宋体" w:cs="仿宋"/>
                <w:kern w:val="0"/>
                <w:szCs w:val="21"/>
              </w:rPr>
            </w:pPr>
            <w:r>
              <w:rPr>
                <w:rFonts w:hint="eastAsia" w:ascii="宋体" w:hAnsi="宋体" w:eastAsia="宋体" w:cs="仿宋"/>
                <w:kern w:val="0"/>
                <w:szCs w:val="21"/>
              </w:rPr>
              <w:t>响应有效期</w:t>
            </w:r>
          </w:p>
        </w:tc>
        <w:tc>
          <w:tcPr>
            <w:tcW w:w="7073" w:type="dxa"/>
            <w:vAlign w:val="center"/>
          </w:tcPr>
          <w:p w14:paraId="27B6B427">
            <w:pPr>
              <w:keepNext/>
              <w:widowControl/>
              <w:spacing w:line="360" w:lineRule="auto"/>
              <w:jc w:val="left"/>
              <w:rPr>
                <w:rFonts w:ascii="宋体" w:hAnsi="宋体" w:eastAsia="宋体" w:cs="仿宋"/>
                <w:kern w:val="0"/>
                <w:szCs w:val="21"/>
              </w:rPr>
            </w:pPr>
            <w:r>
              <w:rPr>
                <w:rFonts w:hint="eastAsia" w:ascii="宋体" w:hAnsi="宋体" w:eastAsia="宋体" w:cs="仿宋"/>
                <w:kern w:val="0"/>
                <w:szCs w:val="21"/>
              </w:rPr>
              <w:t>自投标截止之日90日历日</w:t>
            </w:r>
          </w:p>
        </w:tc>
      </w:tr>
      <w:tr w14:paraId="77BE5F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4831EFFA">
            <w:pPr>
              <w:spacing w:line="360" w:lineRule="auto"/>
              <w:jc w:val="center"/>
              <w:rPr>
                <w:rFonts w:ascii="宋体" w:hAnsi="宋体" w:eastAsia="宋体" w:cs="仿宋"/>
                <w:kern w:val="0"/>
                <w:szCs w:val="21"/>
              </w:rPr>
            </w:pPr>
            <w:r>
              <w:rPr>
                <w:rFonts w:hint="eastAsia" w:ascii="宋体" w:hAnsi="宋体" w:eastAsia="宋体" w:cs="仿宋"/>
                <w:kern w:val="0"/>
                <w:szCs w:val="21"/>
              </w:rPr>
              <w:t>15</w:t>
            </w:r>
          </w:p>
        </w:tc>
        <w:tc>
          <w:tcPr>
            <w:tcW w:w="1410" w:type="dxa"/>
            <w:vAlign w:val="center"/>
          </w:tcPr>
          <w:p w14:paraId="43594708">
            <w:pPr>
              <w:spacing w:line="360" w:lineRule="auto"/>
              <w:jc w:val="center"/>
              <w:rPr>
                <w:rFonts w:ascii="宋体" w:hAnsi="宋体" w:eastAsia="宋体" w:cs="仿宋"/>
                <w:kern w:val="0"/>
                <w:szCs w:val="21"/>
              </w:rPr>
            </w:pPr>
            <w:r>
              <w:rPr>
                <w:rFonts w:hint="eastAsia" w:ascii="宋体" w:hAnsi="宋体" w:eastAsia="宋体" w:cs="仿宋"/>
                <w:kern w:val="0"/>
                <w:szCs w:val="21"/>
              </w:rPr>
              <w:t>公告发布媒体</w:t>
            </w:r>
          </w:p>
        </w:tc>
        <w:tc>
          <w:tcPr>
            <w:tcW w:w="7073" w:type="dxa"/>
            <w:vAlign w:val="center"/>
          </w:tcPr>
          <w:p w14:paraId="4D71BD48">
            <w:pPr>
              <w:spacing w:line="360" w:lineRule="auto"/>
              <w:jc w:val="left"/>
              <w:rPr>
                <w:rFonts w:ascii="宋体" w:hAnsi="宋体" w:eastAsia="宋体" w:cs="仿宋"/>
                <w:kern w:val="0"/>
                <w:szCs w:val="21"/>
                <w:u w:val="single"/>
              </w:rPr>
            </w:pPr>
            <w:r>
              <w:rPr>
                <w:rFonts w:hint="eastAsia" w:ascii="宋体" w:hAnsi="宋体" w:eastAsia="宋体" w:cs="Arial"/>
                <w:kern w:val="0"/>
                <w:szCs w:val="21"/>
                <w:shd w:val="clear" w:color="auto" w:fill="FFFFFF" w:themeFill="background1"/>
              </w:rPr>
              <w:t>政采云平台（https://www.zcygov.cn/）</w:t>
            </w:r>
          </w:p>
        </w:tc>
      </w:tr>
      <w:tr w14:paraId="4DBB0A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64A1CC36">
            <w:pPr>
              <w:spacing w:line="360" w:lineRule="auto"/>
              <w:jc w:val="center"/>
              <w:rPr>
                <w:rFonts w:ascii="宋体" w:hAnsi="宋体" w:eastAsia="宋体" w:cs="仿宋"/>
                <w:kern w:val="0"/>
                <w:szCs w:val="21"/>
              </w:rPr>
            </w:pPr>
            <w:r>
              <w:rPr>
                <w:rFonts w:hint="eastAsia" w:ascii="宋体" w:hAnsi="宋体" w:eastAsia="宋体" w:cs="仿宋"/>
                <w:kern w:val="0"/>
                <w:szCs w:val="21"/>
              </w:rPr>
              <w:t>16</w:t>
            </w:r>
          </w:p>
        </w:tc>
        <w:tc>
          <w:tcPr>
            <w:tcW w:w="1410" w:type="dxa"/>
            <w:vAlign w:val="center"/>
          </w:tcPr>
          <w:p w14:paraId="1D212D2F">
            <w:pPr>
              <w:keepNext/>
              <w:widowControl/>
              <w:spacing w:line="360" w:lineRule="auto"/>
              <w:jc w:val="center"/>
              <w:rPr>
                <w:rFonts w:ascii="宋体" w:hAnsi="宋体" w:eastAsia="宋体" w:cs="仿宋"/>
                <w:kern w:val="0"/>
                <w:szCs w:val="21"/>
              </w:rPr>
            </w:pPr>
            <w:r>
              <w:rPr>
                <w:rFonts w:hint="eastAsia" w:ascii="宋体" w:hAnsi="宋体" w:eastAsia="宋体" w:cs="仿宋"/>
                <w:kern w:val="0"/>
                <w:szCs w:val="21"/>
              </w:rPr>
              <w:t>履约保证金</w:t>
            </w:r>
          </w:p>
        </w:tc>
        <w:tc>
          <w:tcPr>
            <w:tcW w:w="7073" w:type="dxa"/>
            <w:vAlign w:val="center"/>
          </w:tcPr>
          <w:p w14:paraId="5D49B5DF">
            <w:pPr>
              <w:keepNext/>
              <w:widowControl/>
              <w:spacing w:line="360" w:lineRule="auto"/>
              <w:jc w:val="left"/>
              <w:rPr>
                <w:rFonts w:ascii="宋体" w:hAnsi="宋体" w:eastAsia="宋体" w:cs="仿宋"/>
                <w:kern w:val="0"/>
                <w:szCs w:val="21"/>
              </w:rPr>
            </w:pPr>
            <w:r>
              <w:rPr>
                <w:rFonts w:hint="eastAsia" w:ascii="宋体" w:hAnsi="宋体" w:eastAsia="宋体" w:cs="仿宋"/>
                <w:kern w:val="0"/>
                <w:szCs w:val="21"/>
              </w:rPr>
              <w:t>/</w:t>
            </w:r>
          </w:p>
        </w:tc>
      </w:tr>
      <w:tr w14:paraId="12C82A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35AE61E1">
            <w:pPr>
              <w:spacing w:line="360" w:lineRule="auto"/>
              <w:jc w:val="center"/>
              <w:rPr>
                <w:rFonts w:ascii="宋体" w:hAnsi="宋体" w:eastAsia="宋体" w:cs="仿宋"/>
                <w:kern w:val="0"/>
                <w:szCs w:val="21"/>
              </w:rPr>
            </w:pPr>
            <w:r>
              <w:rPr>
                <w:rFonts w:hint="eastAsia" w:ascii="宋体" w:hAnsi="宋体" w:eastAsia="宋体" w:cs="仿宋"/>
                <w:kern w:val="0"/>
                <w:szCs w:val="21"/>
              </w:rPr>
              <w:t>17</w:t>
            </w:r>
          </w:p>
        </w:tc>
        <w:tc>
          <w:tcPr>
            <w:tcW w:w="1410" w:type="dxa"/>
            <w:vAlign w:val="center"/>
          </w:tcPr>
          <w:p w14:paraId="17CCA849">
            <w:pPr>
              <w:keepNext/>
              <w:widowControl/>
              <w:spacing w:line="360" w:lineRule="auto"/>
              <w:jc w:val="center"/>
              <w:rPr>
                <w:rFonts w:ascii="宋体" w:hAnsi="宋体" w:eastAsia="宋体" w:cs="仿宋"/>
                <w:kern w:val="0"/>
                <w:szCs w:val="21"/>
              </w:rPr>
            </w:pPr>
            <w:r>
              <w:rPr>
                <w:rFonts w:hint="eastAsia" w:ascii="宋体" w:hAnsi="宋体" w:eastAsia="宋体" w:cs="仿宋"/>
                <w:kern w:val="0"/>
                <w:szCs w:val="21"/>
              </w:rPr>
              <w:t>中小企业政策说明</w:t>
            </w:r>
          </w:p>
        </w:tc>
        <w:tc>
          <w:tcPr>
            <w:tcW w:w="7073" w:type="dxa"/>
            <w:vAlign w:val="center"/>
          </w:tcPr>
          <w:p w14:paraId="06573AEC">
            <w:pPr>
              <w:spacing w:line="360" w:lineRule="auto"/>
              <w:jc w:val="left"/>
              <w:rPr>
                <w:rFonts w:ascii="宋体" w:hAnsi="宋体" w:eastAsia="宋体" w:cs="仿宋"/>
                <w:kern w:val="0"/>
                <w:szCs w:val="21"/>
              </w:rPr>
            </w:pPr>
            <w:r>
              <w:rPr>
                <w:rFonts w:hint="eastAsia" w:ascii="宋体" w:hAnsi="宋体" w:eastAsia="宋体" w:cs="仿宋"/>
                <w:kern w:val="0"/>
                <w:szCs w:val="21"/>
              </w:rPr>
              <w:t>1、根据《政府采购促进中小企业发展管理办法》（财库[2020]46号）、《关于进一步加大政府采购支持中小企业力度的通知》（财库〔2022〕19号）、《财政部 司法部关于政府采购支持监狱企业发展有关问题的通知》（财库〔2014〕68号）和《三部门联合发布关于促进残疾人就业政府采购政策的通知》（财库〔2017〕141号）的规定，对满足价格扣除条件且在投标文件中提交了《中小企业声明函》、《残疾人福利性单位声明函》或省级以上监狱管理局、戒毒管理局（含新疆生产建设兵团）出具的属于监狱企业的证明文件的投标人，专门面向中小企业采购的项目或者采购标包，不再执行价格评审优惠的扶持政策；</w:t>
            </w:r>
          </w:p>
          <w:p w14:paraId="58724F2F">
            <w:pPr>
              <w:spacing w:line="360" w:lineRule="auto"/>
              <w:jc w:val="left"/>
              <w:rPr>
                <w:rFonts w:ascii="宋体" w:hAnsi="宋体" w:eastAsia="宋体" w:cs="仿宋"/>
                <w:kern w:val="0"/>
                <w:szCs w:val="21"/>
              </w:rPr>
            </w:pPr>
            <w:r>
              <w:rPr>
                <w:rFonts w:hint="eastAsia" w:ascii="宋体" w:hAnsi="宋体" w:eastAsia="宋体" w:cs="仿宋"/>
                <w:kern w:val="0"/>
                <w:szCs w:val="21"/>
              </w:rPr>
              <w:t>2、根据“关于印发中小企业划型标准规定的通知(工信部联企业〔2011〕300号)”有关规定，本项目标的所属行业为</w:t>
            </w:r>
            <w:r>
              <w:rPr>
                <w:rFonts w:hint="eastAsia" w:ascii="宋体" w:hAnsi="宋体" w:eastAsia="宋体" w:cs="仿宋"/>
                <w:b/>
                <w:kern w:val="0"/>
                <w:szCs w:val="21"/>
              </w:rPr>
              <w:t>【工业】</w:t>
            </w:r>
            <w:r>
              <w:rPr>
                <w:rFonts w:hint="eastAsia" w:ascii="宋体" w:hAnsi="宋体" w:eastAsia="宋体" w:cs="仿宋"/>
                <w:kern w:val="0"/>
                <w:szCs w:val="21"/>
              </w:rPr>
              <w:t>。</w:t>
            </w:r>
          </w:p>
          <w:p w14:paraId="048A839D">
            <w:pPr>
              <w:spacing w:line="360" w:lineRule="auto"/>
              <w:jc w:val="left"/>
              <w:rPr>
                <w:rFonts w:ascii="宋体" w:hAnsi="宋体" w:eastAsia="宋体" w:cs="仿宋"/>
                <w:kern w:val="0"/>
                <w:szCs w:val="21"/>
              </w:rPr>
            </w:pPr>
            <w:r>
              <w:rPr>
                <w:rFonts w:hint="eastAsia" w:ascii="宋体" w:hAnsi="宋体" w:eastAsia="宋体" w:cs="仿宋"/>
                <w:kern w:val="0"/>
                <w:szCs w:val="21"/>
                <w:shd w:val="clear" w:color="auto" w:fill="FFFFFF" w:themeFill="background1"/>
              </w:rPr>
              <w:t>3、本项目专门面向中小企业（含中型、小型、微型企业）采购，根据《政府采购促进中小企业发展管理办法》（财库[2020]46号）的规定，评审时不再执行价格评审优惠的扶持政策。</w:t>
            </w:r>
          </w:p>
        </w:tc>
      </w:tr>
      <w:tr w14:paraId="3722A9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4886B530">
            <w:pPr>
              <w:spacing w:line="360" w:lineRule="auto"/>
              <w:jc w:val="center"/>
              <w:rPr>
                <w:rFonts w:ascii="宋体" w:hAnsi="宋体" w:eastAsia="宋体" w:cs="仿宋"/>
                <w:kern w:val="0"/>
                <w:szCs w:val="21"/>
              </w:rPr>
            </w:pPr>
            <w:r>
              <w:rPr>
                <w:rFonts w:hint="eastAsia" w:ascii="宋体" w:hAnsi="宋体" w:eastAsia="宋体" w:cs="仿宋"/>
                <w:kern w:val="0"/>
                <w:szCs w:val="21"/>
              </w:rPr>
              <w:t>18</w:t>
            </w:r>
          </w:p>
        </w:tc>
        <w:tc>
          <w:tcPr>
            <w:tcW w:w="1410" w:type="dxa"/>
            <w:vAlign w:val="center"/>
          </w:tcPr>
          <w:p w14:paraId="229D848E">
            <w:pPr>
              <w:keepNext/>
              <w:widowControl/>
              <w:spacing w:line="360" w:lineRule="auto"/>
              <w:jc w:val="center"/>
              <w:rPr>
                <w:rFonts w:ascii="宋体" w:hAnsi="宋体" w:eastAsia="宋体" w:cs="仿宋"/>
                <w:kern w:val="0"/>
                <w:szCs w:val="21"/>
              </w:rPr>
            </w:pPr>
            <w:r>
              <w:rPr>
                <w:rFonts w:hint="eastAsia" w:ascii="宋体" w:hAnsi="宋体" w:eastAsia="宋体" w:cs="Arial"/>
                <w:kern w:val="0"/>
                <w:szCs w:val="21"/>
              </w:rPr>
              <w:t>采购代理服务费</w:t>
            </w:r>
          </w:p>
        </w:tc>
        <w:tc>
          <w:tcPr>
            <w:tcW w:w="7073" w:type="dxa"/>
            <w:vAlign w:val="center"/>
          </w:tcPr>
          <w:p w14:paraId="2154EF3E">
            <w:pPr>
              <w:keepNext/>
              <w:widowControl/>
              <w:spacing w:line="360" w:lineRule="auto"/>
              <w:jc w:val="left"/>
              <w:rPr>
                <w:rFonts w:ascii="宋体" w:hAnsi="宋体" w:eastAsia="宋体" w:cs="仿宋"/>
                <w:kern w:val="0"/>
                <w:szCs w:val="21"/>
              </w:rPr>
            </w:pPr>
            <w:r>
              <w:rPr>
                <w:rFonts w:hint="eastAsia" w:ascii="宋体" w:hAnsi="宋体" w:eastAsia="宋体" w:cs="仿宋"/>
                <w:kern w:val="0"/>
                <w:szCs w:val="21"/>
              </w:rPr>
              <w:t>采购代理服务费由成交方向新疆清恒招标代理有限公司支付，支付比例按国家计委关于《招标代理服务收费管理暂行办法》（计价格</w:t>
            </w:r>
            <w:r>
              <w:rPr>
                <w:rFonts w:ascii="宋体" w:hAnsi="宋体" w:eastAsia="宋体" w:cs="仿宋"/>
                <w:kern w:val="0"/>
                <w:szCs w:val="21"/>
              </w:rPr>
              <w:t>[2002]1980号）和国家发改价格【2011】534号文件规定的服务费取费标准收取。</w:t>
            </w:r>
          </w:p>
          <w:p w14:paraId="19737A83">
            <w:pPr>
              <w:keepNext/>
              <w:widowControl/>
              <w:spacing w:line="360" w:lineRule="auto"/>
              <w:jc w:val="left"/>
              <w:rPr>
                <w:rFonts w:ascii="宋体" w:hAnsi="宋体" w:eastAsia="宋体" w:cs="仿宋"/>
                <w:kern w:val="0"/>
                <w:szCs w:val="21"/>
              </w:rPr>
            </w:pPr>
            <w:r>
              <w:rPr>
                <w:rFonts w:hint="eastAsia" w:ascii="宋体" w:hAnsi="宋体" w:eastAsia="宋体" w:cs="仿宋"/>
                <w:kern w:val="0"/>
                <w:szCs w:val="21"/>
              </w:rPr>
              <w:t>取费标准：</w:t>
            </w:r>
          </w:p>
          <w:tbl>
            <w:tblPr>
              <w:tblStyle w:val="38"/>
              <w:tblW w:w="5000" w:type="pct"/>
              <w:tblInd w:w="0" w:type="dxa"/>
              <w:tblLayout w:type="autofit"/>
              <w:tblCellMar>
                <w:top w:w="0" w:type="dxa"/>
                <w:left w:w="108" w:type="dxa"/>
                <w:bottom w:w="0" w:type="dxa"/>
                <w:right w:w="108" w:type="dxa"/>
              </w:tblCellMar>
            </w:tblPr>
            <w:tblGrid>
              <w:gridCol w:w="1819"/>
              <w:gridCol w:w="1237"/>
              <w:gridCol w:w="1172"/>
              <w:gridCol w:w="1301"/>
              <w:gridCol w:w="1430"/>
            </w:tblGrid>
            <w:tr w14:paraId="676FF63C">
              <w:tblPrEx>
                <w:tblCellMar>
                  <w:top w:w="0" w:type="dxa"/>
                  <w:left w:w="108" w:type="dxa"/>
                  <w:bottom w:w="0" w:type="dxa"/>
                  <w:right w:w="108" w:type="dxa"/>
                </w:tblCellMar>
              </w:tblPrEx>
              <w:trPr>
                <w:trHeight w:val="480" w:hRule="atLeast"/>
              </w:trPr>
              <w:tc>
                <w:tcPr>
                  <w:tcW w:w="1307" w:type="pct"/>
                  <w:tcBorders>
                    <w:top w:val="double" w:color="auto" w:sz="6" w:space="0"/>
                    <w:left w:val="double" w:color="auto" w:sz="6" w:space="0"/>
                    <w:bottom w:val="single" w:color="auto" w:sz="4" w:space="0"/>
                    <w:right w:val="single" w:color="auto" w:sz="4" w:space="0"/>
                  </w:tcBorders>
                  <w:shd w:val="clear" w:color="auto" w:fill="auto"/>
                  <w:noWrap/>
                  <w:vAlign w:val="center"/>
                </w:tcPr>
                <w:p w14:paraId="51749E9D">
                  <w:pPr>
                    <w:widowControl/>
                    <w:jc w:val="center"/>
                    <w:rPr>
                      <w:rFonts w:ascii="宋体" w:hAnsi="宋体" w:eastAsia="宋体" w:cs="宋体"/>
                      <w:kern w:val="0"/>
                      <w:szCs w:val="21"/>
                    </w:rPr>
                  </w:pPr>
                  <w:r>
                    <w:rPr>
                      <w:rFonts w:hint="eastAsia" w:ascii="宋体" w:hAnsi="宋体" w:eastAsia="宋体" w:cs="宋体"/>
                      <w:kern w:val="0"/>
                      <w:szCs w:val="21"/>
                    </w:rPr>
                    <w:t>计费额(万元)</w:t>
                  </w:r>
                </w:p>
              </w:tc>
              <w:tc>
                <w:tcPr>
                  <w:tcW w:w="889" w:type="pct"/>
                  <w:tcBorders>
                    <w:top w:val="double" w:color="auto" w:sz="6" w:space="0"/>
                    <w:left w:val="nil"/>
                    <w:bottom w:val="single" w:color="auto" w:sz="4" w:space="0"/>
                    <w:right w:val="single" w:color="auto" w:sz="4" w:space="0"/>
                  </w:tcBorders>
                  <w:shd w:val="clear" w:color="auto" w:fill="auto"/>
                  <w:noWrap/>
                  <w:vAlign w:val="center"/>
                </w:tcPr>
                <w:p w14:paraId="22A37CD4">
                  <w:pPr>
                    <w:widowControl/>
                    <w:jc w:val="center"/>
                    <w:rPr>
                      <w:rFonts w:ascii="宋体" w:hAnsi="宋体" w:eastAsia="宋体" w:cs="宋体"/>
                      <w:kern w:val="0"/>
                      <w:szCs w:val="21"/>
                    </w:rPr>
                  </w:pPr>
                  <w:r>
                    <w:rPr>
                      <w:rFonts w:hint="eastAsia" w:ascii="宋体" w:hAnsi="宋体" w:eastAsia="宋体" w:cs="宋体"/>
                      <w:kern w:val="0"/>
                      <w:szCs w:val="21"/>
                    </w:rPr>
                    <w:t>100以内</w:t>
                  </w:r>
                </w:p>
              </w:tc>
              <w:tc>
                <w:tcPr>
                  <w:tcW w:w="842" w:type="pct"/>
                  <w:tcBorders>
                    <w:top w:val="double" w:color="auto" w:sz="6" w:space="0"/>
                    <w:left w:val="nil"/>
                    <w:bottom w:val="single" w:color="auto" w:sz="4" w:space="0"/>
                    <w:right w:val="single" w:color="auto" w:sz="4" w:space="0"/>
                  </w:tcBorders>
                  <w:shd w:val="clear" w:color="auto" w:fill="auto"/>
                  <w:noWrap/>
                  <w:vAlign w:val="center"/>
                </w:tcPr>
                <w:p w14:paraId="38949DEA">
                  <w:pPr>
                    <w:widowControl/>
                    <w:jc w:val="center"/>
                    <w:rPr>
                      <w:rFonts w:ascii="宋体" w:hAnsi="宋体" w:eastAsia="宋体" w:cs="宋体"/>
                      <w:kern w:val="0"/>
                      <w:szCs w:val="21"/>
                    </w:rPr>
                  </w:pPr>
                  <w:r>
                    <w:rPr>
                      <w:rFonts w:hint="eastAsia" w:ascii="宋体" w:hAnsi="宋体" w:eastAsia="宋体" w:cs="宋体"/>
                      <w:kern w:val="0"/>
                      <w:szCs w:val="21"/>
                    </w:rPr>
                    <w:t>100-500</w:t>
                  </w:r>
                </w:p>
              </w:tc>
              <w:tc>
                <w:tcPr>
                  <w:tcW w:w="935" w:type="pct"/>
                  <w:tcBorders>
                    <w:top w:val="double" w:color="auto" w:sz="6" w:space="0"/>
                    <w:left w:val="nil"/>
                    <w:bottom w:val="single" w:color="auto" w:sz="4" w:space="0"/>
                    <w:right w:val="single" w:color="auto" w:sz="4" w:space="0"/>
                  </w:tcBorders>
                  <w:shd w:val="clear" w:color="auto" w:fill="auto"/>
                  <w:noWrap/>
                  <w:vAlign w:val="center"/>
                </w:tcPr>
                <w:p w14:paraId="23F9D0F6">
                  <w:pPr>
                    <w:widowControl/>
                    <w:jc w:val="center"/>
                    <w:rPr>
                      <w:rFonts w:ascii="宋体" w:hAnsi="宋体" w:eastAsia="宋体" w:cs="宋体"/>
                      <w:kern w:val="0"/>
                      <w:szCs w:val="21"/>
                    </w:rPr>
                  </w:pPr>
                  <w:r>
                    <w:rPr>
                      <w:rFonts w:hint="eastAsia" w:ascii="宋体" w:hAnsi="宋体" w:eastAsia="宋体" w:cs="宋体"/>
                      <w:kern w:val="0"/>
                      <w:szCs w:val="21"/>
                    </w:rPr>
                    <w:t>500-1000</w:t>
                  </w:r>
                </w:p>
              </w:tc>
              <w:tc>
                <w:tcPr>
                  <w:tcW w:w="1028" w:type="pct"/>
                  <w:tcBorders>
                    <w:top w:val="double" w:color="auto" w:sz="6" w:space="0"/>
                    <w:left w:val="nil"/>
                    <w:bottom w:val="single" w:color="auto" w:sz="4" w:space="0"/>
                    <w:right w:val="single" w:color="auto" w:sz="4" w:space="0"/>
                  </w:tcBorders>
                  <w:shd w:val="clear" w:color="auto" w:fill="auto"/>
                  <w:noWrap/>
                  <w:vAlign w:val="center"/>
                </w:tcPr>
                <w:p w14:paraId="0BA26CA9">
                  <w:pPr>
                    <w:widowControl/>
                    <w:jc w:val="center"/>
                    <w:rPr>
                      <w:rFonts w:ascii="宋体" w:hAnsi="宋体" w:eastAsia="宋体" w:cs="宋体"/>
                      <w:kern w:val="0"/>
                      <w:szCs w:val="21"/>
                    </w:rPr>
                  </w:pPr>
                  <w:r>
                    <w:rPr>
                      <w:rFonts w:hint="eastAsia" w:ascii="宋体" w:hAnsi="宋体" w:eastAsia="宋体" w:cs="宋体"/>
                      <w:kern w:val="0"/>
                      <w:szCs w:val="21"/>
                    </w:rPr>
                    <w:t>1000-5000</w:t>
                  </w:r>
                </w:p>
              </w:tc>
            </w:tr>
            <w:tr w14:paraId="5A9168F3">
              <w:tblPrEx>
                <w:tblCellMar>
                  <w:top w:w="0" w:type="dxa"/>
                  <w:left w:w="108" w:type="dxa"/>
                  <w:bottom w:w="0" w:type="dxa"/>
                  <w:right w:w="108" w:type="dxa"/>
                </w:tblCellMar>
              </w:tblPrEx>
              <w:trPr>
                <w:trHeight w:val="480" w:hRule="atLeast"/>
              </w:trPr>
              <w:tc>
                <w:tcPr>
                  <w:tcW w:w="1307" w:type="pct"/>
                  <w:tcBorders>
                    <w:top w:val="nil"/>
                    <w:left w:val="double" w:color="auto" w:sz="6" w:space="0"/>
                    <w:bottom w:val="single" w:color="auto" w:sz="4" w:space="0"/>
                    <w:right w:val="single" w:color="auto" w:sz="4" w:space="0"/>
                  </w:tcBorders>
                  <w:shd w:val="clear" w:color="auto" w:fill="auto"/>
                  <w:noWrap/>
                  <w:vAlign w:val="center"/>
                </w:tcPr>
                <w:p w14:paraId="1D187B35">
                  <w:pPr>
                    <w:widowControl/>
                    <w:jc w:val="center"/>
                    <w:rPr>
                      <w:rFonts w:ascii="宋体" w:hAnsi="宋体" w:eastAsia="宋体" w:cs="宋体"/>
                      <w:kern w:val="0"/>
                      <w:szCs w:val="21"/>
                    </w:rPr>
                  </w:pPr>
                  <w:r>
                    <w:rPr>
                      <w:rFonts w:hint="eastAsia" w:ascii="宋体" w:hAnsi="宋体" w:eastAsia="宋体" w:cs="宋体"/>
                      <w:kern w:val="0"/>
                      <w:szCs w:val="21"/>
                    </w:rPr>
                    <w:t>费率（工程）</w:t>
                  </w:r>
                </w:p>
              </w:tc>
              <w:tc>
                <w:tcPr>
                  <w:tcW w:w="889" w:type="pct"/>
                  <w:tcBorders>
                    <w:top w:val="nil"/>
                    <w:left w:val="nil"/>
                    <w:bottom w:val="single" w:color="auto" w:sz="4" w:space="0"/>
                    <w:right w:val="single" w:color="auto" w:sz="4" w:space="0"/>
                  </w:tcBorders>
                  <w:shd w:val="clear" w:color="auto" w:fill="auto"/>
                  <w:noWrap/>
                  <w:vAlign w:val="center"/>
                </w:tcPr>
                <w:p w14:paraId="1873B3D4">
                  <w:pPr>
                    <w:widowControl/>
                    <w:jc w:val="center"/>
                    <w:rPr>
                      <w:rFonts w:ascii="宋体" w:hAnsi="宋体" w:eastAsia="宋体" w:cs="宋体"/>
                      <w:kern w:val="0"/>
                      <w:szCs w:val="21"/>
                    </w:rPr>
                  </w:pPr>
                  <w:r>
                    <w:rPr>
                      <w:rFonts w:hint="eastAsia" w:ascii="宋体" w:hAnsi="宋体" w:eastAsia="宋体" w:cs="宋体"/>
                      <w:kern w:val="0"/>
                      <w:szCs w:val="21"/>
                    </w:rPr>
                    <w:t>1.00%</w:t>
                  </w:r>
                </w:p>
              </w:tc>
              <w:tc>
                <w:tcPr>
                  <w:tcW w:w="842" w:type="pct"/>
                  <w:tcBorders>
                    <w:top w:val="nil"/>
                    <w:left w:val="nil"/>
                    <w:bottom w:val="single" w:color="auto" w:sz="4" w:space="0"/>
                    <w:right w:val="single" w:color="auto" w:sz="4" w:space="0"/>
                  </w:tcBorders>
                  <w:shd w:val="clear" w:color="auto" w:fill="auto"/>
                  <w:noWrap/>
                  <w:vAlign w:val="center"/>
                </w:tcPr>
                <w:p w14:paraId="0DA38683">
                  <w:pPr>
                    <w:widowControl/>
                    <w:jc w:val="center"/>
                    <w:rPr>
                      <w:rFonts w:ascii="宋体" w:hAnsi="宋体" w:eastAsia="宋体" w:cs="宋体"/>
                      <w:kern w:val="0"/>
                      <w:szCs w:val="21"/>
                    </w:rPr>
                  </w:pPr>
                  <w:r>
                    <w:rPr>
                      <w:rFonts w:hint="eastAsia" w:ascii="宋体" w:hAnsi="宋体" w:eastAsia="宋体" w:cs="宋体"/>
                      <w:kern w:val="0"/>
                      <w:szCs w:val="21"/>
                    </w:rPr>
                    <w:t>0.70%</w:t>
                  </w:r>
                </w:p>
              </w:tc>
              <w:tc>
                <w:tcPr>
                  <w:tcW w:w="935" w:type="pct"/>
                  <w:tcBorders>
                    <w:top w:val="nil"/>
                    <w:left w:val="nil"/>
                    <w:bottom w:val="single" w:color="auto" w:sz="4" w:space="0"/>
                    <w:right w:val="single" w:color="auto" w:sz="4" w:space="0"/>
                  </w:tcBorders>
                  <w:shd w:val="clear" w:color="auto" w:fill="auto"/>
                  <w:noWrap/>
                  <w:vAlign w:val="center"/>
                </w:tcPr>
                <w:p w14:paraId="6667B448">
                  <w:pPr>
                    <w:widowControl/>
                    <w:jc w:val="center"/>
                    <w:rPr>
                      <w:rFonts w:ascii="宋体" w:hAnsi="宋体" w:eastAsia="宋体" w:cs="宋体"/>
                      <w:kern w:val="0"/>
                      <w:szCs w:val="21"/>
                    </w:rPr>
                  </w:pPr>
                  <w:r>
                    <w:rPr>
                      <w:rFonts w:hint="eastAsia" w:ascii="宋体" w:hAnsi="宋体" w:eastAsia="宋体" w:cs="宋体"/>
                      <w:kern w:val="0"/>
                      <w:szCs w:val="21"/>
                    </w:rPr>
                    <w:t>0.55%</w:t>
                  </w:r>
                </w:p>
              </w:tc>
              <w:tc>
                <w:tcPr>
                  <w:tcW w:w="1028" w:type="pct"/>
                  <w:tcBorders>
                    <w:top w:val="nil"/>
                    <w:left w:val="nil"/>
                    <w:bottom w:val="single" w:color="auto" w:sz="4" w:space="0"/>
                    <w:right w:val="single" w:color="auto" w:sz="4" w:space="0"/>
                  </w:tcBorders>
                  <w:shd w:val="clear" w:color="auto" w:fill="auto"/>
                  <w:noWrap/>
                  <w:vAlign w:val="center"/>
                </w:tcPr>
                <w:p w14:paraId="23F5264E">
                  <w:pPr>
                    <w:widowControl/>
                    <w:jc w:val="center"/>
                    <w:rPr>
                      <w:rFonts w:ascii="宋体" w:hAnsi="宋体" w:eastAsia="宋体" w:cs="宋体"/>
                      <w:kern w:val="0"/>
                      <w:szCs w:val="21"/>
                    </w:rPr>
                  </w:pPr>
                  <w:r>
                    <w:rPr>
                      <w:rFonts w:hint="eastAsia" w:ascii="宋体" w:hAnsi="宋体" w:eastAsia="宋体" w:cs="宋体"/>
                      <w:kern w:val="0"/>
                      <w:szCs w:val="21"/>
                    </w:rPr>
                    <w:t>0.35%</w:t>
                  </w:r>
                </w:p>
              </w:tc>
            </w:tr>
            <w:tr w14:paraId="305FB373">
              <w:tblPrEx>
                <w:tblCellMar>
                  <w:top w:w="0" w:type="dxa"/>
                  <w:left w:w="108" w:type="dxa"/>
                  <w:bottom w:w="0" w:type="dxa"/>
                  <w:right w:w="108" w:type="dxa"/>
                </w:tblCellMar>
              </w:tblPrEx>
              <w:trPr>
                <w:trHeight w:val="480" w:hRule="atLeast"/>
              </w:trPr>
              <w:tc>
                <w:tcPr>
                  <w:tcW w:w="1307" w:type="pct"/>
                  <w:tcBorders>
                    <w:top w:val="nil"/>
                    <w:left w:val="double" w:color="auto" w:sz="6" w:space="0"/>
                    <w:bottom w:val="single" w:color="auto" w:sz="4" w:space="0"/>
                    <w:right w:val="single" w:color="auto" w:sz="4" w:space="0"/>
                  </w:tcBorders>
                  <w:shd w:val="clear" w:color="auto" w:fill="auto"/>
                  <w:noWrap/>
                  <w:vAlign w:val="center"/>
                </w:tcPr>
                <w:p w14:paraId="695560CB">
                  <w:pPr>
                    <w:widowControl/>
                    <w:jc w:val="center"/>
                    <w:rPr>
                      <w:rFonts w:ascii="宋体" w:hAnsi="宋体" w:eastAsia="宋体" w:cs="宋体"/>
                      <w:kern w:val="0"/>
                      <w:szCs w:val="21"/>
                    </w:rPr>
                  </w:pPr>
                  <w:r>
                    <w:rPr>
                      <w:rFonts w:hint="eastAsia" w:ascii="宋体" w:hAnsi="宋体" w:eastAsia="宋体" w:cs="宋体"/>
                      <w:kern w:val="0"/>
                      <w:szCs w:val="21"/>
                    </w:rPr>
                    <w:t>费率（货物）</w:t>
                  </w:r>
                </w:p>
              </w:tc>
              <w:tc>
                <w:tcPr>
                  <w:tcW w:w="889" w:type="pct"/>
                  <w:tcBorders>
                    <w:top w:val="nil"/>
                    <w:left w:val="nil"/>
                    <w:bottom w:val="single" w:color="auto" w:sz="4" w:space="0"/>
                    <w:right w:val="single" w:color="auto" w:sz="4" w:space="0"/>
                  </w:tcBorders>
                  <w:shd w:val="clear" w:color="auto" w:fill="auto"/>
                  <w:noWrap/>
                  <w:vAlign w:val="center"/>
                </w:tcPr>
                <w:p w14:paraId="1143759F">
                  <w:pPr>
                    <w:widowControl/>
                    <w:jc w:val="center"/>
                    <w:rPr>
                      <w:rFonts w:ascii="宋体" w:hAnsi="宋体" w:eastAsia="宋体" w:cs="宋体"/>
                      <w:kern w:val="0"/>
                      <w:szCs w:val="21"/>
                    </w:rPr>
                  </w:pPr>
                  <w:r>
                    <w:rPr>
                      <w:rFonts w:hint="eastAsia" w:ascii="宋体" w:hAnsi="宋体" w:eastAsia="宋体" w:cs="宋体"/>
                      <w:kern w:val="0"/>
                      <w:szCs w:val="21"/>
                    </w:rPr>
                    <w:t>1.50%</w:t>
                  </w:r>
                </w:p>
              </w:tc>
              <w:tc>
                <w:tcPr>
                  <w:tcW w:w="842" w:type="pct"/>
                  <w:tcBorders>
                    <w:top w:val="nil"/>
                    <w:left w:val="nil"/>
                    <w:bottom w:val="single" w:color="auto" w:sz="4" w:space="0"/>
                    <w:right w:val="single" w:color="auto" w:sz="4" w:space="0"/>
                  </w:tcBorders>
                  <w:shd w:val="clear" w:color="auto" w:fill="auto"/>
                  <w:noWrap/>
                  <w:vAlign w:val="center"/>
                </w:tcPr>
                <w:p w14:paraId="69FD8620">
                  <w:pPr>
                    <w:widowControl/>
                    <w:jc w:val="center"/>
                    <w:rPr>
                      <w:rFonts w:ascii="宋体" w:hAnsi="宋体" w:eastAsia="宋体" w:cs="宋体"/>
                      <w:kern w:val="0"/>
                      <w:szCs w:val="21"/>
                    </w:rPr>
                  </w:pPr>
                  <w:r>
                    <w:rPr>
                      <w:rFonts w:hint="eastAsia" w:ascii="宋体" w:hAnsi="宋体" w:eastAsia="宋体" w:cs="宋体"/>
                      <w:kern w:val="0"/>
                      <w:szCs w:val="21"/>
                    </w:rPr>
                    <w:t>1.10%</w:t>
                  </w:r>
                </w:p>
              </w:tc>
              <w:tc>
                <w:tcPr>
                  <w:tcW w:w="935" w:type="pct"/>
                  <w:tcBorders>
                    <w:top w:val="nil"/>
                    <w:left w:val="nil"/>
                    <w:bottom w:val="single" w:color="auto" w:sz="4" w:space="0"/>
                    <w:right w:val="single" w:color="auto" w:sz="4" w:space="0"/>
                  </w:tcBorders>
                  <w:shd w:val="clear" w:color="auto" w:fill="auto"/>
                  <w:noWrap/>
                  <w:vAlign w:val="center"/>
                </w:tcPr>
                <w:p w14:paraId="099FB484">
                  <w:pPr>
                    <w:widowControl/>
                    <w:jc w:val="center"/>
                    <w:rPr>
                      <w:rFonts w:ascii="宋体" w:hAnsi="宋体" w:eastAsia="宋体" w:cs="宋体"/>
                      <w:kern w:val="0"/>
                      <w:szCs w:val="21"/>
                    </w:rPr>
                  </w:pPr>
                  <w:r>
                    <w:rPr>
                      <w:rFonts w:hint="eastAsia" w:ascii="宋体" w:hAnsi="宋体" w:eastAsia="宋体" w:cs="宋体"/>
                      <w:kern w:val="0"/>
                      <w:szCs w:val="21"/>
                    </w:rPr>
                    <w:t>0.80%</w:t>
                  </w:r>
                </w:p>
              </w:tc>
              <w:tc>
                <w:tcPr>
                  <w:tcW w:w="1028" w:type="pct"/>
                  <w:tcBorders>
                    <w:top w:val="nil"/>
                    <w:left w:val="nil"/>
                    <w:bottom w:val="single" w:color="auto" w:sz="4" w:space="0"/>
                    <w:right w:val="single" w:color="auto" w:sz="4" w:space="0"/>
                  </w:tcBorders>
                  <w:shd w:val="clear" w:color="auto" w:fill="auto"/>
                  <w:noWrap/>
                  <w:vAlign w:val="center"/>
                </w:tcPr>
                <w:p w14:paraId="39B79939">
                  <w:pPr>
                    <w:widowControl/>
                    <w:jc w:val="center"/>
                    <w:rPr>
                      <w:rFonts w:ascii="宋体" w:hAnsi="宋体" w:eastAsia="宋体" w:cs="宋体"/>
                      <w:kern w:val="0"/>
                      <w:szCs w:val="21"/>
                    </w:rPr>
                  </w:pPr>
                  <w:r>
                    <w:rPr>
                      <w:rFonts w:hint="eastAsia" w:ascii="宋体" w:hAnsi="宋体" w:eastAsia="宋体" w:cs="宋体"/>
                      <w:kern w:val="0"/>
                      <w:szCs w:val="21"/>
                    </w:rPr>
                    <w:t>0.50%</w:t>
                  </w:r>
                </w:p>
              </w:tc>
            </w:tr>
            <w:tr w14:paraId="2C99A8CB">
              <w:tblPrEx>
                <w:tblCellMar>
                  <w:top w:w="0" w:type="dxa"/>
                  <w:left w:w="108" w:type="dxa"/>
                  <w:bottom w:w="0" w:type="dxa"/>
                  <w:right w:w="108" w:type="dxa"/>
                </w:tblCellMar>
              </w:tblPrEx>
              <w:trPr>
                <w:trHeight w:val="480" w:hRule="atLeast"/>
              </w:trPr>
              <w:tc>
                <w:tcPr>
                  <w:tcW w:w="1307" w:type="pct"/>
                  <w:tcBorders>
                    <w:top w:val="nil"/>
                    <w:left w:val="double" w:color="auto" w:sz="6" w:space="0"/>
                    <w:bottom w:val="double" w:color="auto" w:sz="6" w:space="0"/>
                    <w:right w:val="single" w:color="auto" w:sz="4" w:space="0"/>
                  </w:tcBorders>
                  <w:shd w:val="clear" w:color="auto" w:fill="auto"/>
                  <w:noWrap/>
                  <w:vAlign w:val="center"/>
                </w:tcPr>
                <w:p w14:paraId="75A136FF">
                  <w:pPr>
                    <w:widowControl/>
                    <w:jc w:val="center"/>
                    <w:rPr>
                      <w:rFonts w:ascii="宋体" w:hAnsi="宋体" w:eastAsia="宋体" w:cs="宋体"/>
                      <w:kern w:val="0"/>
                      <w:szCs w:val="21"/>
                    </w:rPr>
                  </w:pPr>
                  <w:r>
                    <w:rPr>
                      <w:rFonts w:hint="eastAsia" w:ascii="宋体" w:hAnsi="宋体" w:eastAsia="宋体" w:cs="宋体"/>
                      <w:kern w:val="0"/>
                      <w:szCs w:val="21"/>
                    </w:rPr>
                    <w:t>费率（服务）</w:t>
                  </w:r>
                </w:p>
              </w:tc>
              <w:tc>
                <w:tcPr>
                  <w:tcW w:w="889" w:type="pct"/>
                  <w:tcBorders>
                    <w:top w:val="nil"/>
                    <w:left w:val="nil"/>
                    <w:bottom w:val="double" w:color="auto" w:sz="6" w:space="0"/>
                    <w:right w:val="single" w:color="auto" w:sz="4" w:space="0"/>
                  </w:tcBorders>
                  <w:shd w:val="clear" w:color="auto" w:fill="auto"/>
                  <w:noWrap/>
                  <w:vAlign w:val="center"/>
                </w:tcPr>
                <w:p w14:paraId="52660E85">
                  <w:pPr>
                    <w:widowControl/>
                    <w:jc w:val="center"/>
                    <w:rPr>
                      <w:rFonts w:ascii="宋体" w:hAnsi="宋体" w:eastAsia="宋体" w:cs="宋体"/>
                      <w:kern w:val="0"/>
                      <w:szCs w:val="21"/>
                    </w:rPr>
                  </w:pPr>
                  <w:r>
                    <w:rPr>
                      <w:rFonts w:hint="eastAsia" w:ascii="宋体" w:hAnsi="宋体" w:eastAsia="宋体" w:cs="宋体"/>
                      <w:kern w:val="0"/>
                      <w:szCs w:val="21"/>
                    </w:rPr>
                    <w:t>1.50%</w:t>
                  </w:r>
                </w:p>
              </w:tc>
              <w:tc>
                <w:tcPr>
                  <w:tcW w:w="842" w:type="pct"/>
                  <w:tcBorders>
                    <w:top w:val="nil"/>
                    <w:left w:val="nil"/>
                    <w:bottom w:val="double" w:color="auto" w:sz="6" w:space="0"/>
                    <w:right w:val="single" w:color="auto" w:sz="4" w:space="0"/>
                  </w:tcBorders>
                  <w:shd w:val="clear" w:color="auto" w:fill="auto"/>
                  <w:noWrap/>
                  <w:vAlign w:val="center"/>
                </w:tcPr>
                <w:p w14:paraId="0CE2CAD0">
                  <w:pPr>
                    <w:widowControl/>
                    <w:jc w:val="center"/>
                    <w:rPr>
                      <w:rFonts w:ascii="宋体" w:hAnsi="宋体" w:eastAsia="宋体" w:cs="宋体"/>
                      <w:kern w:val="0"/>
                      <w:szCs w:val="21"/>
                    </w:rPr>
                  </w:pPr>
                  <w:r>
                    <w:rPr>
                      <w:rFonts w:hint="eastAsia" w:ascii="宋体" w:hAnsi="宋体" w:eastAsia="宋体" w:cs="宋体"/>
                      <w:kern w:val="0"/>
                      <w:szCs w:val="21"/>
                    </w:rPr>
                    <w:t>0.80%</w:t>
                  </w:r>
                </w:p>
              </w:tc>
              <w:tc>
                <w:tcPr>
                  <w:tcW w:w="935" w:type="pct"/>
                  <w:tcBorders>
                    <w:top w:val="nil"/>
                    <w:left w:val="nil"/>
                    <w:bottom w:val="double" w:color="auto" w:sz="6" w:space="0"/>
                    <w:right w:val="single" w:color="auto" w:sz="4" w:space="0"/>
                  </w:tcBorders>
                  <w:shd w:val="clear" w:color="auto" w:fill="auto"/>
                  <w:noWrap/>
                  <w:vAlign w:val="center"/>
                </w:tcPr>
                <w:p w14:paraId="2045C39A">
                  <w:pPr>
                    <w:widowControl/>
                    <w:jc w:val="center"/>
                    <w:rPr>
                      <w:rFonts w:ascii="宋体" w:hAnsi="宋体" w:eastAsia="宋体" w:cs="宋体"/>
                      <w:kern w:val="0"/>
                      <w:szCs w:val="21"/>
                    </w:rPr>
                  </w:pPr>
                  <w:r>
                    <w:rPr>
                      <w:rFonts w:hint="eastAsia" w:ascii="宋体" w:hAnsi="宋体" w:eastAsia="宋体" w:cs="宋体"/>
                      <w:kern w:val="0"/>
                      <w:szCs w:val="21"/>
                    </w:rPr>
                    <w:t>0.45%</w:t>
                  </w:r>
                </w:p>
              </w:tc>
              <w:tc>
                <w:tcPr>
                  <w:tcW w:w="1028" w:type="pct"/>
                  <w:tcBorders>
                    <w:top w:val="nil"/>
                    <w:left w:val="nil"/>
                    <w:bottom w:val="double" w:color="auto" w:sz="6" w:space="0"/>
                    <w:right w:val="single" w:color="auto" w:sz="4" w:space="0"/>
                  </w:tcBorders>
                  <w:shd w:val="clear" w:color="auto" w:fill="auto"/>
                  <w:noWrap/>
                  <w:vAlign w:val="center"/>
                </w:tcPr>
                <w:p w14:paraId="2F3EE2A0">
                  <w:pPr>
                    <w:widowControl/>
                    <w:jc w:val="center"/>
                    <w:rPr>
                      <w:rFonts w:ascii="宋体" w:hAnsi="宋体" w:eastAsia="宋体" w:cs="宋体"/>
                      <w:kern w:val="0"/>
                      <w:szCs w:val="21"/>
                    </w:rPr>
                  </w:pPr>
                  <w:r>
                    <w:rPr>
                      <w:rFonts w:hint="eastAsia" w:ascii="宋体" w:hAnsi="宋体" w:eastAsia="宋体" w:cs="宋体"/>
                      <w:kern w:val="0"/>
                      <w:szCs w:val="21"/>
                    </w:rPr>
                    <w:t>0.25%</w:t>
                  </w:r>
                </w:p>
              </w:tc>
            </w:tr>
          </w:tbl>
          <w:p w14:paraId="0E096002">
            <w:pPr>
              <w:spacing w:line="360" w:lineRule="auto"/>
              <w:jc w:val="left"/>
              <w:rPr>
                <w:rFonts w:ascii="宋体" w:hAnsi="宋体" w:eastAsia="宋体" w:cs="仿宋"/>
                <w:kern w:val="0"/>
                <w:szCs w:val="21"/>
              </w:rPr>
            </w:pPr>
            <w:r>
              <w:rPr>
                <w:rFonts w:hint="eastAsia" w:ascii="宋体" w:hAnsi="宋体" w:eastAsia="宋体" w:cs="仿宋"/>
                <w:kern w:val="0"/>
                <w:szCs w:val="21"/>
              </w:rPr>
              <w:t>本项目根据市场情况统一下浮</w:t>
            </w:r>
            <w:r>
              <w:rPr>
                <w:rFonts w:ascii="宋体" w:hAnsi="宋体" w:eastAsia="宋体" w:cs="仿宋"/>
                <w:kern w:val="0"/>
                <w:szCs w:val="21"/>
              </w:rPr>
              <w:t>30%收取招标代理费。</w:t>
            </w:r>
          </w:p>
        </w:tc>
      </w:tr>
      <w:tr w14:paraId="45B38A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117A009F">
            <w:pPr>
              <w:spacing w:line="360" w:lineRule="auto"/>
              <w:jc w:val="center"/>
              <w:rPr>
                <w:rFonts w:ascii="宋体" w:hAnsi="宋体" w:eastAsia="宋体" w:cs="仿宋"/>
                <w:kern w:val="0"/>
                <w:szCs w:val="21"/>
              </w:rPr>
            </w:pPr>
            <w:r>
              <w:rPr>
                <w:rFonts w:hint="eastAsia" w:ascii="宋体" w:hAnsi="宋体" w:eastAsia="宋体" w:cs="仿宋"/>
                <w:kern w:val="0"/>
                <w:szCs w:val="21"/>
              </w:rPr>
              <w:t>19</w:t>
            </w:r>
          </w:p>
        </w:tc>
        <w:tc>
          <w:tcPr>
            <w:tcW w:w="1410" w:type="dxa"/>
            <w:vAlign w:val="center"/>
          </w:tcPr>
          <w:p w14:paraId="6563B919">
            <w:pPr>
              <w:keepNext/>
              <w:widowControl/>
              <w:spacing w:line="360" w:lineRule="auto"/>
              <w:jc w:val="center"/>
              <w:rPr>
                <w:rFonts w:ascii="宋体" w:hAnsi="宋体" w:eastAsia="宋体" w:cs="仿宋"/>
                <w:kern w:val="0"/>
                <w:szCs w:val="21"/>
              </w:rPr>
            </w:pPr>
            <w:r>
              <w:rPr>
                <w:rFonts w:hint="eastAsia" w:ascii="宋体" w:hAnsi="宋体" w:eastAsia="宋体" w:cs="仿宋"/>
                <w:kern w:val="0"/>
                <w:szCs w:val="21"/>
              </w:rPr>
              <w:t>备注</w:t>
            </w:r>
          </w:p>
        </w:tc>
        <w:tc>
          <w:tcPr>
            <w:tcW w:w="7073" w:type="dxa"/>
            <w:vAlign w:val="center"/>
          </w:tcPr>
          <w:p w14:paraId="4034CFDC">
            <w:pPr>
              <w:spacing w:line="360" w:lineRule="auto"/>
              <w:jc w:val="left"/>
              <w:rPr>
                <w:rFonts w:ascii="宋体" w:hAnsi="宋体" w:eastAsia="宋体" w:cs="仿宋"/>
                <w:kern w:val="0"/>
                <w:szCs w:val="21"/>
              </w:rPr>
            </w:pPr>
            <w:r>
              <w:rPr>
                <w:rFonts w:hint="eastAsia" w:ascii="宋体" w:hAnsi="宋体" w:eastAsia="宋体" w:cs="仿宋"/>
                <w:kern w:val="0"/>
                <w:szCs w:val="21"/>
              </w:rPr>
              <w:t>本表内容如与后文内容不一致处，以本表为准。</w:t>
            </w:r>
          </w:p>
        </w:tc>
      </w:tr>
    </w:tbl>
    <w:p w14:paraId="27340FD3">
      <w:pPr>
        <w:rPr>
          <w:rFonts w:ascii="宋体" w:hAnsi="宋体" w:eastAsia="宋体" w:cs="仿宋"/>
          <w:kern w:val="0"/>
          <w:sz w:val="24"/>
          <w:szCs w:val="24"/>
        </w:rPr>
      </w:pPr>
    </w:p>
    <w:p w14:paraId="70C1C118">
      <w:pPr>
        <w:spacing w:line="360" w:lineRule="auto"/>
        <w:jc w:val="center"/>
        <w:outlineLvl w:val="0"/>
        <w:rPr>
          <w:rFonts w:ascii="宋体" w:hAnsi="宋体" w:eastAsia="宋体" w:cs="仿宋"/>
          <w:b/>
          <w:sz w:val="28"/>
          <w:szCs w:val="28"/>
        </w:rPr>
      </w:pPr>
      <w:bookmarkStart w:id="6" w:name="_BookMark_3"/>
      <w:bookmarkEnd w:id="6"/>
      <w:r>
        <w:rPr>
          <w:rFonts w:hint="eastAsia" w:ascii="宋体" w:hAnsi="宋体" w:eastAsia="宋体" w:cs="仿宋"/>
          <w:kern w:val="0"/>
          <w:sz w:val="24"/>
          <w:szCs w:val="24"/>
        </w:rPr>
        <w:br w:type="page"/>
      </w:r>
      <w:bookmarkStart w:id="7" w:name="_Toc200016444"/>
      <w:r>
        <w:rPr>
          <w:rFonts w:hint="eastAsia" w:ascii="宋体" w:hAnsi="宋体" w:eastAsia="宋体" w:cs="仿宋"/>
          <w:b/>
          <w:sz w:val="28"/>
          <w:szCs w:val="28"/>
        </w:rPr>
        <w:t>第一章 投标人须知</w:t>
      </w:r>
      <w:bookmarkEnd w:id="7"/>
      <w:bookmarkStart w:id="8" w:name="_BookMark_2"/>
      <w:bookmarkEnd w:id="8"/>
    </w:p>
    <w:p w14:paraId="53F82788">
      <w:pPr>
        <w:tabs>
          <w:tab w:val="center" w:pos="4832"/>
          <w:tab w:val="left" w:pos="7140"/>
        </w:tabs>
        <w:spacing w:line="360" w:lineRule="auto"/>
        <w:ind w:firstLine="472" w:firstLineChars="196"/>
        <w:jc w:val="left"/>
        <w:outlineLvl w:val="1"/>
        <w:rPr>
          <w:rFonts w:ascii="宋体" w:hAnsi="宋体" w:eastAsia="宋体" w:cs="仿宋"/>
          <w:b/>
          <w:sz w:val="24"/>
          <w:szCs w:val="24"/>
        </w:rPr>
      </w:pPr>
      <w:bookmarkStart w:id="9" w:name="_Toc130252597"/>
      <w:bookmarkStart w:id="10" w:name="_Toc200016445"/>
      <w:r>
        <w:rPr>
          <w:rFonts w:hint="eastAsia" w:ascii="宋体" w:hAnsi="宋体" w:eastAsia="宋体" w:cs="仿宋"/>
          <w:b/>
          <w:sz w:val="24"/>
          <w:szCs w:val="24"/>
        </w:rPr>
        <w:t>1．总则</w:t>
      </w:r>
      <w:bookmarkEnd w:id="9"/>
      <w:bookmarkEnd w:id="10"/>
    </w:p>
    <w:p w14:paraId="325DFC1A">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1.1采购项目概况</w:t>
      </w:r>
    </w:p>
    <w:p w14:paraId="0A652BD2">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1.1.1项目名称：见投标人须知前附表。</w:t>
      </w:r>
    </w:p>
    <w:p w14:paraId="484727E0">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1.1.2项目编号：见投标人须知前附表。</w:t>
      </w:r>
    </w:p>
    <w:p w14:paraId="4B6BBC03">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1.1.3采购人：见投标人须知前附表。</w:t>
      </w:r>
    </w:p>
    <w:p w14:paraId="5215D8C7">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1.1.4采购代理机构：见投标人须知前附表。</w:t>
      </w:r>
    </w:p>
    <w:p w14:paraId="63C22520">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1.1.5项目地点：见投标人须知前附表。</w:t>
      </w:r>
    </w:p>
    <w:p w14:paraId="3F266EA1">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1.1.6资金来源：见投标人须知前附表。</w:t>
      </w:r>
    </w:p>
    <w:p w14:paraId="2CC6C620">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1.1.7采购预算金额：见投标人须知前附表。</w:t>
      </w:r>
    </w:p>
    <w:p w14:paraId="6CAD931F">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1.1.8是否单一产品：见投标人须知前附表。</w:t>
      </w:r>
    </w:p>
    <w:p w14:paraId="24BD4221">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1.1.9供货期限：见投标人须知前附表。</w:t>
      </w:r>
    </w:p>
    <w:p w14:paraId="2ADA0053">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1.1.10供货地点：见投标人须知前附表。</w:t>
      </w:r>
    </w:p>
    <w:p w14:paraId="1D3283FD">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1.1.11质保期：见投标人须知前附表。</w:t>
      </w:r>
    </w:p>
    <w:p w14:paraId="3918FE74">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1.2采购范围：见投标人须知前附表。</w:t>
      </w:r>
    </w:p>
    <w:p w14:paraId="0C2A8C8A">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1.3采购方式和资格审查方式</w:t>
      </w:r>
    </w:p>
    <w:p w14:paraId="12124C0A">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1.3.1采购方式：见投标人须知前附表。</w:t>
      </w:r>
    </w:p>
    <w:p w14:paraId="625B26B0">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1.3.2资格审查方式：见投标人须知前附表。</w:t>
      </w:r>
    </w:p>
    <w:p w14:paraId="53AD9295">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1.4 评审办法及定标方法</w:t>
      </w:r>
    </w:p>
    <w:p w14:paraId="5B362B70">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1.4.1评审办法：见投标人须知前附表。</w:t>
      </w:r>
    </w:p>
    <w:p w14:paraId="64D86C51">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1.4.2定标方法：见投标人须知前附表。</w:t>
      </w:r>
    </w:p>
    <w:p w14:paraId="4DB4C724">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1.5投标人资格条件和能力要求</w:t>
      </w:r>
    </w:p>
    <w:p w14:paraId="406084CB">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1.5.1投标人应具备承担本采购项目的资格条件和能力，具体要求见投标人须知前附表。</w:t>
      </w:r>
    </w:p>
    <w:p w14:paraId="6E76181F">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1.5.2投标人须知前附表规定接受联合体投标的，除应符合本章第1.5.1款和投标人须知前附表的要求外，还应遵守以下规定：（1）联合体各方应按招标文件提供的格式签订联合体协议书，明确联合体牵头人和各方权利义务；（2）联合体各方不得再以自己名义单独或参加其他联合体在本采购项目中投标。</w:t>
      </w:r>
    </w:p>
    <w:p w14:paraId="03BDDB5F">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1.5.3投标人不得存在下列情形之一，否则相关投标均应被否决：</w:t>
      </w:r>
    </w:p>
    <w:p w14:paraId="2353359C">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（1）与采购人存在利害关系可能影响招标公正性的法人、其他组织或者个人的；</w:t>
      </w:r>
    </w:p>
    <w:p w14:paraId="500EFA07">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（2）单位负责人为同一人或者存在控股、管理关系的不同单位，参加同一标段投标或者未划分标段的同一采购项目投标的；</w:t>
      </w:r>
    </w:p>
    <w:p w14:paraId="39386DEF">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（3）法定代表人为同一个人的两个及两个以上法人，母公司、全资子公司及其控股公司，参加同一标段投标或者未划分标段的同一采购项目投标的；</w:t>
      </w:r>
    </w:p>
    <w:p w14:paraId="35741DCB">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（4）被责令停业的；</w:t>
      </w:r>
    </w:p>
    <w:p w14:paraId="369B597D">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（5）被暂停或取消投标资格的；</w:t>
      </w:r>
    </w:p>
    <w:p w14:paraId="29BB366F">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（6）财产被接管或冻结的；</w:t>
      </w:r>
    </w:p>
    <w:p w14:paraId="18E1BD44">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（7）在最近三年内有骗取中标或严重违约或重大质量问题的；</w:t>
      </w:r>
    </w:p>
    <w:p w14:paraId="31E0B432">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（8）法律规定的其他情形。</w:t>
      </w:r>
      <w:bookmarkStart w:id="11" w:name="_BookMark_5"/>
      <w:bookmarkEnd w:id="11"/>
    </w:p>
    <w:p w14:paraId="216F1588">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1.6费用承担</w:t>
      </w:r>
    </w:p>
    <w:p w14:paraId="77E1FEDC">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1.6.1招标文件费：见投标人须知前附表。</w:t>
      </w:r>
    </w:p>
    <w:p w14:paraId="4FF715FF">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1.6.2投标人应承担其编制投标文件与递交投标文件所涉及的一切费用，无论投标结果如何，采购人及采购代理机构对上述费用不作任何补偿。采购代理咨询费由成交投标人支付。</w:t>
      </w:r>
    </w:p>
    <w:p w14:paraId="19634C1E">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1.7投标保证金：见投标人须知前附表。</w:t>
      </w:r>
    </w:p>
    <w:p w14:paraId="13BEDF6B">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1.8踏勘现场</w:t>
      </w:r>
    </w:p>
    <w:p w14:paraId="2DDEED85">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1.8.1投标人须知前附表规定组织踏勘现场的，采购人或采购代理机构按投标人须知前附表规定的时间、地点组织投标人踏勘项目现场。</w:t>
      </w:r>
    </w:p>
    <w:p w14:paraId="5EDA8074">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1.8.2投标人踏勘现场发生的费用自理。</w:t>
      </w:r>
    </w:p>
    <w:p w14:paraId="7077BBF9">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1.8.3除采购人或采购代理机构的原因外，投标人自行负责在踏勘现场中所发生的人员伤亡和财产损失。</w:t>
      </w:r>
    </w:p>
    <w:p w14:paraId="194771C9">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1.8.4采购人或采购代理机构在踏勘现场中介绍的项目有关情况，供投标人在编制投标文件时参考，采购人或采购代理机构不对投标人据此作出的判断和决策负责。</w:t>
      </w:r>
    </w:p>
    <w:p w14:paraId="2ECBAF4F">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1.9招标答疑</w:t>
      </w:r>
    </w:p>
    <w:p w14:paraId="44CCF344">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1.9.1投标人若有疑问，应按投标人须知前附表规定的时间、方式向采购人或采购代理机构提出，要求采购人对招标文件予以澄清。</w:t>
      </w:r>
    </w:p>
    <w:p w14:paraId="62F2F8F1">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1.10投标文件：见投标人须知前附表。</w:t>
      </w:r>
    </w:p>
    <w:p w14:paraId="251E9D69">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1.11投标文件递交：见投标人须知前附表。</w:t>
      </w:r>
    </w:p>
    <w:p w14:paraId="16BD79B9">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1.12开标：见投标人须知前附表。</w:t>
      </w:r>
    </w:p>
    <w:p w14:paraId="534B6387">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1.13响应有效期：见投标人须知前附表。</w:t>
      </w:r>
    </w:p>
    <w:p w14:paraId="6B803E2A">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1.14公告发布媒体：见投标人须知前附表。</w:t>
      </w:r>
    </w:p>
    <w:p w14:paraId="72F2AA30">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1.15履约保证金：见投标人须知前附表。</w:t>
      </w:r>
    </w:p>
    <w:p w14:paraId="0DAB7704">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1.16中小企业政策说明：见投标人须知前附表。</w:t>
      </w:r>
    </w:p>
    <w:p w14:paraId="6FF13908">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1.17保密</w:t>
      </w:r>
    </w:p>
    <w:p w14:paraId="60548163">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参与招标投标活动的各方应当对招标文件和投标文件中的商业和技术等秘密保密，否则应当承担相应的法律责任。</w:t>
      </w:r>
    </w:p>
    <w:p w14:paraId="79688A50">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1.18语言文字</w:t>
      </w:r>
    </w:p>
    <w:p w14:paraId="06F1AA92">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除专用术语外，与招标投标有关的语言均应当使用中文。必要时专用术语应附有中文注释。</w:t>
      </w:r>
    </w:p>
    <w:p w14:paraId="0581C666">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1.19计量单位</w:t>
      </w:r>
    </w:p>
    <w:p w14:paraId="28C1D807">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所有计量均采用中华人民共和国法定计量单位。</w:t>
      </w:r>
    </w:p>
    <w:p w14:paraId="7DAF0488">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1.20偏离</w:t>
      </w:r>
    </w:p>
    <w:p w14:paraId="5D246F8E">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投标文件与招标文件某些要求产生偏离的，偏离应当符合招标文件规定的偏离范围和幅度。</w:t>
      </w:r>
    </w:p>
    <w:p w14:paraId="61B6B861">
      <w:pPr>
        <w:tabs>
          <w:tab w:val="center" w:pos="4832"/>
          <w:tab w:val="left" w:pos="7140"/>
        </w:tabs>
        <w:spacing w:line="360" w:lineRule="auto"/>
        <w:ind w:firstLine="472" w:firstLineChars="196"/>
        <w:jc w:val="left"/>
        <w:outlineLvl w:val="1"/>
        <w:rPr>
          <w:rFonts w:ascii="宋体" w:hAnsi="宋体" w:eastAsia="宋体" w:cs="仿宋"/>
          <w:b/>
          <w:sz w:val="24"/>
          <w:szCs w:val="24"/>
        </w:rPr>
      </w:pPr>
      <w:bookmarkStart w:id="12" w:name="_Toc535592196"/>
      <w:bookmarkStart w:id="13" w:name="_Toc200016446"/>
      <w:r>
        <w:rPr>
          <w:rFonts w:hint="eastAsia" w:ascii="宋体" w:hAnsi="宋体" w:eastAsia="宋体" w:cs="仿宋"/>
          <w:b/>
          <w:sz w:val="24"/>
          <w:szCs w:val="24"/>
        </w:rPr>
        <w:t>2．招标文件</w:t>
      </w:r>
      <w:bookmarkEnd w:id="12"/>
      <w:bookmarkEnd w:id="13"/>
    </w:p>
    <w:p w14:paraId="3C6282EF">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2.1 招标文件的组成</w:t>
      </w:r>
    </w:p>
    <w:p w14:paraId="371E37E4">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（1）投标人须知；</w:t>
      </w:r>
    </w:p>
    <w:p w14:paraId="797B2A7E">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（2）评标办法；</w:t>
      </w:r>
    </w:p>
    <w:p w14:paraId="76758144">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（3）合同条款；</w:t>
      </w:r>
    </w:p>
    <w:p w14:paraId="11A757FE">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（4）技术标准和要求；</w:t>
      </w:r>
    </w:p>
    <w:p w14:paraId="6E8AD310">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（5）投标文件格式；</w:t>
      </w:r>
    </w:p>
    <w:p w14:paraId="19FAD784">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（6）补充条款。</w:t>
      </w:r>
    </w:p>
    <w:p w14:paraId="7C07D2A9">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根据本章第2.4款和第2.5款对招标文件所作的澄清、修改，构成招标文件的组成部分。</w:t>
      </w:r>
    </w:p>
    <w:p w14:paraId="61960197">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2.2招标文件的获取</w:t>
      </w:r>
    </w:p>
    <w:p w14:paraId="78054063">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凡有意参加并符合投标人须知前附表“投标人资格条件和能力”的投标人，均可在采购代理机构获取招标文件。</w:t>
      </w:r>
    </w:p>
    <w:p w14:paraId="3CBD324C">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2.3招标文件的澄清</w:t>
      </w:r>
    </w:p>
    <w:p w14:paraId="532797E0">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2.3.1 投标人应当仔细阅读和检查招标文件的全部内容。如发现缺页或附件不全，应当及时向采购人提出，以便补齐。如有疑问，应当在投标人须知前附表规定的时间、方式向采购人提出，要求采购人对招标文件予以澄清。</w:t>
      </w:r>
    </w:p>
    <w:p w14:paraId="107D0944">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2.3.2 招标文件的澄清将按照投标人须知前附表规定的时间、方式发布，但不指明澄清问题的来源。</w:t>
      </w:r>
    </w:p>
    <w:p w14:paraId="709366BE">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2.4招标文件的修改</w:t>
      </w:r>
    </w:p>
    <w:p w14:paraId="1DB5E1F2">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2.4.1 招标文件的修改将按照投标人须知前附表规定的时间、方式发布，但不指明澄清问题的来源。</w:t>
      </w:r>
    </w:p>
    <w:p w14:paraId="0EF6182C">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2.4.2 在投标人须知前附表规定的截止时间前，无论出于何种原因，采购代理机构和采购人可主动地或在解答潜在投标人提出的澄清问题时对招标文件进行修改。</w:t>
      </w:r>
    </w:p>
    <w:p w14:paraId="56A61FD6">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2.4.3 招标文件的修改部分是招标文件的组成部分对投标人具有约束力。</w:t>
      </w:r>
    </w:p>
    <w:p w14:paraId="67AFA35D">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2.4.4 为使投标人准备投标时有充分时间对招标文件的修改部分进行研究，采购人可适当推迟投标截止期。</w:t>
      </w:r>
    </w:p>
    <w:p w14:paraId="2FB63A3E">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2.4.5 当采购人发放的招标文件及招标文件的答疑文件、修改文件、补充文件前后不一致，发生矛盾情况时，以最后发出的为准。</w:t>
      </w:r>
    </w:p>
    <w:p w14:paraId="29AED691">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2.4.6 如果招标文件各个组成部分之间出现歧义或相互矛盾，或任何文件中呈现明显的或不符合逻辑等的错误，或在文件编写过程中经常出现的打印错误等，投标人应将需要澄清的内容在投标人须知前附表规定的时间之前提出。根据合同条款中的相关约定，如果投标人在投标过程中未能发现并对有关歧义、矛盾或错误提出澄清请求，而在中标后发现并提出，中标人将必须接受由采购人依据合同有关条款而做出的书面澄清。</w:t>
      </w:r>
    </w:p>
    <w:p w14:paraId="7F387723">
      <w:pPr>
        <w:tabs>
          <w:tab w:val="center" w:pos="4832"/>
          <w:tab w:val="left" w:pos="7140"/>
        </w:tabs>
        <w:spacing w:line="360" w:lineRule="auto"/>
        <w:ind w:firstLine="472" w:firstLineChars="196"/>
        <w:jc w:val="left"/>
        <w:outlineLvl w:val="1"/>
        <w:rPr>
          <w:rFonts w:ascii="宋体" w:hAnsi="宋体" w:eastAsia="宋体" w:cs="仿宋"/>
          <w:b/>
          <w:sz w:val="24"/>
          <w:szCs w:val="24"/>
        </w:rPr>
      </w:pPr>
      <w:bookmarkStart w:id="14" w:name="_BookMark_6"/>
      <w:bookmarkEnd w:id="14"/>
      <w:bookmarkStart w:id="15" w:name="_Toc200016447"/>
      <w:bookmarkStart w:id="16" w:name="_Toc535592197"/>
      <w:r>
        <w:rPr>
          <w:rFonts w:hint="eastAsia" w:ascii="宋体" w:hAnsi="宋体" w:eastAsia="宋体" w:cs="仿宋"/>
          <w:b/>
          <w:sz w:val="24"/>
          <w:szCs w:val="24"/>
        </w:rPr>
        <w:t>3．投标文件</w:t>
      </w:r>
      <w:bookmarkEnd w:id="15"/>
      <w:bookmarkEnd w:id="16"/>
    </w:p>
    <w:p w14:paraId="416EC8BB">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3.1 投标文件的组成</w:t>
      </w:r>
    </w:p>
    <w:p w14:paraId="156A27EB">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3.1.1投标文件应包括下列内容：</w:t>
      </w:r>
    </w:p>
    <w:p w14:paraId="370CAAE8">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一、投标函</w:t>
      </w:r>
    </w:p>
    <w:p w14:paraId="43F2EC00">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二、投标价格明细表</w:t>
      </w:r>
    </w:p>
    <w:p w14:paraId="37728B5D">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三、技术条款偏离表</w:t>
      </w:r>
    </w:p>
    <w:p w14:paraId="5C182F8E">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四、商务条款偏离表</w:t>
      </w:r>
    </w:p>
    <w:p w14:paraId="5A1DF498">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五、法定代表人身份证明书</w:t>
      </w:r>
    </w:p>
    <w:p w14:paraId="232D7AB0">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六、法定代表人授权委托书</w:t>
      </w:r>
    </w:p>
    <w:p w14:paraId="0DEAF43D">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七、投标人资格条件证明材料</w:t>
      </w:r>
    </w:p>
    <w:p w14:paraId="5ECDB4CC">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八、投标人近年类似项目情况表</w:t>
      </w:r>
    </w:p>
    <w:p w14:paraId="2733DEC4">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九、售后服务承诺书</w:t>
      </w:r>
    </w:p>
    <w:p w14:paraId="0E9C1F07">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十、技术方案</w:t>
      </w:r>
    </w:p>
    <w:p w14:paraId="6B6F4321">
      <w:pPr>
        <w:widowControl/>
        <w:shd w:val="clear" w:color="auto" w:fill="FFFFFF"/>
        <w:snapToGrid w:val="0"/>
        <w:spacing w:line="360" w:lineRule="auto"/>
        <w:ind w:firstLine="480" w:firstLineChars="200"/>
        <w:rPr>
          <w:rFonts w:ascii="宋体" w:hAnsi="宋体" w:eastAsia="宋体" w:cs="仿宋"/>
          <w:kern w:val="0"/>
          <w:sz w:val="24"/>
          <w:szCs w:val="24"/>
          <w:highlight w:val="yellow"/>
        </w:rPr>
      </w:pPr>
      <w:r>
        <w:rPr>
          <w:rFonts w:hint="eastAsia" w:ascii="宋体" w:hAnsi="宋体" w:eastAsia="宋体" w:cs="仿宋"/>
          <w:kern w:val="0"/>
          <w:sz w:val="24"/>
          <w:szCs w:val="24"/>
        </w:rPr>
        <w:t>十一、其它需要提交的资料</w:t>
      </w:r>
    </w:p>
    <w:p w14:paraId="7E561E1A">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3.1.2 投标人须知前附表规定不接受联合体投标的，或投标人没有组成联合体的，投标文件不包括本章第3.1.1（7）款所指的联合体协议书。</w:t>
      </w:r>
    </w:p>
    <w:p w14:paraId="48FC75B0">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3.2 投标价格</w:t>
      </w:r>
    </w:p>
    <w:p w14:paraId="5F5594C1">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3.2.1投标价格应包括投标人履行本项目合同（如果中标）所必须的所有成本费用和中标人应承担的一切税费；未列和没有填写的项目费用，采购人将视为已包括在投标价格中。</w:t>
      </w:r>
    </w:p>
    <w:p w14:paraId="21B536AC">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3.2.2 投标人的投标价格不能超出本项目采购预算金额。</w:t>
      </w:r>
    </w:p>
    <w:p w14:paraId="7E83336B">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3.3 投标有效期</w:t>
      </w:r>
    </w:p>
    <w:p w14:paraId="43A5DCBC">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3.3.1 在投标人须知前附表规定的投标有效期内，投标人不得要求撤销或修改其投标文件。</w:t>
      </w:r>
    </w:p>
    <w:p w14:paraId="760D59C6">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3.3.2 出现特殊情况需要延长投标有效期的，采购人将通知所有投标人延长投标有效期。投标人同意延长的，应当相应延长其投标保证金的有效期，但不得要求或被允许修改或撤销其投标文件；投标人拒绝延长的，其投标失效，但投标人有权收回其投标保证金。</w:t>
      </w:r>
    </w:p>
    <w:p w14:paraId="53B73789">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3.3.3 投标保证金的有效期与投标有效期一致。</w:t>
      </w:r>
    </w:p>
    <w:p w14:paraId="60EA7B78">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3.4 投标保证金</w:t>
      </w:r>
    </w:p>
    <w:p w14:paraId="6C89B03E">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3.4.1 投标人应于投标截止时间前按投标人须知前附表规定数额提交投标保证金。未提交投标保证金的，将被视为非响应性投标而予以拒绝。联合体投标的，其投标保证金由牵头人递交，并应符合投标人须知前附表的规定。</w:t>
      </w:r>
    </w:p>
    <w:p w14:paraId="0F3967A8">
      <w:pPr>
        <w:shd w:val="clear" w:color="auto" w:fill="FFFFFF"/>
        <w:snapToGrid w:val="0"/>
        <w:spacing w:line="384" w:lineRule="auto"/>
        <w:ind w:firstLine="360" w:firstLineChars="150"/>
        <w:rPr>
          <w:rFonts w:ascii="宋体" w:hAnsi="宋体" w:eastAsia="宋体" w:cs="仿宋"/>
          <w:sz w:val="24"/>
          <w:szCs w:val="24"/>
        </w:rPr>
      </w:pPr>
      <w:r>
        <w:rPr>
          <w:rFonts w:hint="eastAsia" w:ascii="宋体" w:hAnsi="宋体" w:eastAsia="宋体" w:cs="仿宋"/>
          <w:kern w:val="0"/>
          <w:sz w:val="24"/>
          <w:szCs w:val="24"/>
        </w:rPr>
        <w:t>3.4.2</w:t>
      </w:r>
      <w:r>
        <w:rPr>
          <w:rFonts w:hint="eastAsia" w:ascii="宋体" w:hAnsi="宋体" w:eastAsia="宋体" w:cs="仿宋"/>
          <w:sz w:val="24"/>
          <w:szCs w:val="24"/>
        </w:rPr>
        <w:t>投标保证金以支票、汇票、本票或者金融机构、担保机构出具的保函等非现金形式提交至采购代理机构。</w:t>
      </w:r>
    </w:p>
    <w:p w14:paraId="019ADBD3">
      <w:pPr>
        <w:shd w:val="clear" w:color="auto" w:fill="FFFFFF"/>
        <w:snapToGrid w:val="0"/>
        <w:spacing w:line="384" w:lineRule="auto"/>
        <w:ind w:firstLine="360" w:firstLineChars="150"/>
        <w:rPr>
          <w:rFonts w:ascii="宋体" w:hAnsi="宋体" w:eastAsia="宋体" w:cs="仿宋"/>
          <w:kern w:val="0"/>
          <w:sz w:val="24"/>
          <w:szCs w:val="24"/>
        </w:rPr>
      </w:pPr>
      <w:r>
        <w:rPr>
          <w:rFonts w:hint="eastAsia" w:ascii="宋体" w:hAnsi="宋体" w:eastAsia="宋体" w:cs="仿宋"/>
          <w:kern w:val="0"/>
          <w:sz w:val="24"/>
          <w:szCs w:val="24"/>
        </w:rPr>
        <w:t>3.4.3投标保证金是为了保护采购人免遭因投标人的行为而蒙受损失。采购人在因投标人的行为受到损害时可根据相关法律规定没收投标人的投标保证金。</w:t>
      </w:r>
    </w:p>
    <w:p w14:paraId="0E0A0B0D">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3.4.4采购人或者采购代理机构应当自中标通知书发出之日起5个工作日内退还未中标人的投标保证金，自采购合同签订之日起5个工作日内退还中标人的投标保证金。</w:t>
      </w:r>
    </w:p>
    <w:p w14:paraId="30B14F78">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3.4.5投标保证金有效期与投标有效期一致。</w:t>
      </w:r>
    </w:p>
    <w:p w14:paraId="10641EFF">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3.4.6有下列情形之一的，投标保证金不予退还：</w:t>
      </w:r>
    </w:p>
    <w:p w14:paraId="3F5AE5E7">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（1）投标人在规定的投标有效期内撤销或修改其投标文件的；</w:t>
      </w:r>
    </w:p>
    <w:p w14:paraId="4F8E6392">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（2）中标人在收到中标通知书后，无正当理由拒签合同协议书或在签订合同时提出附加条件或者更改合同实质性内容的；</w:t>
      </w:r>
    </w:p>
    <w:p w14:paraId="7BF1B063">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（3）未按招标文件规定提交履约保证金的。</w:t>
      </w:r>
    </w:p>
    <w:p w14:paraId="26D9AC1E">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3.5 投标文件的编制</w:t>
      </w:r>
    </w:p>
    <w:p w14:paraId="0430BF64">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3.5.1投标文件应按第五章“投标文件格式”进行编写，如有必要，可以增加附页，作为投标文件的组成部分。</w:t>
      </w:r>
    </w:p>
    <w:p w14:paraId="30344AC9">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3.5.2投标文件应当对招标文件有关采购范围、技术与服务要求等实质性内容做出响应。</w:t>
      </w:r>
    </w:p>
    <w:p w14:paraId="353D0172">
      <w:pPr>
        <w:widowControl/>
        <w:shd w:val="clear" w:color="auto" w:fill="FFFFFF"/>
        <w:snapToGrid w:val="0"/>
        <w:spacing w:line="360" w:lineRule="auto"/>
        <w:ind w:firstLine="480" w:firstLineChars="200"/>
        <w:rPr>
          <w:rFonts w:ascii="宋体" w:hAnsi="宋体" w:eastAsia="宋体" w:cs="仿宋"/>
          <w:kern w:val="0"/>
          <w:sz w:val="24"/>
          <w:szCs w:val="24"/>
          <w:shd w:val="clear" w:color="auto" w:fill="FFFFFF" w:themeFill="background1"/>
        </w:rPr>
      </w:pPr>
      <w:bookmarkStart w:id="17" w:name="_BookMark_7"/>
      <w:bookmarkEnd w:id="17"/>
      <w:bookmarkStart w:id="18" w:name="_Toc535592198"/>
      <w:r>
        <w:rPr>
          <w:rFonts w:hint="eastAsia" w:ascii="宋体" w:hAnsi="宋体" w:eastAsia="宋体" w:cs="仿宋"/>
          <w:kern w:val="0"/>
          <w:sz w:val="24"/>
          <w:szCs w:val="24"/>
          <w:shd w:val="clear" w:color="auto" w:fill="FFFFFF" w:themeFill="background1"/>
        </w:rPr>
        <w:t>3.5.3电子投标文件使用政采云平台投标文件制作工具以及招标文件要求进行制作编制。投标文件制作时，按照招标文件中明确的投标文件目录和格式进行编制，保证目录清晰、内容完整。</w:t>
      </w:r>
    </w:p>
    <w:p w14:paraId="3616EF09">
      <w:pPr>
        <w:widowControl/>
        <w:shd w:val="clear" w:color="auto" w:fill="FFFFFF"/>
        <w:snapToGrid w:val="0"/>
        <w:spacing w:line="360" w:lineRule="auto"/>
        <w:ind w:firstLine="480" w:firstLineChars="200"/>
        <w:rPr>
          <w:rFonts w:ascii="宋体" w:hAnsi="宋体" w:eastAsia="宋体" w:cs="仿宋"/>
          <w:kern w:val="0"/>
          <w:sz w:val="24"/>
          <w:szCs w:val="24"/>
          <w:shd w:val="clear" w:color="auto" w:fill="FFFFFF" w:themeFill="background1"/>
        </w:rPr>
      </w:pPr>
      <w:r>
        <w:rPr>
          <w:rFonts w:hint="eastAsia" w:ascii="宋体" w:hAnsi="宋体" w:eastAsia="宋体" w:cs="仿宋"/>
          <w:kern w:val="0"/>
          <w:sz w:val="24"/>
          <w:szCs w:val="24"/>
          <w:shd w:val="clear" w:color="auto" w:fill="FFFFFF" w:themeFill="background1"/>
        </w:rPr>
        <w:t>3.5.4电子投标文件须使用投标人电子公章及法定代表人的电子签名。</w:t>
      </w:r>
    </w:p>
    <w:p w14:paraId="517FC4D3">
      <w:pPr>
        <w:widowControl/>
        <w:shd w:val="clear" w:color="auto" w:fill="FFFFFF"/>
        <w:snapToGrid w:val="0"/>
        <w:spacing w:line="360" w:lineRule="auto"/>
        <w:ind w:firstLine="480" w:firstLineChars="200"/>
        <w:rPr>
          <w:rFonts w:ascii="宋体" w:hAnsi="宋体" w:eastAsia="宋体" w:cs="仿宋"/>
          <w:sz w:val="24"/>
          <w:shd w:val="clear" w:color="auto" w:fill="FFFFFF" w:themeFill="background1"/>
        </w:rPr>
      </w:pPr>
      <w:r>
        <w:rPr>
          <w:rFonts w:hint="eastAsia" w:ascii="宋体" w:hAnsi="宋体" w:eastAsia="宋体" w:cs="仿宋"/>
          <w:kern w:val="0"/>
          <w:sz w:val="24"/>
          <w:szCs w:val="24"/>
          <w:shd w:val="clear" w:color="auto" w:fill="FFFFFF" w:themeFill="background1"/>
        </w:rPr>
        <w:t>3.5.5电子招投标文件具有法律效力，与其他形式的招投标文件在内容和格式上等同，若投标文件与招标文件要求不一致，其内容影响成交结果时，责任由投标人自行承担。投标人递交的电子投标文件因投标人自身原因而导致无法导入电子辅助评标系统，该投标文件视为无效投标文件，将导致其投标被拒绝</w:t>
      </w:r>
      <w:r>
        <w:rPr>
          <w:rFonts w:hint="eastAsia" w:ascii="宋体" w:hAnsi="宋体" w:eastAsia="宋体" w:cs="仿宋"/>
          <w:sz w:val="24"/>
          <w:shd w:val="clear" w:color="auto" w:fill="FFFFFF" w:themeFill="background1"/>
        </w:rPr>
        <w:t>。</w:t>
      </w:r>
    </w:p>
    <w:p w14:paraId="4169FEE4">
      <w:pPr>
        <w:tabs>
          <w:tab w:val="center" w:pos="4832"/>
          <w:tab w:val="left" w:pos="7140"/>
        </w:tabs>
        <w:spacing w:line="360" w:lineRule="auto"/>
        <w:ind w:firstLine="470" w:firstLineChars="196"/>
        <w:jc w:val="left"/>
        <w:rPr>
          <w:rFonts w:ascii="宋体" w:hAnsi="宋体" w:eastAsia="宋体" w:cs="仿宋"/>
          <w:sz w:val="24"/>
          <w:shd w:val="clear" w:color="auto" w:fill="FFFFFF" w:themeFill="background1"/>
        </w:rPr>
      </w:pPr>
      <w:r>
        <w:rPr>
          <w:rFonts w:hint="eastAsia" w:ascii="宋体" w:hAnsi="宋体" w:eastAsia="宋体" w:cs="仿宋"/>
          <w:kern w:val="0"/>
          <w:sz w:val="24"/>
          <w:szCs w:val="24"/>
          <w:shd w:val="clear" w:color="auto" w:fill="FFFFFF" w:themeFill="background1"/>
        </w:rPr>
        <w:t>3.5.6</w:t>
      </w:r>
      <w:r>
        <w:rPr>
          <w:rFonts w:hint="eastAsia" w:ascii="宋体" w:hAnsi="宋体" w:eastAsia="宋体" w:cs="仿宋"/>
          <w:sz w:val="24"/>
          <w:shd w:val="clear" w:color="auto" w:fill="FFFFFF" w:themeFill="background1"/>
        </w:rPr>
        <w:t>未按招标文件要求签署和盖章的投标文件，其投标将被认定为投标无效。</w:t>
      </w:r>
    </w:p>
    <w:p w14:paraId="130839F5">
      <w:pPr>
        <w:tabs>
          <w:tab w:val="center" w:pos="4832"/>
          <w:tab w:val="left" w:pos="7140"/>
        </w:tabs>
        <w:spacing w:line="360" w:lineRule="auto"/>
        <w:ind w:firstLine="472" w:firstLineChars="196"/>
        <w:jc w:val="left"/>
        <w:outlineLvl w:val="1"/>
        <w:rPr>
          <w:rFonts w:ascii="宋体" w:hAnsi="宋体" w:eastAsia="宋体" w:cs="仿宋"/>
          <w:b/>
          <w:sz w:val="24"/>
          <w:szCs w:val="24"/>
        </w:rPr>
      </w:pPr>
      <w:bookmarkStart w:id="19" w:name="_Toc200016448"/>
      <w:r>
        <w:rPr>
          <w:rFonts w:hint="eastAsia" w:ascii="宋体" w:hAnsi="宋体" w:eastAsia="宋体" w:cs="仿宋"/>
          <w:b/>
          <w:sz w:val="24"/>
          <w:szCs w:val="24"/>
        </w:rPr>
        <w:t>4．投标</w:t>
      </w:r>
      <w:bookmarkEnd w:id="18"/>
      <w:bookmarkEnd w:id="19"/>
    </w:p>
    <w:p w14:paraId="22A91DD7">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bookmarkStart w:id="20" w:name="_BookMark_8"/>
      <w:bookmarkEnd w:id="20"/>
      <w:bookmarkStart w:id="21" w:name="_Toc535592199"/>
      <w:r>
        <w:rPr>
          <w:rFonts w:ascii="宋体" w:hAnsi="宋体" w:eastAsia="宋体" w:cs="Arial"/>
          <w:kern w:val="0"/>
          <w:sz w:val="24"/>
          <w:szCs w:val="24"/>
          <w:shd w:val="clear" w:color="auto" w:fill="FFFFFF" w:themeFill="background1"/>
        </w:rPr>
        <w:t>4.1</w:t>
      </w:r>
      <w:r>
        <w:rPr>
          <w:rFonts w:hint="eastAsia" w:ascii="宋体" w:hAnsi="宋体" w:eastAsia="宋体" w:cs="Arial"/>
          <w:kern w:val="0"/>
          <w:sz w:val="24"/>
          <w:szCs w:val="24"/>
          <w:shd w:val="clear" w:color="auto" w:fill="FFFFFF" w:themeFill="background1"/>
        </w:rPr>
        <w:t xml:space="preserve">本次采购采用电子交易方式，电子交易平台为“政采云平台（https://www.zcygov.cn/）”。供应商参与本项目电子交易活动前，应注册成为政府采购云平台供应商。编制电子响应文件前还需申领CA证书并绑定帐号。供应商应充分考虑完成平台注册、申领CA证书等所需的时间。因未注册入库、未办理CA数字证书等原因造成无法投标或投标失败等后果由供应商自行承担。 </w:t>
      </w:r>
    </w:p>
    <w:p w14:paraId="71D24F19">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4.</w:t>
      </w:r>
      <w:r>
        <w:rPr>
          <w:rFonts w:ascii="宋体" w:hAnsi="宋体" w:eastAsia="宋体" w:cs="Arial"/>
          <w:kern w:val="0"/>
          <w:sz w:val="24"/>
          <w:szCs w:val="24"/>
          <w:shd w:val="clear" w:color="auto" w:fill="FFFFFF" w:themeFill="background1"/>
        </w:rPr>
        <w:t>2</w:t>
      </w:r>
      <w:r>
        <w:rPr>
          <w:rFonts w:hint="eastAsia" w:ascii="宋体" w:hAnsi="宋体" w:eastAsia="宋体" w:cs="Arial"/>
          <w:kern w:val="0"/>
          <w:sz w:val="24"/>
          <w:szCs w:val="24"/>
          <w:shd w:val="clear" w:color="auto" w:fill="FFFFFF" w:themeFill="background1"/>
        </w:rPr>
        <w:t>供应商将政采云电子交易客户端下载、安装完成后，可通过账号密码或CA登录客户端进行响应文件制作。在使用政采云投标客户端时，建议使用WIN7及以上操作系统。客户端请至新疆政府采购网（www.ccgp-xinjiang.gov.cn）下载专区查看，如有问题可拨打政采云客户服务热线95763进行咨询。</w:t>
      </w:r>
    </w:p>
    <w:p w14:paraId="567D44F2">
      <w:pPr>
        <w:tabs>
          <w:tab w:val="center" w:pos="4832"/>
          <w:tab w:val="left" w:pos="7140"/>
        </w:tabs>
        <w:spacing w:line="360" w:lineRule="auto"/>
        <w:ind w:firstLine="470" w:firstLineChars="196"/>
        <w:jc w:val="left"/>
        <w:rPr>
          <w:rFonts w:ascii="宋体" w:hAnsi="宋体" w:eastAsia="宋体" w:cs="仿宋"/>
          <w:bCs/>
          <w:sz w:val="24"/>
          <w:szCs w:val="24"/>
        </w:rPr>
      </w:pPr>
      <w:r>
        <w:rPr>
          <w:rFonts w:hint="eastAsia" w:ascii="宋体" w:hAnsi="宋体" w:eastAsia="宋体" w:cs="仿宋"/>
          <w:bCs/>
          <w:sz w:val="24"/>
          <w:szCs w:val="24"/>
        </w:rPr>
        <w:t>4.3投标文件的递交</w:t>
      </w:r>
    </w:p>
    <w:p w14:paraId="531126FB">
      <w:pPr>
        <w:tabs>
          <w:tab w:val="center" w:pos="4832"/>
          <w:tab w:val="left" w:pos="7140"/>
        </w:tabs>
        <w:spacing w:line="360" w:lineRule="auto"/>
        <w:ind w:firstLine="470" w:firstLineChars="196"/>
        <w:jc w:val="left"/>
        <w:rPr>
          <w:rFonts w:ascii="宋体" w:hAnsi="宋体" w:eastAsia="宋体" w:cs="仿宋"/>
          <w:bCs/>
          <w:sz w:val="24"/>
          <w:szCs w:val="24"/>
        </w:rPr>
      </w:pPr>
      <w:r>
        <w:rPr>
          <w:rFonts w:hint="eastAsia" w:ascii="宋体" w:hAnsi="宋体" w:eastAsia="宋体" w:cs="仿宋"/>
          <w:bCs/>
          <w:sz w:val="24"/>
          <w:szCs w:val="24"/>
        </w:rPr>
        <w:t>4.3.1加密的电子投标文件应在投标文件递交截止时间前通过政采云平台上传完成。逾期上传或者未上传指定地点的投标文件，采购人不予受理。</w:t>
      </w:r>
    </w:p>
    <w:p w14:paraId="4678EBF9">
      <w:pPr>
        <w:tabs>
          <w:tab w:val="center" w:pos="4832"/>
          <w:tab w:val="left" w:pos="7140"/>
        </w:tabs>
        <w:spacing w:line="360" w:lineRule="auto"/>
        <w:ind w:firstLine="470" w:firstLineChars="196"/>
        <w:jc w:val="left"/>
        <w:rPr>
          <w:rFonts w:ascii="宋体" w:hAnsi="宋体" w:eastAsia="宋体" w:cs="仿宋"/>
          <w:bCs/>
          <w:sz w:val="24"/>
          <w:szCs w:val="24"/>
        </w:rPr>
      </w:pPr>
      <w:r>
        <w:rPr>
          <w:rFonts w:hint="eastAsia" w:ascii="宋体" w:hAnsi="宋体" w:eastAsia="宋体" w:cs="仿宋"/>
          <w:bCs/>
          <w:sz w:val="24"/>
          <w:szCs w:val="24"/>
        </w:rPr>
        <w:t>4.3.2采购人事先约定延长投标文件递交截止时间的，采购人与投标人以前的投标截止期方面的全部权利、责任和义务，将适用延长至新的投标截止期。</w:t>
      </w:r>
    </w:p>
    <w:p w14:paraId="344E0139">
      <w:pPr>
        <w:tabs>
          <w:tab w:val="center" w:pos="4832"/>
          <w:tab w:val="left" w:pos="7140"/>
        </w:tabs>
        <w:spacing w:line="360" w:lineRule="auto"/>
        <w:ind w:firstLine="470" w:firstLineChars="196"/>
        <w:jc w:val="left"/>
        <w:rPr>
          <w:rFonts w:ascii="宋体" w:hAnsi="宋体" w:eastAsia="宋体" w:cs="仿宋"/>
          <w:bCs/>
          <w:sz w:val="24"/>
          <w:szCs w:val="24"/>
        </w:rPr>
      </w:pPr>
      <w:r>
        <w:rPr>
          <w:rFonts w:hint="eastAsia" w:ascii="宋体" w:hAnsi="宋体" w:eastAsia="宋体" w:cs="仿宋"/>
          <w:bCs/>
          <w:sz w:val="24"/>
          <w:szCs w:val="24"/>
        </w:rPr>
        <w:t>4.3.3投标人或其投标文件存在下列情形之一的，采购人对其投标文件不予受理：</w:t>
      </w:r>
    </w:p>
    <w:p w14:paraId="56095514">
      <w:pPr>
        <w:tabs>
          <w:tab w:val="center" w:pos="4832"/>
          <w:tab w:val="left" w:pos="7140"/>
        </w:tabs>
        <w:spacing w:line="360" w:lineRule="auto"/>
        <w:ind w:firstLine="470" w:firstLineChars="196"/>
        <w:jc w:val="left"/>
        <w:rPr>
          <w:rFonts w:ascii="宋体" w:hAnsi="宋体" w:eastAsia="宋体" w:cs="仿宋"/>
          <w:bCs/>
          <w:sz w:val="24"/>
          <w:szCs w:val="24"/>
        </w:rPr>
      </w:pPr>
      <w:r>
        <w:rPr>
          <w:rFonts w:hint="eastAsia" w:ascii="宋体" w:hAnsi="宋体" w:eastAsia="宋体" w:cs="仿宋"/>
          <w:bCs/>
          <w:sz w:val="24"/>
          <w:szCs w:val="24"/>
        </w:rPr>
        <w:t>（1）逾期上传的投标文件；</w:t>
      </w:r>
    </w:p>
    <w:p w14:paraId="3EA8AFC9">
      <w:pPr>
        <w:tabs>
          <w:tab w:val="center" w:pos="4832"/>
          <w:tab w:val="left" w:pos="7140"/>
        </w:tabs>
        <w:spacing w:line="360" w:lineRule="auto"/>
        <w:ind w:firstLine="470" w:firstLineChars="196"/>
        <w:jc w:val="left"/>
        <w:rPr>
          <w:rFonts w:ascii="宋体" w:hAnsi="宋体" w:eastAsia="宋体" w:cs="仿宋"/>
          <w:bCs/>
          <w:sz w:val="24"/>
          <w:szCs w:val="24"/>
        </w:rPr>
      </w:pPr>
      <w:r>
        <w:rPr>
          <w:rFonts w:hint="eastAsia" w:ascii="宋体" w:hAnsi="宋体" w:eastAsia="宋体" w:cs="仿宋"/>
          <w:bCs/>
          <w:sz w:val="24"/>
          <w:szCs w:val="24"/>
        </w:rPr>
        <w:t>（2）未按本章第4.2.1款要求加密的投标文件。</w:t>
      </w:r>
    </w:p>
    <w:p w14:paraId="0F9B4023">
      <w:pPr>
        <w:tabs>
          <w:tab w:val="center" w:pos="4832"/>
          <w:tab w:val="left" w:pos="7140"/>
        </w:tabs>
        <w:spacing w:line="360" w:lineRule="auto"/>
        <w:ind w:firstLine="470" w:firstLineChars="196"/>
        <w:jc w:val="left"/>
        <w:rPr>
          <w:rFonts w:ascii="宋体" w:hAnsi="宋体" w:eastAsia="宋体" w:cs="仿宋"/>
          <w:bCs/>
          <w:sz w:val="24"/>
          <w:szCs w:val="24"/>
        </w:rPr>
      </w:pPr>
      <w:r>
        <w:rPr>
          <w:rFonts w:hint="eastAsia" w:ascii="宋体" w:hAnsi="宋体" w:eastAsia="宋体" w:cs="仿宋"/>
          <w:bCs/>
          <w:sz w:val="24"/>
          <w:szCs w:val="24"/>
        </w:rPr>
        <w:t>4.4投标文件的修改与撤回</w:t>
      </w:r>
    </w:p>
    <w:p w14:paraId="45D573DC">
      <w:pPr>
        <w:tabs>
          <w:tab w:val="center" w:pos="4832"/>
          <w:tab w:val="left" w:pos="7140"/>
        </w:tabs>
        <w:spacing w:line="360" w:lineRule="auto"/>
        <w:ind w:firstLine="470" w:firstLineChars="196"/>
        <w:jc w:val="left"/>
        <w:rPr>
          <w:rFonts w:ascii="宋体" w:hAnsi="宋体" w:eastAsia="宋体" w:cs="仿宋"/>
          <w:bCs/>
          <w:sz w:val="24"/>
          <w:szCs w:val="24"/>
        </w:rPr>
      </w:pPr>
      <w:r>
        <w:rPr>
          <w:rFonts w:hint="eastAsia" w:ascii="宋体" w:hAnsi="宋体" w:eastAsia="宋体" w:cs="仿宋"/>
          <w:bCs/>
          <w:sz w:val="24"/>
          <w:szCs w:val="24"/>
        </w:rPr>
        <w:t>4.4.1投标人应在投标须知前附表中规定的截止时间前，可以撤回已上传的投标文件。如要修改，必须在撤回并修改后在规定的投标文件递交截止时间之前将修改后的投标文件再重新上传。在投标文件递交截止时间之后，投标人不得对上传的投标文件撤销或修改。</w:t>
      </w:r>
    </w:p>
    <w:p w14:paraId="34D09828">
      <w:pPr>
        <w:tabs>
          <w:tab w:val="center" w:pos="4832"/>
          <w:tab w:val="left" w:pos="7140"/>
        </w:tabs>
        <w:spacing w:line="360" w:lineRule="auto"/>
        <w:ind w:firstLine="470" w:firstLineChars="196"/>
        <w:jc w:val="left"/>
        <w:rPr>
          <w:rFonts w:ascii="宋体" w:hAnsi="宋体" w:eastAsia="宋体" w:cs="仿宋"/>
          <w:bCs/>
          <w:sz w:val="24"/>
          <w:szCs w:val="24"/>
        </w:rPr>
      </w:pPr>
      <w:r>
        <w:rPr>
          <w:rFonts w:hint="eastAsia" w:ascii="宋体" w:hAnsi="宋体" w:eastAsia="宋体" w:cs="仿宋"/>
          <w:bCs/>
          <w:sz w:val="24"/>
          <w:szCs w:val="24"/>
        </w:rPr>
        <w:t>4.5投标文件格式</w:t>
      </w:r>
    </w:p>
    <w:p w14:paraId="5472DD3E">
      <w:pPr>
        <w:tabs>
          <w:tab w:val="center" w:pos="4832"/>
          <w:tab w:val="left" w:pos="7140"/>
        </w:tabs>
        <w:spacing w:line="360" w:lineRule="auto"/>
        <w:ind w:firstLine="470" w:firstLineChars="196"/>
        <w:jc w:val="left"/>
        <w:rPr>
          <w:rFonts w:ascii="宋体" w:hAnsi="宋体" w:eastAsia="宋体" w:cs="仿宋"/>
          <w:bCs/>
          <w:sz w:val="24"/>
          <w:szCs w:val="24"/>
        </w:rPr>
      </w:pPr>
      <w:r>
        <w:rPr>
          <w:rFonts w:hint="eastAsia" w:ascii="宋体" w:hAnsi="宋体" w:eastAsia="宋体" w:cs="仿宋"/>
          <w:bCs/>
          <w:sz w:val="24"/>
          <w:szCs w:val="24"/>
        </w:rPr>
        <w:t>4.5.1投标文件格式见第五章。</w:t>
      </w:r>
    </w:p>
    <w:p w14:paraId="36DA8FA5">
      <w:pPr>
        <w:tabs>
          <w:tab w:val="center" w:pos="4832"/>
          <w:tab w:val="left" w:pos="7140"/>
        </w:tabs>
        <w:spacing w:line="360" w:lineRule="auto"/>
        <w:ind w:firstLine="470" w:firstLineChars="196"/>
        <w:jc w:val="left"/>
        <w:rPr>
          <w:rFonts w:ascii="宋体" w:hAnsi="宋体" w:eastAsia="宋体" w:cs="仿宋"/>
          <w:bCs/>
          <w:sz w:val="24"/>
          <w:szCs w:val="24"/>
        </w:rPr>
      </w:pPr>
      <w:r>
        <w:rPr>
          <w:rFonts w:hint="eastAsia" w:ascii="宋体" w:hAnsi="宋体" w:eastAsia="宋体" w:cs="仿宋"/>
          <w:bCs/>
          <w:sz w:val="24"/>
          <w:szCs w:val="24"/>
        </w:rPr>
        <w:t>4.5.2投标人应使用本招标文件后面提供的投标文件格式填写，如不够用时，投标人可按同样格式自行编制和填补，如果本招标文件未提供格式的，投标人可自行编制。</w:t>
      </w:r>
    </w:p>
    <w:p w14:paraId="33AC2F3D">
      <w:pPr>
        <w:tabs>
          <w:tab w:val="center" w:pos="4832"/>
          <w:tab w:val="left" w:pos="7140"/>
        </w:tabs>
        <w:spacing w:line="360" w:lineRule="auto"/>
        <w:ind w:firstLine="472" w:firstLineChars="196"/>
        <w:jc w:val="left"/>
        <w:outlineLvl w:val="1"/>
        <w:rPr>
          <w:rFonts w:ascii="宋体" w:hAnsi="宋体" w:eastAsia="宋体" w:cs="仿宋"/>
          <w:b/>
          <w:sz w:val="24"/>
          <w:szCs w:val="24"/>
        </w:rPr>
      </w:pPr>
      <w:bookmarkStart w:id="22" w:name="_Toc200016449"/>
      <w:r>
        <w:rPr>
          <w:rFonts w:hint="eastAsia" w:ascii="宋体" w:hAnsi="宋体" w:eastAsia="宋体" w:cs="仿宋"/>
          <w:b/>
          <w:sz w:val="24"/>
          <w:szCs w:val="24"/>
        </w:rPr>
        <w:t>5．开标</w:t>
      </w:r>
      <w:bookmarkEnd w:id="21"/>
      <w:bookmarkEnd w:id="22"/>
    </w:p>
    <w:p w14:paraId="2397F18A">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5.1 开标时间和地点</w:t>
      </w:r>
    </w:p>
    <w:p w14:paraId="20D2B967">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采购人在投标人须知前附表规定的时间、地点公开开标，并邀请所有投标人的法定代表人或其授权委托人参加。</w:t>
      </w:r>
    </w:p>
    <w:p w14:paraId="40F3B23A">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5.2 开标程序</w:t>
      </w:r>
    </w:p>
    <w:p w14:paraId="5F0163E8">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按下列程序进行开标：</w:t>
      </w:r>
    </w:p>
    <w:p w14:paraId="2C7473DE">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（1）投标人解密投标文件</w:t>
      </w:r>
    </w:p>
    <w:p w14:paraId="62CBEC2C">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（2）唱标</w:t>
      </w:r>
    </w:p>
    <w:p w14:paraId="7FD2A4F6">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（3）投标人确认</w:t>
      </w:r>
    </w:p>
    <w:p w14:paraId="316843D7">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（4）开标结束</w:t>
      </w:r>
    </w:p>
    <w:p w14:paraId="68F852FB">
      <w:pPr>
        <w:tabs>
          <w:tab w:val="center" w:pos="4832"/>
          <w:tab w:val="left" w:pos="7140"/>
        </w:tabs>
        <w:spacing w:line="360" w:lineRule="auto"/>
        <w:ind w:firstLine="472" w:firstLineChars="196"/>
        <w:jc w:val="left"/>
        <w:outlineLvl w:val="1"/>
        <w:rPr>
          <w:rFonts w:ascii="宋体" w:hAnsi="宋体" w:eastAsia="宋体" w:cs="仿宋"/>
          <w:b/>
          <w:sz w:val="24"/>
          <w:szCs w:val="24"/>
        </w:rPr>
      </w:pPr>
      <w:bookmarkStart w:id="23" w:name="_BookMark_9"/>
      <w:bookmarkEnd w:id="23"/>
      <w:bookmarkStart w:id="24" w:name="_Toc535592200"/>
      <w:bookmarkStart w:id="25" w:name="_Toc200016450"/>
      <w:r>
        <w:rPr>
          <w:rFonts w:hint="eastAsia" w:ascii="宋体" w:hAnsi="宋体" w:eastAsia="宋体" w:cs="仿宋"/>
          <w:b/>
          <w:sz w:val="24"/>
          <w:szCs w:val="24"/>
        </w:rPr>
        <w:t>6．评标</w:t>
      </w:r>
      <w:bookmarkEnd w:id="24"/>
      <w:bookmarkEnd w:id="25"/>
    </w:p>
    <w:p w14:paraId="1D5881FC">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6.1 评标小组</w:t>
      </w:r>
    </w:p>
    <w:p w14:paraId="7BAF8FDA">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6.1.1 评标由采购人按照《政府采购评标专家管理办法》财库〔2016〕198号，依法组建的评标小组负责。评标小组由采购人熟悉相关业务的代表，以及有关技术、经济等方面的专家组成。</w:t>
      </w:r>
    </w:p>
    <w:p w14:paraId="3BEED741">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6.1.2 评标小组成员有下列情形之一的，应当回避：</w:t>
      </w:r>
    </w:p>
    <w:p w14:paraId="2DE159E9">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（1）参加采购活动前三年内,与投标人存在劳动关系,或者担任过投标人的董事、监事,或者是投标人的控股股东或实际控制人。</w:t>
      </w:r>
    </w:p>
    <w:p w14:paraId="0D155726">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（2）与投标人的法定代表人或者负责人有夫妻、直系血亲、三代以内旁系血亲或者近姻亲关系。</w:t>
      </w:r>
    </w:p>
    <w:p w14:paraId="78A04904">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（3）与投标人有其他可能影响政府采购活动公平、公正进行的关系。</w:t>
      </w:r>
    </w:p>
    <w:p w14:paraId="7FCFCB96">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6.2 评标原则</w:t>
      </w:r>
    </w:p>
    <w:p w14:paraId="7E05F96A">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评标活动遵循公平、公正、科学和择优的原则。</w:t>
      </w:r>
    </w:p>
    <w:p w14:paraId="0BBC2606">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6.3 评标</w:t>
      </w:r>
    </w:p>
    <w:p w14:paraId="145041C8">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评标小组按照招标文件中规定的方法、评标因素、标准和程序对投标文件进行评标。</w:t>
      </w:r>
    </w:p>
    <w:p w14:paraId="1FFE2D21">
      <w:pPr>
        <w:tabs>
          <w:tab w:val="center" w:pos="4832"/>
          <w:tab w:val="left" w:pos="7140"/>
        </w:tabs>
        <w:spacing w:line="360" w:lineRule="auto"/>
        <w:ind w:firstLine="472" w:firstLineChars="196"/>
        <w:jc w:val="left"/>
        <w:outlineLvl w:val="1"/>
        <w:rPr>
          <w:rFonts w:ascii="宋体" w:hAnsi="宋体" w:eastAsia="宋体" w:cs="仿宋"/>
          <w:b/>
          <w:sz w:val="24"/>
          <w:szCs w:val="24"/>
        </w:rPr>
      </w:pPr>
      <w:bookmarkStart w:id="26" w:name="_BookMark_10"/>
      <w:bookmarkEnd w:id="26"/>
      <w:bookmarkStart w:id="27" w:name="_Toc200016451"/>
      <w:bookmarkStart w:id="28" w:name="_Toc535592201"/>
      <w:r>
        <w:rPr>
          <w:rFonts w:hint="eastAsia" w:ascii="宋体" w:hAnsi="宋体" w:eastAsia="宋体" w:cs="仿宋"/>
          <w:b/>
          <w:sz w:val="24"/>
          <w:szCs w:val="24"/>
        </w:rPr>
        <w:t>7．定标及合同授予</w:t>
      </w:r>
      <w:bookmarkEnd w:id="27"/>
      <w:bookmarkEnd w:id="28"/>
    </w:p>
    <w:p w14:paraId="491C8CE0">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7.1 定标方法</w:t>
      </w:r>
    </w:p>
    <w:p w14:paraId="1E8D696B">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7.1.1 评标活动遵循公平、公正、科学和择优的原则。评标小组按照招标文件中规定的方法、评标因素、标准和程序对投标文件进行评标，并按投标人须知前附表的规定向采购人推荐中标候选人。采购人依据评标小组推荐的中标候选人确定中标人。</w:t>
      </w:r>
    </w:p>
    <w:p w14:paraId="1BAA90A3">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7.1.2采购人从中标候选人中确定出中标人的原则：采购人应当确定排名第一的中标候选人为中标人。排名第一的中标候选人放弃中标、因不可抗力不能履行合同，不按照招标文件要求提交履约保证金、或者被查实存在影响中标结果的违法行为等情形，不符合中标条件的，采购人可以按照评标小组提出的中标候选人名单排名依次确定其他中标候选人为中标人。</w:t>
      </w:r>
    </w:p>
    <w:p w14:paraId="318965A0">
      <w:pPr>
        <w:widowControl/>
        <w:shd w:val="clear" w:color="auto" w:fill="FFFFFF"/>
        <w:snapToGrid w:val="0"/>
        <w:spacing w:line="360" w:lineRule="auto"/>
        <w:ind w:firstLine="480" w:firstLineChars="200"/>
        <w:rPr>
          <w:rFonts w:ascii="宋体" w:hAnsi="宋体" w:eastAsia="宋体" w:cs="仿宋"/>
          <w:kern w:val="0"/>
          <w:sz w:val="24"/>
          <w:szCs w:val="24"/>
          <w:shd w:val="clear" w:color="auto" w:fill="FFFFFF" w:themeFill="background1"/>
        </w:rPr>
      </w:pPr>
      <w:r>
        <w:rPr>
          <w:rFonts w:hint="eastAsia" w:ascii="宋体" w:hAnsi="宋体" w:eastAsia="宋体" w:cs="仿宋"/>
          <w:kern w:val="0"/>
          <w:sz w:val="24"/>
          <w:szCs w:val="24"/>
          <w:shd w:val="clear" w:color="auto" w:fill="FFFFFF" w:themeFill="background1"/>
        </w:rPr>
        <w:t>7.2中标结果公告</w:t>
      </w:r>
    </w:p>
    <w:p w14:paraId="6EC706AD">
      <w:pPr>
        <w:widowControl/>
        <w:shd w:val="clear" w:color="auto" w:fill="FFFFFF"/>
        <w:snapToGrid w:val="0"/>
        <w:spacing w:line="360" w:lineRule="auto"/>
        <w:ind w:firstLine="480" w:firstLineChars="200"/>
        <w:rPr>
          <w:rFonts w:ascii="宋体" w:hAnsi="宋体" w:eastAsia="宋体" w:cs="仿宋"/>
          <w:kern w:val="0"/>
          <w:sz w:val="24"/>
          <w:szCs w:val="24"/>
          <w:shd w:val="clear" w:color="auto" w:fill="FFFFFF" w:themeFill="background1"/>
        </w:rPr>
      </w:pPr>
      <w:r>
        <w:rPr>
          <w:rFonts w:hint="eastAsia" w:ascii="宋体" w:hAnsi="宋体" w:eastAsia="宋体" w:cs="仿宋"/>
          <w:kern w:val="0"/>
          <w:sz w:val="24"/>
          <w:szCs w:val="24"/>
          <w:shd w:val="clear" w:color="auto" w:fill="FFFFFF" w:themeFill="background1"/>
        </w:rPr>
        <w:t>在公告中标结果的同时，采购人或者采购代理机构向中标人发出中标通知书；对未通过资格审查的投标人，应当告知其未通过的原因。</w:t>
      </w:r>
    </w:p>
    <w:p w14:paraId="0B7A43E9">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7.3履约保证金</w:t>
      </w:r>
    </w:p>
    <w:p w14:paraId="538BAC20">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7.3.1 在签订合同前，中标人应按投标人须知前附表规定的金额、形式向采购人提交履约保证金。联合体中标的，其履约保证金由牵头人提交，并应符合投标人须知前附表的规定。</w:t>
      </w:r>
    </w:p>
    <w:p w14:paraId="7971CD9E">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7.3.2 中标人不能按本章第7.4.1款要求提交履约保证金的，视为放弃中标，其投标保证金不予退还；给采购人造成的损失超过投标保证金数额的，中标人还应当对超过部分予以赔偿。</w:t>
      </w:r>
    </w:p>
    <w:p w14:paraId="43EE25A6">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7.4签订合同</w:t>
      </w:r>
    </w:p>
    <w:p w14:paraId="6131A326">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7.4.1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6727949E">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7.4.2发出中标通知书后，采购人无正当理由拒签合同的，给中标人造成损失的，还应当赔偿中标人损失。</w:t>
      </w:r>
    </w:p>
    <w:p w14:paraId="04FC2153">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7.4.3发出中标通知书后，中标人无正当理由拒签合同的，采购人取消其中标资格，其投标保证金不予退还；给采购人造成的损失超过投标保证金数额的，中标人还应当对超过部分予以赔偿。</w:t>
      </w:r>
    </w:p>
    <w:p w14:paraId="724771D6">
      <w:pPr>
        <w:tabs>
          <w:tab w:val="center" w:pos="4832"/>
          <w:tab w:val="left" w:pos="7140"/>
        </w:tabs>
        <w:spacing w:line="360" w:lineRule="auto"/>
        <w:ind w:firstLine="472" w:firstLineChars="196"/>
        <w:jc w:val="left"/>
        <w:outlineLvl w:val="1"/>
        <w:rPr>
          <w:rFonts w:ascii="宋体" w:hAnsi="宋体" w:eastAsia="宋体" w:cs="仿宋"/>
          <w:b/>
          <w:sz w:val="24"/>
          <w:szCs w:val="24"/>
        </w:rPr>
      </w:pPr>
      <w:bookmarkStart w:id="29" w:name="_BookMark_11"/>
      <w:bookmarkEnd w:id="29"/>
      <w:bookmarkStart w:id="30" w:name="_Toc535592202"/>
      <w:bookmarkStart w:id="31" w:name="_Toc200016452"/>
      <w:r>
        <w:rPr>
          <w:rFonts w:hint="eastAsia" w:ascii="宋体" w:hAnsi="宋体" w:eastAsia="宋体" w:cs="仿宋"/>
          <w:b/>
          <w:sz w:val="24"/>
          <w:szCs w:val="24"/>
        </w:rPr>
        <w:t>8．纪律和监督</w:t>
      </w:r>
      <w:bookmarkEnd w:id="30"/>
      <w:bookmarkEnd w:id="31"/>
    </w:p>
    <w:p w14:paraId="1367AC6C">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8.1 对采购人的纪律要求</w:t>
      </w:r>
    </w:p>
    <w:p w14:paraId="0F83722B">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采购人不得泄漏招标投标活动中应当保密的情况和资料，不得与投标人串通损害国家利益、社会公共利益或者他人合法权益。</w:t>
      </w:r>
    </w:p>
    <w:p w14:paraId="77D59076">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8.2 对投标人的纪律要求</w:t>
      </w:r>
    </w:p>
    <w:p w14:paraId="1598D894">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投标人不得相互串通投标或者与采购人串通投标，不得向采购人或者评标小组成员行贿谋取中标，不得以他人名义投标或者以其他方式弄虚作假骗取中标；投标人不得以任何方式干扰、影响评标工作。</w:t>
      </w:r>
    </w:p>
    <w:p w14:paraId="13BAEBA1">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8.3 对评标小组成员的纪律要求</w:t>
      </w:r>
    </w:p>
    <w:p w14:paraId="4F6EB048">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评标小组成员不得收受他人的财物或者其他好处，不得向他人透漏对投标文件的评标和比较、中标候选人的推荐情况以及评标有关的其他情况。在评标活动中，评标小组成员不得擅离职守，影响评标程序正常进行，不得使用评标办法没有规定的评标因素和标准进行评标。</w:t>
      </w:r>
    </w:p>
    <w:p w14:paraId="75EDC995">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8.4 对与评标活动有关的工作人员的纪律要求</w:t>
      </w:r>
    </w:p>
    <w:p w14:paraId="26630EC9">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与评标活动有关的工作人员不得收受他人的财物或者其他好处，不得向他人透漏对投标文件的评标和比较、中标候选人的推荐情况以及评标有关的其他情况。在评标活动中，与评标活动有关的工作人员不得擅离职守，影响评标程序正常进行。</w:t>
      </w:r>
    </w:p>
    <w:p w14:paraId="3FDAE3E4">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8.5 监督</w:t>
      </w:r>
    </w:p>
    <w:p w14:paraId="3CE3E96A">
      <w:pPr>
        <w:widowControl/>
        <w:shd w:val="clear" w:color="auto" w:fill="FFFFFF"/>
        <w:snapToGrid w:val="0"/>
        <w:spacing w:line="360" w:lineRule="auto"/>
        <w:ind w:firstLine="480" w:firstLineChars="200"/>
        <w:rPr>
          <w:rFonts w:ascii="宋体" w:hAnsi="宋体" w:eastAsia="宋体" w:cs="仿宋"/>
          <w:bCs/>
          <w:kern w:val="0"/>
          <w:sz w:val="24"/>
          <w:szCs w:val="24"/>
        </w:rPr>
      </w:pPr>
      <w:r>
        <w:rPr>
          <w:rFonts w:hint="eastAsia" w:ascii="宋体" w:hAnsi="宋体" w:eastAsia="宋体" w:cs="仿宋"/>
          <w:kern w:val="0"/>
          <w:sz w:val="24"/>
          <w:szCs w:val="24"/>
        </w:rPr>
        <w:t>本项目的招标投标活动及其相关当事人应当接受有管辖权的监督部门依法实施的监督。</w:t>
      </w:r>
      <w:r>
        <w:rPr>
          <w:rFonts w:hint="eastAsia" w:ascii="宋体" w:hAnsi="宋体" w:eastAsia="宋体" w:cs="仿宋"/>
          <w:bCs/>
          <w:kern w:val="0"/>
          <w:sz w:val="24"/>
          <w:szCs w:val="24"/>
        </w:rPr>
        <w:br w:type="page"/>
      </w:r>
    </w:p>
    <w:p w14:paraId="4AADA85B">
      <w:pPr>
        <w:widowControl/>
        <w:shd w:val="clear" w:color="auto" w:fill="FFFFFF"/>
        <w:snapToGrid w:val="0"/>
        <w:spacing w:line="360" w:lineRule="auto"/>
        <w:jc w:val="center"/>
        <w:outlineLvl w:val="0"/>
        <w:rPr>
          <w:rFonts w:ascii="宋体" w:hAnsi="宋体" w:eastAsia="宋体" w:cs="仿宋"/>
          <w:b/>
          <w:sz w:val="28"/>
          <w:szCs w:val="28"/>
        </w:rPr>
      </w:pPr>
      <w:bookmarkStart w:id="32" w:name="_Toc200016453"/>
      <w:r>
        <w:rPr>
          <w:rFonts w:hint="eastAsia" w:ascii="宋体" w:hAnsi="宋体" w:eastAsia="宋体" w:cs="仿宋"/>
          <w:b/>
          <w:sz w:val="28"/>
          <w:szCs w:val="28"/>
        </w:rPr>
        <w:t>第二章 评标办法</w:t>
      </w:r>
      <w:bookmarkEnd w:id="32"/>
    </w:p>
    <w:p w14:paraId="192DEC12">
      <w:pPr>
        <w:tabs>
          <w:tab w:val="center" w:pos="4832"/>
          <w:tab w:val="left" w:pos="7140"/>
        </w:tabs>
        <w:spacing w:line="360" w:lineRule="auto"/>
        <w:jc w:val="center"/>
        <w:outlineLvl w:val="1"/>
        <w:rPr>
          <w:rFonts w:ascii="宋体" w:hAnsi="宋体" w:eastAsia="宋体" w:cs="仿宋"/>
          <w:b/>
          <w:sz w:val="24"/>
          <w:szCs w:val="24"/>
        </w:rPr>
      </w:pPr>
      <w:bookmarkStart w:id="33" w:name="_BookMark_1"/>
      <w:bookmarkEnd w:id="33"/>
      <w:bookmarkStart w:id="34" w:name="_Toc58342531"/>
      <w:bookmarkStart w:id="35" w:name="_Toc200016454"/>
      <w:bookmarkStart w:id="36" w:name="_Toc501719166"/>
      <w:r>
        <w:rPr>
          <w:rFonts w:hint="eastAsia" w:ascii="宋体" w:hAnsi="宋体" w:eastAsia="宋体" w:cs="仿宋"/>
          <w:b/>
          <w:sz w:val="24"/>
          <w:szCs w:val="24"/>
        </w:rPr>
        <w:t>评审办法前附表</w:t>
      </w:r>
      <w:bookmarkEnd w:id="34"/>
      <w:bookmarkEnd w:id="35"/>
    </w:p>
    <w:tbl>
      <w:tblPr>
        <w:tblStyle w:val="38"/>
        <w:tblW w:w="9160" w:type="dxa"/>
        <w:jc w:val="center"/>
        <w:tblLayout w:type="fixed"/>
        <w:tblCellMar>
          <w:top w:w="0" w:type="dxa"/>
          <w:left w:w="0" w:type="dxa"/>
          <w:bottom w:w="0" w:type="dxa"/>
          <w:right w:w="0" w:type="dxa"/>
        </w:tblCellMar>
      </w:tblPr>
      <w:tblGrid>
        <w:gridCol w:w="612"/>
        <w:gridCol w:w="2783"/>
        <w:gridCol w:w="5765"/>
      </w:tblGrid>
      <w:tr w14:paraId="53AEE328">
        <w:tblPrEx>
          <w:tblCellMar>
            <w:top w:w="0" w:type="dxa"/>
            <w:left w:w="0" w:type="dxa"/>
            <w:bottom w:w="0" w:type="dxa"/>
            <w:right w:w="0" w:type="dxa"/>
          </w:tblCellMar>
        </w:tblPrEx>
        <w:trPr>
          <w:cantSplit/>
          <w:trHeight w:val="325" w:hRule="atLeast"/>
          <w:jc w:val="center"/>
        </w:trPr>
        <w:tc>
          <w:tcPr>
            <w:tcW w:w="612"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168EE527">
            <w:pPr>
              <w:spacing w:line="360" w:lineRule="auto"/>
              <w:jc w:val="center"/>
              <w:rPr>
                <w:rFonts w:ascii="宋体" w:hAnsi="宋体" w:eastAsia="宋体" w:cs="仿宋"/>
                <w:szCs w:val="21"/>
              </w:rPr>
            </w:pPr>
            <w:r>
              <w:rPr>
                <w:rFonts w:hint="eastAsia" w:ascii="宋体" w:hAnsi="宋体" w:eastAsia="宋体" w:cs="仿宋"/>
                <w:szCs w:val="21"/>
              </w:rPr>
              <w:t>序号</w:t>
            </w:r>
          </w:p>
        </w:tc>
        <w:tc>
          <w:tcPr>
            <w:tcW w:w="2783"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32C13D96">
            <w:pPr>
              <w:spacing w:line="360" w:lineRule="auto"/>
              <w:jc w:val="center"/>
              <w:rPr>
                <w:rFonts w:ascii="宋体" w:hAnsi="宋体" w:eastAsia="宋体" w:cs="仿宋"/>
                <w:szCs w:val="21"/>
              </w:rPr>
            </w:pPr>
            <w:r>
              <w:rPr>
                <w:rFonts w:hint="eastAsia" w:ascii="宋体" w:hAnsi="宋体" w:eastAsia="宋体" w:cs="仿宋"/>
                <w:szCs w:val="21"/>
              </w:rPr>
              <w:t>条款内容</w:t>
            </w:r>
          </w:p>
        </w:tc>
        <w:tc>
          <w:tcPr>
            <w:tcW w:w="5765"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5B9DDA0B">
            <w:pPr>
              <w:spacing w:line="360" w:lineRule="auto"/>
              <w:jc w:val="center"/>
              <w:rPr>
                <w:rFonts w:ascii="宋体" w:hAnsi="宋体" w:eastAsia="宋体" w:cs="仿宋"/>
                <w:szCs w:val="21"/>
              </w:rPr>
            </w:pPr>
            <w:r>
              <w:rPr>
                <w:rFonts w:hint="eastAsia" w:ascii="宋体" w:hAnsi="宋体" w:eastAsia="宋体" w:cs="仿宋"/>
                <w:szCs w:val="21"/>
              </w:rPr>
              <w:t>编列内容</w:t>
            </w:r>
          </w:p>
        </w:tc>
      </w:tr>
      <w:tr w14:paraId="76472650">
        <w:tblPrEx>
          <w:tblCellMar>
            <w:top w:w="0" w:type="dxa"/>
            <w:left w:w="0" w:type="dxa"/>
            <w:bottom w:w="0" w:type="dxa"/>
            <w:right w:w="0" w:type="dxa"/>
          </w:tblCellMar>
        </w:tblPrEx>
        <w:trPr>
          <w:cantSplit/>
          <w:trHeight w:val="630" w:hRule="atLeast"/>
          <w:jc w:val="center"/>
        </w:trPr>
        <w:tc>
          <w:tcPr>
            <w:tcW w:w="612"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4B8498CA">
            <w:pPr>
              <w:spacing w:line="360" w:lineRule="auto"/>
              <w:jc w:val="center"/>
              <w:rPr>
                <w:rFonts w:ascii="宋体" w:hAnsi="宋体" w:eastAsia="宋体" w:cs="仿宋"/>
                <w:szCs w:val="21"/>
              </w:rPr>
            </w:pPr>
            <w:r>
              <w:rPr>
                <w:rFonts w:hint="eastAsia" w:ascii="宋体" w:hAnsi="宋体" w:eastAsia="宋体" w:cs="仿宋"/>
                <w:szCs w:val="21"/>
              </w:rPr>
              <w:t>1</w:t>
            </w:r>
          </w:p>
        </w:tc>
        <w:tc>
          <w:tcPr>
            <w:tcW w:w="2783"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729ED65A">
            <w:pPr>
              <w:spacing w:line="360" w:lineRule="auto"/>
              <w:jc w:val="center"/>
              <w:rPr>
                <w:rFonts w:ascii="宋体" w:hAnsi="宋体" w:eastAsia="宋体" w:cs="仿宋"/>
                <w:szCs w:val="21"/>
              </w:rPr>
            </w:pPr>
            <w:r>
              <w:rPr>
                <w:rFonts w:hint="eastAsia" w:ascii="宋体" w:hAnsi="宋体" w:eastAsia="宋体" w:cs="仿宋"/>
                <w:szCs w:val="21"/>
              </w:rPr>
              <w:t>分值构成及权重</w:t>
            </w:r>
          </w:p>
          <w:p w14:paraId="26E9CBDD">
            <w:pPr>
              <w:spacing w:line="360" w:lineRule="auto"/>
              <w:jc w:val="center"/>
              <w:rPr>
                <w:rFonts w:ascii="宋体" w:hAnsi="宋体" w:eastAsia="宋体" w:cs="仿宋"/>
                <w:szCs w:val="21"/>
              </w:rPr>
            </w:pPr>
            <w:r>
              <w:rPr>
                <w:rFonts w:hint="eastAsia" w:ascii="宋体" w:hAnsi="宋体" w:eastAsia="宋体" w:cs="仿宋"/>
                <w:szCs w:val="21"/>
              </w:rPr>
              <w:t>(总分100分)</w:t>
            </w:r>
          </w:p>
        </w:tc>
        <w:tc>
          <w:tcPr>
            <w:tcW w:w="5765"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1BB8AD1A">
            <w:pPr>
              <w:spacing w:line="360" w:lineRule="auto"/>
              <w:rPr>
                <w:rFonts w:ascii="宋体" w:hAnsi="宋体" w:eastAsia="宋体" w:cs="仿宋"/>
                <w:szCs w:val="21"/>
              </w:rPr>
            </w:pPr>
            <w:r>
              <w:rPr>
                <w:rFonts w:hint="eastAsia" w:ascii="宋体" w:hAnsi="宋体" w:eastAsia="宋体" w:cs="仿宋"/>
                <w:szCs w:val="21"/>
              </w:rPr>
              <w:t>1.详细评审部分60分</w:t>
            </w:r>
          </w:p>
          <w:p w14:paraId="5AB12D58">
            <w:pPr>
              <w:spacing w:line="360" w:lineRule="auto"/>
              <w:rPr>
                <w:rFonts w:ascii="宋体" w:hAnsi="宋体" w:eastAsia="宋体" w:cs="仿宋"/>
                <w:szCs w:val="21"/>
              </w:rPr>
            </w:pPr>
            <w:r>
              <w:rPr>
                <w:rFonts w:hint="eastAsia" w:ascii="宋体" w:hAnsi="宋体" w:eastAsia="宋体" w:cs="仿宋"/>
                <w:szCs w:val="21"/>
              </w:rPr>
              <w:t>2.投标报价40分</w:t>
            </w:r>
          </w:p>
        </w:tc>
      </w:tr>
      <w:tr w14:paraId="6F58B20C">
        <w:tblPrEx>
          <w:tblCellMar>
            <w:top w:w="0" w:type="dxa"/>
            <w:left w:w="0" w:type="dxa"/>
            <w:bottom w:w="0" w:type="dxa"/>
            <w:right w:w="0" w:type="dxa"/>
          </w:tblCellMar>
        </w:tblPrEx>
        <w:trPr>
          <w:cantSplit/>
          <w:trHeight w:val="147" w:hRule="atLeast"/>
          <w:jc w:val="center"/>
        </w:trPr>
        <w:tc>
          <w:tcPr>
            <w:tcW w:w="612"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21D09059">
            <w:pPr>
              <w:spacing w:line="360" w:lineRule="auto"/>
              <w:jc w:val="center"/>
              <w:rPr>
                <w:rFonts w:ascii="宋体" w:hAnsi="宋体" w:eastAsia="宋体" w:cs="仿宋"/>
                <w:szCs w:val="21"/>
              </w:rPr>
            </w:pPr>
            <w:r>
              <w:rPr>
                <w:rFonts w:hint="eastAsia" w:ascii="宋体" w:hAnsi="宋体" w:eastAsia="宋体" w:cs="仿宋"/>
                <w:szCs w:val="21"/>
              </w:rPr>
              <w:t>2</w:t>
            </w:r>
          </w:p>
        </w:tc>
        <w:tc>
          <w:tcPr>
            <w:tcW w:w="2783"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4153B97C">
            <w:pPr>
              <w:spacing w:line="360" w:lineRule="auto"/>
              <w:jc w:val="center"/>
              <w:rPr>
                <w:rFonts w:ascii="宋体" w:hAnsi="宋体" w:eastAsia="宋体" w:cs="仿宋"/>
                <w:szCs w:val="21"/>
              </w:rPr>
            </w:pPr>
            <w:r>
              <w:rPr>
                <w:rFonts w:hint="eastAsia" w:ascii="宋体" w:hAnsi="宋体" w:eastAsia="宋体" w:cs="仿宋"/>
                <w:szCs w:val="21"/>
              </w:rPr>
              <w:t>资格审查</w:t>
            </w:r>
          </w:p>
        </w:tc>
        <w:tc>
          <w:tcPr>
            <w:tcW w:w="5765"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0C40B486">
            <w:pPr>
              <w:spacing w:line="360" w:lineRule="auto"/>
              <w:rPr>
                <w:rFonts w:ascii="宋体" w:hAnsi="宋体" w:eastAsia="宋体" w:cs="仿宋"/>
                <w:szCs w:val="21"/>
              </w:rPr>
            </w:pPr>
            <w:r>
              <w:rPr>
                <w:rFonts w:hint="eastAsia" w:ascii="宋体" w:hAnsi="宋体" w:eastAsia="宋体" w:cs="仿宋"/>
                <w:szCs w:val="21"/>
              </w:rPr>
              <w:t>详见《资格审查标准》</w:t>
            </w:r>
          </w:p>
        </w:tc>
      </w:tr>
      <w:tr w14:paraId="2B0B8824">
        <w:tblPrEx>
          <w:tblCellMar>
            <w:top w:w="0" w:type="dxa"/>
            <w:left w:w="0" w:type="dxa"/>
            <w:bottom w:w="0" w:type="dxa"/>
            <w:right w:w="0" w:type="dxa"/>
          </w:tblCellMar>
        </w:tblPrEx>
        <w:trPr>
          <w:cantSplit/>
          <w:trHeight w:val="325" w:hRule="atLeast"/>
          <w:jc w:val="center"/>
        </w:trPr>
        <w:tc>
          <w:tcPr>
            <w:tcW w:w="612"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403B5D43">
            <w:pPr>
              <w:spacing w:line="360" w:lineRule="auto"/>
              <w:jc w:val="center"/>
              <w:rPr>
                <w:rFonts w:ascii="宋体" w:hAnsi="宋体" w:eastAsia="宋体" w:cs="仿宋"/>
                <w:szCs w:val="21"/>
              </w:rPr>
            </w:pPr>
            <w:r>
              <w:rPr>
                <w:rFonts w:hint="eastAsia" w:ascii="宋体" w:hAnsi="宋体" w:eastAsia="宋体" w:cs="仿宋"/>
                <w:szCs w:val="21"/>
              </w:rPr>
              <w:t>3</w:t>
            </w:r>
          </w:p>
        </w:tc>
        <w:tc>
          <w:tcPr>
            <w:tcW w:w="2783"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759BEAE7">
            <w:pPr>
              <w:spacing w:line="360" w:lineRule="auto"/>
              <w:jc w:val="center"/>
              <w:rPr>
                <w:rFonts w:ascii="宋体" w:hAnsi="宋体" w:eastAsia="宋体" w:cs="仿宋"/>
                <w:szCs w:val="21"/>
              </w:rPr>
            </w:pPr>
            <w:r>
              <w:rPr>
                <w:rFonts w:hint="eastAsia" w:ascii="宋体" w:hAnsi="宋体" w:eastAsia="宋体" w:cs="仿宋"/>
                <w:szCs w:val="21"/>
              </w:rPr>
              <w:t>完备性及符合性审查</w:t>
            </w:r>
          </w:p>
        </w:tc>
        <w:tc>
          <w:tcPr>
            <w:tcW w:w="5765"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78C2A573">
            <w:pPr>
              <w:spacing w:line="360" w:lineRule="auto"/>
              <w:rPr>
                <w:rFonts w:ascii="宋体" w:hAnsi="宋体" w:eastAsia="宋体" w:cs="仿宋"/>
                <w:szCs w:val="21"/>
              </w:rPr>
            </w:pPr>
            <w:r>
              <w:rPr>
                <w:rFonts w:hint="eastAsia" w:ascii="宋体" w:hAnsi="宋体" w:eastAsia="宋体" w:cs="仿宋"/>
                <w:szCs w:val="21"/>
              </w:rPr>
              <w:t>详见《完备性及符合性审查标准》</w:t>
            </w:r>
          </w:p>
        </w:tc>
      </w:tr>
      <w:tr w14:paraId="36353FAD">
        <w:tblPrEx>
          <w:tblCellMar>
            <w:top w:w="0" w:type="dxa"/>
            <w:left w:w="0" w:type="dxa"/>
            <w:bottom w:w="0" w:type="dxa"/>
            <w:right w:w="0" w:type="dxa"/>
          </w:tblCellMar>
        </w:tblPrEx>
        <w:trPr>
          <w:cantSplit/>
          <w:trHeight w:val="325" w:hRule="atLeast"/>
          <w:jc w:val="center"/>
        </w:trPr>
        <w:tc>
          <w:tcPr>
            <w:tcW w:w="612"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522B84FE">
            <w:pPr>
              <w:spacing w:line="360" w:lineRule="auto"/>
              <w:jc w:val="center"/>
              <w:rPr>
                <w:rFonts w:ascii="宋体" w:hAnsi="宋体" w:eastAsia="宋体" w:cs="仿宋"/>
                <w:szCs w:val="21"/>
              </w:rPr>
            </w:pPr>
            <w:r>
              <w:rPr>
                <w:rFonts w:hint="eastAsia" w:ascii="宋体" w:hAnsi="宋体" w:eastAsia="宋体" w:cs="仿宋"/>
                <w:szCs w:val="21"/>
              </w:rPr>
              <w:t>4</w:t>
            </w:r>
          </w:p>
        </w:tc>
        <w:tc>
          <w:tcPr>
            <w:tcW w:w="2783"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tcPr>
          <w:p w14:paraId="34025197">
            <w:pPr>
              <w:spacing w:line="360" w:lineRule="auto"/>
              <w:jc w:val="center"/>
              <w:rPr>
                <w:rFonts w:ascii="宋体" w:hAnsi="宋体" w:eastAsia="宋体" w:cs="仿宋"/>
              </w:rPr>
            </w:pPr>
            <w:r>
              <w:rPr>
                <w:rFonts w:hint="eastAsia" w:ascii="宋体" w:hAnsi="宋体" w:eastAsia="宋体" w:cs="仿宋"/>
                <w:szCs w:val="21"/>
              </w:rPr>
              <w:t>投标品牌</w:t>
            </w:r>
          </w:p>
        </w:tc>
        <w:tc>
          <w:tcPr>
            <w:tcW w:w="5765"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tcPr>
          <w:p w14:paraId="23262365">
            <w:pPr>
              <w:rPr>
                <w:rFonts w:ascii="宋体" w:hAnsi="宋体" w:eastAsia="宋体" w:cs="仿宋"/>
              </w:rPr>
            </w:pPr>
            <w:r>
              <w:rPr>
                <w:rFonts w:hint="eastAsia" w:ascii="宋体" w:hAnsi="宋体" w:eastAsia="宋体" w:cs="仿宋"/>
              </w:rPr>
              <w:t>详见《投标品牌统计》</w:t>
            </w:r>
          </w:p>
        </w:tc>
      </w:tr>
      <w:tr w14:paraId="0ED0F2AE">
        <w:tblPrEx>
          <w:tblCellMar>
            <w:top w:w="0" w:type="dxa"/>
            <w:left w:w="0" w:type="dxa"/>
            <w:bottom w:w="0" w:type="dxa"/>
            <w:right w:w="0" w:type="dxa"/>
          </w:tblCellMar>
        </w:tblPrEx>
        <w:trPr>
          <w:cantSplit/>
          <w:trHeight w:val="325" w:hRule="atLeast"/>
          <w:jc w:val="center"/>
        </w:trPr>
        <w:tc>
          <w:tcPr>
            <w:tcW w:w="612" w:type="dxa"/>
            <w:vMerge w:val="restart"/>
            <w:tcBorders>
              <w:top w:val="single" w:color="auto" w:sz="8" w:space="0"/>
              <w:left w:val="single" w:color="auto" w:sz="8" w:space="0"/>
              <w:right w:val="single" w:color="auto" w:sz="8" w:space="0"/>
            </w:tcBorders>
            <w:tcMar>
              <w:top w:w="0" w:type="dxa"/>
              <w:left w:w="28" w:type="dxa"/>
              <w:bottom w:w="0" w:type="dxa"/>
              <w:right w:w="28" w:type="dxa"/>
            </w:tcMar>
            <w:vAlign w:val="center"/>
          </w:tcPr>
          <w:p w14:paraId="2F911DBF">
            <w:pPr>
              <w:spacing w:line="360" w:lineRule="auto"/>
              <w:jc w:val="center"/>
              <w:rPr>
                <w:rFonts w:ascii="宋体" w:hAnsi="宋体" w:eastAsia="宋体" w:cs="仿宋"/>
                <w:szCs w:val="21"/>
              </w:rPr>
            </w:pPr>
            <w:r>
              <w:rPr>
                <w:rFonts w:hint="eastAsia" w:ascii="宋体" w:hAnsi="宋体" w:eastAsia="宋体" w:cs="仿宋"/>
                <w:szCs w:val="21"/>
              </w:rPr>
              <w:t>5</w:t>
            </w:r>
          </w:p>
        </w:tc>
        <w:tc>
          <w:tcPr>
            <w:tcW w:w="2783" w:type="dxa"/>
            <w:vMerge w:val="restart"/>
            <w:tcBorders>
              <w:top w:val="single" w:color="auto" w:sz="8" w:space="0"/>
              <w:left w:val="single" w:color="auto" w:sz="8" w:space="0"/>
              <w:right w:val="single" w:color="auto" w:sz="8" w:space="0"/>
            </w:tcBorders>
            <w:tcMar>
              <w:top w:w="0" w:type="dxa"/>
              <w:left w:w="28" w:type="dxa"/>
              <w:bottom w:w="0" w:type="dxa"/>
              <w:right w:w="28" w:type="dxa"/>
            </w:tcMar>
            <w:vAlign w:val="center"/>
          </w:tcPr>
          <w:p w14:paraId="626DE4D4">
            <w:pPr>
              <w:spacing w:line="360" w:lineRule="auto"/>
              <w:jc w:val="center"/>
              <w:rPr>
                <w:rFonts w:ascii="宋体" w:hAnsi="宋体" w:eastAsia="宋体" w:cs="仿宋"/>
                <w:szCs w:val="21"/>
              </w:rPr>
            </w:pPr>
            <w:r>
              <w:rPr>
                <w:rFonts w:hint="eastAsia" w:ascii="宋体" w:hAnsi="宋体" w:eastAsia="宋体" w:cs="仿宋"/>
                <w:szCs w:val="21"/>
              </w:rPr>
              <w:t>详细评审</w:t>
            </w:r>
          </w:p>
        </w:tc>
        <w:tc>
          <w:tcPr>
            <w:tcW w:w="5765"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0A9FA5FB">
            <w:pPr>
              <w:spacing w:line="360" w:lineRule="auto"/>
              <w:rPr>
                <w:rFonts w:ascii="宋体" w:hAnsi="宋体" w:eastAsia="宋体" w:cs="仿宋"/>
                <w:szCs w:val="21"/>
              </w:rPr>
            </w:pPr>
            <w:r>
              <w:rPr>
                <w:rFonts w:hint="eastAsia" w:ascii="宋体" w:hAnsi="宋体" w:eastAsia="宋体" w:cs="仿宋"/>
                <w:szCs w:val="21"/>
              </w:rPr>
              <w:t>详见《详细评审标准》及本节第3.6款</w:t>
            </w:r>
          </w:p>
        </w:tc>
      </w:tr>
      <w:tr w14:paraId="635682FC">
        <w:tblPrEx>
          <w:tblCellMar>
            <w:top w:w="0" w:type="dxa"/>
            <w:left w:w="0" w:type="dxa"/>
            <w:bottom w:w="0" w:type="dxa"/>
            <w:right w:w="0" w:type="dxa"/>
          </w:tblCellMar>
        </w:tblPrEx>
        <w:trPr>
          <w:cantSplit/>
          <w:trHeight w:val="2332" w:hRule="atLeast"/>
          <w:jc w:val="center"/>
        </w:trPr>
        <w:tc>
          <w:tcPr>
            <w:tcW w:w="612" w:type="dxa"/>
            <w:vMerge w:val="continue"/>
            <w:tcBorders>
              <w:left w:val="single" w:color="auto" w:sz="8" w:space="0"/>
              <w:bottom w:val="single" w:color="auto" w:sz="8" w:space="0"/>
              <w:right w:val="single" w:color="auto" w:sz="8" w:space="0"/>
            </w:tcBorders>
            <w:tcMar>
              <w:top w:w="0" w:type="dxa"/>
              <w:left w:w="28" w:type="dxa"/>
              <w:bottom w:w="0" w:type="dxa"/>
              <w:right w:w="28" w:type="dxa"/>
            </w:tcMar>
            <w:vAlign w:val="center"/>
          </w:tcPr>
          <w:p w14:paraId="77C562C4">
            <w:pPr>
              <w:spacing w:line="360" w:lineRule="auto"/>
              <w:jc w:val="center"/>
              <w:rPr>
                <w:rFonts w:ascii="宋体" w:hAnsi="宋体" w:eastAsia="宋体" w:cs="仿宋"/>
                <w:szCs w:val="21"/>
              </w:rPr>
            </w:pPr>
          </w:p>
        </w:tc>
        <w:tc>
          <w:tcPr>
            <w:tcW w:w="2783" w:type="dxa"/>
            <w:vMerge w:val="continue"/>
            <w:tcBorders>
              <w:left w:val="single" w:color="auto" w:sz="8" w:space="0"/>
              <w:bottom w:val="single" w:color="auto" w:sz="8" w:space="0"/>
              <w:right w:val="single" w:color="auto" w:sz="8" w:space="0"/>
            </w:tcBorders>
            <w:tcMar>
              <w:top w:w="0" w:type="dxa"/>
              <w:left w:w="28" w:type="dxa"/>
              <w:bottom w:w="0" w:type="dxa"/>
              <w:right w:w="28" w:type="dxa"/>
            </w:tcMar>
            <w:vAlign w:val="center"/>
          </w:tcPr>
          <w:p w14:paraId="01DB1E86">
            <w:pPr>
              <w:spacing w:line="360" w:lineRule="auto"/>
              <w:jc w:val="center"/>
              <w:rPr>
                <w:rFonts w:ascii="宋体" w:hAnsi="宋体" w:eastAsia="宋体" w:cs="仿宋"/>
                <w:szCs w:val="21"/>
              </w:rPr>
            </w:pPr>
          </w:p>
        </w:tc>
        <w:tc>
          <w:tcPr>
            <w:tcW w:w="5765"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230F77C9">
            <w:pPr>
              <w:spacing w:line="360" w:lineRule="auto"/>
              <w:rPr>
                <w:rFonts w:ascii="宋体" w:hAnsi="宋体" w:eastAsia="宋体" w:cs="仿宋"/>
              </w:rPr>
            </w:pPr>
            <w:r>
              <w:rPr>
                <w:rFonts w:hint="eastAsia" w:ascii="宋体" w:hAnsi="宋体" w:eastAsia="宋体" w:cs="仿宋"/>
              </w:rPr>
              <w:t>投标报价得分计算方法：</w:t>
            </w:r>
          </w:p>
          <w:p w14:paraId="5C1A05FD">
            <w:pPr>
              <w:spacing w:line="360" w:lineRule="auto"/>
              <w:rPr>
                <w:rFonts w:ascii="宋体" w:hAnsi="宋体" w:eastAsia="宋体" w:cs="仿宋"/>
              </w:rPr>
            </w:pPr>
            <w:r>
              <w:rPr>
                <w:rFonts w:hint="eastAsia" w:ascii="宋体" w:hAnsi="宋体" w:eastAsia="宋体" w:cs="仿宋"/>
              </w:rPr>
              <w:t>1.投标报价的确定</w:t>
            </w:r>
          </w:p>
          <w:p w14:paraId="50139CB6">
            <w:pPr>
              <w:spacing w:line="360" w:lineRule="auto"/>
              <w:rPr>
                <w:rFonts w:ascii="宋体" w:hAnsi="宋体" w:eastAsia="宋体" w:cs="仿宋"/>
              </w:rPr>
            </w:pPr>
            <w:r>
              <w:rPr>
                <w:rFonts w:hint="eastAsia" w:ascii="宋体" w:hAnsi="宋体" w:eastAsia="宋体" w:cs="仿宋"/>
              </w:rPr>
              <w:t>投标报价是指经评审的且不超过采购预算金额的投标价格</w:t>
            </w:r>
          </w:p>
          <w:p w14:paraId="5D3353B4">
            <w:pPr>
              <w:spacing w:line="360" w:lineRule="auto"/>
              <w:rPr>
                <w:rFonts w:ascii="宋体" w:hAnsi="宋体" w:eastAsia="宋体" w:cs="仿宋"/>
              </w:rPr>
            </w:pPr>
            <w:r>
              <w:rPr>
                <w:rFonts w:hint="eastAsia" w:ascii="宋体" w:hAnsi="宋体" w:eastAsia="宋体" w:cs="仿宋"/>
              </w:rPr>
              <w:t>2.评标基准价的确定</w:t>
            </w:r>
          </w:p>
          <w:p w14:paraId="7814E8DC">
            <w:pPr>
              <w:spacing w:line="360" w:lineRule="auto"/>
              <w:rPr>
                <w:rFonts w:ascii="宋体" w:hAnsi="宋体" w:eastAsia="宋体" w:cs="仿宋"/>
              </w:rPr>
            </w:pPr>
            <w:r>
              <w:rPr>
                <w:rFonts w:hint="eastAsia" w:ascii="宋体" w:hAnsi="宋体" w:eastAsia="宋体" w:cs="仿宋"/>
              </w:rPr>
              <w:t>满足招标文件要求且投标报价最低的为评标基准价</w:t>
            </w:r>
          </w:p>
          <w:p w14:paraId="478AA315">
            <w:pPr>
              <w:spacing w:line="360" w:lineRule="auto"/>
              <w:rPr>
                <w:rFonts w:ascii="宋体" w:hAnsi="宋体" w:eastAsia="宋体" w:cs="仿宋"/>
              </w:rPr>
            </w:pPr>
            <w:r>
              <w:rPr>
                <w:rFonts w:hint="eastAsia" w:ascii="宋体" w:hAnsi="宋体" w:eastAsia="宋体" w:cs="仿宋"/>
              </w:rPr>
              <w:t>3.投标报价得分=(评标基准价／投标报价)×40</w:t>
            </w:r>
          </w:p>
          <w:p w14:paraId="076F16E3">
            <w:pPr>
              <w:spacing w:line="360" w:lineRule="auto"/>
              <w:rPr>
                <w:rFonts w:ascii="宋体" w:hAnsi="宋体" w:eastAsia="宋体" w:cs="仿宋"/>
              </w:rPr>
            </w:pPr>
            <w:r>
              <w:rPr>
                <w:rFonts w:hint="eastAsia" w:ascii="宋体" w:hAnsi="宋体" w:eastAsia="宋体" w:cs="仿宋"/>
              </w:rPr>
              <w:t>4.评分分值计算保留小数点后两位，小数点后三位“四舍五入”。</w:t>
            </w:r>
          </w:p>
          <w:p w14:paraId="141CBADB">
            <w:pPr>
              <w:spacing w:line="360" w:lineRule="auto"/>
              <w:rPr>
                <w:rFonts w:ascii="宋体" w:hAnsi="宋体" w:eastAsia="宋体" w:cs="仿宋"/>
              </w:rPr>
            </w:pPr>
            <w:r>
              <w:rPr>
                <w:rFonts w:hint="eastAsia" w:ascii="宋体" w:hAnsi="宋体" w:eastAsia="宋体" w:cs="仿宋"/>
                <w:szCs w:val="21"/>
                <w:shd w:val="clear" w:color="auto" w:fill="FFFFFF" w:themeFill="background1"/>
              </w:rPr>
              <w:t>5</w:t>
            </w:r>
            <w:r>
              <w:rPr>
                <w:rFonts w:ascii="宋体" w:hAnsi="宋体" w:eastAsia="宋体" w:cs="仿宋"/>
                <w:szCs w:val="21"/>
                <w:shd w:val="clear" w:color="auto" w:fill="FFFFFF" w:themeFill="background1"/>
              </w:rPr>
              <w:t>.</w:t>
            </w:r>
            <w:r>
              <w:rPr>
                <w:rFonts w:hint="eastAsia" w:ascii="宋体" w:hAnsi="宋体" w:eastAsia="宋体" w:cs="仿宋"/>
                <w:szCs w:val="21"/>
                <w:shd w:val="clear" w:color="auto" w:fill="FFFFFF" w:themeFill="background1"/>
              </w:rPr>
              <w:t>因落实政府采购政策对小型企业、微型企业、残疾人福利性单位、监狱企业产品的价格给予10%价格扣除；以扣除后的价格参与评审，不重复享受价格扣除政策。</w:t>
            </w:r>
          </w:p>
        </w:tc>
      </w:tr>
    </w:tbl>
    <w:p w14:paraId="4544A2DD">
      <w:pPr>
        <w:widowControl/>
        <w:shd w:val="clear" w:color="auto" w:fill="FFFFFF"/>
        <w:snapToGrid w:val="0"/>
        <w:spacing w:line="276" w:lineRule="auto"/>
        <w:jc w:val="center"/>
        <w:rPr>
          <w:rFonts w:ascii="宋体" w:hAnsi="宋体" w:eastAsia="宋体" w:cs="仿宋"/>
          <w:b/>
          <w:kern w:val="0"/>
          <w:sz w:val="24"/>
          <w:szCs w:val="24"/>
        </w:rPr>
      </w:pPr>
    </w:p>
    <w:p w14:paraId="629B6FEE">
      <w:pPr>
        <w:widowControl/>
        <w:jc w:val="left"/>
        <w:rPr>
          <w:rFonts w:ascii="宋体" w:hAnsi="宋体" w:eastAsia="宋体" w:cs="仿宋"/>
          <w:b/>
          <w:kern w:val="0"/>
          <w:sz w:val="24"/>
          <w:szCs w:val="24"/>
        </w:rPr>
      </w:pPr>
      <w:r>
        <w:rPr>
          <w:rFonts w:ascii="宋体" w:hAnsi="宋体" w:eastAsia="宋体" w:cs="仿宋"/>
          <w:b/>
          <w:kern w:val="0"/>
          <w:sz w:val="24"/>
          <w:szCs w:val="24"/>
        </w:rPr>
        <w:br w:type="page"/>
      </w:r>
    </w:p>
    <w:p w14:paraId="054325AA">
      <w:pPr>
        <w:widowControl/>
        <w:shd w:val="clear" w:color="auto" w:fill="FFFFFF"/>
        <w:snapToGrid w:val="0"/>
        <w:spacing w:line="276" w:lineRule="auto"/>
        <w:jc w:val="center"/>
        <w:outlineLvl w:val="1"/>
        <w:rPr>
          <w:rFonts w:ascii="宋体" w:hAnsi="宋体" w:eastAsia="宋体" w:cs="仿宋"/>
          <w:b/>
          <w:kern w:val="0"/>
          <w:sz w:val="24"/>
          <w:szCs w:val="24"/>
        </w:rPr>
      </w:pPr>
      <w:bookmarkStart w:id="37" w:name="_Toc200016455"/>
      <w:r>
        <w:rPr>
          <w:rFonts w:hint="eastAsia" w:ascii="宋体" w:hAnsi="宋体" w:eastAsia="宋体" w:cs="仿宋"/>
          <w:b/>
          <w:kern w:val="0"/>
          <w:sz w:val="24"/>
          <w:szCs w:val="24"/>
        </w:rPr>
        <w:t>《资格审查标准》</w:t>
      </w:r>
      <w:bookmarkEnd w:id="36"/>
      <w:bookmarkEnd w:id="37"/>
    </w:p>
    <w:tbl>
      <w:tblPr>
        <w:tblStyle w:val="38"/>
        <w:tblW w:w="50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90"/>
        <w:gridCol w:w="3583"/>
        <w:gridCol w:w="5071"/>
      </w:tblGrid>
      <w:tr w14:paraId="0F727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268" w:type="pct"/>
            <w:vAlign w:val="center"/>
          </w:tcPr>
          <w:p w14:paraId="09E09D6B">
            <w:pPr>
              <w:widowControl/>
              <w:shd w:val="clear" w:color="auto" w:fill="FFFFFF"/>
              <w:snapToGrid w:val="0"/>
              <w:spacing w:line="360" w:lineRule="auto"/>
              <w:jc w:val="center"/>
              <w:rPr>
                <w:rFonts w:ascii="宋体" w:hAnsi="宋体" w:eastAsia="宋体" w:cs="仿宋"/>
                <w:kern w:val="0"/>
                <w:szCs w:val="24"/>
              </w:rPr>
            </w:pPr>
            <w:bookmarkStart w:id="38" w:name="_Toc501719167"/>
            <w:r>
              <w:rPr>
                <w:rFonts w:hint="eastAsia" w:ascii="宋体" w:hAnsi="宋体" w:eastAsia="宋体" w:cs="仿宋"/>
                <w:kern w:val="0"/>
                <w:szCs w:val="24"/>
              </w:rPr>
              <w:t>序号</w:t>
            </w:r>
          </w:p>
        </w:tc>
        <w:tc>
          <w:tcPr>
            <w:tcW w:w="1959" w:type="pct"/>
            <w:vAlign w:val="center"/>
          </w:tcPr>
          <w:p w14:paraId="246AFF7A">
            <w:pPr>
              <w:widowControl/>
              <w:shd w:val="clear" w:color="auto" w:fill="FFFFFF"/>
              <w:snapToGrid w:val="0"/>
              <w:spacing w:line="360" w:lineRule="auto"/>
              <w:jc w:val="center"/>
              <w:rPr>
                <w:rFonts w:ascii="宋体" w:hAnsi="宋体" w:eastAsia="宋体" w:cs="仿宋"/>
                <w:kern w:val="0"/>
                <w:szCs w:val="24"/>
              </w:rPr>
            </w:pPr>
            <w:r>
              <w:rPr>
                <w:rFonts w:hint="eastAsia" w:ascii="宋体" w:hAnsi="宋体" w:eastAsia="宋体" w:cs="仿宋"/>
                <w:kern w:val="0"/>
                <w:szCs w:val="24"/>
              </w:rPr>
              <w:t>审查要求</w:t>
            </w:r>
          </w:p>
        </w:tc>
        <w:tc>
          <w:tcPr>
            <w:tcW w:w="2773" w:type="pct"/>
            <w:vAlign w:val="center"/>
          </w:tcPr>
          <w:p w14:paraId="61B63CC8">
            <w:pPr>
              <w:widowControl/>
              <w:shd w:val="clear" w:color="auto" w:fill="FFFFFF"/>
              <w:snapToGrid w:val="0"/>
              <w:spacing w:line="360" w:lineRule="auto"/>
              <w:jc w:val="center"/>
              <w:rPr>
                <w:rFonts w:ascii="宋体" w:hAnsi="宋体" w:eastAsia="宋体" w:cs="仿宋"/>
                <w:kern w:val="0"/>
                <w:szCs w:val="24"/>
              </w:rPr>
            </w:pPr>
            <w:r>
              <w:rPr>
                <w:rFonts w:hint="eastAsia" w:ascii="宋体" w:hAnsi="宋体" w:eastAsia="宋体" w:cs="仿宋"/>
                <w:kern w:val="0"/>
                <w:szCs w:val="24"/>
              </w:rPr>
              <w:t>要求说明</w:t>
            </w:r>
          </w:p>
        </w:tc>
      </w:tr>
      <w:tr w14:paraId="2AB26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268" w:type="pct"/>
            <w:vAlign w:val="center"/>
          </w:tcPr>
          <w:p w14:paraId="62BED0C7">
            <w:pPr>
              <w:widowControl/>
              <w:shd w:val="clear" w:color="auto" w:fill="FFFFFF"/>
              <w:snapToGrid w:val="0"/>
              <w:spacing w:line="360" w:lineRule="auto"/>
              <w:jc w:val="center"/>
              <w:rPr>
                <w:rFonts w:ascii="宋体" w:hAnsi="宋体" w:eastAsia="宋体" w:cs="仿宋"/>
                <w:kern w:val="0"/>
                <w:szCs w:val="24"/>
              </w:rPr>
            </w:pPr>
            <w:r>
              <w:rPr>
                <w:rFonts w:hint="eastAsia" w:ascii="宋体" w:hAnsi="宋体" w:eastAsia="宋体" w:cs="仿宋"/>
                <w:kern w:val="0"/>
                <w:szCs w:val="24"/>
              </w:rPr>
              <w:t>1</w:t>
            </w:r>
          </w:p>
        </w:tc>
        <w:tc>
          <w:tcPr>
            <w:tcW w:w="1959" w:type="pct"/>
            <w:vAlign w:val="center"/>
          </w:tcPr>
          <w:p w14:paraId="10881CEC">
            <w:pPr>
              <w:spacing w:line="360" w:lineRule="auto"/>
              <w:jc w:val="left"/>
              <w:rPr>
                <w:rFonts w:ascii="宋体" w:hAnsi="宋体" w:eastAsia="宋体" w:cs="仿宋"/>
                <w:kern w:val="0"/>
                <w:szCs w:val="24"/>
              </w:rPr>
            </w:pPr>
            <w:r>
              <w:rPr>
                <w:rFonts w:hint="eastAsia" w:ascii="宋体" w:hAnsi="宋体" w:eastAsia="宋体" w:cs="仿宋"/>
                <w:kern w:val="0"/>
                <w:szCs w:val="24"/>
              </w:rPr>
              <w:t>满足《中华人民共和国政府采购法》第二十二条规定。</w:t>
            </w:r>
          </w:p>
        </w:tc>
        <w:tc>
          <w:tcPr>
            <w:tcW w:w="2773" w:type="pct"/>
            <w:vAlign w:val="center"/>
          </w:tcPr>
          <w:p w14:paraId="419DA50C">
            <w:pPr>
              <w:spacing w:line="360" w:lineRule="auto"/>
              <w:jc w:val="left"/>
              <w:rPr>
                <w:rFonts w:ascii="宋体" w:hAnsi="宋体" w:eastAsia="宋体" w:cs="仿宋"/>
                <w:kern w:val="0"/>
                <w:szCs w:val="24"/>
              </w:rPr>
            </w:pPr>
            <w:r>
              <w:rPr>
                <w:rFonts w:hint="eastAsia" w:ascii="宋体" w:hAnsi="宋体" w:eastAsia="宋体" w:cs="仿宋"/>
                <w:kern w:val="0"/>
                <w:szCs w:val="24"/>
              </w:rPr>
              <w:t>提供下列材料：①、法人或者其他组织的营业执照等证明文件，自然人的身份证明；②、财务状况报告（2023年度财务审计报告或2024年度财务审计报告或银行资信证明或投标担保函，成立不足一个月的投标人无需提供）；③、依法缴纳税收相关证明材料（投标文件递交截止之日前六个月内任一个月内缴纳税收的完税凭证（指各种完税证、缴款书、印花税票、扣（收）税凭证以及其他完税证明））；④、社会保障资金的相关材料（投标文件递交截止之日前六个月内任一个月内缴纳社会保险的凭据）；⑤、具备履行合同所必需的设备和专业技术能力的证明材料；⑥、参加政府采购活动前3年内在经营活动中没有重大违法记录的书面声明。</w:t>
            </w:r>
          </w:p>
        </w:tc>
      </w:tr>
      <w:tr w14:paraId="2B242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268" w:type="pct"/>
            <w:vAlign w:val="center"/>
          </w:tcPr>
          <w:p w14:paraId="0770C62A">
            <w:pPr>
              <w:widowControl/>
              <w:shd w:val="clear" w:color="auto" w:fill="FFFFFF"/>
              <w:snapToGrid w:val="0"/>
              <w:spacing w:line="360" w:lineRule="auto"/>
              <w:jc w:val="center"/>
              <w:rPr>
                <w:rFonts w:ascii="宋体" w:hAnsi="宋体" w:eastAsia="宋体" w:cs="仿宋"/>
                <w:kern w:val="0"/>
                <w:szCs w:val="24"/>
              </w:rPr>
            </w:pPr>
            <w:r>
              <w:rPr>
                <w:rFonts w:hint="eastAsia" w:ascii="宋体" w:hAnsi="宋体" w:eastAsia="宋体" w:cs="仿宋"/>
                <w:kern w:val="0"/>
                <w:szCs w:val="24"/>
              </w:rPr>
              <w:t>2</w:t>
            </w:r>
          </w:p>
        </w:tc>
        <w:tc>
          <w:tcPr>
            <w:tcW w:w="1959" w:type="pct"/>
            <w:vAlign w:val="center"/>
          </w:tcPr>
          <w:p w14:paraId="560C4B39">
            <w:pPr>
              <w:spacing w:line="360" w:lineRule="auto"/>
              <w:jc w:val="left"/>
              <w:rPr>
                <w:rFonts w:ascii="宋体" w:hAnsi="宋体" w:eastAsia="宋体" w:cs="仿宋"/>
                <w:kern w:val="0"/>
                <w:szCs w:val="24"/>
              </w:rPr>
            </w:pPr>
            <w:r>
              <w:rPr>
                <w:rFonts w:hint="eastAsia" w:ascii="宋体" w:hAnsi="宋体" w:eastAsia="宋体" w:cs="仿宋"/>
                <w:kern w:val="0"/>
                <w:szCs w:val="24"/>
              </w:rPr>
              <w:t>投标人如在“信用中国”网站（www.creditchina.gov.cn）、中国政府采购网（www.ccgp.gov.cn）等渠道被列入失信被执行人、重大税收违法失信主体、政府采购严重违法失信行为记录名单及其它不符合《中华人民共和国政府采购法》第二十二条规定条件的投标人，尚在处罚期内的将被拒绝参加本次采购活动。</w:t>
            </w:r>
          </w:p>
        </w:tc>
        <w:tc>
          <w:tcPr>
            <w:tcW w:w="2773" w:type="pct"/>
            <w:vAlign w:val="center"/>
          </w:tcPr>
          <w:p w14:paraId="01742EA3">
            <w:pPr>
              <w:spacing w:line="360" w:lineRule="auto"/>
              <w:jc w:val="left"/>
              <w:rPr>
                <w:rFonts w:ascii="宋体" w:hAnsi="宋体" w:eastAsia="宋体" w:cs="仿宋"/>
                <w:kern w:val="0"/>
                <w:szCs w:val="24"/>
              </w:rPr>
            </w:pPr>
            <w:r>
              <w:rPr>
                <w:rFonts w:hint="eastAsia" w:ascii="宋体" w:hAnsi="宋体" w:eastAsia="宋体" w:cs="仿宋"/>
                <w:kern w:val="0"/>
                <w:szCs w:val="24"/>
              </w:rPr>
              <w:t>以采购人或者采购代理机构查询记录为准。</w:t>
            </w:r>
          </w:p>
        </w:tc>
      </w:tr>
      <w:tr w14:paraId="55316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268" w:type="pct"/>
            <w:vAlign w:val="center"/>
          </w:tcPr>
          <w:p w14:paraId="5D843ADD">
            <w:pPr>
              <w:widowControl/>
              <w:shd w:val="clear" w:color="auto" w:fill="FFFFFF"/>
              <w:snapToGrid w:val="0"/>
              <w:spacing w:line="360" w:lineRule="auto"/>
              <w:jc w:val="center"/>
              <w:rPr>
                <w:rFonts w:ascii="宋体" w:hAnsi="宋体" w:eastAsia="宋体" w:cs="仿宋"/>
                <w:kern w:val="0"/>
                <w:szCs w:val="24"/>
              </w:rPr>
            </w:pPr>
            <w:r>
              <w:rPr>
                <w:rFonts w:hint="eastAsia" w:ascii="宋体" w:hAnsi="宋体" w:eastAsia="宋体" w:cs="仿宋"/>
                <w:kern w:val="0"/>
                <w:szCs w:val="24"/>
              </w:rPr>
              <w:t>3</w:t>
            </w:r>
          </w:p>
        </w:tc>
        <w:tc>
          <w:tcPr>
            <w:tcW w:w="1959" w:type="pct"/>
            <w:vAlign w:val="center"/>
          </w:tcPr>
          <w:p w14:paraId="6021E32F">
            <w:pPr>
              <w:spacing w:line="360" w:lineRule="auto"/>
              <w:jc w:val="left"/>
              <w:rPr>
                <w:rFonts w:ascii="宋体" w:hAnsi="宋体" w:eastAsia="宋体" w:cs="仿宋"/>
                <w:kern w:val="0"/>
                <w:szCs w:val="24"/>
              </w:rPr>
            </w:pPr>
            <w:r>
              <w:rPr>
                <w:rFonts w:hint="eastAsia" w:ascii="宋体" w:hAnsi="宋体" w:eastAsia="宋体" w:cs="仿宋"/>
                <w:kern w:val="0"/>
                <w:szCs w:val="24"/>
              </w:rPr>
              <w:t>本项目专门面向中小企业（含中型、小型、微型企业）采购。</w:t>
            </w:r>
          </w:p>
        </w:tc>
        <w:tc>
          <w:tcPr>
            <w:tcW w:w="2773" w:type="pct"/>
            <w:vAlign w:val="center"/>
          </w:tcPr>
          <w:p w14:paraId="6AAA370D">
            <w:pPr>
              <w:spacing w:line="360" w:lineRule="auto"/>
              <w:jc w:val="left"/>
              <w:rPr>
                <w:rFonts w:ascii="宋体" w:hAnsi="宋体" w:eastAsia="宋体" w:cs="仿宋"/>
                <w:kern w:val="0"/>
                <w:szCs w:val="24"/>
              </w:rPr>
            </w:pPr>
            <w:r>
              <w:rPr>
                <w:rFonts w:hint="eastAsia" w:ascii="宋体" w:hAnsi="宋体" w:eastAsia="宋体" w:cs="仿宋"/>
                <w:kern w:val="0"/>
                <w:szCs w:val="24"/>
              </w:rPr>
              <w:t>本项目专门面向中小企业（含中型、小型、微型企业）采购，供应商为小微企业（含小型、微型企业）或残疾人福利性单位的须提供声明函，为监狱企业的须提供由省级以上监狱管理局、戒毒管理局（含新疆生产建设兵团）出具的属于监狱企业的证明文件。</w:t>
            </w:r>
          </w:p>
        </w:tc>
      </w:tr>
      <w:tr w14:paraId="62C34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268" w:type="pct"/>
            <w:vAlign w:val="center"/>
          </w:tcPr>
          <w:p w14:paraId="4785D539">
            <w:pPr>
              <w:widowControl/>
              <w:shd w:val="clear" w:color="auto" w:fill="FFFFFF"/>
              <w:snapToGrid w:val="0"/>
              <w:spacing w:line="360" w:lineRule="auto"/>
              <w:jc w:val="center"/>
              <w:rPr>
                <w:rFonts w:ascii="宋体" w:hAnsi="宋体" w:eastAsia="宋体" w:cs="仿宋"/>
                <w:kern w:val="0"/>
                <w:szCs w:val="24"/>
              </w:rPr>
            </w:pPr>
            <w:r>
              <w:rPr>
                <w:rFonts w:hint="eastAsia" w:ascii="宋体" w:hAnsi="宋体" w:eastAsia="宋体" w:cs="仿宋"/>
                <w:kern w:val="0"/>
                <w:szCs w:val="24"/>
              </w:rPr>
              <w:t>4</w:t>
            </w:r>
          </w:p>
        </w:tc>
        <w:tc>
          <w:tcPr>
            <w:tcW w:w="1959" w:type="pct"/>
            <w:vAlign w:val="center"/>
          </w:tcPr>
          <w:p w14:paraId="013DA2EE">
            <w:pPr>
              <w:spacing w:line="360" w:lineRule="auto"/>
              <w:jc w:val="left"/>
              <w:rPr>
                <w:rFonts w:ascii="宋体" w:hAnsi="宋体" w:eastAsia="宋体" w:cs="仿宋"/>
                <w:kern w:val="0"/>
                <w:szCs w:val="24"/>
              </w:rPr>
            </w:pPr>
            <w:r>
              <w:rPr>
                <w:rFonts w:hint="eastAsia" w:ascii="宋体" w:hAnsi="宋体" w:eastAsia="宋体" w:cs="仿宋"/>
                <w:kern w:val="0"/>
                <w:szCs w:val="24"/>
              </w:rPr>
              <w:t>投标保证金必须按照招标文件要求缴纳。</w:t>
            </w:r>
          </w:p>
        </w:tc>
        <w:tc>
          <w:tcPr>
            <w:tcW w:w="2773" w:type="pct"/>
            <w:vAlign w:val="center"/>
          </w:tcPr>
          <w:p w14:paraId="0B393404">
            <w:pPr>
              <w:spacing w:line="360" w:lineRule="auto"/>
              <w:jc w:val="left"/>
              <w:rPr>
                <w:rFonts w:ascii="宋体" w:hAnsi="宋体" w:eastAsia="宋体" w:cs="仿宋"/>
                <w:kern w:val="0"/>
                <w:szCs w:val="24"/>
              </w:rPr>
            </w:pPr>
            <w:r>
              <w:rPr>
                <w:rFonts w:hint="eastAsia" w:ascii="宋体" w:hAnsi="宋体" w:eastAsia="宋体" w:cs="仿宋"/>
                <w:kern w:val="0"/>
                <w:szCs w:val="24"/>
              </w:rPr>
              <w:t>保证金缴纳凭证：投标人可将本项目保证金支付的汇款凭证、支票、汇票或保证金收据的扫描件作为缴纳凭证制作在投标文件中。</w:t>
            </w:r>
          </w:p>
        </w:tc>
      </w:tr>
      <w:tr w14:paraId="059A4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0" w:hRule="atLeast"/>
          <w:jc w:val="center"/>
        </w:trPr>
        <w:tc>
          <w:tcPr>
            <w:tcW w:w="5000" w:type="pct"/>
            <w:gridSpan w:val="3"/>
            <w:vAlign w:val="center"/>
          </w:tcPr>
          <w:p w14:paraId="40CC0716">
            <w:pPr>
              <w:widowControl/>
              <w:shd w:val="clear" w:color="auto" w:fill="FFFFFF"/>
              <w:snapToGrid w:val="0"/>
              <w:spacing w:line="276" w:lineRule="auto"/>
              <w:jc w:val="left"/>
              <w:rPr>
                <w:rFonts w:ascii="宋体" w:hAnsi="宋体" w:eastAsia="宋体" w:cs="仿宋"/>
                <w:kern w:val="0"/>
                <w:szCs w:val="24"/>
              </w:rPr>
            </w:pPr>
            <w:r>
              <w:rPr>
                <w:rFonts w:hint="eastAsia" w:ascii="宋体" w:hAnsi="宋体" w:eastAsia="宋体" w:cs="仿宋"/>
                <w:kern w:val="0"/>
                <w:szCs w:val="24"/>
              </w:rPr>
              <w:t>备注：如果资格评审中有一项不满足审查标准的，采购人将认定该投标人不通过资格审查，投标文件将被拒绝评审。并且不允许投标人通过修改或撤销其不符合要求的差异或保留，使之成为具有响应性的投标。</w:t>
            </w:r>
          </w:p>
        </w:tc>
      </w:tr>
    </w:tbl>
    <w:p w14:paraId="5DCE8630">
      <w:pPr>
        <w:widowControl/>
        <w:shd w:val="clear" w:color="auto" w:fill="FFFFFF"/>
        <w:snapToGrid w:val="0"/>
        <w:spacing w:line="276" w:lineRule="auto"/>
        <w:jc w:val="center"/>
        <w:rPr>
          <w:rFonts w:ascii="宋体" w:hAnsi="宋体" w:eastAsia="宋体" w:cs="仿宋"/>
          <w:b/>
          <w:kern w:val="0"/>
          <w:sz w:val="24"/>
          <w:szCs w:val="24"/>
        </w:rPr>
      </w:pPr>
    </w:p>
    <w:p w14:paraId="06B4B993">
      <w:pPr>
        <w:widowControl/>
        <w:jc w:val="left"/>
        <w:rPr>
          <w:rFonts w:ascii="宋体" w:hAnsi="宋体" w:eastAsia="宋体" w:cs="仿宋"/>
          <w:b/>
          <w:kern w:val="0"/>
          <w:sz w:val="24"/>
          <w:szCs w:val="24"/>
        </w:rPr>
      </w:pPr>
      <w:r>
        <w:rPr>
          <w:rFonts w:ascii="宋体" w:hAnsi="宋体" w:eastAsia="宋体" w:cs="仿宋"/>
          <w:b/>
          <w:kern w:val="0"/>
          <w:sz w:val="24"/>
          <w:szCs w:val="24"/>
        </w:rPr>
        <w:br w:type="page"/>
      </w:r>
    </w:p>
    <w:p w14:paraId="22EADD95">
      <w:pPr>
        <w:widowControl/>
        <w:shd w:val="clear" w:color="auto" w:fill="FFFFFF"/>
        <w:snapToGrid w:val="0"/>
        <w:spacing w:line="276" w:lineRule="auto"/>
        <w:jc w:val="center"/>
        <w:outlineLvl w:val="1"/>
        <w:rPr>
          <w:rFonts w:ascii="宋体" w:hAnsi="宋体" w:eastAsia="宋体" w:cs="仿宋"/>
          <w:b/>
          <w:kern w:val="0"/>
          <w:sz w:val="24"/>
          <w:szCs w:val="24"/>
        </w:rPr>
      </w:pPr>
      <w:bookmarkStart w:id="39" w:name="_Toc200016456"/>
      <w:r>
        <w:rPr>
          <w:rFonts w:hint="eastAsia" w:ascii="宋体" w:hAnsi="宋体" w:eastAsia="宋体" w:cs="仿宋"/>
          <w:b/>
          <w:kern w:val="0"/>
          <w:sz w:val="24"/>
          <w:szCs w:val="24"/>
        </w:rPr>
        <w:t>《完备性及符合性审查标准》</w:t>
      </w:r>
      <w:bookmarkEnd w:id="38"/>
      <w:bookmarkEnd w:id="39"/>
    </w:p>
    <w:tbl>
      <w:tblPr>
        <w:tblStyle w:val="38"/>
        <w:tblW w:w="91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1"/>
        <w:gridCol w:w="6638"/>
        <w:gridCol w:w="1868"/>
      </w:tblGrid>
      <w:tr w14:paraId="12A2E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621" w:type="dxa"/>
            <w:vAlign w:val="center"/>
          </w:tcPr>
          <w:p w14:paraId="71D47BBE">
            <w:pPr>
              <w:widowControl/>
              <w:shd w:val="clear" w:color="auto" w:fill="FFFFFF"/>
              <w:snapToGrid w:val="0"/>
              <w:spacing w:line="360" w:lineRule="auto"/>
              <w:jc w:val="center"/>
              <w:rPr>
                <w:rFonts w:ascii="宋体" w:hAnsi="宋体" w:eastAsia="宋体" w:cs="仿宋"/>
                <w:kern w:val="0"/>
                <w:szCs w:val="24"/>
              </w:rPr>
            </w:pPr>
            <w:r>
              <w:rPr>
                <w:rFonts w:hint="eastAsia" w:ascii="宋体" w:hAnsi="宋体" w:eastAsia="宋体" w:cs="仿宋"/>
                <w:kern w:val="0"/>
                <w:szCs w:val="24"/>
              </w:rPr>
              <w:t>序号</w:t>
            </w:r>
          </w:p>
        </w:tc>
        <w:tc>
          <w:tcPr>
            <w:tcW w:w="6638" w:type="dxa"/>
            <w:vAlign w:val="center"/>
          </w:tcPr>
          <w:p w14:paraId="34945507">
            <w:pPr>
              <w:widowControl/>
              <w:shd w:val="clear" w:color="auto" w:fill="FFFFFF"/>
              <w:snapToGrid w:val="0"/>
              <w:spacing w:line="360" w:lineRule="auto"/>
              <w:jc w:val="center"/>
              <w:rPr>
                <w:rFonts w:ascii="宋体" w:hAnsi="宋体" w:eastAsia="宋体" w:cs="仿宋"/>
                <w:kern w:val="0"/>
                <w:szCs w:val="24"/>
              </w:rPr>
            </w:pPr>
            <w:r>
              <w:rPr>
                <w:rFonts w:hint="eastAsia" w:ascii="宋体" w:hAnsi="宋体" w:eastAsia="宋体" w:cs="仿宋"/>
                <w:kern w:val="0"/>
                <w:szCs w:val="24"/>
              </w:rPr>
              <w:t>审查要求</w:t>
            </w:r>
          </w:p>
        </w:tc>
        <w:tc>
          <w:tcPr>
            <w:tcW w:w="1868" w:type="dxa"/>
            <w:vAlign w:val="center"/>
          </w:tcPr>
          <w:p w14:paraId="62DA8250">
            <w:pPr>
              <w:widowControl/>
              <w:shd w:val="clear" w:color="auto" w:fill="FFFFFF"/>
              <w:snapToGrid w:val="0"/>
              <w:spacing w:line="360" w:lineRule="auto"/>
              <w:jc w:val="center"/>
              <w:rPr>
                <w:rFonts w:ascii="宋体" w:hAnsi="宋体" w:eastAsia="宋体" w:cs="仿宋"/>
                <w:kern w:val="0"/>
                <w:szCs w:val="24"/>
              </w:rPr>
            </w:pPr>
            <w:r>
              <w:rPr>
                <w:rFonts w:hint="eastAsia" w:ascii="宋体" w:hAnsi="宋体" w:eastAsia="宋体" w:cs="仿宋"/>
                <w:kern w:val="0"/>
                <w:szCs w:val="24"/>
              </w:rPr>
              <w:t>要求说明</w:t>
            </w:r>
          </w:p>
        </w:tc>
      </w:tr>
      <w:tr w14:paraId="6F830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621" w:type="dxa"/>
            <w:vAlign w:val="center"/>
          </w:tcPr>
          <w:p w14:paraId="34262ACF">
            <w:pPr>
              <w:widowControl/>
              <w:shd w:val="clear" w:color="auto" w:fill="FFFFFF"/>
              <w:snapToGrid w:val="0"/>
              <w:spacing w:line="360" w:lineRule="auto"/>
              <w:jc w:val="center"/>
              <w:rPr>
                <w:rFonts w:ascii="宋体" w:hAnsi="宋体" w:eastAsia="宋体" w:cs="仿宋"/>
                <w:kern w:val="0"/>
                <w:szCs w:val="24"/>
              </w:rPr>
            </w:pPr>
            <w:r>
              <w:rPr>
                <w:rFonts w:hint="eastAsia" w:ascii="宋体" w:hAnsi="宋体" w:eastAsia="宋体" w:cs="仿宋"/>
                <w:kern w:val="0"/>
                <w:szCs w:val="24"/>
              </w:rPr>
              <w:t>1</w:t>
            </w:r>
          </w:p>
        </w:tc>
        <w:tc>
          <w:tcPr>
            <w:tcW w:w="6638" w:type="dxa"/>
            <w:vAlign w:val="center"/>
          </w:tcPr>
          <w:p w14:paraId="46157C20">
            <w:pPr>
              <w:widowControl/>
              <w:shd w:val="clear" w:color="auto" w:fill="FFFFFF"/>
              <w:snapToGrid w:val="0"/>
              <w:spacing w:line="360" w:lineRule="auto"/>
              <w:jc w:val="left"/>
              <w:rPr>
                <w:rFonts w:ascii="宋体" w:hAnsi="宋体" w:eastAsia="宋体" w:cs="仿宋"/>
                <w:kern w:val="0"/>
                <w:szCs w:val="24"/>
              </w:rPr>
            </w:pPr>
            <w:r>
              <w:rPr>
                <w:rFonts w:hint="eastAsia" w:ascii="宋体" w:hAnsi="宋体" w:eastAsia="宋体" w:cs="仿宋"/>
                <w:kern w:val="0"/>
                <w:szCs w:val="24"/>
              </w:rPr>
              <w:t>投标文件必须按照招标文件规定要求加盖投标人电子印章、法定代表人电子印章。</w:t>
            </w:r>
          </w:p>
        </w:tc>
        <w:tc>
          <w:tcPr>
            <w:tcW w:w="1868" w:type="dxa"/>
            <w:vAlign w:val="center"/>
          </w:tcPr>
          <w:p w14:paraId="2B701B23">
            <w:pPr>
              <w:widowControl/>
              <w:shd w:val="clear" w:color="auto" w:fill="FFFFFF"/>
              <w:snapToGrid w:val="0"/>
              <w:spacing w:line="360" w:lineRule="auto"/>
              <w:jc w:val="center"/>
              <w:rPr>
                <w:rFonts w:ascii="宋体" w:hAnsi="宋体" w:eastAsia="宋体" w:cs="仿宋"/>
                <w:kern w:val="0"/>
                <w:szCs w:val="24"/>
              </w:rPr>
            </w:pPr>
            <w:r>
              <w:rPr>
                <w:rFonts w:hint="eastAsia" w:ascii="宋体" w:hAnsi="宋体" w:eastAsia="宋体" w:cs="仿宋"/>
                <w:kern w:val="0"/>
                <w:szCs w:val="24"/>
              </w:rPr>
              <w:t>/</w:t>
            </w:r>
          </w:p>
        </w:tc>
      </w:tr>
      <w:tr w14:paraId="1269B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621" w:type="dxa"/>
            <w:tcMar>
              <w:top w:w="0" w:type="dxa"/>
              <w:left w:w="28" w:type="dxa"/>
              <w:bottom w:w="0" w:type="dxa"/>
              <w:right w:w="28" w:type="dxa"/>
            </w:tcMar>
            <w:vAlign w:val="center"/>
          </w:tcPr>
          <w:p w14:paraId="58CA9059">
            <w:pPr>
              <w:widowControl/>
              <w:shd w:val="clear" w:color="auto" w:fill="FFFFFF"/>
              <w:snapToGrid w:val="0"/>
              <w:spacing w:line="360" w:lineRule="auto"/>
              <w:jc w:val="center"/>
              <w:rPr>
                <w:rFonts w:ascii="宋体" w:hAnsi="宋体" w:eastAsia="宋体" w:cs="仿宋"/>
                <w:kern w:val="0"/>
                <w:szCs w:val="24"/>
              </w:rPr>
            </w:pPr>
            <w:r>
              <w:rPr>
                <w:rFonts w:hint="eastAsia" w:ascii="宋体" w:hAnsi="宋体" w:eastAsia="宋体" w:cs="仿宋"/>
                <w:kern w:val="0"/>
                <w:szCs w:val="24"/>
              </w:rPr>
              <w:t>2</w:t>
            </w:r>
          </w:p>
        </w:tc>
        <w:tc>
          <w:tcPr>
            <w:tcW w:w="6638" w:type="dxa"/>
            <w:vAlign w:val="center"/>
          </w:tcPr>
          <w:p w14:paraId="4D244D1C">
            <w:pPr>
              <w:widowControl/>
              <w:shd w:val="clear" w:color="auto" w:fill="FFFFFF"/>
              <w:snapToGrid w:val="0"/>
              <w:spacing w:line="360" w:lineRule="auto"/>
              <w:jc w:val="left"/>
              <w:rPr>
                <w:rFonts w:ascii="宋体" w:hAnsi="宋体" w:eastAsia="宋体" w:cs="仿宋"/>
                <w:kern w:val="0"/>
                <w:szCs w:val="24"/>
              </w:rPr>
            </w:pPr>
            <w:r>
              <w:rPr>
                <w:rFonts w:hint="eastAsia" w:ascii="宋体" w:hAnsi="宋体" w:eastAsia="宋体" w:cs="仿宋"/>
                <w:kern w:val="0"/>
                <w:szCs w:val="24"/>
              </w:rPr>
              <w:t>投标价格不得超过投标人须知前附表中的采购预算金额，且单价也不得高于预算单价。</w:t>
            </w:r>
          </w:p>
        </w:tc>
        <w:tc>
          <w:tcPr>
            <w:tcW w:w="1868" w:type="dxa"/>
            <w:tcMar>
              <w:top w:w="0" w:type="dxa"/>
              <w:left w:w="28" w:type="dxa"/>
              <w:bottom w:w="0" w:type="dxa"/>
              <w:right w:w="28" w:type="dxa"/>
            </w:tcMar>
            <w:vAlign w:val="center"/>
          </w:tcPr>
          <w:p w14:paraId="6F5AD340">
            <w:pPr>
              <w:widowControl/>
              <w:shd w:val="clear" w:color="auto" w:fill="FFFFFF"/>
              <w:snapToGrid w:val="0"/>
              <w:spacing w:line="360" w:lineRule="auto"/>
              <w:jc w:val="center"/>
              <w:rPr>
                <w:rFonts w:ascii="宋体" w:hAnsi="宋体" w:eastAsia="宋体" w:cs="仿宋"/>
                <w:kern w:val="0"/>
                <w:szCs w:val="24"/>
              </w:rPr>
            </w:pPr>
            <w:r>
              <w:rPr>
                <w:rFonts w:hint="eastAsia" w:ascii="宋体" w:hAnsi="宋体" w:eastAsia="宋体" w:cs="仿宋"/>
                <w:kern w:val="0"/>
                <w:szCs w:val="24"/>
              </w:rPr>
              <w:t>/</w:t>
            </w:r>
          </w:p>
        </w:tc>
      </w:tr>
      <w:tr w14:paraId="14172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621" w:type="dxa"/>
            <w:tcMar>
              <w:top w:w="0" w:type="dxa"/>
              <w:left w:w="28" w:type="dxa"/>
              <w:bottom w:w="0" w:type="dxa"/>
              <w:right w:w="28" w:type="dxa"/>
            </w:tcMar>
            <w:vAlign w:val="center"/>
          </w:tcPr>
          <w:p w14:paraId="3A5D6091">
            <w:pPr>
              <w:widowControl/>
              <w:shd w:val="clear" w:color="auto" w:fill="FFFFFF"/>
              <w:snapToGrid w:val="0"/>
              <w:spacing w:line="360" w:lineRule="auto"/>
              <w:jc w:val="center"/>
              <w:rPr>
                <w:rFonts w:ascii="宋体" w:hAnsi="宋体" w:eastAsia="宋体" w:cs="仿宋"/>
                <w:kern w:val="0"/>
                <w:szCs w:val="24"/>
              </w:rPr>
            </w:pPr>
            <w:r>
              <w:rPr>
                <w:rFonts w:hint="eastAsia" w:ascii="宋体" w:hAnsi="宋体" w:eastAsia="宋体" w:cs="仿宋"/>
                <w:kern w:val="0"/>
                <w:szCs w:val="24"/>
              </w:rPr>
              <w:t>3</w:t>
            </w:r>
          </w:p>
        </w:tc>
        <w:tc>
          <w:tcPr>
            <w:tcW w:w="6638" w:type="dxa"/>
            <w:vAlign w:val="center"/>
          </w:tcPr>
          <w:p w14:paraId="70C1FEEC">
            <w:pPr>
              <w:widowControl/>
              <w:shd w:val="clear" w:color="auto" w:fill="FFFFFF"/>
              <w:snapToGrid w:val="0"/>
              <w:spacing w:line="360" w:lineRule="auto"/>
              <w:jc w:val="left"/>
              <w:rPr>
                <w:rFonts w:ascii="宋体" w:hAnsi="宋体" w:eastAsia="宋体" w:cs="仿宋"/>
                <w:kern w:val="0"/>
                <w:szCs w:val="24"/>
              </w:rPr>
            </w:pPr>
            <w:r>
              <w:rPr>
                <w:rFonts w:hint="eastAsia" w:ascii="宋体" w:hAnsi="宋体" w:eastAsia="宋体" w:cs="仿宋"/>
                <w:kern w:val="0"/>
                <w:szCs w:val="24"/>
              </w:rPr>
              <w:t>投标价格没有被评审委员会认定为低于企业成本价，或恶意竞争的情形</w:t>
            </w:r>
          </w:p>
        </w:tc>
        <w:tc>
          <w:tcPr>
            <w:tcW w:w="1868" w:type="dxa"/>
            <w:tcMar>
              <w:top w:w="0" w:type="dxa"/>
              <w:left w:w="28" w:type="dxa"/>
              <w:bottom w:w="0" w:type="dxa"/>
              <w:right w:w="28" w:type="dxa"/>
            </w:tcMar>
            <w:vAlign w:val="center"/>
          </w:tcPr>
          <w:p w14:paraId="6D589266">
            <w:pPr>
              <w:widowControl/>
              <w:shd w:val="clear" w:color="auto" w:fill="FFFFFF"/>
              <w:snapToGrid w:val="0"/>
              <w:spacing w:line="360" w:lineRule="auto"/>
              <w:jc w:val="center"/>
              <w:rPr>
                <w:rFonts w:ascii="宋体" w:hAnsi="宋体" w:eastAsia="宋体" w:cs="仿宋"/>
                <w:kern w:val="0"/>
                <w:szCs w:val="24"/>
              </w:rPr>
            </w:pPr>
            <w:r>
              <w:rPr>
                <w:rFonts w:hint="eastAsia" w:ascii="宋体" w:hAnsi="宋体" w:eastAsia="宋体" w:cs="仿宋"/>
                <w:kern w:val="0"/>
                <w:szCs w:val="24"/>
              </w:rPr>
              <w:t>/</w:t>
            </w:r>
          </w:p>
        </w:tc>
      </w:tr>
      <w:tr w14:paraId="04854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621" w:type="dxa"/>
            <w:tcMar>
              <w:top w:w="0" w:type="dxa"/>
              <w:left w:w="28" w:type="dxa"/>
              <w:bottom w:w="0" w:type="dxa"/>
              <w:right w:w="28" w:type="dxa"/>
            </w:tcMar>
            <w:vAlign w:val="center"/>
          </w:tcPr>
          <w:p w14:paraId="057F2F9B">
            <w:pPr>
              <w:widowControl/>
              <w:shd w:val="clear" w:color="auto" w:fill="FFFFFF"/>
              <w:snapToGrid w:val="0"/>
              <w:spacing w:line="360" w:lineRule="auto"/>
              <w:jc w:val="center"/>
              <w:rPr>
                <w:rFonts w:ascii="宋体" w:hAnsi="宋体" w:eastAsia="宋体" w:cs="仿宋"/>
                <w:kern w:val="0"/>
                <w:szCs w:val="24"/>
              </w:rPr>
            </w:pPr>
            <w:r>
              <w:rPr>
                <w:rFonts w:hint="eastAsia" w:ascii="宋体" w:hAnsi="宋体" w:eastAsia="宋体" w:cs="仿宋"/>
                <w:kern w:val="0"/>
                <w:szCs w:val="24"/>
              </w:rPr>
              <w:t>4</w:t>
            </w:r>
          </w:p>
        </w:tc>
        <w:tc>
          <w:tcPr>
            <w:tcW w:w="6638" w:type="dxa"/>
            <w:vAlign w:val="center"/>
          </w:tcPr>
          <w:p w14:paraId="3EF3EF46">
            <w:pPr>
              <w:widowControl/>
              <w:shd w:val="clear" w:color="auto" w:fill="FFFFFF"/>
              <w:snapToGrid w:val="0"/>
              <w:spacing w:line="360" w:lineRule="auto"/>
              <w:jc w:val="left"/>
              <w:rPr>
                <w:rFonts w:ascii="宋体" w:hAnsi="宋体" w:eastAsia="宋体" w:cs="仿宋"/>
                <w:kern w:val="0"/>
                <w:szCs w:val="24"/>
              </w:rPr>
            </w:pPr>
            <w:r>
              <w:rPr>
                <w:rFonts w:hint="eastAsia" w:ascii="宋体" w:hAnsi="宋体" w:eastAsia="宋体" w:cs="仿宋"/>
                <w:kern w:val="0"/>
                <w:szCs w:val="24"/>
              </w:rPr>
              <w:t>投标文件符合招标文件全部实质性要求。</w:t>
            </w:r>
          </w:p>
        </w:tc>
        <w:tc>
          <w:tcPr>
            <w:tcW w:w="1868" w:type="dxa"/>
            <w:tcMar>
              <w:top w:w="0" w:type="dxa"/>
              <w:left w:w="28" w:type="dxa"/>
              <w:bottom w:w="0" w:type="dxa"/>
              <w:right w:w="28" w:type="dxa"/>
            </w:tcMar>
            <w:vAlign w:val="center"/>
          </w:tcPr>
          <w:p w14:paraId="60F0C413">
            <w:pPr>
              <w:widowControl/>
              <w:shd w:val="clear" w:color="auto" w:fill="FFFFFF"/>
              <w:snapToGrid w:val="0"/>
              <w:spacing w:line="360" w:lineRule="auto"/>
              <w:jc w:val="center"/>
              <w:rPr>
                <w:rFonts w:ascii="宋体" w:hAnsi="宋体" w:eastAsia="宋体" w:cs="仿宋"/>
                <w:kern w:val="0"/>
                <w:szCs w:val="24"/>
              </w:rPr>
            </w:pPr>
            <w:r>
              <w:rPr>
                <w:rFonts w:hint="eastAsia" w:ascii="宋体" w:hAnsi="宋体" w:eastAsia="宋体" w:cs="仿宋"/>
                <w:kern w:val="0"/>
                <w:szCs w:val="24"/>
              </w:rPr>
              <w:t>/</w:t>
            </w:r>
          </w:p>
        </w:tc>
      </w:tr>
      <w:tr w14:paraId="07531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9127" w:type="dxa"/>
            <w:gridSpan w:val="3"/>
            <w:vAlign w:val="center"/>
          </w:tcPr>
          <w:p w14:paraId="15FC4736">
            <w:pPr>
              <w:widowControl/>
              <w:shd w:val="clear" w:color="auto" w:fill="FFFFFF"/>
              <w:snapToGrid w:val="0"/>
              <w:spacing w:line="360" w:lineRule="auto"/>
              <w:jc w:val="left"/>
              <w:rPr>
                <w:rFonts w:ascii="宋体" w:hAnsi="宋体" w:eastAsia="宋体" w:cs="仿宋"/>
                <w:kern w:val="0"/>
                <w:szCs w:val="24"/>
              </w:rPr>
            </w:pPr>
            <w:r>
              <w:rPr>
                <w:rFonts w:hint="eastAsia" w:ascii="宋体" w:hAnsi="宋体" w:eastAsia="宋体" w:cs="仿宋"/>
                <w:kern w:val="0"/>
                <w:szCs w:val="24"/>
              </w:rPr>
              <w:t>备注：完备性及符合性审查中有一项不满足评审标准的，评标委员会将认定该投标人不通过完备性及符合性审查，不得进入下一阶段评审。并且不允许投标人通过修改或撤销其不符合要求的差异或保留，使之成为具有响应性的投标。</w:t>
            </w:r>
          </w:p>
        </w:tc>
      </w:tr>
    </w:tbl>
    <w:p w14:paraId="5CDC1A32">
      <w:pPr>
        <w:widowControl/>
        <w:shd w:val="clear" w:color="auto" w:fill="FFFFFF"/>
        <w:snapToGrid w:val="0"/>
        <w:jc w:val="center"/>
        <w:rPr>
          <w:rFonts w:ascii="宋体" w:hAnsi="宋体" w:eastAsia="宋体" w:cs="仿宋"/>
          <w:b/>
          <w:kern w:val="0"/>
          <w:sz w:val="24"/>
          <w:szCs w:val="24"/>
        </w:rPr>
      </w:pPr>
    </w:p>
    <w:p w14:paraId="1A760F17">
      <w:pPr>
        <w:widowControl/>
        <w:shd w:val="clear" w:color="auto" w:fill="FFFFFF"/>
        <w:snapToGrid w:val="0"/>
        <w:jc w:val="center"/>
        <w:outlineLvl w:val="1"/>
        <w:rPr>
          <w:rFonts w:ascii="宋体" w:hAnsi="宋体" w:eastAsia="宋体" w:cs="仿宋"/>
          <w:b/>
          <w:kern w:val="0"/>
          <w:sz w:val="24"/>
          <w:szCs w:val="24"/>
        </w:rPr>
      </w:pPr>
      <w:bookmarkStart w:id="40" w:name="_Toc200016457"/>
      <w:r>
        <w:rPr>
          <w:rFonts w:hint="eastAsia" w:ascii="宋体" w:hAnsi="宋体" w:eastAsia="宋体" w:cs="仿宋"/>
          <w:b/>
          <w:kern w:val="0"/>
          <w:sz w:val="24"/>
          <w:szCs w:val="24"/>
        </w:rPr>
        <w:t>《投标品牌统计》</w:t>
      </w:r>
      <w:bookmarkEnd w:id="40"/>
    </w:p>
    <w:tbl>
      <w:tblPr>
        <w:tblStyle w:val="38"/>
        <w:tblW w:w="0" w:type="auto"/>
        <w:jc w:val="center"/>
        <w:tblLayout w:type="fixed"/>
        <w:tblCellMar>
          <w:top w:w="0" w:type="dxa"/>
          <w:left w:w="0" w:type="dxa"/>
          <w:bottom w:w="0" w:type="dxa"/>
          <w:right w:w="0" w:type="dxa"/>
        </w:tblCellMar>
      </w:tblPr>
      <w:tblGrid>
        <w:gridCol w:w="621"/>
        <w:gridCol w:w="8556"/>
      </w:tblGrid>
      <w:tr w14:paraId="14337E83">
        <w:trPr>
          <w:cantSplit/>
          <w:trHeight w:val="691" w:hRule="atLeast"/>
          <w:jc w:val="center"/>
        </w:trPr>
        <w:tc>
          <w:tcPr>
            <w:tcW w:w="621" w:type="dxa"/>
            <w:tcBorders>
              <w:top w:val="single" w:color="auto" w:sz="8" w:space="0"/>
              <w:left w:val="single" w:color="auto" w:sz="8" w:space="0"/>
              <w:bottom w:val="single" w:color="auto" w:sz="8" w:space="0"/>
              <w:right w:val="single" w:color="auto" w:sz="8" w:space="0"/>
            </w:tcBorders>
            <w:vAlign w:val="center"/>
          </w:tcPr>
          <w:p w14:paraId="09304817">
            <w:pPr>
              <w:widowControl/>
              <w:shd w:val="clear" w:color="auto" w:fill="FFFFFF"/>
              <w:snapToGrid w:val="0"/>
              <w:spacing w:line="360" w:lineRule="auto"/>
              <w:jc w:val="center"/>
              <w:rPr>
                <w:rFonts w:ascii="宋体" w:hAnsi="宋体" w:eastAsia="宋体" w:cs="仿宋"/>
                <w:kern w:val="0"/>
                <w:szCs w:val="24"/>
              </w:rPr>
            </w:pPr>
            <w:r>
              <w:rPr>
                <w:rFonts w:hint="eastAsia" w:ascii="宋体" w:hAnsi="宋体" w:eastAsia="宋体" w:cs="仿宋"/>
                <w:kern w:val="0"/>
                <w:szCs w:val="24"/>
              </w:rPr>
              <w:t>序号</w:t>
            </w:r>
          </w:p>
        </w:tc>
        <w:tc>
          <w:tcPr>
            <w:tcW w:w="8556" w:type="dxa"/>
            <w:tcBorders>
              <w:top w:val="single" w:color="auto" w:sz="8" w:space="0"/>
              <w:left w:val="single" w:color="auto" w:sz="8" w:space="0"/>
              <w:bottom w:val="single" w:color="auto" w:sz="8" w:space="0"/>
              <w:right w:val="single" w:color="auto" w:sz="8" w:space="0"/>
            </w:tcBorders>
            <w:vAlign w:val="center"/>
          </w:tcPr>
          <w:p w14:paraId="5A537ADE">
            <w:pPr>
              <w:widowControl/>
              <w:shd w:val="clear" w:color="auto" w:fill="FFFFFF"/>
              <w:snapToGrid w:val="0"/>
              <w:spacing w:line="360" w:lineRule="auto"/>
              <w:jc w:val="center"/>
              <w:rPr>
                <w:rFonts w:ascii="宋体" w:hAnsi="宋体" w:eastAsia="宋体" w:cs="仿宋"/>
                <w:kern w:val="0"/>
                <w:szCs w:val="24"/>
              </w:rPr>
            </w:pPr>
            <w:r>
              <w:rPr>
                <w:rFonts w:hint="eastAsia" w:ascii="宋体" w:hAnsi="宋体" w:eastAsia="宋体" w:cs="仿宋"/>
                <w:kern w:val="0"/>
                <w:szCs w:val="24"/>
              </w:rPr>
              <w:t>统计内容</w:t>
            </w:r>
          </w:p>
        </w:tc>
      </w:tr>
      <w:tr w14:paraId="7462F448">
        <w:tblPrEx>
          <w:tblCellMar>
            <w:top w:w="0" w:type="dxa"/>
            <w:left w:w="0" w:type="dxa"/>
            <w:bottom w:w="0" w:type="dxa"/>
            <w:right w:w="0" w:type="dxa"/>
          </w:tblCellMar>
        </w:tblPrEx>
        <w:trPr>
          <w:cantSplit/>
          <w:trHeight w:val="227" w:hRule="atLeast"/>
          <w:jc w:val="center"/>
        </w:trPr>
        <w:tc>
          <w:tcPr>
            <w:tcW w:w="621"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14:paraId="27D27E4A">
            <w:pPr>
              <w:widowControl/>
              <w:shd w:val="clear" w:color="auto" w:fill="FFFFFF"/>
              <w:snapToGrid w:val="0"/>
              <w:spacing w:line="360" w:lineRule="auto"/>
              <w:jc w:val="center"/>
              <w:rPr>
                <w:rFonts w:ascii="宋体" w:hAnsi="宋体" w:eastAsia="宋体" w:cs="仿宋"/>
                <w:kern w:val="0"/>
                <w:szCs w:val="24"/>
              </w:rPr>
            </w:pPr>
            <w:r>
              <w:rPr>
                <w:rFonts w:hint="eastAsia" w:ascii="宋体" w:hAnsi="宋体" w:eastAsia="宋体" w:cs="仿宋"/>
                <w:kern w:val="0"/>
                <w:szCs w:val="24"/>
              </w:rPr>
              <w:t>1</w:t>
            </w:r>
          </w:p>
        </w:tc>
        <w:tc>
          <w:tcPr>
            <w:tcW w:w="8556" w:type="dxa"/>
            <w:tcBorders>
              <w:top w:val="nil"/>
              <w:left w:val="nil"/>
              <w:bottom w:val="single" w:color="auto" w:sz="8" w:space="0"/>
              <w:right w:val="single" w:color="auto" w:sz="8" w:space="0"/>
            </w:tcBorders>
            <w:tcMar>
              <w:top w:w="0" w:type="dxa"/>
              <w:left w:w="28" w:type="dxa"/>
              <w:bottom w:w="0" w:type="dxa"/>
              <w:right w:w="28" w:type="dxa"/>
            </w:tcMar>
            <w:vAlign w:val="center"/>
          </w:tcPr>
          <w:p w14:paraId="5616C628">
            <w:pPr>
              <w:widowControl/>
              <w:shd w:val="clear" w:color="auto" w:fill="FFFFFF"/>
              <w:snapToGrid w:val="0"/>
              <w:spacing w:line="360" w:lineRule="auto"/>
              <w:rPr>
                <w:rFonts w:ascii="宋体" w:hAnsi="宋体" w:eastAsia="宋体" w:cs="仿宋"/>
                <w:kern w:val="0"/>
                <w:szCs w:val="24"/>
              </w:rPr>
            </w:pPr>
            <w:r>
              <w:rPr>
                <w:rFonts w:hint="eastAsia" w:ascii="宋体" w:hAnsi="宋体" w:eastAsia="宋体" w:cs="仿宋"/>
                <w:kern w:val="0"/>
                <w:szCs w:val="24"/>
              </w:rPr>
              <w:t>投标人所报品牌（核心产品为：朗读亭、瀑布流移动阅读借阅机）</w:t>
            </w:r>
          </w:p>
        </w:tc>
      </w:tr>
      <w:tr w14:paraId="6DF7F00D">
        <w:tblPrEx>
          <w:tblCellMar>
            <w:top w:w="0" w:type="dxa"/>
            <w:left w:w="0" w:type="dxa"/>
            <w:bottom w:w="0" w:type="dxa"/>
            <w:right w:w="0" w:type="dxa"/>
          </w:tblCellMar>
        </w:tblPrEx>
        <w:trPr>
          <w:cantSplit/>
          <w:trHeight w:val="20" w:hRule="atLeast"/>
          <w:jc w:val="center"/>
        </w:trPr>
        <w:tc>
          <w:tcPr>
            <w:tcW w:w="9177" w:type="dxa"/>
            <w:gridSpan w:val="2"/>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3551D872">
            <w:pPr>
              <w:widowControl/>
              <w:shd w:val="clear" w:color="auto" w:fill="FFFFFF"/>
              <w:snapToGrid w:val="0"/>
              <w:spacing w:line="360" w:lineRule="auto"/>
              <w:rPr>
                <w:rFonts w:ascii="宋体" w:hAnsi="宋体" w:eastAsia="宋体" w:cs="仿宋"/>
                <w:kern w:val="0"/>
                <w:szCs w:val="24"/>
              </w:rPr>
            </w:pPr>
            <w:r>
              <w:rPr>
                <w:rFonts w:hint="eastAsia" w:ascii="宋体" w:hAnsi="宋体" w:eastAsia="宋体" w:cs="仿宋"/>
                <w:kern w:val="0"/>
                <w:szCs w:val="24"/>
              </w:rPr>
              <w:t>备注：如招标文件前附表中约定了单一产品或核心产品，则提供相同品牌产品且通过资格审查、完备性及符合性审查的不同投标人参加同一合同项下投标的，按一家投标人计算。</w:t>
            </w:r>
          </w:p>
        </w:tc>
      </w:tr>
    </w:tbl>
    <w:p w14:paraId="006A9A30">
      <w:pPr>
        <w:pStyle w:val="6"/>
        <w:jc w:val="center"/>
        <w:rPr>
          <w:rFonts w:ascii="宋体" w:hAnsi="宋体" w:cs="仿宋"/>
          <w:b/>
          <w:szCs w:val="24"/>
        </w:rPr>
      </w:pPr>
    </w:p>
    <w:p w14:paraId="553585AD">
      <w:pPr>
        <w:widowControl/>
        <w:jc w:val="left"/>
        <w:rPr>
          <w:rFonts w:ascii="宋体" w:hAnsi="宋体" w:eastAsia="宋体" w:cs="仿宋"/>
          <w:b/>
          <w:kern w:val="0"/>
          <w:sz w:val="24"/>
          <w:szCs w:val="24"/>
        </w:rPr>
      </w:pPr>
      <w:r>
        <w:rPr>
          <w:rFonts w:ascii="宋体" w:hAnsi="宋体" w:cs="仿宋"/>
          <w:b/>
          <w:szCs w:val="24"/>
        </w:rPr>
        <w:br w:type="page"/>
      </w:r>
    </w:p>
    <w:p w14:paraId="1CF70869">
      <w:pPr>
        <w:pStyle w:val="6"/>
        <w:jc w:val="center"/>
        <w:outlineLvl w:val="1"/>
        <w:rPr>
          <w:rFonts w:ascii="宋体" w:hAnsi="宋体" w:cs="仿宋"/>
        </w:rPr>
      </w:pPr>
      <w:bookmarkStart w:id="41" w:name="_Toc200016458"/>
      <w:r>
        <w:rPr>
          <w:rFonts w:hint="eastAsia" w:ascii="宋体" w:hAnsi="宋体" w:cs="仿宋"/>
          <w:b/>
          <w:szCs w:val="24"/>
        </w:rPr>
        <w:t>《详细评审标准》</w:t>
      </w:r>
      <w:bookmarkEnd w:id="41"/>
    </w:p>
    <w:p w14:paraId="29AB0F38">
      <w:pPr>
        <w:widowControl/>
        <w:jc w:val="left"/>
        <w:rPr>
          <w:rFonts w:ascii="宋体" w:hAnsi="宋体" w:eastAsia="宋体" w:cs="仿宋"/>
        </w:rPr>
      </w:pPr>
    </w:p>
    <w:tbl>
      <w:tblPr>
        <w:tblStyle w:val="3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17"/>
        <w:gridCol w:w="1401"/>
        <w:gridCol w:w="928"/>
        <w:gridCol w:w="6130"/>
      </w:tblGrid>
      <w:tr w14:paraId="16994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 w:hRule="atLeast"/>
          <w:jc w:val="center"/>
        </w:trPr>
        <w:tc>
          <w:tcPr>
            <w:tcW w:w="340" w:type="pct"/>
            <w:vAlign w:val="center"/>
          </w:tcPr>
          <w:p w14:paraId="294BBB45">
            <w:pPr>
              <w:widowControl/>
              <w:shd w:val="clear" w:color="auto" w:fill="FFFFFF"/>
              <w:snapToGrid w:val="0"/>
              <w:spacing w:line="360" w:lineRule="auto"/>
              <w:jc w:val="center"/>
              <w:rPr>
                <w:rFonts w:ascii="宋体" w:hAnsi="宋体" w:eastAsia="宋体" w:cs="仿宋"/>
                <w:kern w:val="0"/>
                <w:szCs w:val="21"/>
              </w:rPr>
            </w:pPr>
            <w:r>
              <w:rPr>
                <w:rFonts w:hint="eastAsia" w:ascii="宋体" w:hAnsi="宋体" w:eastAsia="宋体" w:cs="仿宋"/>
                <w:kern w:val="0"/>
                <w:szCs w:val="21"/>
              </w:rPr>
              <w:t>序号</w:t>
            </w:r>
          </w:p>
        </w:tc>
        <w:tc>
          <w:tcPr>
            <w:tcW w:w="772" w:type="pct"/>
            <w:vAlign w:val="center"/>
          </w:tcPr>
          <w:p w14:paraId="153A37BA">
            <w:pPr>
              <w:spacing w:line="360" w:lineRule="auto"/>
              <w:jc w:val="center"/>
              <w:rPr>
                <w:rFonts w:ascii="宋体" w:hAnsi="宋体" w:eastAsia="宋体" w:cs="仿宋"/>
                <w:kern w:val="0"/>
                <w:szCs w:val="21"/>
              </w:rPr>
            </w:pPr>
            <w:r>
              <w:rPr>
                <w:rFonts w:hint="eastAsia" w:ascii="宋体" w:hAnsi="宋体" w:eastAsia="宋体" w:cs="仿宋"/>
                <w:kern w:val="0"/>
                <w:szCs w:val="21"/>
              </w:rPr>
              <w:t>评审项目</w:t>
            </w:r>
          </w:p>
        </w:tc>
        <w:tc>
          <w:tcPr>
            <w:tcW w:w="511" w:type="pct"/>
            <w:vAlign w:val="center"/>
          </w:tcPr>
          <w:p w14:paraId="3395A934">
            <w:pPr>
              <w:spacing w:line="360" w:lineRule="auto"/>
              <w:jc w:val="center"/>
              <w:rPr>
                <w:rFonts w:ascii="宋体" w:hAnsi="宋体" w:eastAsia="宋体" w:cs="仿宋"/>
                <w:kern w:val="0"/>
                <w:szCs w:val="21"/>
              </w:rPr>
            </w:pPr>
            <w:r>
              <w:rPr>
                <w:rFonts w:hint="eastAsia" w:ascii="宋体" w:hAnsi="宋体" w:eastAsia="宋体" w:cs="仿宋"/>
                <w:kern w:val="0"/>
                <w:szCs w:val="21"/>
              </w:rPr>
              <w:t>标准分</w:t>
            </w:r>
          </w:p>
        </w:tc>
        <w:tc>
          <w:tcPr>
            <w:tcW w:w="3377" w:type="pct"/>
            <w:vAlign w:val="center"/>
          </w:tcPr>
          <w:p w14:paraId="595B2FAE">
            <w:pPr>
              <w:spacing w:line="360" w:lineRule="auto"/>
              <w:jc w:val="center"/>
              <w:rPr>
                <w:rFonts w:ascii="宋体" w:hAnsi="宋体" w:eastAsia="宋体" w:cs="仿宋"/>
                <w:kern w:val="0"/>
                <w:szCs w:val="21"/>
              </w:rPr>
            </w:pPr>
            <w:r>
              <w:rPr>
                <w:rFonts w:hint="eastAsia" w:ascii="宋体" w:hAnsi="宋体" w:eastAsia="宋体" w:cs="仿宋"/>
                <w:kern w:val="0"/>
                <w:szCs w:val="21"/>
              </w:rPr>
              <w:t>评审标准</w:t>
            </w:r>
          </w:p>
        </w:tc>
      </w:tr>
      <w:tr w14:paraId="56B41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340" w:type="pct"/>
            <w:tcMar>
              <w:top w:w="0" w:type="dxa"/>
              <w:left w:w="108" w:type="dxa"/>
              <w:bottom w:w="0" w:type="dxa"/>
              <w:right w:w="108" w:type="dxa"/>
            </w:tcMar>
            <w:vAlign w:val="center"/>
          </w:tcPr>
          <w:p w14:paraId="293849F4">
            <w:pPr>
              <w:spacing w:line="360" w:lineRule="auto"/>
              <w:jc w:val="center"/>
              <w:rPr>
                <w:rFonts w:ascii="宋体" w:hAnsi="宋体" w:eastAsia="宋体" w:cs="仿宋"/>
                <w:kern w:val="0"/>
                <w:szCs w:val="21"/>
              </w:rPr>
            </w:pPr>
            <w:r>
              <w:rPr>
                <w:rFonts w:hint="eastAsia" w:ascii="宋体" w:hAnsi="宋体" w:eastAsia="宋体" w:cs="仿宋"/>
                <w:kern w:val="0"/>
                <w:szCs w:val="21"/>
              </w:rPr>
              <w:t>1</w:t>
            </w:r>
          </w:p>
        </w:tc>
        <w:tc>
          <w:tcPr>
            <w:tcW w:w="772" w:type="pct"/>
            <w:tcMar>
              <w:top w:w="0" w:type="dxa"/>
              <w:left w:w="108" w:type="dxa"/>
              <w:bottom w:w="0" w:type="dxa"/>
              <w:right w:w="108" w:type="dxa"/>
            </w:tcMar>
            <w:vAlign w:val="center"/>
          </w:tcPr>
          <w:p w14:paraId="450D3247">
            <w:pPr>
              <w:spacing w:line="360" w:lineRule="auto"/>
              <w:ind w:left="-105" w:leftChars="-50" w:right="-105" w:rightChars="-50"/>
              <w:jc w:val="center"/>
              <w:rPr>
                <w:rFonts w:ascii="宋体" w:hAnsi="宋体" w:eastAsia="宋体" w:cs="仿宋"/>
                <w:kern w:val="0"/>
                <w:szCs w:val="21"/>
              </w:rPr>
            </w:pPr>
            <w:r>
              <w:rPr>
                <w:rFonts w:hint="eastAsia" w:ascii="宋体" w:hAnsi="宋体" w:eastAsia="宋体" w:cs="仿宋"/>
                <w:kern w:val="0"/>
                <w:szCs w:val="21"/>
              </w:rPr>
              <w:t>近三年类似业绩</w:t>
            </w:r>
          </w:p>
        </w:tc>
        <w:tc>
          <w:tcPr>
            <w:tcW w:w="511" w:type="pct"/>
            <w:tcMar>
              <w:top w:w="0" w:type="dxa"/>
              <w:left w:w="108" w:type="dxa"/>
              <w:bottom w:w="0" w:type="dxa"/>
              <w:right w:w="108" w:type="dxa"/>
            </w:tcMar>
            <w:vAlign w:val="center"/>
          </w:tcPr>
          <w:p w14:paraId="6587DE96">
            <w:pPr>
              <w:spacing w:line="360" w:lineRule="auto"/>
              <w:jc w:val="center"/>
              <w:rPr>
                <w:rFonts w:ascii="宋体" w:hAnsi="宋体" w:eastAsia="宋体" w:cs="仿宋"/>
                <w:kern w:val="0"/>
                <w:szCs w:val="21"/>
              </w:rPr>
            </w:pPr>
            <w:r>
              <w:rPr>
                <w:rFonts w:hint="eastAsia" w:ascii="宋体" w:hAnsi="宋体" w:eastAsia="宋体" w:cs="仿宋"/>
                <w:kern w:val="0"/>
                <w:szCs w:val="21"/>
              </w:rPr>
              <w:t>4</w:t>
            </w:r>
          </w:p>
        </w:tc>
        <w:tc>
          <w:tcPr>
            <w:tcW w:w="3377" w:type="pct"/>
            <w:tcMar>
              <w:top w:w="0" w:type="dxa"/>
              <w:left w:w="108" w:type="dxa"/>
              <w:bottom w:w="0" w:type="dxa"/>
              <w:right w:w="108" w:type="dxa"/>
            </w:tcMar>
            <w:vAlign w:val="center"/>
          </w:tcPr>
          <w:p w14:paraId="76263B83">
            <w:pPr>
              <w:spacing w:line="360" w:lineRule="auto"/>
              <w:rPr>
                <w:rFonts w:ascii="宋体" w:hAnsi="宋体" w:eastAsia="宋体" w:cs="仿宋"/>
                <w:kern w:val="0"/>
                <w:szCs w:val="21"/>
              </w:rPr>
            </w:pPr>
            <w:r>
              <w:rPr>
                <w:rFonts w:hint="eastAsia" w:ascii="宋体" w:hAnsi="宋体" w:eastAsia="宋体" w:cs="仿宋"/>
                <w:kern w:val="0"/>
                <w:szCs w:val="21"/>
              </w:rPr>
              <w:t>根据投标人提供2022年1月1日至投标截止的同类项目业绩进行综合评定，每提供一个业绩得1分，最多4分，未提供或提供的非类似业绩不得分。（注：响应文件中提供合同或者中标通知书扫描件，且不得遮盖任何关键信息）</w:t>
            </w:r>
          </w:p>
        </w:tc>
      </w:tr>
      <w:tr w14:paraId="777CF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340" w:type="pct"/>
            <w:tcMar>
              <w:top w:w="0" w:type="dxa"/>
              <w:left w:w="108" w:type="dxa"/>
              <w:bottom w:w="0" w:type="dxa"/>
              <w:right w:w="108" w:type="dxa"/>
            </w:tcMar>
            <w:vAlign w:val="center"/>
          </w:tcPr>
          <w:p w14:paraId="7D11C4FB">
            <w:pPr>
              <w:spacing w:line="360" w:lineRule="auto"/>
              <w:jc w:val="center"/>
              <w:rPr>
                <w:rFonts w:ascii="宋体" w:hAnsi="宋体" w:eastAsia="宋体" w:cs="仿宋"/>
                <w:kern w:val="0"/>
                <w:szCs w:val="21"/>
              </w:rPr>
            </w:pPr>
            <w:r>
              <w:rPr>
                <w:rFonts w:hint="eastAsia" w:ascii="宋体" w:hAnsi="宋体" w:eastAsia="宋体" w:cs="仿宋"/>
                <w:kern w:val="0"/>
                <w:szCs w:val="21"/>
              </w:rPr>
              <w:t>2</w:t>
            </w:r>
          </w:p>
        </w:tc>
        <w:tc>
          <w:tcPr>
            <w:tcW w:w="772" w:type="pct"/>
            <w:tcMar>
              <w:top w:w="0" w:type="dxa"/>
              <w:left w:w="108" w:type="dxa"/>
              <w:bottom w:w="0" w:type="dxa"/>
              <w:right w:w="108" w:type="dxa"/>
            </w:tcMar>
            <w:vAlign w:val="center"/>
          </w:tcPr>
          <w:p w14:paraId="4CD3D852">
            <w:pPr>
              <w:spacing w:line="360" w:lineRule="auto"/>
              <w:ind w:left="-105" w:leftChars="-50" w:right="-105" w:rightChars="-50"/>
              <w:jc w:val="center"/>
              <w:rPr>
                <w:rFonts w:ascii="宋体" w:hAnsi="宋体" w:eastAsia="宋体" w:cs="仿宋"/>
                <w:kern w:val="0"/>
                <w:szCs w:val="21"/>
              </w:rPr>
            </w:pPr>
            <w:r>
              <w:rPr>
                <w:rFonts w:hint="eastAsia" w:ascii="宋体" w:hAnsi="宋体" w:eastAsia="宋体" w:cs="仿宋"/>
                <w:kern w:val="0"/>
                <w:szCs w:val="21"/>
              </w:rPr>
              <w:t>企业实力</w:t>
            </w:r>
          </w:p>
        </w:tc>
        <w:tc>
          <w:tcPr>
            <w:tcW w:w="511" w:type="pct"/>
            <w:tcMar>
              <w:top w:w="0" w:type="dxa"/>
              <w:left w:w="108" w:type="dxa"/>
              <w:bottom w:w="0" w:type="dxa"/>
              <w:right w:w="108" w:type="dxa"/>
            </w:tcMar>
            <w:vAlign w:val="center"/>
          </w:tcPr>
          <w:p w14:paraId="0BCE239D">
            <w:pPr>
              <w:spacing w:line="360" w:lineRule="auto"/>
              <w:jc w:val="center"/>
              <w:rPr>
                <w:rFonts w:ascii="宋体" w:hAnsi="宋体" w:eastAsia="宋体" w:cs="仿宋"/>
                <w:kern w:val="0"/>
                <w:szCs w:val="21"/>
              </w:rPr>
            </w:pPr>
            <w:r>
              <w:rPr>
                <w:rFonts w:hint="eastAsia" w:ascii="宋体" w:hAnsi="宋体" w:eastAsia="宋体" w:cs="仿宋"/>
                <w:kern w:val="0"/>
                <w:szCs w:val="21"/>
              </w:rPr>
              <w:t>4</w:t>
            </w:r>
          </w:p>
        </w:tc>
        <w:tc>
          <w:tcPr>
            <w:tcW w:w="3377" w:type="pct"/>
            <w:tcMar>
              <w:top w:w="0" w:type="dxa"/>
              <w:left w:w="108" w:type="dxa"/>
              <w:bottom w:w="0" w:type="dxa"/>
              <w:right w:w="108" w:type="dxa"/>
            </w:tcMar>
            <w:vAlign w:val="center"/>
          </w:tcPr>
          <w:p w14:paraId="0888BF29">
            <w:pPr>
              <w:spacing w:line="360" w:lineRule="auto"/>
              <w:rPr>
                <w:rFonts w:ascii="宋体" w:hAnsi="宋体" w:eastAsia="宋体" w:cs="仿宋"/>
                <w:kern w:val="0"/>
                <w:szCs w:val="21"/>
              </w:rPr>
            </w:pPr>
            <w:r>
              <w:rPr>
                <w:rFonts w:hint="eastAsia" w:ascii="宋体" w:hAnsi="宋体" w:eastAsia="宋体" w:cs="仿宋"/>
                <w:kern w:val="0"/>
                <w:szCs w:val="21"/>
              </w:rPr>
              <w:t>为了防止数据在不同厂商之间过多传输，导致数据丢失或泄密，各模块系统证书需为同一品牌，提供相应复印件加盖公章。</w:t>
            </w:r>
          </w:p>
          <w:p w14:paraId="7CDB6A8A">
            <w:pPr>
              <w:spacing w:line="360" w:lineRule="auto"/>
              <w:rPr>
                <w:rFonts w:ascii="宋体" w:hAnsi="宋体" w:eastAsia="宋体" w:cs="仿宋"/>
                <w:kern w:val="0"/>
                <w:szCs w:val="21"/>
              </w:rPr>
            </w:pPr>
            <w:r>
              <w:rPr>
                <w:rFonts w:hint="eastAsia" w:ascii="宋体" w:hAnsi="宋体" w:eastAsia="宋体" w:cs="仿宋"/>
                <w:kern w:val="0"/>
                <w:szCs w:val="21"/>
              </w:rPr>
              <w:t>1.提供自有的《软件能力成熟度集成模型》的（CMMI）五级及以上证书，得2分；</w:t>
            </w:r>
          </w:p>
          <w:p w14:paraId="2D3B2661">
            <w:pPr>
              <w:spacing w:line="360" w:lineRule="auto"/>
              <w:rPr>
                <w:rFonts w:ascii="宋体" w:hAnsi="宋体" w:eastAsia="宋体" w:cs="仿宋"/>
                <w:kern w:val="0"/>
                <w:szCs w:val="21"/>
              </w:rPr>
            </w:pPr>
            <w:r>
              <w:rPr>
                <w:rFonts w:hint="eastAsia" w:ascii="宋体" w:hAnsi="宋体" w:eastAsia="宋体" w:cs="仿宋"/>
                <w:kern w:val="0"/>
                <w:szCs w:val="21"/>
              </w:rPr>
              <w:t>2.提供ITSS信息技术服务标准符合性证书，得1分；</w:t>
            </w:r>
          </w:p>
          <w:p w14:paraId="01843B0C">
            <w:pPr>
              <w:spacing w:line="360" w:lineRule="auto"/>
              <w:rPr>
                <w:rFonts w:ascii="宋体" w:hAnsi="宋体" w:eastAsia="宋体" w:cs="仿宋"/>
                <w:kern w:val="0"/>
                <w:szCs w:val="21"/>
              </w:rPr>
            </w:pPr>
            <w:r>
              <w:rPr>
                <w:rFonts w:hint="eastAsia" w:ascii="宋体" w:hAnsi="宋体" w:eastAsia="宋体" w:cs="仿宋"/>
                <w:kern w:val="0"/>
                <w:szCs w:val="21"/>
              </w:rPr>
              <w:t>3.提供CS3级信息系统建设和服务能力等级证书，得1分；</w:t>
            </w:r>
          </w:p>
          <w:p w14:paraId="31C302D9">
            <w:pPr>
              <w:spacing w:line="360" w:lineRule="auto"/>
              <w:rPr>
                <w:rFonts w:ascii="宋体" w:hAnsi="宋体" w:eastAsia="宋体" w:cs="仿宋"/>
                <w:kern w:val="0"/>
                <w:szCs w:val="21"/>
              </w:rPr>
            </w:pPr>
            <w:r>
              <w:rPr>
                <w:rFonts w:hint="eastAsia" w:ascii="宋体" w:hAnsi="宋体" w:eastAsia="宋体" w:cs="仿宋"/>
                <w:kern w:val="0"/>
                <w:szCs w:val="21"/>
              </w:rPr>
              <w:t>注：所提供证书必须真实有效，如有伪造，包括在后续交付验收阶段发现伪造证书，将根据相关法律追究其法律责任。</w:t>
            </w:r>
          </w:p>
        </w:tc>
      </w:tr>
      <w:tr w14:paraId="72D4D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340" w:type="pct"/>
            <w:tcMar>
              <w:top w:w="0" w:type="dxa"/>
              <w:left w:w="108" w:type="dxa"/>
              <w:bottom w:w="0" w:type="dxa"/>
              <w:right w:w="108" w:type="dxa"/>
            </w:tcMar>
            <w:vAlign w:val="center"/>
          </w:tcPr>
          <w:p w14:paraId="7198C716">
            <w:pPr>
              <w:spacing w:line="360" w:lineRule="auto"/>
              <w:jc w:val="center"/>
              <w:rPr>
                <w:rFonts w:ascii="宋体" w:hAnsi="宋体" w:eastAsia="宋体" w:cs="仿宋"/>
                <w:kern w:val="0"/>
                <w:szCs w:val="21"/>
              </w:rPr>
            </w:pPr>
            <w:r>
              <w:rPr>
                <w:rFonts w:hint="eastAsia" w:ascii="宋体" w:hAnsi="宋体" w:eastAsia="宋体" w:cs="仿宋"/>
                <w:kern w:val="0"/>
                <w:szCs w:val="21"/>
              </w:rPr>
              <w:t>3</w:t>
            </w:r>
          </w:p>
        </w:tc>
        <w:tc>
          <w:tcPr>
            <w:tcW w:w="772" w:type="pct"/>
            <w:tcMar>
              <w:top w:w="0" w:type="dxa"/>
              <w:left w:w="108" w:type="dxa"/>
              <w:bottom w:w="0" w:type="dxa"/>
              <w:right w:w="108" w:type="dxa"/>
            </w:tcMar>
            <w:vAlign w:val="center"/>
          </w:tcPr>
          <w:p w14:paraId="0F554A01">
            <w:pPr>
              <w:spacing w:line="360" w:lineRule="auto"/>
              <w:ind w:left="-105" w:leftChars="-50" w:right="-105" w:rightChars="-50"/>
              <w:jc w:val="center"/>
              <w:rPr>
                <w:rFonts w:ascii="宋体" w:hAnsi="宋体" w:eastAsia="宋体" w:cs="仿宋"/>
                <w:kern w:val="0"/>
                <w:szCs w:val="21"/>
              </w:rPr>
            </w:pPr>
            <w:r>
              <w:rPr>
                <w:rFonts w:hint="eastAsia" w:ascii="宋体" w:hAnsi="宋体" w:eastAsia="宋体" w:cs="仿宋"/>
                <w:kern w:val="0"/>
                <w:szCs w:val="21"/>
              </w:rPr>
              <w:t>产品性能技术指标</w:t>
            </w:r>
          </w:p>
        </w:tc>
        <w:tc>
          <w:tcPr>
            <w:tcW w:w="511" w:type="pct"/>
            <w:tcMar>
              <w:top w:w="0" w:type="dxa"/>
              <w:left w:w="108" w:type="dxa"/>
              <w:bottom w:w="0" w:type="dxa"/>
              <w:right w:w="108" w:type="dxa"/>
            </w:tcMar>
            <w:vAlign w:val="center"/>
          </w:tcPr>
          <w:p w14:paraId="151B0A7C">
            <w:pPr>
              <w:spacing w:line="360" w:lineRule="auto"/>
              <w:jc w:val="center"/>
              <w:rPr>
                <w:rFonts w:ascii="宋体" w:hAnsi="宋体" w:eastAsia="宋体" w:cs="仿宋"/>
                <w:kern w:val="0"/>
                <w:szCs w:val="21"/>
              </w:rPr>
            </w:pPr>
            <w:r>
              <w:rPr>
                <w:rFonts w:hint="eastAsia" w:ascii="宋体" w:hAnsi="宋体" w:eastAsia="宋体" w:cs="仿宋"/>
                <w:kern w:val="0"/>
                <w:szCs w:val="21"/>
              </w:rPr>
              <w:t>20</w:t>
            </w:r>
          </w:p>
        </w:tc>
        <w:tc>
          <w:tcPr>
            <w:tcW w:w="3377" w:type="pct"/>
            <w:tcMar>
              <w:top w:w="0" w:type="dxa"/>
              <w:left w:w="108" w:type="dxa"/>
              <w:bottom w:w="0" w:type="dxa"/>
              <w:right w:w="108" w:type="dxa"/>
            </w:tcMar>
            <w:vAlign w:val="center"/>
          </w:tcPr>
          <w:p w14:paraId="79B710A0">
            <w:pPr>
              <w:spacing w:line="360" w:lineRule="auto"/>
              <w:rPr>
                <w:rFonts w:ascii="宋体" w:hAnsi="宋体" w:eastAsia="宋体" w:cs="仿宋"/>
                <w:kern w:val="0"/>
                <w:szCs w:val="21"/>
              </w:rPr>
            </w:pPr>
            <w:r>
              <w:rPr>
                <w:rFonts w:hint="eastAsia" w:ascii="宋体" w:hAnsi="宋体" w:eastAsia="宋体" w:cs="仿宋"/>
                <w:kern w:val="0"/>
                <w:szCs w:val="21"/>
              </w:rPr>
              <w:t>a.技术偏离表须依据招标文件技术指标逐条响应，否则视为投标人未实质性响应招标文件，其投标应予以拒绝；</w:t>
            </w:r>
          </w:p>
          <w:p w14:paraId="246F425D">
            <w:pPr>
              <w:spacing w:line="360" w:lineRule="auto"/>
              <w:rPr>
                <w:rFonts w:ascii="宋体" w:hAnsi="宋体" w:eastAsia="宋体" w:cs="仿宋"/>
                <w:kern w:val="0"/>
                <w:szCs w:val="21"/>
              </w:rPr>
            </w:pPr>
            <w:r>
              <w:rPr>
                <w:rFonts w:hint="eastAsia" w:ascii="宋体" w:hAnsi="宋体" w:eastAsia="宋体" w:cs="仿宋"/>
                <w:kern w:val="0"/>
                <w:szCs w:val="21"/>
              </w:rPr>
              <w:t>b.标记“▲”的指标正偏离不加分，每出现一处负偏离扣2分；</w:t>
            </w:r>
          </w:p>
          <w:p w14:paraId="02F278DA">
            <w:pPr>
              <w:spacing w:line="360" w:lineRule="auto"/>
              <w:rPr>
                <w:rFonts w:ascii="宋体" w:hAnsi="宋体" w:eastAsia="宋体" w:cs="仿宋"/>
                <w:kern w:val="0"/>
                <w:szCs w:val="21"/>
              </w:rPr>
            </w:pPr>
            <w:r>
              <w:rPr>
                <w:rFonts w:hint="eastAsia" w:ascii="宋体" w:hAnsi="宋体" w:eastAsia="宋体" w:cs="仿宋"/>
                <w:kern w:val="0"/>
                <w:szCs w:val="21"/>
              </w:rPr>
              <w:t>c.无标记的指标，正偏离不加分，每有一项负偏离扣0.5分，扣完为止。</w:t>
            </w:r>
          </w:p>
          <w:p w14:paraId="4B4D47F1">
            <w:pPr>
              <w:spacing w:line="360" w:lineRule="auto"/>
              <w:rPr>
                <w:rFonts w:ascii="宋体" w:hAnsi="宋体" w:eastAsia="宋体" w:cs="仿宋"/>
                <w:kern w:val="0"/>
                <w:szCs w:val="21"/>
              </w:rPr>
            </w:pPr>
            <w:r>
              <w:rPr>
                <w:rFonts w:hint="eastAsia" w:ascii="宋体" w:hAnsi="宋体" w:eastAsia="宋体" w:cs="仿宋"/>
                <w:kern w:val="0"/>
                <w:szCs w:val="21"/>
              </w:rPr>
              <w:t>注:投标人在响应技术条款时，应严格执行招标文件的要求，需提供证明资料的，如果投标人不提供证明资料，相关条款视为负偏离；证明材料出现与技术规格响应不一致时，或无法体现投标人技术规格响应的情况时，相关条款视为负偏离。</w:t>
            </w:r>
            <w:r>
              <w:rPr>
                <w:rFonts w:hint="eastAsia" w:ascii="宋体" w:hAnsi="宋体" w:eastAsia="宋体" w:cs="仿宋"/>
                <w:kern w:val="0"/>
                <w:szCs w:val="21"/>
              </w:rPr>
              <w:cr/>
            </w:r>
            <w:r>
              <w:rPr>
                <w:rFonts w:hint="eastAsia" w:ascii="宋体" w:hAnsi="宋体" w:eastAsia="宋体" w:cs="仿宋"/>
                <w:kern w:val="0"/>
                <w:szCs w:val="21"/>
              </w:rPr>
              <w:t>投标人提供的资料必须真实、有效，若发现虚假应标，或提供虚假证明材料，其投标将予以拒绝，并承担相应的法律责任。</w:t>
            </w:r>
          </w:p>
        </w:tc>
      </w:tr>
      <w:tr w14:paraId="31536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340" w:type="pct"/>
            <w:tcMar>
              <w:top w:w="0" w:type="dxa"/>
              <w:left w:w="108" w:type="dxa"/>
              <w:bottom w:w="0" w:type="dxa"/>
              <w:right w:w="108" w:type="dxa"/>
            </w:tcMar>
            <w:vAlign w:val="center"/>
          </w:tcPr>
          <w:p w14:paraId="09521BD7">
            <w:pPr>
              <w:spacing w:line="360" w:lineRule="auto"/>
              <w:jc w:val="center"/>
              <w:rPr>
                <w:rFonts w:ascii="宋体" w:hAnsi="宋体" w:eastAsia="宋体" w:cs="仿宋"/>
                <w:kern w:val="0"/>
                <w:szCs w:val="21"/>
              </w:rPr>
            </w:pPr>
            <w:r>
              <w:rPr>
                <w:rFonts w:hint="eastAsia" w:ascii="宋体" w:hAnsi="宋体" w:eastAsia="宋体" w:cs="仿宋"/>
                <w:kern w:val="0"/>
                <w:szCs w:val="21"/>
              </w:rPr>
              <w:t>4</w:t>
            </w:r>
          </w:p>
        </w:tc>
        <w:tc>
          <w:tcPr>
            <w:tcW w:w="772" w:type="pct"/>
            <w:tcMar>
              <w:top w:w="0" w:type="dxa"/>
              <w:left w:w="108" w:type="dxa"/>
              <w:bottom w:w="0" w:type="dxa"/>
              <w:right w:w="108" w:type="dxa"/>
            </w:tcMar>
            <w:vAlign w:val="center"/>
          </w:tcPr>
          <w:p w14:paraId="52B72A3D">
            <w:pPr>
              <w:spacing w:line="360" w:lineRule="auto"/>
              <w:ind w:left="-105" w:leftChars="-50" w:right="-105" w:rightChars="-50"/>
              <w:jc w:val="center"/>
              <w:rPr>
                <w:rFonts w:ascii="宋体" w:hAnsi="宋体" w:eastAsia="宋体" w:cs="仿宋"/>
                <w:kern w:val="0"/>
                <w:szCs w:val="21"/>
              </w:rPr>
            </w:pPr>
            <w:r>
              <w:rPr>
                <w:rFonts w:hint="eastAsia" w:ascii="宋体" w:hAnsi="宋体" w:eastAsia="宋体" w:cs="仿宋"/>
                <w:kern w:val="0"/>
                <w:szCs w:val="21"/>
              </w:rPr>
              <w:t>实施方案</w:t>
            </w:r>
          </w:p>
        </w:tc>
        <w:tc>
          <w:tcPr>
            <w:tcW w:w="511" w:type="pct"/>
            <w:tcMar>
              <w:top w:w="0" w:type="dxa"/>
              <w:left w:w="108" w:type="dxa"/>
              <w:bottom w:w="0" w:type="dxa"/>
              <w:right w:w="108" w:type="dxa"/>
            </w:tcMar>
            <w:vAlign w:val="center"/>
          </w:tcPr>
          <w:p w14:paraId="0012D7F6">
            <w:pPr>
              <w:spacing w:line="360" w:lineRule="auto"/>
              <w:ind w:left="-105" w:leftChars="-50" w:right="-105" w:rightChars="-50"/>
              <w:jc w:val="center"/>
              <w:rPr>
                <w:rFonts w:ascii="宋体" w:hAnsi="宋体" w:eastAsia="宋体" w:cs="仿宋"/>
                <w:kern w:val="0"/>
                <w:szCs w:val="21"/>
              </w:rPr>
            </w:pPr>
            <w:r>
              <w:rPr>
                <w:rFonts w:hint="eastAsia" w:ascii="宋体" w:hAnsi="宋体" w:eastAsia="宋体" w:cs="仿宋"/>
                <w:kern w:val="0"/>
                <w:szCs w:val="21"/>
              </w:rPr>
              <w:t>9</w:t>
            </w:r>
          </w:p>
        </w:tc>
        <w:tc>
          <w:tcPr>
            <w:tcW w:w="3377" w:type="pct"/>
            <w:tcMar>
              <w:top w:w="0" w:type="dxa"/>
              <w:left w:w="108" w:type="dxa"/>
              <w:bottom w:w="0" w:type="dxa"/>
              <w:right w:w="108" w:type="dxa"/>
            </w:tcMar>
            <w:vAlign w:val="center"/>
          </w:tcPr>
          <w:p w14:paraId="2CA18FB1">
            <w:pPr>
              <w:spacing w:line="360" w:lineRule="auto"/>
              <w:rPr>
                <w:rFonts w:ascii="宋体" w:hAnsi="宋体" w:eastAsia="宋体" w:cs="仿宋"/>
                <w:kern w:val="0"/>
                <w:szCs w:val="21"/>
              </w:rPr>
            </w:pPr>
            <w:r>
              <w:rPr>
                <w:rFonts w:hint="eastAsia" w:ascii="宋体" w:hAnsi="宋体" w:eastAsia="宋体" w:cs="仿宋"/>
                <w:kern w:val="0"/>
                <w:szCs w:val="21"/>
              </w:rPr>
              <w:t>实施方案内容包括但不限于①业务架构说明②技术架构说明③安全体系说明；3部分要素，所有要素齐全且完全满足项目要求得9分，每缺一个要素扣3分，每个要素里每有一处内容缺陷扣1分，扣完为止。</w:t>
            </w:r>
          </w:p>
        </w:tc>
      </w:tr>
      <w:tr w14:paraId="7442B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340" w:type="pct"/>
            <w:tcMar>
              <w:top w:w="0" w:type="dxa"/>
              <w:left w:w="108" w:type="dxa"/>
              <w:bottom w:w="0" w:type="dxa"/>
              <w:right w:w="108" w:type="dxa"/>
            </w:tcMar>
            <w:vAlign w:val="center"/>
          </w:tcPr>
          <w:p w14:paraId="23E4EBFD">
            <w:pPr>
              <w:spacing w:line="360" w:lineRule="auto"/>
              <w:jc w:val="center"/>
              <w:rPr>
                <w:rFonts w:ascii="宋体" w:hAnsi="宋体" w:eastAsia="宋体" w:cs="仿宋"/>
                <w:kern w:val="0"/>
                <w:szCs w:val="21"/>
              </w:rPr>
            </w:pPr>
            <w:r>
              <w:rPr>
                <w:rFonts w:hint="eastAsia" w:ascii="宋体" w:hAnsi="宋体" w:eastAsia="宋体" w:cs="仿宋"/>
                <w:kern w:val="0"/>
                <w:szCs w:val="21"/>
              </w:rPr>
              <w:t>5</w:t>
            </w:r>
          </w:p>
        </w:tc>
        <w:tc>
          <w:tcPr>
            <w:tcW w:w="772" w:type="pct"/>
            <w:tcMar>
              <w:top w:w="0" w:type="dxa"/>
              <w:left w:w="108" w:type="dxa"/>
              <w:bottom w:w="0" w:type="dxa"/>
              <w:right w:w="108" w:type="dxa"/>
            </w:tcMar>
            <w:vAlign w:val="center"/>
          </w:tcPr>
          <w:p w14:paraId="06578F36">
            <w:pPr>
              <w:spacing w:line="360" w:lineRule="auto"/>
              <w:ind w:left="-105" w:leftChars="-50" w:right="-105" w:rightChars="-50"/>
              <w:jc w:val="center"/>
              <w:rPr>
                <w:rFonts w:ascii="宋体" w:hAnsi="宋体" w:eastAsia="宋体" w:cs="仿宋"/>
                <w:kern w:val="0"/>
                <w:szCs w:val="21"/>
              </w:rPr>
            </w:pPr>
            <w:r>
              <w:rPr>
                <w:rFonts w:hint="eastAsia" w:ascii="宋体" w:hAnsi="宋体" w:eastAsia="宋体" w:cs="仿宋"/>
                <w:kern w:val="0"/>
                <w:szCs w:val="21"/>
              </w:rPr>
              <w:t>项目团队能力</w:t>
            </w:r>
          </w:p>
        </w:tc>
        <w:tc>
          <w:tcPr>
            <w:tcW w:w="511" w:type="pct"/>
            <w:tcMar>
              <w:top w:w="0" w:type="dxa"/>
              <w:left w:w="108" w:type="dxa"/>
              <w:bottom w:w="0" w:type="dxa"/>
              <w:right w:w="108" w:type="dxa"/>
            </w:tcMar>
            <w:vAlign w:val="center"/>
          </w:tcPr>
          <w:p w14:paraId="300423E9">
            <w:pPr>
              <w:spacing w:line="360" w:lineRule="auto"/>
              <w:ind w:left="-105" w:leftChars="-50" w:right="-105" w:rightChars="-50"/>
              <w:jc w:val="center"/>
              <w:rPr>
                <w:rFonts w:ascii="宋体" w:hAnsi="宋体" w:eastAsia="宋体" w:cs="仿宋"/>
                <w:kern w:val="0"/>
                <w:szCs w:val="21"/>
              </w:rPr>
            </w:pPr>
            <w:r>
              <w:rPr>
                <w:rFonts w:hint="eastAsia" w:ascii="宋体" w:hAnsi="宋体" w:eastAsia="宋体" w:cs="仿宋"/>
                <w:kern w:val="0"/>
                <w:szCs w:val="21"/>
              </w:rPr>
              <w:t>6</w:t>
            </w:r>
          </w:p>
        </w:tc>
        <w:tc>
          <w:tcPr>
            <w:tcW w:w="3377" w:type="pct"/>
            <w:tcMar>
              <w:top w:w="0" w:type="dxa"/>
              <w:left w:w="108" w:type="dxa"/>
              <w:bottom w:w="0" w:type="dxa"/>
              <w:right w:w="108" w:type="dxa"/>
            </w:tcMar>
            <w:vAlign w:val="center"/>
          </w:tcPr>
          <w:p w14:paraId="0630141A">
            <w:pPr>
              <w:spacing w:line="360" w:lineRule="auto"/>
              <w:rPr>
                <w:rFonts w:ascii="宋体" w:hAnsi="宋体" w:eastAsia="宋体" w:cs="仿宋"/>
                <w:kern w:val="0"/>
                <w:szCs w:val="21"/>
              </w:rPr>
            </w:pPr>
            <w:r>
              <w:rPr>
                <w:rFonts w:hint="eastAsia" w:ascii="宋体" w:hAnsi="宋体" w:eastAsia="宋体" w:cs="仿宋"/>
                <w:kern w:val="0"/>
                <w:szCs w:val="21"/>
              </w:rPr>
              <w:t>投入本项目的项目经理具备PMP证书或高级项目经理师资质的得2分；</w:t>
            </w:r>
          </w:p>
          <w:p w14:paraId="6D535698">
            <w:pPr>
              <w:spacing w:line="360" w:lineRule="auto"/>
              <w:rPr>
                <w:rFonts w:ascii="宋体" w:hAnsi="宋体" w:eastAsia="宋体" w:cs="仿宋"/>
                <w:kern w:val="0"/>
                <w:szCs w:val="21"/>
              </w:rPr>
            </w:pPr>
            <w:r>
              <w:rPr>
                <w:rFonts w:hint="eastAsia" w:ascii="宋体" w:hAnsi="宋体" w:eastAsia="宋体" w:cs="仿宋"/>
                <w:kern w:val="0"/>
                <w:szCs w:val="21"/>
              </w:rPr>
              <w:t>投入本项目的其他团队人员具备中级软件设计师或以上资格证书的，每提供一人得1分，最高得4分。</w:t>
            </w:r>
          </w:p>
          <w:p w14:paraId="3960B98A">
            <w:pPr>
              <w:spacing w:line="360" w:lineRule="auto"/>
              <w:rPr>
                <w:rFonts w:ascii="宋体" w:hAnsi="宋体" w:eastAsia="宋体" w:cs="仿宋"/>
                <w:kern w:val="0"/>
                <w:szCs w:val="21"/>
              </w:rPr>
            </w:pPr>
            <w:r>
              <w:rPr>
                <w:rFonts w:hint="eastAsia" w:ascii="宋体" w:hAnsi="宋体" w:eastAsia="宋体" w:cs="仿宋"/>
                <w:kern w:val="0"/>
                <w:szCs w:val="21"/>
              </w:rPr>
              <w:t>注：须提供人员资质证书清晰版扫描件、投标人或生产厂商为其缴纳的近本项目开标前六个月内任意1个月的社保证明材料，方可计分；项目团队中1人具有多个资格证书的只计算1次分值；证明材料不全或不符合要求的，不予计分。</w:t>
            </w:r>
          </w:p>
        </w:tc>
      </w:tr>
      <w:tr w14:paraId="31520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340" w:type="pct"/>
            <w:tcMar>
              <w:top w:w="0" w:type="dxa"/>
              <w:left w:w="108" w:type="dxa"/>
              <w:bottom w:w="0" w:type="dxa"/>
              <w:right w:w="108" w:type="dxa"/>
            </w:tcMar>
            <w:vAlign w:val="center"/>
          </w:tcPr>
          <w:p w14:paraId="765398F4">
            <w:pPr>
              <w:spacing w:line="360" w:lineRule="auto"/>
              <w:jc w:val="center"/>
              <w:rPr>
                <w:rFonts w:ascii="宋体" w:hAnsi="宋体" w:eastAsia="宋体" w:cs="仿宋"/>
                <w:kern w:val="0"/>
                <w:szCs w:val="21"/>
              </w:rPr>
            </w:pPr>
            <w:r>
              <w:rPr>
                <w:rFonts w:hint="eastAsia" w:ascii="宋体" w:hAnsi="宋体" w:eastAsia="宋体" w:cs="仿宋"/>
                <w:kern w:val="0"/>
                <w:szCs w:val="21"/>
              </w:rPr>
              <w:t>6</w:t>
            </w:r>
          </w:p>
        </w:tc>
        <w:tc>
          <w:tcPr>
            <w:tcW w:w="772" w:type="pct"/>
            <w:tcMar>
              <w:top w:w="0" w:type="dxa"/>
              <w:left w:w="108" w:type="dxa"/>
              <w:bottom w:w="0" w:type="dxa"/>
              <w:right w:w="108" w:type="dxa"/>
            </w:tcMar>
            <w:vAlign w:val="center"/>
          </w:tcPr>
          <w:p w14:paraId="71B5EC11">
            <w:pPr>
              <w:spacing w:line="360" w:lineRule="auto"/>
              <w:ind w:left="-105" w:leftChars="-50" w:right="-105" w:rightChars="-50"/>
              <w:jc w:val="center"/>
              <w:rPr>
                <w:rFonts w:ascii="宋体" w:hAnsi="宋体" w:eastAsia="宋体" w:cs="仿宋"/>
                <w:kern w:val="0"/>
                <w:szCs w:val="21"/>
              </w:rPr>
            </w:pPr>
            <w:r>
              <w:rPr>
                <w:rFonts w:hint="eastAsia" w:ascii="宋体" w:hAnsi="宋体" w:eastAsia="宋体" w:cs="仿宋"/>
                <w:kern w:val="0"/>
                <w:szCs w:val="21"/>
              </w:rPr>
              <w:t>信息安全</w:t>
            </w:r>
          </w:p>
        </w:tc>
        <w:tc>
          <w:tcPr>
            <w:tcW w:w="511" w:type="pct"/>
            <w:tcMar>
              <w:top w:w="0" w:type="dxa"/>
              <w:left w:w="108" w:type="dxa"/>
              <w:bottom w:w="0" w:type="dxa"/>
              <w:right w:w="108" w:type="dxa"/>
            </w:tcMar>
            <w:vAlign w:val="center"/>
          </w:tcPr>
          <w:p w14:paraId="78A49D9D">
            <w:pPr>
              <w:spacing w:line="360" w:lineRule="auto"/>
              <w:ind w:left="-105" w:leftChars="-50" w:right="-105" w:rightChars="-50"/>
              <w:jc w:val="center"/>
              <w:rPr>
                <w:rFonts w:ascii="宋体" w:hAnsi="宋体" w:eastAsia="宋体" w:cs="仿宋"/>
                <w:kern w:val="0"/>
                <w:szCs w:val="21"/>
              </w:rPr>
            </w:pPr>
            <w:r>
              <w:rPr>
                <w:rFonts w:hint="eastAsia" w:ascii="宋体" w:hAnsi="宋体" w:eastAsia="宋体" w:cs="仿宋"/>
                <w:kern w:val="0"/>
                <w:szCs w:val="21"/>
              </w:rPr>
              <w:t>4</w:t>
            </w:r>
          </w:p>
        </w:tc>
        <w:tc>
          <w:tcPr>
            <w:tcW w:w="3377" w:type="pct"/>
            <w:tcMar>
              <w:top w:w="0" w:type="dxa"/>
              <w:left w:w="108" w:type="dxa"/>
              <w:bottom w:w="0" w:type="dxa"/>
              <w:right w:w="108" w:type="dxa"/>
            </w:tcMar>
            <w:vAlign w:val="center"/>
          </w:tcPr>
          <w:p w14:paraId="5247681B">
            <w:pPr>
              <w:spacing w:line="360" w:lineRule="auto"/>
              <w:rPr>
                <w:rFonts w:ascii="宋体" w:hAnsi="宋体" w:eastAsia="宋体" w:cs="仿宋"/>
                <w:kern w:val="0"/>
                <w:szCs w:val="21"/>
              </w:rPr>
            </w:pPr>
            <w:r>
              <w:rPr>
                <w:rFonts w:hint="eastAsia" w:ascii="宋体" w:hAnsi="宋体" w:eastAsia="宋体" w:cs="仿宋"/>
                <w:kern w:val="0"/>
                <w:szCs w:val="21"/>
              </w:rPr>
              <w:t>为了保证信息数据安全需提供以下证书:</w:t>
            </w:r>
          </w:p>
          <w:p w14:paraId="5105A5D0">
            <w:pPr>
              <w:spacing w:line="360" w:lineRule="auto"/>
              <w:rPr>
                <w:rFonts w:ascii="宋体" w:hAnsi="宋体" w:eastAsia="宋体" w:cs="仿宋"/>
                <w:kern w:val="0"/>
                <w:szCs w:val="21"/>
              </w:rPr>
            </w:pPr>
            <w:r>
              <w:rPr>
                <w:rFonts w:hint="eastAsia" w:ascii="宋体" w:hAnsi="宋体" w:eastAsia="宋体" w:cs="仿宋"/>
                <w:kern w:val="0"/>
                <w:szCs w:val="21"/>
              </w:rPr>
              <w:t>1.提供综合业务管理信息系统相关的安全等级保护3级或以上证书得2分。</w:t>
            </w:r>
          </w:p>
          <w:p w14:paraId="6676E8D3">
            <w:pPr>
              <w:spacing w:line="360" w:lineRule="auto"/>
              <w:rPr>
                <w:rFonts w:ascii="宋体" w:hAnsi="宋体" w:eastAsia="宋体" w:cs="仿宋"/>
                <w:kern w:val="0"/>
                <w:szCs w:val="21"/>
              </w:rPr>
            </w:pPr>
            <w:r>
              <w:rPr>
                <w:rFonts w:hint="eastAsia" w:ascii="宋体" w:hAnsi="宋体" w:eastAsia="宋体" w:cs="仿宋"/>
                <w:kern w:val="0"/>
                <w:szCs w:val="21"/>
              </w:rPr>
              <w:t>2.提供数据综合索引信息系统相关的安全等级保护3级或以上证书得2分。</w:t>
            </w:r>
          </w:p>
        </w:tc>
      </w:tr>
      <w:tr w14:paraId="07E0B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340" w:type="pct"/>
            <w:tcMar>
              <w:top w:w="0" w:type="dxa"/>
              <w:left w:w="108" w:type="dxa"/>
              <w:bottom w:w="0" w:type="dxa"/>
              <w:right w:w="108" w:type="dxa"/>
            </w:tcMar>
            <w:vAlign w:val="center"/>
          </w:tcPr>
          <w:p w14:paraId="4CCF2A41">
            <w:pPr>
              <w:spacing w:line="360" w:lineRule="auto"/>
              <w:jc w:val="center"/>
              <w:rPr>
                <w:rFonts w:ascii="宋体" w:hAnsi="宋体" w:eastAsia="宋体" w:cs="仿宋"/>
                <w:kern w:val="0"/>
                <w:szCs w:val="21"/>
              </w:rPr>
            </w:pPr>
            <w:r>
              <w:rPr>
                <w:rFonts w:hint="eastAsia" w:ascii="宋体" w:hAnsi="宋体" w:eastAsia="宋体" w:cs="仿宋"/>
                <w:kern w:val="0"/>
                <w:szCs w:val="21"/>
              </w:rPr>
              <w:t>7</w:t>
            </w:r>
          </w:p>
        </w:tc>
        <w:tc>
          <w:tcPr>
            <w:tcW w:w="772" w:type="pct"/>
            <w:tcMar>
              <w:top w:w="0" w:type="dxa"/>
              <w:left w:w="108" w:type="dxa"/>
              <w:bottom w:w="0" w:type="dxa"/>
              <w:right w:w="108" w:type="dxa"/>
            </w:tcMar>
            <w:vAlign w:val="center"/>
          </w:tcPr>
          <w:p w14:paraId="39424964">
            <w:pPr>
              <w:spacing w:line="360" w:lineRule="auto"/>
              <w:ind w:left="-105" w:leftChars="-50" w:right="-105" w:rightChars="-50"/>
              <w:jc w:val="center"/>
              <w:rPr>
                <w:rFonts w:ascii="宋体" w:hAnsi="宋体" w:eastAsia="宋体" w:cs="仿宋"/>
                <w:kern w:val="0"/>
                <w:szCs w:val="21"/>
              </w:rPr>
            </w:pPr>
            <w:r>
              <w:rPr>
                <w:rFonts w:hint="eastAsia" w:ascii="宋体" w:hAnsi="宋体" w:eastAsia="宋体" w:cs="仿宋"/>
                <w:kern w:val="0"/>
                <w:szCs w:val="21"/>
              </w:rPr>
              <w:t>培训方案</w:t>
            </w:r>
          </w:p>
        </w:tc>
        <w:tc>
          <w:tcPr>
            <w:tcW w:w="511" w:type="pct"/>
            <w:tcMar>
              <w:top w:w="0" w:type="dxa"/>
              <w:left w:w="108" w:type="dxa"/>
              <w:bottom w:w="0" w:type="dxa"/>
              <w:right w:w="108" w:type="dxa"/>
            </w:tcMar>
            <w:vAlign w:val="center"/>
          </w:tcPr>
          <w:p w14:paraId="39E6482E">
            <w:pPr>
              <w:spacing w:line="360" w:lineRule="auto"/>
              <w:jc w:val="center"/>
              <w:rPr>
                <w:rFonts w:ascii="宋体" w:hAnsi="宋体" w:eastAsia="宋体" w:cs="仿宋"/>
                <w:kern w:val="0"/>
                <w:szCs w:val="21"/>
              </w:rPr>
            </w:pPr>
            <w:r>
              <w:rPr>
                <w:rFonts w:hint="eastAsia" w:ascii="宋体" w:hAnsi="宋体" w:eastAsia="宋体" w:cs="仿宋"/>
                <w:kern w:val="0"/>
                <w:szCs w:val="21"/>
              </w:rPr>
              <w:t>2</w:t>
            </w:r>
          </w:p>
        </w:tc>
        <w:tc>
          <w:tcPr>
            <w:tcW w:w="3377" w:type="pct"/>
            <w:tcMar>
              <w:top w:w="0" w:type="dxa"/>
              <w:left w:w="108" w:type="dxa"/>
              <w:bottom w:w="0" w:type="dxa"/>
              <w:right w:w="108" w:type="dxa"/>
            </w:tcMar>
            <w:vAlign w:val="center"/>
          </w:tcPr>
          <w:p w14:paraId="06B32FBC">
            <w:pPr>
              <w:spacing w:line="360" w:lineRule="auto"/>
              <w:rPr>
                <w:rFonts w:ascii="宋体" w:hAnsi="宋体" w:eastAsia="宋体" w:cs="仿宋"/>
                <w:kern w:val="0"/>
                <w:szCs w:val="21"/>
              </w:rPr>
            </w:pPr>
            <w:r>
              <w:rPr>
                <w:rFonts w:hint="eastAsia" w:ascii="宋体" w:hAnsi="宋体" w:eastAsia="宋体" w:cs="仿宋"/>
                <w:kern w:val="0"/>
                <w:szCs w:val="21"/>
              </w:rPr>
              <w:t>培训方案完善、有针对性且完全满足项目要求得2分，每有一处内容缺陷扣0.5分（扣完为止）。</w:t>
            </w:r>
          </w:p>
        </w:tc>
      </w:tr>
      <w:tr w14:paraId="1702F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340" w:type="pct"/>
            <w:tcMar>
              <w:top w:w="0" w:type="dxa"/>
              <w:left w:w="108" w:type="dxa"/>
              <w:bottom w:w="0" w:type="dxa"/>
              <w:right w:w="108" w:type="dxa"/>
            </w:tcMar>
            <w:vAlign w:val="center"/>
          </w:tcPr>
          <w:p w14:paraId="675743ED">
            <w:pPr>
              <w:spacing w:line="360" w:lineRule="auto"/>
              <w:jc w:val="center"/>
              <w:rPr>
                <w:rFonts w:ascii="宋体" w:hAnsi="宋体" w:eastAsia="宋体" w:cs="仿宋"/>
                <w:kern w:val="0"/>
                <w:szCs w:val="21"/>
              </w:rPr>
            </w:pPr>
            <w:r>
              <w:rPr>
                <w:rFonts w:hint="eastAsia" w:ascii="宋体" w:hAnsi="宋体" w:eastAsia="宋体" w:cs="仿宋"/>
                <w:kern w:val="0"/>
                <w:szCs w:val="21"/>
              </w:rPr>
              <w:t>8</w:t>
            </w:r>
          </w:p>
        </w:tc>
        <w:tc>
          <w:tcPr>
            <w:tcW w:w="772" w:type="pct"/>
            <w:tcMar>
              <w:top w:w="0" w:type="dxa"/>
              <w:left w:w="108" w:type="dxa"/>
              <w:bottom w:w="0" w:type="dxa"/>
              <w:right w:w="108" w:type="dxa"/>
            </w:tcMar>
            <w:vAlign w:val="center"/>
          </w:tcPr>
          <w:p w14:paraId="300D51C1">
            <w:pPr>
              <w:spacing w:line="360" w:lineRule="auto"/>
              <w:ind w:left="-105" w:leftChars="-50" w:right="-105" w:rightChars="-50"/>
              <w:jc w:val="center"/>
              <w:rPr>
                <w:rFonts w:ascii="宋体" w:hAnsi="宋体" w:eastAsia="宋体" w:cs="仿宋"/>
                <w:kern w:val="0"/>
                <w:szCs w:val="21"/>
              </w:rPr>
            </w:pPr>
            <w:r>
              <w:rPr>
                <w:rFonts w:hint="eastAsia" w:ascii="宋体" w:hAnsi="宋体" w:eastAsia="宋体" w:cs="仿宋"/>
                <w:kern w:val="0"/>
                <w:szCs w:val="21"/>
              </w:rPr>
              <w:t>售后服务方案</w:t>
            </w:r>
          </w:p>
        </w:tc>
        <w:tc>
          <w:tcPr>
            <w:tcW w:w="511" w:type="pct"/>
            <w:tcMar>
              <w:top w:w="0" w:type="dxa"/>
              <w:left w:w="108" w:type="dxa"/>
              <w:bottom w:w="0" w:type="dxa"/>
              <w:right w:w="108" w:type="dxa"/>
            </w:tcMar>
            <w:vAlign w:val="center"/>
          </w:tcPr>
          <w:p w14:paraId="32FF1798">
            <w:pPr>
              <w:spacing w:line="360" w:lineRule="auto"/>
              <w:jc w:val="center"/>
              <w:rPr>
                <w:rFonts w:ascii="宋体" w:hAnsi="宋体" w:eastAsia="宋体" w:cs="仿宋"/>
                <w:kern w:val="0"/>
                <w:szCs w:val="21"/>
              </w:rPr>
            </w:pPr>
            <w:r>
              <w:rPr>
                <w:rFonts w:hint="eastAsia" w:ascii="宋体" w:hAnsi="宋体" w:eastAsia="宋体" w:cs="仿宋"/>
                <w:kern w:val="0"/>
                <w:szCs w:val="21"/>
              </w:rPr>
              <w:t>9</w:t>
            </w:r>
          </w:p>
        </w:tc>
        <w:tc>
          <w:tcPr>
            <w:tcW w:w="3377" w:type="pct"/>
            <w:tcMar>
              <w:top w:w="0" w:type="dxa"/>
              <w:left w:w="108" w:type="dxa"/>
              <w:bottom w:w="0" w:type="dxa"/>
              <w:right w:w="108" w:type="dxa"/>
            </w:tcMar>
            <w:vAlign w:val="center"/>
          </w:tcPr>
          <w:p w14:paraId="5198D98B">
            <w:pPr>
              <w:spacing w:line="360" w:lineRule="auto"/>
              <w:rPr>
                <w:rFonts w:ascii="宋体" w:hAnsi="宋体" w:eastAsia="宋体" w:cs="仿宋"/>
                <w:kern w:val="0"/>
                <w:szCs w:val="21"/>
              </w:rPr>
            </w:pPr>
            <w:r>
              <w:rPr>
                <w:rFonts w:hint="eastAsia" w:ascii="宋体" w:hAnsi="宋体" w:eastAsia="宋体" w:cs="仿宋"/>
                <w:kern w:val="0"/>
                <w:szCs w:val="21"/>
              </w:rPr>
              <w:t>售后服务内容包括但不限于①故障应急响应速度②培训人员计划③售后服务承诺；3部分要素，所有要素齐全且完全满足项目要求得9分，每缺一个要素扣3分，每个要素里每有一处内容缺陷扣1分，扣完为止。</w:t>
            </w:r>
          </w:p>
        </w:tc>
      </w:tr>
      <w:tr w14:paraId="6D377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340" w:type="pct"/>
            <w:tcMar>
              <w:top w:w="0" w:type="dxa"/>
              <w:left w:w="108" w:type="dxa"/>
              <w:bottom w:w="0" w:type="dxa"/>
              <w:right w:w="108" w:type="dxa"/>
            </w:tcMar>
            <w:vAlign w:val="center"/>
          </w:tcPr>
          <w:p w14:paraId="493AB537">
            <w:pPr>
              <w:spacing w:line="360" w:lineRule="auto"/>
              <w:jc w:val="center"/>
              <w:rPr>
                <w:rFonts w:ascii="宋体" w:hAnsi="宋体" w:eastAsia="宋体" w:cs="仿宋"/>
                <w:kern w:val="0"/>
                <w:szCs w:val="21"/>
              </w:rPr>
            </w:pPr>
            <w:r>
              <w:rPr>
                <w:rFonts w:hint="eastAsia" w:ascii="宋体" w:hAnsi="宋体" w:eastAsia="宋体" w:cs="仿宋"/>
                <w:kern w:val="0"/>
                <w:szCs w:val="21"/>
              </w:rPr>
              <w:t>9</w:t>
            </w:r>
          </w:p>
        </w:tc>
        <w:tc>
          <w:tcPr>
            <w:tcW w:w="772" w:type="pct"/>
            <w:tcMar>
              <w:top w:w="0" w:type="dxa"/>
              <w:left w:w="108" w:type="dxa"/>
              <w:bottom w:w="0" w:type="dxa"/>
              <w:right w:w="108" w:type="dxa"/>
            </w:tcMar>
            <w:vAlign w:val="center"/>
          </w:tcPr>
          <w:p w14:paraId="3344092F">
            <w:pPr>
              <w:spacing w:line="360" w:lineRule="auto"/>
              <w:ind w:left="-105" w:leftChars="-50" w:right="-105" w:rightChars="-50"/>
              <w:jc w:val="center"/>
              <w:rPr>
                <w:rFonts w:ascii="宋体" w:hAnsi="宋体" w:eastAsia="宋体" w:cs="仿宋"/>
                <w:kern w:val="0"/>
                <w:szCs w:val="21"/>
              </w:rPr>
            </w:pPr>
            <w:r>
              <w:rPr>
                <w:rFonts w:ascii="宋体" w:hAnsi="宋体" w:eastAsia="宋体" w:cs="仿宋"/>
                <w:kern w:val="0"/>
                <w:szCs w:val="21"/>
              </w:rPr>
              <w:t>质保期</w:t>
            </w:r>
          </w:p>
        </w:tc>
        <w:tc>
          <w:tcPr>
            <w:tcW w:w="511" w:type="pct"/>
            <w:tcMar>
              <w:top w:w="0" w:type="dxa"/>
              <w:left w:w="108" w:type="dxa"/>
              <w:bottom w:w="0" w:type="dxa"/>
              <w:right w:w="108" w:type="dxa"/>
            </w:tcMar>
            <w:vAlign w:val="center"/>
          </w:tcPr>
          <w:p w14:paraId="02E9BB4A">
            <w:pPr>
              <w:spacing w:line="360" w:lineRule="auto"/>
              <w:jc w:val="center"/>
              <w:rPr>
                <w:rFonts w:ascii="宋体" w:hAnsi="宋体" w:eastAsia="宋体" w:cs="仿宋"/>
                <w:kern w:val="0"/>
                <w:szCs w:val="21"/>
              </w:rPr>
            </w:pPr>
            <w:r>
              <w:rPr>
                <w:rFonts w:hint="eastAsia" w:ascii="宋体" w:hAnsi="宋体" w:eastAsia="宋体" w:cs="仿宋"/>
                <w:kern w:val="0"/>
                <w:szCs w:val="21"/>
              </w:rPr>
              <w:t>1</w:t>
            </w:r>
          </w:p>
        </w:tc>
        <w:tc>
          <w:tcPr>
            <w:tcW w:w="3377" w:type="pct"/>
            <w:tcMar>
              <w:top w:w="0" w:type="dxa"/>
              <w:left w:w="108" w:type="dxa"/>
              <w:bottom w:w="0" w:type="dxa"/>
              <w:right w:w="108" w:type="dxa"/>
            </w:tcMar>
            <w:vAlign w:val="center"/>
          </w:tcPr>
          <w:p w14:paraId="0684C812">
            <w:pPr>
              <w:spacing w:line="360" w:lineRule="auto"/>
              <w:rPr>
                <w:rFonts w:ascii="宋体" w:hAnsi="宋体" w:eastAsia="宋体" w:cs="仿宋"/>
                <w:kern w:val="0"/>
                <w:szCs w:val="21"/>
              </w:rPr>
            </w:pPr>
            <w:r>
              <w:rPr>
                <w:rFonts w:hint="eastAsia" w:ascii="宋体" w:hAnsi="宋体" w:eastAsia="宋体" w:cs="仿宋"/>
                <w:kern w:val="0"/>
                <w:szCs w:val="21"/>
              </w:rPr>
              <w:t>质保期最低为三年，在此基础上每增加一年得0.5分，最多得1分。</w:t>
            </w:r>
          </w:p>
        </w:tc>
      </w:tr>
      <w:tr w14:paraId="4771C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340" w:type="pct"/>
            <w:tcMar>
              <w:top w:w="0" w:type="dxa"/>
              <w:left w:w="108" w:type="dxa"/>
              <w:bottom w:w="0" w:type="dxa"/>
              <w:right w:w="108" w:type="dxa"/>
            </w:tcMar>
            <w:vAlign w:val="center"/>
          </w:tcPr>
          <w:p w14:paraId="303CFCD3">
            <w:pPr>
              <w:spacing w:line="360" w:lineRule="auto"/>
              <w:jc w:val="center"/>
              <w:rPr>
                <w:rFonts w:ascii="宋体" w:hAnsi="宋体" w:eastAsia="宋体" w:cs="仿宋"/>
                <w:kern w:val="0"/>
                <w:szCs w:val="21"/>
              </w:rPr>
            </w:pPr>
            <w:r>
              <w:rPr>
                <w:rFonts w:hint="eastAsia" w:ascii="宋体" w:hAnsi="宋体" w:eastAsia="宋体" w:cs="仿宋"/>
                <w:kern w:val="0"/>
                <w:szCs w:val="21"/>
              </w:rPr>
              <w:t>10</w:t>
            </w:r>
          </w:p>
        </w:tc>
        <w:tc>
          <w:tcPr>
            <w:tcW w:w="772" w:type="pct"/>
            <w:tcMar>
              <w:top w:w="0" w:type="dxa"/>
              <w:left w:w="108" w:type="dxa"/>
              <w:bottom w:w="0" w:type="dxa"/>
              <w:right w:w="108" w:type="dxa"/>
            </w:tcMar>
            <w:vAlign w:val="center"/>
          </w:tcPr>
          <w:p w14:paraId="7AE0B791">
            <w:pPr>
              <w:spacing w:line="360" w:lineRule="auto"/>
              <w:ind w:left="-105" w:leftChars="-50" w:right="-105" w:rightChars="-50"/>
              <w:jc w:val="center"/>
              <w:rPr>
                <w:rFonts w:ascii="宋体" w:hAnsi="宋体" w:eastAsia="宋体" w:cs="仿宋"/>
                <w:kern w:val="0"/>
                <w:szCs w:val="21"/>
              </w:rPr>
            </w:pPr>
            <w:r>
              <w:rPr>
                <w:rFonts w:ascii="宋体" w:hAnsi="宋体" w:eastAsia="宋体" w:cs="仿宋"/>
                <w:kern w:val="0"/>
                <w:szCs w:val="21"/>
              </w:rPr>
              <w:t>增值服务方案</w:t>
            </w:r>
          </w:p>
        </w:tc>
        <w:tc>
          <w:tcPr>
            <w:tcW w:w="511" w:type="pct"/>
            <w:tcMar>
              <w:top w:w="0" w:type="dxa"/>
              <w:left w:w="108" w:type="dxa"/>
              <w:bottom w:w="0" w:type="dxa"/>
              <w:right w:w="108" w:type="dxa"/>
            </w:tcMar>
            <w:vAlign w:val="center"/>
          </w:tcPr>
          <w:p w14:paraId="78140072">
            <w:pPr>
              <w:spacing w:line="360" w:lineRule="auto"/>
              <w:jc w:val="center"/>
              <w:rPr>
                <w:rFonts w:ascii="宋体" w:hAnsi="宋体" w:eastAsia="宋体" w:cs="仿宋"/>
                <w:kern w:val="0"/>
                <w:szCs w:val="21"/>
              </w:rPr>
            </w:pPr>
            <w:r>
              <w:rPr>
                <w:rFonts w:hint="eastAsia" w:ascii="宋体" w:hAnsi="宋体" w:eastAsia="宋体" w:cs="仿宋"/>
                <w:kern w:val="0"/>
                <w:szCs w:val="21"/>
              </w:rPr>
              <w:t>1</w:t>
            </w:r>
          </w:p>
        </w:tc>
        <w:tc>
          <w:tcPr>
            <w:tcW w:w="3377" w:type="pct"/>
            <w:tcMar>
              <w:top w:w="0" w:type="dxa"/>
              <w:left w:w="108" w:type="dxa"/>
              <w:bottom w:w="0" w:type="dxa"/>
              <w:right w:w="108" w:type="dxa"/>
            </w:tcMar>
            <w:vAlign w:val="center"/>
          </w:tcPr>
          <w:p w14:paraId="010B703F">
            <w:pPr>
              <w:spacing w:line="360" w:lineRule="auto"/>
              <w:rPr>
                <w:rFonts w:ascii="宋体" w:hAnsi="宋体" w:eastAsia="宋体" w:cs="仿宋"/>
                <w:kern w:val="0"/>
                <w:szCs w:val="21"/>
              </w:rPr>
            </w:pPr>
            <w:r>
              <w:rPr>
                <w:rFonts w:hint="eastAsia" w:ascii="宋体" w:hAnsi="宋体" w:eastAsia="宋体" w:cs="仿宋"/>
                <w:kern w:val="0"/>
                <w:szCs w:val="21"/>
              </w:rPr>
              <w:t>提供相应的承诺函，在满足招标文件要求的前提下，为采购人额外提供的服务，方案需要有针对性、可行性强，最高得1分，每有一处内容缺陷扣0.5分（扣完为止）。</w:t>
            </w:r>
          </w:p>
        </w:tc>
      </w:tr>
      <w:tr w14:paraId="110E9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1112" w:type="pct"/>
            <w:gridSpan w:val="2"/>
            <w:tcMar>
              <w:top w:w="0" w:type="dxa"/>
              <w:left w:w="108" w:type="dxa"/>
              <w:bottom w:w="0" w:type="dxa"/>
              <w:right w:w="108" w:type="dxa"/>
            </w:tcMar>
            <w:vAlign w:val="center"/>
          </w:tcPr>
          <w:p w14:paraId="1CCD282B">
            <w:pPr>
              <w:spacing w:line="360" w:lineRule="auto"/>
              <w:jc w:val="center"/>
              <w:rPr>
                <w:rFonts w:ascii="宋体" w:hAnsi="宋体" w:eastAsia="宋体" w:cs="仿宋"/>
                <w:kern w:val="0"/>
                <w:szCs w:val="21"/>
              </w:rPr>
            </w:pPr>
            <w:r>
              <w:rPr>
                <w:rFonts w:hint="eastAsia" w:ascii="宋体" w:hAnsi="宋体" w:eastAsia="宋体" w:cs="仿宋"/>
                <w:kern w:val="0"/>
                <w:szCs w:val="21"/>
              </w:rPr>
              <w:t>合计</w:t>
            </w:r>
          </w:p>
        </w:tc>
        <w:tc>
          <w:tcPr>
            <w:tcW w:w="511" w:type="pct"/>
            <w:tcMar>
              <w:top w:w="0" w:type="dxa"/>
              <w:left w:w="108" w:type="dxa"/>
              <w:bottom w:w="0" w:type="dxa"/>
              <w:right w:w="108" w:type="dxa"/>
            </w:tcMar>
            <w:vAlign w:val="center"/>
          </w:tcPr>
          <w:p w14:paraId="5AECDAFE">
            <w:pPr>
              <w:spacing w:line="360" w:lineRule="auto"/>
              <w:jc w:val="center"/>
              <w:rPr>
                <w:rFonts w:ascii="宋体" w:hAnsi="宋体" w:eastAsia="宋体" w:cs="仿宋"/>
                <w:kern w:val="0"/>
                <w:szCs w:val="21"/>
              </w:rPr>
            </w:pPr>
            <w:r>
              <w:rPr>
                <w:rFonts w:hint="eastAsia" w:ascii="宋体" w:hAnsi="宋体" w:eastAsia="宋体" w:cs="仿宋"/>
                <w:kern w:val="0"/>
                <w:szCs w:val="21"/>
              </w:rPr>
              <w:t>60</w:t>
            </w:r>
          </w:p>
        </w:tc>
        <w:tc>
          <w:tcPr>
            <w:tcW w:w="3377" w:type="pct"/>
            <w:tcMar>
              <w:top w:w="0" w:type="dxa"/>
              <w:left w:w="108" w:type="dxa"/>
              <w:bottom w:w="0" w:type="dxa"/>
              <w:right w:w="108" w:type="dxa"/>
            </w:tcMar>
            <w:vAlign w:val="center"/>
          </w:tcPr>
          <w:p w14:paraId="397BAC5D">
            <w:pPr>
              <w:spacing w:line="360" w:lineRule="auto"/>
              <w:rPr>
                <w:rFonts w:ascii="宋体" w:hAnsi="宋体" w:eastAsia="宋体" w:cs="仿宋"/>
                <w:kern w:val="0"/>
                <w:szCs w:val="21"/>
              </w:rPr>
            </w:pPr>
          </w:p>
        </w:tc>
      </w:tr>
      <w:tr w14:paraId="41287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3" w:hRule="atLeast"/>
          <w:jc w:val="center"/>
        </w:trPr>
        <w:tc>
          <w:tcPr>
            <w:tcW w:w="5000" w:type="pct"/>
            <w:gridSpan w:val="4"/>
            <w:tcMar>
              <w:top w:w="0" w:type="dxa"/>
              <w:left w:w="108" w:type="dxa"/>
              <w:bottom w:w="0" w:type="dxa"/>
              <w:right w:w="108" w:type="dxa"/>
            </w:tcMar>
            <w:vAlign w:val="center"/>
          </w:tcPr>
          <w:p w14:paraId="2D6A085A">
            <w:pPr>
              <w:spacing w:line="360" w:lineRule="auto"/>
              <w:rPr>
                <w:rFonts w:ascii="宋体" w:hAnsi="宋体" w:eastAsia="宋体" w:cs="仿宋"/>
                <w:kern w:val="0"/>
                <w:szCs w:val="21"/>
              </w:rPr>
            </w:pPr>
            <w:r>
              <w:rPr>
                <w:rFonts w:hint="eastAsia" w:ascii="宋体" w:hAnsi="宋体" w:eastAsia="宋体" w:cs="仿宋"/>
                <w:kern w:val="0"/>
                <w:szCs w:val="21"/>
              </w:rPr>
              <w:t>说明：本评审内容中“内容缺陷”是指：①内容与实际情况不匹配、②不符合项目特点、③内容不完整或缺少关键节点、④未按采购需求针对描述、⑤存在描述内容过于简略、⑥缺失不全、⑦前后矛盾、⑧表述不清晰、⑨凭空编造、⑩逻辑混淆错误、</w:t>
            </w:r>
            <w:r>
              <w:rPr>
                <w:rFonts w:ascii="Cambria Math" w:hAnsi="Cambria Math" w:eastAsia="宋体" w:cs="Cambria Math"/>
                <w:kern w:val="0"/>
                <w:szCs w:val="21"/>
              </w:rPr>
              <w:t>⑪</w:t>
            </w:r>
            <w:r>
              <w:rPr>
                <w:rFonts w:hint="eastAsia" w:ascii="宋体" w:hAnsi="宋体" w:eastAsia="宋体" w:cs="宋体"/>
                <w:kern w:val="0"/>
                <w:szCs w:val="21"/>
              </w:rPr>
              <w:t>涉及的规范及标准错误不可能实现的情形等任意一种情形。</w:t>
            </w:r>
          </w:p>
        </w:tc>
      </w:tr>
    </w:tbl>
    <w:p w14:paraId="04B87A33">
      <w:pPr>
        <w:widowControl/>
        <w:jc w:val="left"/>
        <w:rPr>
          <w:rFonts w:ascii="宋体" w:hAnsi="宋体" w:eastAsia="宋体" w:cs="仿宋"/>
        </w:rPr>
      </w:pPr>
    </w:p>
    <w:p w14:paraId="415739B7">
      <w:pPr>
        <w:tabs>
          <w:tab w:val="center" w:pos="4832"/>
          <w:tab w:val="left" w:pos="7140"/>
        </w:tabs>
        <w:spacing w:line="360" w:lineRule="auto"/>
        <w:ind w:firstLine="472" w:firstLineChars="196"/>
        <w:jc w:val="left"/>
        <w:outlineLvl w:val="1"/>
        <w:rPr>
          <w:rFonts w:ascii="宋体" w:hAnsi="宋体" w:eastAsia="宋体" w:cs="仿宋"/>
          <w:b/>
          <w:sz w:val="24"/>
          <w:szCs w:val="24"/>
        </w:rPr>
      </w:pPr>
      <w:bookmarkStart w:id="42" w:name="_Toc200016459"/>
      <w:bookmarkStart w:id="43" w:name="_Toc115977387"/>
      <w:r>
        <w:rPr>
          <w:rFonts w:hint="eastAsia" w:ascii="宋体" w:hAnsi="宋体" w:eastAsia="宋体" w:cs="仿宋"/>
          <w:b/>
          <w:sz w:val="24"/>
          <w:szCs w:val="24"/>
        </w:rPr>
        <w:t>1. 评标方法</w:t>
      </w:r>
      <w:bookmarkEnd w:id="42"/>
      <w:bookmarkEnd w:id="43"/>
    </w:p>
    <w:p w14:paraId="1EB0E344">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本次评标采用综合评分法。评标委员会对满足招标文件实质性要求的投标文件，按照本节规定的评审标准进行评审。评标中各评委若发生意见分歧，以少数服从多数原则确定。</w:t>
      </w:r>
    </w:p>
    <w:p w14:paraId="56A21764">
      <w:pPr>
        <w:tabs>
          <w:tab w:val="center" w:pos="4832"/>
          <w:tab w:val="left" w:pos="7140"/>
        </w:tabs>
        <w:spacing w:line="360" w:lineRule="auto"/>
        <w:ind w:firstLine="472" w:firstLineChars="196"/>
        <w:jc w:val="left"/>
        <w:outlineLvl w:val="1"/>
        <w:rPr>
          <w:rFonts w:ascii="宋体" w:hAnsi="宋体" w:eastAsia="宋体" w:cs="仿宋"/>
          <w:b/>
          <w:sz w:val="24"/>
          <w:szCs w:val="24"/>
        </w:rPr>
      </w:pPr>
      <w:bookmarkStart w:id="44" w:name="_Toc115977388"/>
      <w:bookmarkStart w:id="45" w:name="_Toc200016460"/>
      <w:r>
        <w:rPr>
          <w:rFonts w:hint="eastAsia" w:ascii="宋体" w:hAnsi="宋体" w:eastAsia="宋体" w:cs="仿宋"/>
          <w:b/>
          <w:sz w:val="24"/>
          <w:szCs w:val="24"/>
        </w:rPr>
        <w:t>2. 评审标准</w:t>
      </w:r>
      <w:bookmarkEnd w:id="44"/>
      <w:bookmarkEnd w:id="45"/>
    </w:p>
    <w:p w14:paraId="7F57DFC9">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2.1资格审查：评审因素和评审标准见《资格审查标准》。</w:t>
      </w:r>
    </w:p>
    <w:p w14:paraId="1E143192">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2.2完备性及符合性审查：评审因素和评审标准见《完备性及符合性审查标准》。</w:t>
      </w:r>
    </w:p>
    <w:p w14:paraId="0142D188">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2.3 投标品牌：评审因素和评审标准见《投标品牌统计》。</w:t>
      </w:r>
    </w:p>
    <w:p w14:paraId="32C37A60">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2.4详细评审：</w:t>
      </w:r>
    </w:p>
    <w:p w14:paraId="3E51EA33">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2.4.1详细评审：评审因素和评审标准见《详细评审标准》及本节第3.6款。</w:t>
      </w:r>
    </w:p>
    <w:p w14:paraId="5FDF4F36">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2.4.2 投标报价评分标准：</w:t>
      </w:r>
    </w:p>
    <w:p w14:paraId="0247681F">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（1）分值构成及权重：见评标办法前附表。</w:t>
      </w:r>
    </w:p>
    <w:p w14:paraId="121C8041">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（2）评标基准价计算：见评标办法前附表。</w:t>
      </w:r>
    </w:p>
    <w:p w14:paraId="4BC547F0">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（3）投标报价得分的计算：见评标办法前附表。</w:t>
      </w:r>
    </w:p>
    <w:p w14:paraId="45352CF0">
      <w:pPr>
        <w:tabs>
          <w:tab w:val="center" w:pos="4832"/>
          <w:tab w:val="left" w:pos="7140"/>
        </w:tabs>
        <w:spacing w:line="360" w:lineRule="auto"/>
        <w:ind w:firstLine="472" w:firstLineChars="196"/>
        <w:jc w:val="left"/>
        <w:outlineLvl w:val="1"/>
        <w:rPr>
          <w:rFonts w:ascii="宋体" w:hAnsi="宋体" w:eastAsia="宋体" w:cs="仿宋"/>
          <w:b/>
          <w:sz w:val="24"/>
          <w:szCs w:val="24"/>
        </w:rPr>
      </w:pPr>
      <w:bookmarkStart w:id="46" w:name="_Toc115977389"/>
      <w:bookmarkStart w:id="47" w:name="_Toc200016461"/>
      <w:r>
        <w:rPr>
          <w:rFonts w:hint="eastAsia" w:ascii="宋体" w:hAnsi="宋体" w:eastAsia="宋体" w:cs="仿宋"/>
          <w:b/>
          <w:sz w:val="24"/>
          <w:szCs w:val="24"/>
        </w:rPr>
        <w:t>3. 评标程序</w:t>
      </w:r>
      <w:bookmarkEnd w:id="46"/>
      <w:bookmarkEnd w:id="47"/>
    </w:p>
    <w:p w14:paraId="7BE0B6D6">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3.1 基本程序</w:t>
      </w:r>
    </w:p>
    <w:p w14:paraId="7941B714">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评标活动将按以下步骤进行：</w:t>
      </w:r>
    </w:p>
    <w:p w14:paraId="29275A5C">
      <w:pPr>
        <w:pStyle w:val="199"/>
        <w:widowControl/>
        <w:numPr>
          <w:ilvl w:val="0"/>
          <w:numId w:val="1"/>
        </w:numPr>
        <w:shd w:val="clear" w:color="auto" w:fill="FFFFFF"/>
        <w:snapToGrid w:val="0"/>
        <w:spacing w:line="360" w:lineRule="auto"/>
        <w:ind w:firstLineChars="0"/>
        <w:rPr>
          <w:rFonts w:ascii="宋体" w:hAnsi="宋体" w:eastAsia="宋体" w:cs="仿宋"/>
          <w:kern w:val="0"/>
          <w:sz w:val="24"/>
          <w:szCs w:val="24"/>
        </w:rPr>
      </w:pPr>
      <w:r>
        <w:rPr>
          <w:rFonts w:hint="eastAsia" w:ascii="宋体" w:hAnsi="宋体" w:eastAsia="宋体" w:cs="仿宋"/>
          <w:kern w:val="0"/>
          <w:sz w:val="24"/>
          <w:szCs w:val="24"/>
        </w:rPr>
        <w:t>评标准备</w:t>
      </w:r>
    </w:p>
    <w:p w14:paraId="6663E2D7">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（2） 资格审查</w:t>
      </w:r>
    </w:p>
    <w:p w14:paraId="66955A43">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（3） 完备性及符合性审查</w:t>
      </w:r>
    </w:p>
    <w:p w14:paraId="5A6CBF1B">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（4） 投标品牌统计</w:t>
      </w:r>
    </w:p>
    <w:p w14:paraId="2671AFB7">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（5） 详细评审</w:t>
      </w:r>
    </w:p>
    <w:p w14:paraId="2E7A5C61">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（6） 澄清、说明或补正</w:t>
      </w:r>
    </w:p>
    <w:p w14:paraId="1D638425">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（7） 推荐中标候选人及提交评标报告</w:t>
      </w:r>
    </w:p>
    <w:p w14:paraId="30030D09">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3.2 评标准备</w:t>
      </w:r>
    </w:p>
    <w:p w14:paraId="67DCE91E">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3.2.1评标委员会成员签到</w:t>
      </w:r>
    </w:p>
    <w:p w14:paraId="26B7B8D0">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评标委员会成员到达评标现场时应当在签到表上签到以证明其出席。</w:t>
      </w:r>
    </w:p>
    <w:p w14:paraId="0CD537FE">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3.2.2 评标委员会的分工</w:t>
      </w:r>
    </w:p>
    <w:p w14:paraId="31D822B9">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3.2.2.1评标委员会首先推选一名评标委员会主任。评标委员会主任负责评标活动的组织领导工作。评标委员会主任与评标委员会其它成员具有同等的评标权力。</w:t>
      </w:r>
    </w:p>
    <w:p w14:paraId="5E628FD8">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3.2.2.2 评标委员会主任除履行自己作为评标委员会成员独立评标的职责外，主要负责以下工作：</w:t>
      </w:r>
    </w:p>
    <w:p w14:paraId="1D8E70E9">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（1）组织评标委员会成员学习招标文件；</w:t>
      </w:r>
    </w:p>
    <w:p w14:paraId="68873BD6">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（2）汇总各评标委员会成员认为需要投标人澄清、说明或者补正的问题；</w:t>
      </w:r>
    </w:p>
    <w:p w14:paraId="390151C0">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（3）组织评标委员会对投标人质询并对投标人的答复进行评审；</w:t>
      </w:r>
    </w:p>
    <w:p w14:paraId="15AB92A8">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（4）对出现较大争议的事项进行书面记录；</w:t>
      </w:r>
    </w:p>
    <w:p w14:paraId="28724532">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（5）组织收回评标过程中使用的文件、表格和评标记录以及其它资料，并查验评标记录的完整性及有效性；</w:t>
      </w:r>
    </w:p>
    <w:p w14:paraId="56544139">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（6）组织对评标结论进行复核确认；</w:t>
      </w:r>
    </w:p>
    <w:p w14:paraId="05BC3474">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（7）组织编写评标报告。</w:t>
      </w:r>
    </w:p>
    <w:p w14:paraId="35BA3D6F">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3.2.3 熟悉文件资料</w:t>
      </w:r>
    </w:p>
    <w:p w14:paraId="40C675AD">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3.2.3.1 评标委员会主任应当组织评标委员会成员认真研究招标文件，了解和熟悉招标目的、招标范围、主要合同条件、技术标准、质量标准和要求，掌握评标标准和方法，熟悉本章及附件中包括的评标表格的使用，如果本章及附件所附的表格不能满足评标所需时，评标委员会应当补充编制评标所需的表格。</w:t>
      </w:r>
    </w:p>
    <w:p w14:paraId="4D3297E8">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3.2.3.2 采购人或采购代理机构应当向评标委员会提供评标所需的信息和数据，包括：</w:t>
      </w:r>
    </w:p>
    <w:p w14:paraId="68B714AF">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（1）招标文件及其澄清修改等招标文件补充；</w:t>
      </w:r>
    </w:p>
    <w:p w14:paraId="738FD405">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（2）未在开标会上当场拒绝的各投标文件；</w:t>
      </w:r>
    </w:p>
    <w:p w14:paraId="6547511A">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（3）开标会记录；</w:t>
      </w:r>
    </w:p>
    <w:p w14:paraId="6AD87000">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（4）评标表格；</w:t>
      </w:r>
    </w:p>
    <w:p w14:paraId="07E02891">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（5）其它信息和数据。</w:t>
      </w:r>
    </w:p>
    <w:p w14:paraId="659A5DEF">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3.3资格审查（适用于资格后审）</w:t>
      </w:r>
    </w:p>
    <w:p w14:paraId="6693E26D">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采购人会依据本章规定的评审因素和审查标准，对投标人的资格审查资料进行资格审查。资格审查有一项未通过审查标准，采购人将认定整个投标文件不响应招标文件而否决其投标，并且不允许投标人通过修改或撤销其不符合要求的差异或保留，使之成为具有响应性的投标。</w:t>
      </w:r>
    </w:p>
    <w:p w14:paraId="646A2BCC">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3.4完备性及符合性审查</w:t>
      </w:r>
    </w:p>
    <w:p w14:paraId="312558AD">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3.4.1 评标委员会依据本章规定的评审因素和评审标准，对投标人的投标文件进行完备性及符合性审查。完备性及符合性审查有一项未通过评审标准，评标委员会将认定整个投标文件不响应招标文件而否决其投标，并且不允许投标人通过修改或撤销其不符合要求的差异或保留，使之成为具有响应性的投标。</w:t>
      </w:r>
    </w:p>
    <w:p w14:paraId="20FB5904">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3.4.2 完备性及符合性审查条款是指对本招标项目产生了重大影响的重大偏差，而且纠正此类偏差将会对响应本次招标的其它投标人的竞争地位产生不公正的影响。</w:t>
      </w:r>
    </w:p>
    <w:p w14:paraId="75AC9893">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3.4.3细微偏差是指投标文件在实质上响应招标文件要求，但在个别地方存在疏漏或者提供了不完整的技术信息和数据等情况，并且补正这些遗漏和不完整不会对其它投标人造成不公平的结果。细微偏差不影响投标文件的有效性，评标委员会可要求存在细微偏差的投标人予以补正。</w:t>
      </w:r>
    </w:p>
    <w:p w14:paraId="4BBD542E">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3.5 投标品牌统计</w:t>
      </w:r>
    </w:p>
    <w:p w14:paraId="60C5990B">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3.5.1.由评标委员会根据投标人所报核心产品品牌统计计算投标人家数。</w:t>
      </w:r>
    </w:p>
    <w:p w14:paraId="77A0B5D5">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3.6详细评审</w:t>
      </w:r>
    </w:p>
    <w:p w14:paraId="36ADB7AA">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3.6.1.只有通过了资格审查、完备性及符合性审查且投标品牌不少于3个方可进入详细评审。</w:t>
      </w:r>
    </w:p>
    <w:p w14:paraId="03BA23CD">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3.6.2 澄清、说明和补正</w:t>
      </w:r>
    </w:p>
    <w:p w14:paraId="0CBF63B8">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3.6.2.1在不改变投标人投标文件实质性内容的前提下，评标委员会应当对投标文件进行基础性数据分析和整理，从而发现并提取其中可能存在的对招标范围理解的偏差、技术响应偏离、投标价格的算术性错误、错漏项、投标价格构成不合理、不平衡报价等存在明显异常的问题。</w:t>
      </w:r>
    </w:p>
    <w:p w14:paraId="50B5F13E">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3.6.2.2评标委员会认为投标人的报价明显低于其它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F1D34D8">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3.6.2.3澄清、说明和补正内容不得改变投标文件的实质性内容（算术性错误修正的除外）。投标人的书面澄清、说明和补正属于投标文件的组成部分。</w:t>
      </w:r>
    </w:p>
    <w:p w14:paraId="4395F7B6">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3.6.2.4评标委员会针对需要投标人对所提交投标文件中不明确的内容进行书面澄清、说明或补正。澄清通知不得向投标人提出带有暗示性或诱导性问题，或向其明确投标文件中的遗漏和错误。投标人接到评标委员会发出的书面澄清通知后，应按评标委员会的要求提供书面澄清资料，并在规定的时间递交到指定地点。评标委员会不接受投标人主动提出的澄清、说明或补正。</w:t>
      </w:r>
    </w:p>
    <w:p w14:paraId="19070DBE">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3.6.2.5评标委员会对投标人提交的澄清、说明或补正有疑问的，可以要求投标人进一步澄清、说明或补正，直至满足评标委员会的要求。</w:t>
      </w:r>
    </w:p>
    <w:p w14:paraId="1223BE5F">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3.6.3评委评分：评委按照《详细评审标准》评分，投标人详细评审得分等于全部评委评分的算术平均值。</w:t>
      </w:r>
    </w:p>
    <w:p w14:paraId="35D50B05">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3.6.4 算术错误修正：投标价格有算术错误的，评标委员会按以下原则对投标价格进行修正，修正的价格经投标人书面确认后具有约束力。投标人不接受修正价格的，其投标将被否决。</w:t>
      </w:r>
    </w:p>
    <w:p w14:paraId="5A99D025">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（1）投标文件中的大写金额与小写金额不一致的，以大写金额为准；</w:t>
      </w:r>
    </w:p>
    <w:p w14:paraId="677BC2A5">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（2）总价金额与依据单价计算出的结果不一致的，以单价金额为准修正总价，但单价金额小数点有明显错误的除外。</w:t>
      </w:r>
    </w:p>
    <w:p w14:paraId="4BD0FE75">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3.6.5投标报价评分：对投标报价进行投标报价得分计算，计算方法详见评标办法前附表。</w:t>
      </w:r>
    </w:p>
    <w:p w14:paraId="261E9730">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3.6.6汇总评分结果，评分分值计算保留小数点后两位，小数点后第三位“四舍五入”。</w:t>
      </w:r>
    </w:p>
    <w:p w14:paraId="61BBAA98">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3.6.7详细评审工作全部结束后，投标人总得分排序按照以下原则进行。</w:t>
      </w:r>
    </w:p>
    <w:p w14:paraId="568B42A0">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3.6.7.1按照总得分由高到低顺序对投标人进行排序；</w:t>
      </w:r>
    </w:p>
    <w:p w14:paraId="3A220CA6">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3.6.7.2总得分相同时报价低的投标人排序靠前；</w:t>
      </w:r>
    </w:p>
    <w:p w14:paraId="7B41D9AC">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3.6.7.3总得分相同且报价相同的同品牌投标人，由采购人确定排序顺序；</w:t>
      </w:r>
    </w:p>
    <w:p w14:paraId="17CE3847">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3.6.7.4总得分相同且报价相同的不同品牌投标人，采取随机抽取方式确定排序顺序。</w:t>
      </w:r>
    </w:p>
    <w:p w14:paraId="7B35B229">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3.7推荐中标候选人及提交评标报告</w:t>
      </w:r>
    </w:p>
    <w:p w14:paraId="0BE953C8">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3.7.1评标委员会推荐中标候选人，总得分排序第一的投标人将被确定为第一中标候选人（总得分排序最高的同品牌投标人获得中标候选人推荐资格，其它同品牌投标人不作为中标候选人），以此类推确定出规定数量的的中标候选人。</w:t>
      </w:r>
    </w:p>
    <w:p w14:paraId="63BD5896">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3.7.2当通过了资格审查、完备性及符合性审查后，投标品牌少于3个时，采购人应当依法重新招标。</w:t>
      </w:r>
    </w:p>
    <w:p w14:paraId="6F4FF05D">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3.7.3 评标委员会完成评标后，应当向采购人提交书面评标报告。</w:t>
      </w:r>
    </w:p>
    <w:p w14:paraId="26E87C84">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3.8特殊情况的处置程序</w:t>
      </w:r>
    </w:p>
    <w:p w14:paraId="733943DF">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3.8.1 关于评标活动暂停</w:t>
      </w:r>
    </w:p>
    <w:p w14:paraId="53A58346">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评标委员会应当执行连续评标的原则，按评标办法中规定的程序、内容、方法、标准完成全部评标工作。只有发生不可抗力导致评标工作无法继续时，评标活动方可暂停。发生评标暂停情况时，应当封存全部投标文件和评标记录，待不可抗力的影响结束且具备继续评标的条件时，由原评标委员会继续评标。</w:t>
      </w:r>
    </w:p>
    <w:p w14:paraId="2098B88B">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3.8.2关于评标中途更换评委</w:t>
      </w:r>
    </w:p>
    <w:p w14:paraId="7CFCCCD1">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3.8.2.1 除非发生下列情况之一，评标委员会成员不得在评标中途更换：</w:t>
      </w:r>
    </w:p>
    <w:p w14:paraId="717ECF84">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（1）因不可抗拒的客观原因，不能到场或需在评标中途退出评标活动。</w:t>
      </w:r>
    </w:p>
    <w:p w14:paraId="72800ADD">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（2）根据法律法规规定，某个或某几个评标委员会成员需要回避。</w:t>
      </w:r>
    </w:p>
    <w:p w14:paraId="2CA317C9">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3.8.2.2 退出评标的评标委员会成员，其已完成的评标行为无效，由更换的评委进行评标。</w:t>
      </w:r>
    </w:p>
    <w:p w14:paraId="16F56B08">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3.8.3 在评标环节中，需评标委员会就某项定性的评审结论做出表决的，由评标委员会全体成员按照少数服从多数的原则确定。</w:t>
      </w:r>
    </w:p>
    <w:p w14:paraId="4489CBCD">
      <w:pPr>
        <w:spacing w:line="440" w:lineRule="exact"/>
        <w:jc w:val="center"/>
        <w:outlineLvl w:val="0"/>
        <w:rPr>
          <w:rFonts w:ascii="宋体" w:hAnsi="宋体" w:eastAsia="宋体" w:cs="仿宋"/>
          <w:b/>
          <w:sz w:val="28"/>
          <w:szCs w:val="28"/>
        </w:rPr>
      </w:pPr>
      <w:bookmarkStart w:id="48" w:name="_Toc485312286"/>
      <w:r>
        <w:rPr>
          <w:rFonts w:hint="eastAsia" w:ascii="宋体" w:hAnsi="宋体" w:eastAsia="宋体" w:cs="仿宋"/>
          <w:kern w:val="0"/>
          <w:sz w:val="24"/>
          <w:szCs w:val="24"/>
        </w:rPr>
        <w:br w:type="page"/>
      </w:r>
      <w:bookmarkEnd w:id="48"/>
      <w:bookmarkStart w:id="49" w:name="_Toc146207388"/>
      <w:bookmarkStart w:id="50" w:name="_Toc60925645"/>
      <w:bookmarkStart w:id="51" w:name="_Toc200016462"/>
      <w:r>
        <w:rPr>
          <w:rFonts w:hint="eastAsia" w:ascii="宋体" w:hAnsi="宋体" w:eastAsia="宋体" w:cs="仿宋"/>
          <w:b/>
          <w:sz w:val="28"/>
          <w:szCs w:val="28"/>
        </w:rPr>
        <w:t>第三章 合同</w:t>
      </w:r>
      <w:bookmarkEnd w:id="49"/>
      <w:bookmarkEnd w:id="50"/>
      <w:bookmarkEnd w:id="51"/>
    </w:p>
    <w:p w14:paraId="264FED75">
      <w:pPr>
        <w:spacing w:line="360" w:lineRule="auto"/>
        <w:jc w:val="center"/>
        <w:outlineLvl w:val="1"/>
        <w:rPr>
          <w:rFonts w:ascii="宋体" w:hAnsi="宋体" w:eastAsia="宋体" w:cs="黑体"/>
          <w:b/>
          <w:sz w:val="24"/>
          <w:szCs w:val="24"/>
        </w:rPr>
      </w:pPr>
      <w:bookmarkStart w:id="52" w:name="_Toc197514558"/>
      <w:bookmarkStart w:id="53" w:name="_Toc200016463"/>
      <w:r>
        <w:rPr>
          <w:rFonts w:hint="eastAsia" w:ascii="宋体" w:hAnsi="宋体" w:eastAsia="宋体" w:cs="黑体"/>
          <w:b/>
          <w:sz w:val="28"/>
          <w:szCs w:val="24"/>
        </w:rPr>
        <w:t xml:space="preserve">第一部分 </w:t>
      </w:r>
      <w:r>
        <w:rPr>
          <w:rFonts w:ascii="宋体" w:hAnsi="宋体" w:eastAsia="宋体" w:cs="黑体"/>
          <w:b/>
          <w:sz w:val="28"/>
          <w:szCs w:val="24"/>
        </w:rPr>
        <w:t>合同书</w:t>
      </w:r>
      <w:bookmarkEnd w:id="52"/>
      <w:bookmarkEnd w:id="53"/>
    </w:p>
    <w:p w14:paraId="01D9F083">
      <w:pPr>
        <w:spacing w:line="360" w:lineRule="auto"/>
        <w:jc w:val="left"/>
        <w:rPr>
          <w:rFonts w:ascii="宋体" w:hAnsi="宋体" w:eastAsia="宋体" w:cs="黑体"/>
          <w:sz w:val="24"/>
          <w:szCs w:val="24"/>
        </w:rPr>
      </w:pPr>
    </w:p>
    <w:p w14:paraId="0BCD8BB0">
      <w:pPr>
        <w:spacing w:line="360" w:lineRule="auto"/>
        <w:jc w:val="left"/>
        <w:rPr>
          <w:rFonts w:ascii="宋体" w:hAnsi="宋体" w:eastAsia="宋体" w:cs="黑体"/>
          <w:sz w:val="24"/>
          <w:szCs w:val="24"/>
        </w:rPr>
      </w:pPr>
    </w:p>
    <w:p w14:paraId="0B63491C">
      <w:pPr>
        <w:spacing w:line="360" w:lineRule="auto"/>
        <w:jc w:val="center"/>
        <w:rPr>
          <w:rFonts w:ascii="宋体" w:hAnsi="宋体" w:eastAsia="宋体" w:cs="黑体"/>
          <w:sz w:val="24"/>
          <w:szCs w:val="24"/>
        </w:rPr>
      </w:pPr>
      <w:r>
        <w:rPr>
          <w:rFonts w:hint="eastAsia" w:ascii="宋体" w:hAnsi="宋体" w:eastAsia="宋体" w:cs="黑体"/>
          <w:sz w:val="24"/>
          <w:szCs w:val="24"/>
        </w:rPr>
        <w:t>项目名称：</w:t>
      </w:r>
    </w:p>
    <w:p w14:paraId="0C6199E3">
      <w:pPr>
        <w:spacing w:line="360" w:lineRule="auto"/>
        <w:jc w:val="left"/>
        <w:rPr>
          <w:rFonts w:ascii="宋体" w:hAnsi="宋体" w:eastAsia="宋体" w:cs="黑体"/>
          <w:sz w:val="24"/>
          <w:szCs w:val="24"/>
        </w:rPr>
      </w:pPr>
    </w:p>
    <w:p w14:paraId="71E8D88F">
      <w:pPr>
        <w:spacing w:line="360" w:lineRule="auto"/>
        <w:jc w:val="left"/>
        <w:rPr>
          <w:rFonts w:ascii="宋体" w:hAnsi="宋体" w:eastAsia="宋体" w:cs="黑体"/>
          <w:sz w:val="24"/>
          <w:szCs w:val="24"/>
        </w:rPr>
      </w:pPr>
    </w:p>
    <w:p w14:paraId="50B936A6">
      <w:pPr>
        <w:spacing w:line="360" w:lineRule="auto"/>
        <w:jc w:val="center"/>
        <w:rPr>
          <w:rFonts w:ascii="宋体" w:hAnsi="宋体" w:eastAsia="宋体" w:cs="黑体"/>
          <w:sz w:val="24"/>
          <w:szCs w:val="24"/>
        </w:rPr>
      </w:pPr>
      <w:r>
        <w:rPr>
          <w:rFonts w:hint="eastAsia" w:ascii="宋体" w:hAnsi="宋体" w:eastAsia="宋体" w:cs="黑体"/>
          <w:sz w:val="24"/>
          <w:szCs w:val="24"/>
        </w:rPr>
        <w:t>甲方：</w:t>
      </w:r>
    </w:p>
    <w:p w14:paraId="1AD5E90A">
      <w:pPr>
        <w:spacing w:line="360" w:lineRule="auto"/>
        <w:jc w:val="left"/>
        <w:rPr>
          <w:rFonts w:ascii="宋体" w:hAnsi="宋体" w:eastAsia="宋体" w:cs="黑体"/>
          <w:sz w:val="24"/>
          <w:szCs w:val="24"/>
        </w:rPr>
      </w:pPr>
    </w:p>
    <w:p w14:paraId="03F5D69F">
      <w:pPr>
        <w:spacing w:line="360" w:lineRule="auto"/>
        <w:jc w:val="center"/>
        <w:rPr>
          <w:rFonts w:ascii="宋体" w:hAnsi="宋体" w:eastAsia="宋体" w:cs="黑体"/>
          <w:sz w:val="24"/>
          <w:szCs w:val="24"/>
        </w:rPr>
      </w:pPr>
      <w:r>
        <w:rPr>
          <w:rFonts w:hint="eastAsia" w:ascii="宋体" w:hAnsi="宋体" w:eastAsia="宋体" w:cs="黑体"/>
          <w:sz w:val="24"/>
          <w:szCs w:val="24"/>
        </w:rPr>
        <w:t>乙方：</w:t>
      </w:r>
    </w:p>
    <w:p w14:paraId="10F03904">
      <w:pPr>
        <w:spacing w:line="360" w:lineRule="auto"/>
        <w:jc w:val="left"/>
        <w:rPr>
          <w:rFonts w:ascii="宋体" w:hAnsi="宋体" w:eastAsia="宋体" w:cs="黑体"/>
          <w:sz w:val="24"/>
          <w:szCs w:val="24"/>
        </w:rPr>
      </w:pPr>
    </w:p>
    <w:p w14:paraId="06DE97E9">
      <w:pPr>
        <w:spacing w:line="360" w:lineRule="auto"/>
        <w:jc w:val="center"/>
        <w:rPr>
          <w:rFonts w:ascii="宋体" w:hAnsi="宋体" w:eastAsia="宋体" w:cs="黑体"/>
          <w:sz w:val="24"/>
          <w:szCs w:val="24"/>
        </w:rPr>
      </w:pPr>
      <w:r>
        <w:rPr>
          <w:rFonts w:hint="eastAsia" w:ascii="宋体" w:hAnsi="宋体" w:eastAsia="宋体" w:cs="黑体"/>
          <w:sz w:val="24"/>
          <w:szCs w:val="24"/>
        </w:rPr>
        <w:t>签订地：</w:t>
      </w:r>
    </w:p>
    <w:p w14:paraId="3466F554">
      <w:pPr>
        <w:spacing w:line="360" w:lineRule="auto"/>
        <w:jc w:val="left"/>
        <w:rPr>
          <w:rFonts w:ascii="宋体" w:hAnsi="宋体" w:eastAsia="宋体" w:cs="黑体"/>
          <w:sz w:val="24"/>
          <w:szCs w:val="24"/>
        </w:rPr>
      </w:pPr>
    </w:p>
    <w:p w14:paraId="109708A8">
      <w:pPr>
        <w:spacing w:line="360" w:lineRule="auto"/>
        <w:jc w:val="center"/>
        <w:rPr>
          <w:rFonts w:ascii="宋体" w:hAnsi="宋体" w:eastAsia="宋体" w:cs="黑体"/>
          <w:sz w:val="24"/>
          <w:szCs w:val="24"/>
        </w:rPr>
      </w:pPr>
      <w:r>
        <w:rPr>
          <w:rFonts w:hint="eastAsia" w:ascii="宋体" w:hAnsi="宋体" w:eastAsia="宋体" w:cs="黑体"/>
          <w:sz w:val="24"/>
          <w:szCs w:val="24"/>
        </w:rPr>
        <w:t>签订日期：</w:t>
      </w:r>
    </w:p>
    <w:p w14:paraId="562EEBD0">
      <w:pPr>
        <w:widowControl/>
        <w:jc w:val="left"/>
        <w:rPr>
          <w:rFonts w:ascii="宋体" w:hAnsi="宋体" w:eastAsia="宋体" w:cs="黑体"/>
          <w:sz w:val="24"/>
          <w:szCs w:val="24"/>
        </w:rPr>
      </w:pPr>
      <w:r>
        <w:rPr>
          <w:rFonts w:ascii="宋体" w:hAnsi="宋体" w:eastAsia="宋体" w:cs="黑体"/>
          <w:sz w:val="24"/>
          <w:szCs w:val="24"/>
        </w:rPr>
        <w:br w:type="page"/>
      </w:r>
    </w:p>
    <w:p w14:paraId="08803CAA">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年    月    日，   （采购人名称）   以   （采购方式）  对   （同前页项目名称）   项目进行了采购。经   （相关评定主体名称）   评定，   （中标供应商名称）为该项目中标供应商。现于中标通知书发出之日起三十日内，按照采购文件确定的事项签订本合同。</w:t>
      </w:r>
    </w:p>
    <w:p w14:paraId="79E45359">
      <w:pPr>
        <w:spacing w:line="360" w:lineRule="auto"/>
        <w:ind w:firstLine="480" w:firstLineChars="200"/>
        <w:jc w:val="left"/>
        <w:rPr>
          <w:rFonts w:ascii="宋体" w:hAnsi="宋体" w:eastAsia="宋体" w:cs="黑体"/>
          <w:sz w:val="24"/>
          <w:szCs w:val="24"/>
        </w:rPr>
      </w:pPr>
      <w:r>
        <w:rPr>
          <w:rFonts w:hint="eastAsia" w:ascii="宋体" w:hAnsi="宋体" w:eastAsia="宋体" w:cs="黑体"/>
          <w:sz w:val="24"/>
          <w:szCs w:val="24"/>
        </w:rPr>
        <w:t>根据《中华人民共和国合同法》、《中华人民共和国政府采购法》等相关法律法规之规定，按照平等、自愿、公平和诚实信用的原则，经</w:t>
      </w:r>
      <w:r>
        <w:rPr>
          <w:rFonts w:ascii="宋体" w:hAnsi="宋体" w:eastAsia="宋体" w:cs="黑体"/>
          <w:sz w:val="24"/>
          <w:szCs w:val="24"/>
        </w:rPr>
        <w:t xml:space="preserve">   （采购人名称）   (以下简称：甲方)和   （中标供应商名称）   (以下简称：乙方)协商一致，约定以下合同条款，以兹共同遵守、全面履行。</w:t>
      </w:r>
    </w:p>
    <w:p w14:paraId="159AE163">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1.1 合同组成部分</w:t>
      </w:r>
    </w:p>
    <w:p w14:paraId="4FFF914A">
      <w:pPr>
        <w:spacing w:line="360" w:lineRule="auto"/>
        <w:ind w:firstLine="480" w:firstLineChars="200"/>
        <w:jc w:val="left"/>
        <w:rPr>
          <w:rFonts w:ascii="宋体" w:hAnsi="宋体" w:eastAsia="宋体" w:cs="黑体"/>
          <w:sz w:val="24"/>
          <w:szCs w:val="24"/>
        </w:rPr>
      </w:pPr>
      <w:r>
        <w:rPr>
          <w:rFonts w:hint="eastAsia" w:ascii="宋体" w:hAnsi="宋体" w:eastAsia="宋体" w:cs="黑体"/>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905CA9E">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1.1.1 本合同及其补充合同、变更协议；</w:t>
      </w:r>
    </w:p>
    <w:p w14:paraId="362EDED8">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1.1.2 中标通知书；</w:t>
      </w:r>
    </w:p>
    <w:p w14:paraId="25F63B4D">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1.1.3 投标文件（含澄清或者说明文件）；</w:t>
      </w:r>
    </w:p>
    <w:p w14:paraId="0FB28305">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1.1.4 招标文件（含澄清或者修改文件）；</w:t>
      </w:r>
    </w:p>
    <w:p w14:paraId="42FB3614">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1.1.5 其他相关采购文件。</w:t>
      </w:r>
    </w:p>
    <w:p w14:paraId="53F27D95">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1.2 货物</w:t>
      </w:r>
    </w:p>
    <w:p w14:paraId="75A273A0">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1.2.1 货物名称：                                                ；</w:t>
      </w:r>
    </w:p>
    <w:p w14:paraId="29966491">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1.2.2 货物数量：                                                ；</w:t>
      </w:r>
    </w:p>
    <w:p w14:paraId="20F76116">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1.2.3 货物质量：　　　　　　　　　                      　      。</w:t>
      </w:r>
    </w:p>
    <w:p w14:paraId="455EB92C">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1.3 价款</w:t>
      </w:r>
    </w:p>
    <w:p w14:paraId="5F1D9E45">
      <w:pPr>
        <w:spacing w:line="360" w:lineRule="auto"/>
        <w:ind w:firstLine="480" w:firstLineChars="200"/>
        <w:jc w:val="left"/>
        <w:rPr>
          <w:rFonts w:ascii="宋体" w:hAnsi="宋体" w:eastAsia="宋体" w:cs="黑体"/>
          <w:sz w:val="24"/>
          <w:szCs w:val="24"/>
        </w:rPr>
      </w:pPr>
      <w:r>
        <w:rPr>
          <w:rFonts w:hint="eastAsia" w:ascii="宋体" w:hAnsi="宋体" w:eastAsia="宋体" w:cs="黑体"/>
          <w:sz w:val="24"/>
          <w:szCs w:val="24"/>
        </w:rPr>
        <w:t>本合同总价为：￥</w:t>
      </w:r>
      <w:r>
        <w:rPr>
          <w:rFonts w:ascii="宋体" w:hAnsi="宋体" w:eastAsia="宋体" w:cs="黑体"/>
          <w:sz w:val="24"/>
          <w:szCs w:val="24"/>
        </w:rPr>
        <w:t xml:space="preserve">           元（大写：                 元人民币）。</w:t>
      </w:r>
    </w:p>
    <w:p w14:paraId="1D754FA4">
      <w:pPr>
        <w:spacing w:line="360" w:lineRule="auto"/>
        <w:ind w:firstLine="480" w:firstLineChars="200"/>
        <w:jc w:val="left"/>
        <w:rPr>
          <w:rFonts w:ascii="宋体" w:hAnsi="宋体" w:eastAsia="宋体" w:cs="黑体"/>
          <w:sz w:val="24"/>
          <w:szCs w:val="24"/>
        </w:rPr>
      </w:pPr>
      <w:r>
        <w:rPr>
          <w:rFonts w:hint="eastAsia" w:ascii="宋体" w:hAnsi="宋体" w:eastAsia="宋体" w:cs="黑体"/>
          <w:sz w:val="24"/>
          <w:szCs w:val="24"/>
        </w:rPr>
        <w:t>分项价格：</w:t>
      </w:r>
    </w:p>
    <w:p w14:paraId="06CE8118">
      <w:pPr>
        <w:spacing w:line="360" w:lineRule="auto"/>
        <w:ind w:firstLine="480" w:firstLineChars="200"/>
        <w:jc w:val="left"/>
        <w:rPr>
          <w:rFonts w:ascii="宋体" w:hAnsi="宋体" w:eastAsia="宋体" w:cs="黑体"/>
          <w:sz w:val="24"/>
          <w:szCs w:val="24"/>
        </w:rPr>
      </w:pPr>
      <w:r>
        <w:rPr>
          <w:rFonts w:hint="eastAsia" w:ascii="宋体" w:hAnsi="宋体" w:eastAsia="宋体" w:cs="黑体"/>
          <w:sz w:val="24"/>
          <w:szCs w:val="24"/>
        </w:rPr>
        <w:t>序号</w:t>
      </w:r>
      <w:r>
        <w:rPr>
          <w:rFonts w:ascii="宋体" w:hAnsi="宋体" w:eastAsia="宋体" w:cs="黑体"/>
          <w:sz w:val="24"/>
          <w:szCs w:val="24"/>
        </w:rPr>
        <w:tab/>
      </w:r>
      <w:r>
        <w:rPr>
          <w:rFonts w:ascii="宋体" w:hAnsi="宋体" w:eastAsia="宋体" w:cs="黑体"/>
          <w:sz w:val="24"/>
          <w:szCs w:val="24"/>
        </w:rPr>
        <w:t>分项名称</w:t>
      </w:r>
      <w:r>
        <w:rPr>
          <w:rFonts w:ascii="宋体" w:hAnsi="宋体" w:eastAsia="宋体" w:cs="黑体"/>
          <w:sz w:val="24"/>
          <w:szCs w:val="24"/>
        </w:rPr>
        <w:tab/>
      </w:r>
      <w:r>
        <w:rPr>
          <w:rFonts w:ascii="宋体" w:hAnsi="宋体" w:eastAsia="宋体" w:cs="黑体"/>
          <w:sz w:val="24"/>
          <w:szCs w:val="24"/>
        </w:rPr>
        <w:t>分项价格</w:t>
      </w:r>
    </w:p>
    <w:p w14:paraId="1439862B">
      <w:pPr>
        <w:spacing w:line="360" w:lineRule="auto"/>
        <w:ind w:firstLine="480" w:firstLineChars="200"/>
        <w:jc w:val="left"/>
        <w:rPr>
          <w:rFonts w:ascii="宋体" w:hAnsi="宋体" w:eastAsia="宋体" w:cs="黑体"/>
          <w:sz w:val="24"/>
          <w:szCs w:val="24"/>
        </w:rPr>
      </w:pPr>
      <w:r>
        <w:rPr>
          <w:rFonts w:hint="eastAsia" w:ascii="宋体" w:hAnsi="宋体" w:eastAsia="宋体" w:cs="黑体"/>
          <w:sz w:val="24"/>
          <w:szCs w:val="24"/>
        </w:rPr>
        <w:t>总价</w:t>
      </w:r>
      <w:r>
        <w:rPr>
          <w:rFonts w:ascii="宋体" w:hAnsi="宋体" w:eastAsia="宋体" w:cs="黑体"/>
          <w:sz w:val="24"/>
          <w:szCs w:val="24"/>
        </w:rPr>
        <w:tab/>
      </w:r>
    </w:p>
    <w:p w14:paraId="09459AB6">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1.4 付款方式和发票开具方式</w:t>
      </w:r>
    </w:p>
    <w:p w14:paraId="269088E4">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1.4.1 付款方式：                                                ；</w:t>
      </w:r>
    </w:p>
    <w:p w14:paraId="315AAB59">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1.4.2 发票开具方式：                                            。</w:t>
      </w:r>
    </w:p>
    <w:p w14:paraId="029E0A28">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1.5 货物交付期限、地点和方式</w:t>
      </w:r>
    </w:p>
    <w:p w14:paraId="08033FAE">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1.5.1 交付期限：                                                ；</w:t>
      </w:r>
    </w:p>
    <w:p w14:paraId="1C29C458">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1.5.2 交付地点：                                                ；</w:t>
      </w:r>
    </w:p>
    <w:p w14:paraId="6963A13F">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1.5.3 交付方式：　　　　　　　　　                      　      。</w:t>
      </w:r>
    </w:p>
    <w:p w14:paraId="2984F50E">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1.6 违约责任</w:t>
      </w:r>
    </w:p>
    <w:p w14:paraId="3CB2DC02">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1.6.1 除不可抗力外，如果乙方没有按照本合同约定的期限、地点和方式交付货物，那么甲方可要求乙方支付违约金，违约金按每迟延交付货物一日的应交付而未交付货物价格的    %计算，最高限额为本合同总价的     %；迟延交付货物的违约金计算数额达到前述最高限额之日起，甲方有权在要求乙方支付违约金的同时，书面通知乙方解除本合同；</w:t>
      </w:r>
    </w:p>
    <w:p w14:paraId="198BACA8">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1.6.2 除不可抗力外，如果甲方没有按照本合同约定的付款方式付款，那么乙方可要求甲方支付违约金，违约金按每迟延付款一日的应付而未付款的    %计算，最高限额为本合同总价的     %；迟延付款的违约金计算数额达到前述最高限额之日起，乙方有权在要求甲方支付违约金的同时，书面通知甲方解除本合同；</w:t>
      </w:r>
    </w:p>
    <w:p w14:paraId="175B775D">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D9A9FAF">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23778973">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47E3642F">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1.6.6 如果出现政府采购监督管理部门在处理投诉事项期间，书面通知甲方暂停采购活动的情形，或者询问或质疑事项可能影响中标结果的，导致甲方中止履行合同的情形，均不视为甲方违约。</w:t>
      </w:r>
    </w:p>
    <w:p w14:paraId="02236F78">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1.7 合同争议的解决</w:t>
      </w:r>
    </w:p>
    <w:p w14:paraId="3BDC1BB1">
      <w:pPr>
        <w:spacing w:line="360" w:lineRule="auto"/>
        <w:ind w:firstLine="480" w:firstLineChars="200"/>
        <w:jc w:val="left"/>
        <w:rPr>
          <w:rFonts w:ascii="宋体" w:hAnsi="宋体" w:eastAsia="宋体" w:cs="黑体"/>
          <w:sz w:val="24"/>
          <w:szCs w:val="24"/>
        </w:rPr>
      </w:pPr>
      <w:r>
        <w:rPr>
          <w:rFonts w:hint="eastAsia" w:ascii="宋体" w:hAnsi="宋体" w:eastAsia="宋体" w:cs="黑体"/>
          <w:sz w:val="24"/>
          <w:szCs w:val="24"/>
        </w:rPr>
        <w:t>本合同履行过程中发生的任何争议，双方当事人均可通过和解或者调解解决；不愿和解、调解或者和解、调解不成的，可以选择下列第</w:t>
      </w:r>
      <w:r>
        <w:rPr>
          <w:rFonts w:ascii="宋体" w:hAnsi="宋体" w:eastAsia="宋体" w:cs="黑体"/>
          <w:sz w:val="24"/>
          <w:szCs w:val="24"/>
        </w:rPr>
        <w:t xml:space="preserve">    种方式解决：</w:t>
      </w:r>
    </w:p>
    <w:p w14:paraId="1F4F9872">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1.7.1 将争议提交              仲裁委员会依申请仲裁时其现行有效的仲裁规则裁决；</w:t>
      </w:r>
    </w:p>
    <w:p w14:paraId="1D4C7B54">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1.7.2 向   （被告住所地、合同履行地、合同签订地、原告住所地、标的物所在地等与争议有实际联系的地点中选出的人民法院名称）    人民法院起诉。</w:t>
      </w:r>
    </w:p>
    <w:p w14:paraId="6CE6AA46">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1.8 合同生效</w:t>
      </w:r>
    </w:p>
    <w:p w14:paraId="39352803">
      <w:pPr>
        <w:spacing w:line="360" w:lineRule="auto"/>
        <w:ind w:firstLine="480" w:firstLineChars="200"/>
        <w:jc w:val="left"/>
        <w:rPr>
          <w:rFonts w:ascii="宋体" w:hAnsi="宋体" w:eastAsia="宋体" w:cs="黑体"/>
          <w:sz w:val="24"/>
          <w:szCs w:val="24"/>
        </w:rPr>
      </w:pPr>
      <w:r>
        <w:rPr>
          <w:rFonts w:hint="eastAsia" w:ascii="宋体" w:hAnsi="宋体" w:eastAsia="宋体" w:cs="黑体"/>
          <w:sz w:val="24"/>
          <w:szCs w:val="24"/>
        </w:rPr>
        <w:t>本合同自双方当事人盖章或者签字时生效。</w:t>
      </w:r>
    </w:p>
    <w:p w14:paraId="10959E2E">
      <w:pPr>
        <w:spacing w:line="360" w:lineRule="auto"/>
        <w:jc w:val="left"/>
        <w:rPr>
          <w:rFonts w:ascii="宋体" w:hAnsi="宋体" w:eastAsia="宋体" w:cs="黑体"/>
          <w:sz w:val="24"/>
          <w:szCs w:val="24"/>
        </w:rPr>
      </w:pPr>
    </w:p>
    <w:p w14:paraId="1BDA7741">
      <w:pPr>
        <w:spacing w:line="360" w:lineRule="auto"/>
        <w:jc w:val="left"/>
        <w:rPr>
          <w:rFonts w:ascii="宋体" w:hAnsi="宋体" w:eastAsia="宋体" w:cs="黑体"/>
          <w:sz w:val="24"/>
          <w:szCs w:val="24"/>
        </w:rPr>
      </w:pPr>
      <w:r>
        <w:rPr>
          <w:rFonts w:hint="eastAsia" w:ascii="宋体" w:hAnsi="宋体" w:eastAsia="宋体" w:cs="黑体"/>
          <w:sz w:val="24"/>
          <w:szCs w:val="24"/>
        </w:rPr>
        <w:t>甲方：</w:t>
      </w:r>
      <w:r>
        <w:rPr>
          <w:rFonts w:ascii="宋体" w:hAnsi="宋体" w:eastAsia="宋体" w:cs="黑体"/>
          <w:sz w:val="24"/>
          <w:szCs w:val="24"/>
        </w:rPr>
        <w:t xml:space="preserve">                                   乙方：</w:t>
      </w:r>
    </w:p>
    <w:p w14:paraId="5ACE2151">
      <w:pPr>
        <w:spacing w:line="360" w:lineRule="auto"/>
        <w:jc w:val="left"/>
        <w:rPr>
          <w:rFonts w:ascii="宋体" w:hAnsi="宋体" w:eastAsia="宋体" w:cs="黑体"/>
          <w:sz w:val="24"/>
          <w:szCs w:val="24"/>
        </w:rPr>
      </w:pPr>
      <w:r>
        <w:rPr>
          <w:rFonts w:hint="eastAsia" w:ascii="宋体" w:hAnsi="宋体" w:eastAsia="宋体" w:cs="黑体"/>
          <w:sz w:val="24"/>
          <w:szCs w:val="24"/>
        </w:rPr>
        <w:t>统一社会信用代码：</w:t>
      </w:r>
      <w:r>
        <w:rPr>
          <w:rFonts w:ascii="宋体" w:hAnsi="宋体" w:eastAsia="宋体" w:cs="黑体"/>
          <w:sz w:val="24"/>
          <w:szCs w:val="24"/>
        </w:rPr>
        <w:t xml:space="preserve">                        统一社会信用代码或身份证号码：</w:t>
      </w:r>
    </w:p>
    <w:p w14:paraId="70C03516">
      <w:pPr>
        <w:spacing w:line="360" w:lineRule="auto"/>
        <w:jc w:val="left"/>
        <w:rPr>
          <w:rFonts w:ascii="宋体" w:hAnsi="宋体" w:eastAsia="宋体" w:cs="黑体"/>
          <w:sz w:val="24"/>
          <w:szCs w:val="24"/>
        </w:rPr>
      </w:pPr>
    </w:p>
    <w:p w14:paraId="1299DCE7">
      <w:pPr>
        <w:spacing w:line="360" w:lineRule="auto"/>
        <w:jc w:val="left"/>
        <w:rPr>
          <w:rFonts w:ascii="宋体" w:hAnsi="宋体" w:eastAsia="宋体" w:cs="黑体"/>
          <w:sz w:val="24"/>
          <w:szCs w:val="24"/>
        </w:rPr>
      </w:pPr>
      <w:r>
        <w:rPr>
          <w:rFonts w:hint="eastAsia" w:ascii="宋体" w:hAnsi="宋体" w:eastAsia="宋体" w:cs="黑体"/>
          <w:sz w:val="24"/>
          <w:szCs w:val="24"/>
        </w:rPr>
        <w:t>住所：</w:t>
      </w:r>
      <w:r>
        <w:rPr>
          <w:rFonts w:ascii="宋体" w:hAnsi="宋体" w:eastAsia="宋体" w:cs="黑体"/>
          <w:sz w:val="24"/>
          <w:szCs w:val="24"/>
        </w:rPr>
        <w:t xml:space="preserve">                                   住所：</w:t>
      </w:r>
    </w:p>
    <w:p w14:paraId="539F189E">
      <w:pPr>
        <w:spacing w:line="360" w:lineRule="auto"/>
        <w:jc w:val="left"/>
        <w:rPr>
          <w:rFonts w:ascii="宋体" w:hAnsi="宋体" w:eastAsia="宋体" w:cs="黑体"/>
          <w:sz w:val="24"/>
          <w:szCs w:val="24"/>
        </w:rPr>
      </w:pPr>
      <w:r>
        <w:rPr>
          <w:rFonts w:hint="eastAsia" w:ascii="宋体" w:hAnsi="宋体" w:eastAsia="宋体" w:cs="黑体"/>
          <w:sz w:val="24"/>
          <w:szCs w:val="24"/>
        </w:rPr>
        <w:t>法定代表人或</w:t>
      </w:r>
      <w:r>
        <w:rPr>
          <w:rFonts w:ascii="宋体" w:hAnsi="宋体" w:eastAsia="宋体" w:cs="黑体"/>
          <w:sz w:val="24"/>
          <w:szCs w:val="24"/>
        </w:rPr>
        <w:t xml:space="preserve">                             法定代表人</w:t>
      </w:r>
    </w:p>
    <w:p w14:paraId="6DBDB236">
      <w:pPr>
        <w:spacing w:line="360" w:lineRule="auto"/>
        <w:jc w:val="left"/>
        <w:rPr>
          <w:rFonts w:ascii="宋体" w:hAnsi="宋体" w:eastAsia="宋体" w:cs="黑体"/>
          <w:sz w:val="24"/>
          <w:szCs w:val="24"/>
        </w:rPr>
      </w:pPr>
      <w:r>
        <w:rPr>
          <w:rFonts w:hint="eastAsia" w:ascii="宋体" w:hAnsi="宋体" w:eastAsia="宋体" w:cs="黑体"/>
          <w:sz w:val="24"/>
          <w:szCs w:val="24"/>
        </w:rPr>
        <w:t>授权代表（签字）：</w:t>
      </w:r>
      <w:r>
        <w:rPr>
          <w:rFonts w:ascii="宋体" w:hAnsi="宋体" w:eastAsia="宋体" w:cs="黑体"/>
          <w:sz w:val="24"/>
          <w:szCs w:val="24"/>
        </w:rPr>
        <w:t xml:space="preserve">                        或授权代表（签字）: </w:t>
      </w:r>
    </w:p>
    <w:p w14:paraId="70635381">
      <w:pPr>
        <w:spacing w:line="360" w:lineRule="auto"/>
        <w:jc w:val="left"/>
        <w:rPr>
          <w:rFonts w:ascii="宋体" w:hAnsi="宋体" w:eastAsia="宋体" w:cs="黑体"/>
          <w:sz w:val="24"/>
          <w:szCs w:val="24"/>
        </w:rPr>
      </w:pPr>
      <w:r>
        <w:rPr>
          <w:rFonts w:hint="eastAsia" w:ascii="宋体" w:hAnsi="宋体" w:eastAsia="宋体" w:cs="黑体"/>
          <w:sz w:val="24"/>
          <w:szCs w:val="24"/>
        </w:rPr>
        <w:t>联系人：</w:t>
      </w:r>
      <w:r>
        <w:rPr>
          <w:rFonts w:ascii="宋体" w:hAnsi="宋体" w:eastAsia="宋体" w:cs="黑体"/>
          <w:sz w:val="24"/>
          <w:szCs w:val="24"/>
        </w:rPr>
        <w:t xml:space="preserve">                                 联系人：</w:t>
      </w:r>
    </w:p>
    <w:p w14:paraId="67EE523C">
      <w:pPr>
        <w:spacing w:line="360" w:lineRule="auto"/>
        <w:jc w:val="left"/>
        <w:rPr>
          <w:rFonts w:ascii="宋体" w:hAnsi="宋体" w:eastAsia="宋体" w:cs="黑体"/>
          <w:sz w:val="24"/>
          <w:szCs w:val="24"/>
        </w:rPr>
      </w:pPr>
      <w:r>
        <w:rPr>
          <w:rFonts w:hint="eastAsia" w:ascii="宋体" w:hAnsi="宋体" w:eastAsia="宋体" w:cs="黑体"/>
          <w:sz w:val="24"/>
          <w:szCs w:val="24"/>
        </w:rPr>
        <w:t>约定送达地址：</w:t>
      </w:r>
      <w:r>
        <w:rPr>
          <w:rFonts w:ascii="宋体" w:hAnsi="宋体" w:eastAsia="宋体" w:cs="黑体"/>
          <w:sz w:val="24"/>
          <w:szCs w:val="24"/>
        </w:rPr>
        <w:t xml:space="preserve">                           约定送达地址：</w:t>
      </w:r>
    </w:p>
    <w:p w14:paraId="41584B8A">
      <w:pPr>
        <w:spacing w:line="360" w:lineRule="auto"/>
        <w:jc w:val="left"/>
        <w:rPr>
          <w:rFonts w:ascii="宋体" w:hAnsi="宋体" w:eastAsia="宋体" w:cs="黑体"/>
          <w:sz w:val="24"/>
          <w:szCs w:val="24"/>
        </w:rPr>
      </w:pPr>
      <w:r>
        <w:rPr>
          <w:rFonts w:hint="eastAsia" w:ascii="宋体" w:hAnsi="宋体" w:eastAsia="宋体" w:cs="黑体"/>
          <w:sz w:val="24"/>
          <w:szCs w:val="24"/>
        </w:rPr>
        <w:t>邮政编码：</w:t>
      </w:r>
      <w:r>
        <w:rPr>
          <w:rFonts w:ascii="宋体" w:hAnsi="宋体" w:eastAsia="宋体" w:cs="黑体"/>
          <w:sz w:val="24"/>
          <w:szCs w:val="24"/>
        </w:rPr>
        <w:t xml:space="preserve">                               邮政编码：</w:t>
      </w:r>
    </w:p>
    <w:p w14:paraId="238CAD09">
      <w:pPr>
        <w:spacing w:line="360" w:lineRule="auto"/>
        <w:jc w:val="left"/>
        <w:rPr>
          <w:rFonts w:ascii="宋体" w:hAnsi="宋体" w:eastAsia="宋体" w:cs="黑体"/>
          <w:sz w:val="24"/>
          <w:szCs w:val="24"/>
        </w:rPr>
      </w:pPr>
      <w:r>
        <w:rPr>
          <w:rFonts w:hint="eastAsia" w:ascii="宋体" w:hAnsi="宋体" w:eastAsia="宋体" w:cs="黑体"/>
          <w:sz w:val="24"/>
          <w:szCs w:val="24"/>
        </w:rPr>
        <w:t>电话</w:t>
      </w:r>
      <w:r>
        <w:rPr>
          <w:rFonts w:ascii="宋体" w:hAnsi="宋体" w:eastAsia="宋体" w:cs="黑体"/>
          <w:sz w:val="24"/>
          <w:szCs w:val="24"/>
        </w:rPr>
        <w:t xml:space="preserve">:                                    电话: </w:t>
      </w:r>
    </w:p>
    <w:p w14:paraId="09C38F45">
      <w:pPr>
        <w:spacing w:line="360" w:lineRule="auto"/>
        <w:jc w:val="left"/>
        <w:rPr>
          <w:rFonts w:ascii="宋体" w:hAnsi="宋体" w:eastAsia="宋体" w:cs="黑体"/>
          <w:sz w:val="24"/>
          <w:szCs w:val="24"/>
        </w:rPr>
      </w:pPr>
      <w:r>
        <w:rPr>
          <w:rFonts w:hint="eastAsia" w:ascii="宋体" w:hAnsi="宋体" w:eastAsia="宋体" w:cs="黑体"/>
          <w:sz w:val="24"/>
          <w:szCs w:val="24"/>
        </w:rPr>
        <w:t>传真</w:t>
      </w:r>
      <w:r>
        <w:rPr>
          <w:rFonts w:ascii="宋体" w:hAnsi="宋体" w:eastAsia="宋体" w:cs="黑体"/>
          <w:sz w:val="24"/>
          <w:szCs w:val="24"/>
        </w:rPr>
        <w:t>:                                    传真:</w:t>
      </w:r>
    </w:p>
    <w:p w14:paraId="2504AEE3">
      <w:pPr>
        <w:spacing w:line="360" w:lineRule="auto"/>
        <w:jc w:val="left"/>
        <w:rPr>
          <w:rFonts w:ascii="宋体" w:hAnsi="宋体" w:eastAsia="宋体" w:cs="黑体"/>
          <w:sz w:val="24"/>
          <w:szCs w:val="24"/>
        </w:rPr>
      </w:pPr>
      <w:r>
        <w:rPr>
          <w:rFonts w:hint="eastAsia" w:ascii="宋体" w:hAnsi="宋体" w:eastAsia="宋体" w:cs="黑体"/>
          <w:sz w:val="24"/>
          <w:szCs w:val="24"/>
        </w:rPr>
        <w:t>电子邮箱：</w:t>
      </w:r>
      <w:r>
        <w:rPr>
          <w:rFonts w:ascii="宋体" w:hAnsi="宋体" w:eastAsia="宋体" w:cs="黑体"/>
          <w:sz w:val="24"/>
          <w:szCs w:val="24"/>
        </w:rPr>
        <w:t xml:space="preserve">                               电子邮箱：</w:t>
      </w:r>
    </w:p>
    <w:p w14:paraId="4CD29530">
      <w:pPr>
        <w:spacing w:line="360" w:lineRule="auto"/>
        <w:jc w:val="left"/>
        <w:rPr>
          <w:rFonts w:ascii="宋体" w:hAnsi="宋体" w:eastAsia="宋体" w:cs="黑体"/>
          <w:sz w:val="24"/>
          <w:szCs w:val="24"/>
        </w:rPr>
      </w:pPr>
      <w:r>
        <w:rPr>
          <w:rFonts w:hint="eastAsia" w:ascii="宋体" w:hAnsi="宋体" w:eastAsia="宋体" w:cs="黑体"/>
          <w:sz w:val="24"/>
          <w:szCs w:val="24"/>
        </w:rPr>
        <w:t>开户银行：</w:t>
      </w:r>
      <w:r>
        <w:rPr>
          <w:rFonts w:ascii="宋体" w:hAnsi="宋体" w:eastAsia="宋体" w:cs="黑体"/>
          <w:sz w:val="24"/>
          <w:szCs w:val="24"/>
        </w:rPr>
        <w:t xml:space="preserve">                               开户银行： </w:t>
      </w:r>
    </w:p>
    <w:p w14:paraId="056B6C2E">
      <w:pPr>
        <w:spacing w:line="360" w:lineRule="auto"/>
        <w:jc w:val="left"/>
        <w:rPr>
          <w:rFonts w:ascii="宋体" w:hAnsi="宋体" w:eastAsia="宋体" w:cs="黑体"/>
          <w:sz w:val="24"/>
          <w:szCs w:val="24"/>
        </w:rPr>
      </w:pPr>
      <w:r>
        <w:rPr>
          <w:rFonts w:hint="eastAsia" w:ascii="宋体" w:hAnsi="宋体" w:eastAsia="宋体" w:cs="黑体"/>
          <w:sz w:val="24"/>
          <w:szCs w:val="24"/>
        </w:rPr>
        <w:t>开户名称：</w:t>
      </w:r>
      <w:r>
        <w:rPr>
          <w:rFonts w:ascii="宋体" w:hAnsi="宋体" w:eastAsia="宋体" w:cs="黑体"/>
          <w:sz w:val="24"/>
          <w:szCs w:val="24"/>
        </w:rPr>
        <w:t xml:space="preserve">                               开户名称： </w:t>
      </w:r>
    </w:p>
    <w:p w14:paraId="4C07A657">
      <w:pPr>
        <w:spacing w:line="360" w:lineRule="auto"/>
        <w:jc w:val="left"/>
        <w:rPr>
          <w:rFonts w:ascii="宋体" w:hAnsi="宋体" w:eastAsia="宋体" w:cs="黑体"/>
          <w:sz w:val="24"/>
          <w:szCs w:val="24"/>
        </w:rPr>
      </w:pPr>
      <w:r>
        <w:rPr>
          <w:rFonts w:hint="eastAsia" w:ascii="宋体" w:hAnsi="宋体" w:eastAsia="宋体" w:cs="黑体"/>
          <w:sz w:val="24"/>
          <w:szCs w:val="24"/>
        </w:rPr>
        <w:t>开户账号：</w:t>
      </w:r>
      <w:r>
        <w:rPr>
          <w:rFonts w:ascii="宋体" w:hAnsi="宋体" w:eastAsia="宋体" w:cs="黑体"/>
          <w:sz w:val="24"/>
          <w:szCs w:val="24"/>
        </w:rPr>
        <w:t xml:space="preserve">                               开户账号：</w:t>
      </w:r>
      <w:r>
        <w:rPr>
          <w:rFonts w:ascii="宋体" w:hAnsi="宋体" w:eastAsia="宋体" w:cs="黑体"/>
          <w:sz w:val="24"/>
          <w:szCs w:val="24"/>
        </w:rPr>
        <w:br w:type="page"/>
      </w:r>
    </w:p>
    <w:p w14:paraId="460EE2B3">
      <w:pPr>
        <w:spacing w:line="360" w:lineRule="auto"/>
        <w:jc w:val="center"/>
        <w:outlineLvl w:val="1"/>
        <w:rPr>
          <w:rFonts w:ascii="宋体" w:hAnsi="宋体" w:eastAsia="宋体" w:cs="黑体"/>
          <w:b/>
          <w:sz w:val="28"/>
          <w:szCs w:val="24"/>
        </w:rPr>
      </w:pPr>
      <w:bookmarkStart w:id="54" w:name="_Toc197514559"/>
      <w:bookmarkStart w:id="55" w:name="_Toc200016464"/>
      <w:r>
        <w:rPr>
          <w:rFonts w:hint="eastAsia" w:ascii="宋体" w:hAnsi="宋体" w:eastAsia="宋体" w:cs="黑体"/>
          <w:b/>
          <w:sz w:val="28"/>
          <w:szCs w:val="24"/>
        </w:rPr>
        <w:t xml:space="preserve">第二部分 </w:t>
      </w:r>
      <w:r>
        <w:rPr>
          <w:rFonts w:ascii="宋体" w:hAnsi="宋体" w:eastAsia="宋体" w:cs="黑体"/>
          <w:b/>
          <w:sz w:val="28"/>
          <w:szCs w:val="24"/>
        </w:rPr>
        <w:t>合同一般条款</w:t>
      </w:r>
      <w:bookmarkEnd w:id="54"/>
      <w:bookmarkEnd w:id="55"/>
    </w:p>
    <w:p w14:paraId="4DCBBA5A">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2.1 定义</w:t>
      </w:r>
    </w:p>
    <w:p w14:paraId="170D05E5">
      <w:pPr>
        <w:spacing w:line="360" w:lineRule="auto"/>
        <w:ind w:firstLine="480" w:firstLineChars="200"/>
        <w:jc w:val="left"/>
        <w:rPr>
          <w:rFonts w:ascii="宋体" w:hAnsi="宋体" w:eastAsia="宋体" w:cs="黑体"/>
          <w:sz w:val="24"/>
          <w:szCs w:val="24"/>
        </w:rPr>
      </w:pPr>
      <w:r>
        <w:rPr>
          <w:rFonts w:hint="eastAsia" w:ascii="宋体" w:hAnsi="宋体" w:eastAsia="宋体" w:cs="黑体"/>
          <w:sz w:val="24"/>
          <w:szCs w:val="24"/>
        </w:rPr>
        <w:t>本合同中的下列词语应按以下内容进行解释：</w:t>
      </w:r>
    </w:p>
    <w:p w14:paraId="571BD06C">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2.1.1 “合同”系指采购人和中标供应商签订的载明双方当事人所达成的协议，并包括所有的附件、附录和构成合同的其他文件。</w:t>
      </w:r>
    </w:p>
    <w:p w14:paraId="7DEF302D">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2.1.2 “合同价”系指根据合同约定，中标供应商在完全履行合同义务后，采购人应支付给中标供应商的价格。</w:t>
      </w:r>
    </w:p>
    <w:p w14:paraId="0B50E786">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2.1.3 “货物”系指中标供应商根据合同约定应向采购人交付的一切各种形态和种类的物品，包括原材料、燃料、设备、机械、仪表、备件、计算机软件、产品等，并包括工具、手册等其他相关资料。</w:t>
      </w:r>
    </w:p>
    <w:p w14:paraId="135FDF70">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2.1.4 “甲方”系指与中标供应商签署合同的采购人；采购人委托采购代理机构代表其与乙方签订合同的，采购人的授权委托书作为合同附件。</w:t>
      </w:r>
    </w:p>
    <w:p w14:paraId="3E1C8F0E">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2.1.5 “乙方”系指根据合同约定交付货物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55D71C61">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2.1.6 “现场”系指合同约定货物将要运至或者安装的地点。</w:t>
      </w:r>
    </w:p>
    <w:p w14:paraId="597C53D5">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2.2 技术规范</w:t>
      </w:r>
    </w:p>
    <w:p w14:paraId="2336772A">
      <w:pPr>
        <w:spacing w:line="360" w:lineRule="auto"/>
        <w:ind w:firstLine="480" w:firstLineChars="200"/>
        <w:jc w:val="left"/>
        <w:rPr>
          <w:rFonts w:ascii="宋体" w:hAnsi="宋体" w:eastAsia="宋体" w:cs="黑体"/>
          <w:sz w:val="24"/>
          <w:szCs w:val="24"/>
        </w:rPr>
      </w:pPr>
      <w:r>
        <w:rPr>
          <w:rFonts w:hint="eastAsia" w:ascii="宋体" w:hAnsi="宋体" w:eastAsia="宋体" w:cs="黑体"/>
          <w:sz w:val="24"/>
          <w:szCs w:val="24"/>
        </w:rPr>
        <w:t>货物所应遵守的技术规范应与采购文件规定的技术规范和技术规范附件</w:t>
      </w:r>
      <w:r>
        <w:rPr>
          <w:rFonts w:ascii="宋体" w:hAnsi="宋体" w:eastAsia="宋体" w:cs="黑体"/>
          <w:sz w:val="24"/>
          <w:szCs w:val="24"/>
        </w:rPr>
        <w:t>(如果有的话)及其技术规范偏差表(如果被甲方接受的话)相一致；如果采购文件中没有技术规范的相应说明，那么应以国家有关部门最新颁布的相应标准和规范为准。</w:t>
      </w:r>
    </w:p>
    <w:p w14:paraId="0B42B279">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2.3 知识产权</w:t>
      </w:r>
    </w:p>
    <w:p w14:paraId="3A509265">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6B90E260">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2.3.2具有知识产权的计算机软件等货物的知识产权归属，详见合同专用条款。</w:t>
      </w:r>
    </w:p>
    <w:p w14:paraId="405CE9AD">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2.4 包装和装运</w:t>
      </w:r>
    </w:p>
    <w:p w14:paraId="6C2A4B6A">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2.4.1除合同专用条款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7B242E9E">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2.4.2 装运货物的要求和通知，详见合同专用条款。</w:t>
      </w:r>
    </w:p>
    <w:p w14:paraId="0DD9AC83">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2.5 履约检查和问题反馈</w:t>
      </w:r>
    </w:p>
    <w:p w14:paraId="78A15D78">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2.5.1甲方有权在其认为必要时，对乙方是否能够按照合同约定交付货物进行履约检查，以确保乙方所交付的货物能够依约满足甲方之项目需求，但不得因履约检查妨碍乙方的正常工作，乙方应予积极配合；</w:t>
      </w:r>
    </w:p>
    <w:p w14:paraId="61B813AC">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2.5.2 合同履行期间，甲方有权将履行过程中出现的问题反馈给乙方，双方当事人应以书面形式约定需要完善和改进的内容。</w:t>
      </w:r>
    </w:p>
    <w:p w14:paraId="6981FFC8">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2.6 结算方式和付款条件</w:t>
      </w:r>
    </w:p>
    <w:p w14:paraId="79CAA927">
      <w:pPr>
        <w:spacing w:line="360" w:lineRule="auto"/>
        <w:ind w:firstLine="480" w:firstLineChars="200"/>
        <w:jc w:val="left"/>
        <w:rPr>
          <w:rFonts w:ascii="宋体" w:hAnsi="宋体" w:eastAsia="宋体" w:cs="黑体"/>
          <w:sz w:val="24"/>
          <w:szCs w:val="24"/>
        </w:rPr>
      </w:pPr>
      <w:r>
        <w:rPr>
          <w:rFonts w:hint="eastAsia" w:ascii="宋体" w:hAnsi="宋体" w:eastAsia="宋体" w:cs="黑体"/>
          <w:sz w:val="24"/>
          <w:szCs w:val="24"/>
        </w:rPr>
        <w:t>详见合同专用条款。</w:t>
      </w:r>
    </w:p>
    <w:p w14:paraId="0494A049">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2.7 技术资料和保密义务</w:t>
      </w:r>
    </w:p>
    <w:p w14:paraId="4D071904">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2.7.1 乙方有权依据合同约定和项目需要，向甲方了解有关情况，调阅有关资料等，甲方应予积极配合；</w:t>
      </w:r>
    </w:p>
    <w:p w14:paraId="48DED7FE">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2.7.2 乙方有义务妥善保管和保护由甲方提供的前款信息和资料等；</w:t>
      </w:r>
    </w:p>
    <w:p w14:paraId="08AF3943">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4E70ED13">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2.8 质量保证</w:t>
      </w:r>
    </w:p>
    <w:p w14:paraId="1B34B39A">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2.8.1 乙方应建立和完善履行合同的内部质量保证体系，并提供相关内部规章制度给甲方，以便甲方进行监督检查；</w:t>
      </w:r>
    </w:p>
    <w:p w14:paraId="71C0E1E4">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2.8.2 乙方应保证履行合同的人员数量和素质、软件和硬件设备的配置、场地、环境和设施等满足全面履行合同的要求，并应接受甲方的监督检查。</w:t>
      </w:r>
    </w:p>
    <w:p w14:paraId="6E70B086">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2.9 货物的风险负担</w:t>
      </w:r>
    </w:p>
    <w:p w14:paraId="27429969">
      <w:pPr>
        <w:spacing w:line="360" w:lineRule="auto"/>
        <w:ind w:firstLine="480" w:firstLineChars="200"/>
        <w:jc w:val="left"/>
        <w:rPr>
          <w:rFonts w:ascii="宋体" w:hAnsi="宋体" w:eastAsia="宋体" w:cs="黑体"/>
          <w:sz w:val="24"/>
          <w:szCs w:val="24"/>
        </w:rPr>
      </w:pPr>
      <w:r>
        <w:rPr>
          <w:rFonts w:hint="eastAsia" w:ascii="宋体" w:hAnsi="宋体" w:eastAsia="宋体" w:cs="黑体"/>
          <w:sz w:val="24"/>
          <w:szCs w:val="24"/>
        </w:rPr>
        <w:t>货物或者在途货物或者交付给第一承运人后的货物毁损、灭失的风险负担详见合同专用条款。</w:t>
      </w:r>
    </w:p>
    <w:p w14:paraId="746597C7">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2.10 延迟交货</w:t>
      </w:r>
    </w:p>
    <w:p w14:paraId="40628EB8">
      <w:pPr>
        <w:spacing w:line="360" w:lineRule="auto"/>
        <w:ind w:firstLine="480" w:firstLineChars="200"/>
        <w:jc w:val="left"/>
        <w:rPr>
          <w:rFonts w:ascii="宋体" w:hAnsi="宋体" w:eastAsia="宋体" w:cs="黑体"/>
          <w:sz w:val="24"/>
          <w:szCs w:val="24"/>
        </w:rPr>
      </w:pPr>
      <w:r>
        <w:rPr>
          <w:rFonts w:hint="eastAsia" w:ascii="宋体" w:hAnsi="宋体" w:eastAsia="宋体" w:cs="黑体"/>
          <w:sz w:val="24"/>
          <w:szCs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57E52C08">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2.11 合同变更</w:t>
      </w:r>
    </w:p>
    <w:p w14:paraId="63343650">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2.11.1双方当事人协商一致，可以签订书面补充合同的形式变更合同，但不得违背采购文件确定的事项，且如果系追加与合同标的相同的货物的，那么所有补充合同的采购金额不得超过原合同价的10%；</w:t>
      </w:r>
    </w:p>
    <w:p w14:paraId="5FD55855">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2.11.2 合同继续履行将损害国家利益和社会公共利益的，双方当事人应当以书面形式变更合同。有过错的一方应当承担赔偿责任，双方当事人都有过错的，各自承担相应的责任。</w:t>
      </w:r>
    </w:p>
    <w:p w14:paraId="35DAB1CB">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2.12 合同转让和分包</w:t>
      </w:r>
    </w:p>
    <w:p w14:paraId="462CCA85">
      <w:pPr>
        <w:spacing w:line="360" w:lineRule="auto"/>
        <w:ind w:firstLine="480" w:firstLineChars="200"/>
        <w:jc w:val="left"/>
        <w:rPr>
          <w:rFonts w:ascii="宋体" w:hAnsi="宋体" w:eastAsia="宋体" w:cs="黑体"/>
          <w:sz w:val="24"/>
          <w:szCs w:val="24"/>
        </w:rPr>
      </w:pPr>
      <w:r>
        <w:rPr>
          <w:rFonts w:hint="eastAsia" w:ascii="宋体" w:hAnsi="宋体" w:eastAsia="宋体" w:cs="黑体"/>
          <w:sz w:val="24"/>
          <w:szCs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09C372AD">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2.13 不可抗力</w:t>
      </w:r>
    </w:p>
    <w:p w14:paraId="7B8C4092">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2.13.1如果任何一方遭遇法律规定的不可抗力，致使合同履行受阻时，履行合同的期限应予延长，延长的期限应相当于不可抗力所影响的时间；</w:t>
      </w:r>
    </w:p>
    <w:p w14:paraId="0EC4C393">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2.13.2 因不可抗力致使不能实现合同目的的，当事人可以解除合同；</w:t>
      </w:r>
    </w:p>
    <w:p w14:paraId="2BCE8333">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2.13.3 因不可抗力致使合同有变更必要的，双方当事人应在合同专用条款约定时间内以书面形式变更合同；</w:t>
      </w:r>
    </w:p>
    <w:p w14:paraId="0CA7DDC7">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2.13.4受不可抗力影响的一方在不可抗力发生后，应在合同专用条款约定时间内以书面形式通知对方当事人，并在合同专用条款约定时间内，将有关部门出具的证明文件送达对方当事人。</w:t>
      </w:r>
    </w:p>
    <w:p w14:paraId="7DAA35E4">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2.14 税费</w:t>
      </w:r>
    </w:p>
    <w:p w14:paraId="32417F1D">
      <w:pPr>
        <w:spacing w:line="360" w:lineRule="auto"/>
        <w:ind w:firstLine="480" w:firstLineChars="200"/>
        <w:jc w:val="left"/>
        <w:rPr>
          <w:rFonts w:ascii="宋体" w:hAnsi="宋体" w:eastAsia="宋体" w:cs="黑体"/>
          <w:sz w:val="24"/>
          <w:szCs w:val="24"/>
        </w:rPr>
      </w:pPr>
      <w:r>
        <w:rPr>
          <w:rFonts w:hint="eastAsia" w:ascii="宋体" w:hAnsi="宋体" w:eastAsia="宋体" w:cs="黑体"/>
          <w:sz w:val="24"/>
          <w:szCs w:val="24"/>
        </w:rPr>
        <w:t>与合同有关的一切税费，均按照中华人民共和国法律的相关规定。</w:t>
      </w:r>
    </w:p>
    <w:p w14:paraId="1762FD5E">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2.15 乙方破产</w:t>
      </w:r>
    </w:p>
    <w:p w14:paraId="7E2E56D9">
      <w:pPr>
        <w:spacing w:line="360" w:lineRule="auto"/>
        <w:ind w:firstLine="480" w:firstLineChars="200"/>
        <w:jc w:val="left"/>
        <w:rPr>
          <w:rFonts w:ascii="宋体" w:hAnsi="宋体" w:eastAsia="宋体" w:cs="黑体"/>
          <w:sz w:val="24"/>
          <w:szCs w:val="24"/>
        </w:rPr>
      </w:pPr>
      <w:r>
        <w:rPr>
          <w:rFonts w:hint="eastAsia" w:ascii="宋体" w:hAnsi="宋体" w:eastAsia="宋体" w:cs="黑体"/>
          <w:sz w:val="24"/>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468EE17">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2.16 合同中止、终止</w:t>
      </w:r>
    </w:p>
    <w:p w14:paraId="34B8C1B7">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2.16.1 双方当事人不得擅自中止或者终止合同；</w:t>
      </w:r>
    </w:p>
    <w:p w14:paraId="176359A3">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2.16.2合同继续履行将损害国家利益和社会公共利益的，双方当事人应当中止或者终止合同。有过错的一方应当承担赔偿责任，双方当事人都有过错的，各自承担相应的责任。</w:t>
      </w:r>
    </w:p>
    <w:p w14:paraId="4754FDA8">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2.17 检验和验收</w:t>
      </w:r>
    </w:p>
    <w:p w14:paraId="5986ED04">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2.17.1货物交付前，乙方应对货物的质量、数量等方面进行详细、全面的检验，并向甲方出具证明货物符合合同约定的文件；货物交付时，乙方在合同专用条款约定时间内组织验收，并可依法邀请相关方参加，验收应出具验收书。</w:t>
      </w:r>
    </w:p>
    <w:p w14:paraId="5E172A9A">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72A09632">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2.17.3 检验和验收标准、程序等具体内容以及前述验收书的效力详见合同专用条款。</w:t>
      </w:r>
    </w:p>
    <w:p w14:paraId="70E9931F">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2.18 通知和送达</w:t>
      </w:r>
    </w:p>
    <w:p w14:paraId="017CDC92">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2.18.1 任何一方因履行合同而以合同第一部分尾部所列明的          发出的所有通知、文件、材料，均视为已向对方当事人送达；任何一方变更上述送达方式或者地址的，应于   个工作日内书面通知对方当事人，在对方当事人收到有关变更通知之前，变更前的约定送达方式或者地址仍视为有效。</w:t>
      </w:r>
    </w:p>
    <w:p w14:paraId="5ADAB7AF">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p>
    <w:p w14:paraId="2861DFC9">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2.19 计量单位</w:t>
      </w:r>
    </w:p>
    <w:p w14:paraId="377E7C23">
      <w:pPr>
        <w:spacing w:line="360" w:lineRule="auto"/>
        <w:ind w:firstLine="480" w:firstLineChars="200"/>
        <w:jc w:val="left"/>
        <w:rPr>
          <w:rFonts w:ascii="宋体" w:hAnsi="宋体" w:eastAsia="宋体" w:cs="黑体"/>
          <w:sz w:val="24"/>
          <w:szCs w:val="24"/>
        </w:rPr>
      </w:pPr>
      <w:r>
        <w:rPr>
          <w:rFonts w:hint="eastAsia" w:ascii="宋体" w:hAnsi="宋体" w:eastAsia="宋体" w:cs="黑体"/>
          <w:sz w:val="24"/>
          <w:szCs w:val="24"/>
        </w:rPr>
        <w:t>除技术规范中另有规定外</w:t>
      </w:r>
      <w:r>
        <w:rPr>
          <w:rFonts w:ascii="宋体" w:hAnsi="宋体" w:eastAsia="宋体" w:cs="黑体"/>
          <w:sz w:val="24"/>
          <w:szCs w:val="24"/>
        </w:rPr>
        <w:t>,合同的计量单位均使用国家法定计量单位。</w:t>
      </w:r>
    </w:p>
    <w:p w14:paraId="77D03238">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2.20 合同使用的文字和适用的法律</w:t>
      </w:r>
    </w:p>
    <w:p w14:paraId="3729A7A2">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2.20.1 合同使用汉语书就、变更和解释；</w:t>
      </w:r>
    </w:p>
    <w:p w14:paraId="4C4CDDAD">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2.20.2 合同适用中华人民共和国法律。</w:t>
      </w:r>
    </w:p>
    <w:p w14:paraId="4EEEB26A">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2.21 履约保证金</w:t>
      </w:r>
    </w:p>
    <w:p w14:paraId="67FADE01">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2.21.1 采购文件要求乙方提交履约保证金的，乙方应按合同专用条款约定的方式，以支票、汇票、本票或者金融机构、担保机构出具的保函等非现金形式，提交不超过合同价10%的履约保证金；</w:t>
      </w:r>
    </w:p>
    <w:p w14:paraId="3B823D62">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2.21.2  履约保证金在合同专用条款约定期间内或者货物质量保证期内不予退还或者应完全有效，前述约定期间届满或者货物质量保证期届满之日起  个工作日内，甲方应将履约保证金退还乙方；</w:t>
      </w:r>
    </w:p>
    <w:p w14:paraId="6C1B5372">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855863C">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2.22 合同份数</w:t>
      </w:r>
    </w:p>
    <w:p w14:paraId="500C649B">
      <w:pPr>
        <w:spacing w:line="360" w:lineRule="auto"/>
        <w:ind w:firstLine="480" w:firstLineChars="200"/>
        <w:jc w:val="left"/>
        <w:rPr>
          <w:rFonts w:ascii="宋体" w:hAnsi="宋体" w:eastAsia="宋体" w:cs="黑体"/>
          <w:sz w:val="24"/>
          <w:szCs w:val="24"/>
        </w:rPr>
      </w:pPr>
      <w:r>
        <w:rPr>
          <w:rFonts w:hint="eastAsia" w:ascii="宋体" w:hAnsi="宋体" w:eastAsia="宋体" w:cs="黑体"/>
          <w:sz w:val="24"/>
          <w:szCs w:val="24"/>
        </w:rPr>
        <w:t>合同份数按合同专用条款规定，每份均具有同等法律效力。</w:t>
      </w:r>
    </w:p>
    <w:p w14:paraId="6C0B71D5">
      <w:pPr>
        <w:spacing w:line="560" w:lineRule="exact"/>
        <w:ind w:firstLine="480" w:firstLineChars="200"/>
        <w:rPr>
          <w:rFonts w:ascii="宋体" w:hAnsi="宋体" w:eastAsia="宋体" w:cs="Times New Roman"/>
          <w:sz w:val="24"/>
          <w:szCs w:val="24"/>
        </w:rPr>
      </w:pPr>
      <w:r>
        <w:rPr>
          <w:rFonts w:ascii="宋体" w:hAnsi="宋体" w:eastAsia="宋体" w:cs="黑体"/>
          <w:sz w:val="24"/>
          <w:szCs w:val="24"/>
        </w:rPr>
        <w:br w:type="page"/>
      </w:r>
    </w:p>
    <w:p w14:paraId="60883A23">
      <w:pPr>
        <w:spacing w:line="360" w:lineRule="auto"/>
        <w:jc w:val="center"/>
        <w:outlineLvl w:val="1"/>
        <w:rPr>
          <w:rFonts w:ascii="宋体" w:hAnsi="宋体" w:eastAsia="宋体" w:cs="黑体"/>
          <w:b/>
          <w:sz w:val="28"/>
          <w:szCs w:val="24"/>
        </w:rPr>
      </w:pPr>
      <w:bookmarkStart w:id="56" w:name="_Toc197514560"/>
      <w:bookmarkStart w:id="57" w:name="_Toc200016465"/>
      <w:r>
        <w:rPr>
          <w:rFonts w:hint="eastAsia" w:ascii="宋体" w:hAnsi="宋体" w:eastAsia="宋体" w:cs="黑体"/>
          <w:b/>
          <w:sz w:val="28"/>
          <w:szCs w:val="24"/>
        </w:rPr>
        <w:t xml:space="preserve">第三部分 </w:t>
      </w:r>
      <w:r>
        <w:rPr>
          <w:rFonts w:ascii="宋体" w:hAnsi="宋体" w:eastAsia="宋体" w:cs="黑体"/>
          <w:b/>
          <w:sz w:val="28"/>
          <w:szCs w:val="24"/>
        </w:rPr>
        <w:t>合同专用条款</w:t>
      </w:r>
      <w:bookmarkEnd w:id="56"/>
      <w:bookmarkEnd w:id="57"/>
    </w:p>
    <w:p w14:paraId="422AAF26">
      <w:pPr>
        <w:spacing w:line="360" w:lineRule="auto"/>
        <w:ind w:firstLine="480" w:firstLineChars="200"/>
        <w:jc w:val="left"/>
        <w:rPr>
          <w:rFonts w:ascii="宋体" w:hAnsi="宋体" w:eastAsia="宋体" w:cs="黑体"/>
          <w:sz w:val="24"/>
          <w:szCs w:val="24"/>
        </w:rPr>
      </w:pPr>
      <w:r>
        <w:rPr>
          <w:rFonts w:hint="eastAsia" w:ascii="宋体" w:hAnsi="宋体" w:eastAsia="宋体" w:cs="黑体"/>
          <w:sz w:val="24"/>
          <w:szCs w:val="24"/>
        </w:rPr>
        <w:t>本部分是对前两部分的补充和修改，如果前两部分和本部分的约定不一致，应以本部分的约定为准。</w:t>
      </w:r>
    </w:p>
    <w:tbl>
      <w:tblPr>
        <w:tblStyle w:val="38"/>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71"/>
        <w:gridCol w:w="4247"/>
        <w:gridCol w:w="4008"/>
      </w:tblGrid>
      <w:tr w14:paraId="3BCB9B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477" w:type="pct"/>
            <w:tcBorders>
              <w:left w:val="single" w:color="auto" w:sz="4" w:space="0"/>
            </w:tcBorders>
            <w:vAlign w:val="center"/>
          </w:tcPr>
          <w:p w14:paraId="70B1F2D6">
            <w:pPr>
              <w:spacing w:line="560" w:lineRule="exact"/>
              <w:jc w:val="center"/>
              <w:rPr>
                <w:rFonts w:ascii="宋体" w:hAnsi="宋体" w:eastAsia="宋体" w:cs="Times New Roman"/>
                <w:b/>
                <w:color w:val="000000"/>
                <w:szCs w:val="21"/>
              </w:rPr>
            </w:pPr>
            <w:r>
              <w:rPr>
                <w:rFonts w:hint="eastAsia" w:ascii="宋体" w:hAnsi="宋体" w:eastAsia="宋体" w:cs="Times New Roman"/>
                <w:b/>
                <w:color w:val="000000"/>
                <w:szCs w:val="21"/>
              </w:rPr>
              <w:t>序</w:t>
            </w:r>
            <w:r>
              <w:rPr>
                <w:rFonts w:ascii="宋体" w:hAnsi="宋体" w:eastAsia="宋体" w:cs="Times New Roman"/>
                <w:b/>
                <w:color w:val="000000"/>
                <w:szCs w:val="21"/>
              </w:rPr>
              <w:t>号</w:t>
            </w:r>
          </w:p>
        </w:tc>
        <w:tc>
          <w:tcPr>
            <w:tcW w:w="4523" w:type="pct"/>
            <w:gridSpan w:val="2"/>
            <w:vAlign w:val="center"/>
          </w:tcPr>
          <w:p w14:paraId="38AA433B">
            <w:pPr>
              <w:spacing w:line="560" w:lineRule="exact"/>
              <w:jc w:val="center"/>
              <w:rPr>
                <w:rFonts w:ascii="宋体" w:hAnsi="宋体" w:eastAsia="宋体" w:cs="Times New Roman"/>
                <w:b/>
                <w:color w:val="000000"/>
                <w:szCs w:val="21"/>
              </w:rPr>
            </w:pPr>
            <w:r>
              <w:rPr>
                <w:rFonts w:ascii="宋体" w:hAnsi="宋体" w:eastAsia="宋体" w:cs="Times New Roman"/>
                <w:b/>
                <w:color w:val="000000"/>
                <w:szCs w:val="21"/>
              </w:rPr>
              <w:t>约定内容</w:t>
            </w:r>
          </w:p>
        </w:tc>
      </w:tr>
      <w:tr w14:paraId="39A1F2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77" w:type="pct"/>
            <w:tcBorders>
              <w:left w:val="single" w:color="auto" w:sz="4" w:space="0"/>
            </w:tcBorders>
            <w:vAlign w:val="center"/>
          </w:tcPr>
          <w:p w14:paraId="10B1E1D1">
            <w:pPr>
              <w:spacing w:line="560" w:lineRule="exact"/>
              <w:jc w:val="center"/>
              <w:rPr>
                <w:rFonts w:ascii="宋体" w:hAnsi="宋体" w:eastAsia="宋体" w:cs="Times New Roman"/>
                <w:color w:val="000000"/>
                <w:szCs w:val="21"/>
              </w:rPr>
            </w:pPr>
            <w:r>
              <w:rPr>
                <w:rFonts w:hint="eastAsia" w:ascii="宋体" w:hAnsi="宋体" w:eastAsia="宋体" w:cs="Times New Roman"/>
                <w:color w:val="000000"/>
                <w:szCs w:val="21"/>
              </w:rPr>
              <w:t>1</w:t>
            </w:r>
          </w:p>
        </w:tc>
        <w:tc>
          <w:tcPr>
            <w:tcW w:w="2327" w:type="pct"/>
            <w:tcBorders>
              <w:right w:val="single" w:color="auto" w:sz="4" w:space="0"/>
            </w:tcBorders>
            <w:vAlign w:val="center"/>
          </w:tcPr>
          <w:p w14:paraId="476A65A4">
            <w:pPr>
              <w:snapToGrid w:val="0"/>
              <w:spacing w:after="120" w:line="400" w:lineRule="exact"/>
              <w:jc w:val="center"/>
              <w:rPr>
                <w:rFonts w:ascii="宋体" w:hAnsi="宋体" w:eastAsia="宋体" w:cs="Times New Roman"/>
                <w:color w:val="000000"/>
                <w:szCs w:val="21"/>
              </w:rPr>
            </w:pPr>
            <w:r>
              <w:rPr>
                <w:rFonts w:hint="eastAsia" w:ascii="宋体" w:hAnsi="宋体" w:eastAsia="宋体" w:cs="Times New Roman"/>
                <w:color w:val="000000"/>
                <w:szCs w:val="21"/>
              </w:rPr>
              <w:t>项目现场</w:t>
            </w:r>
          </w:p>
        </w:tc>
        <w:tc>
          <w:tcPr>
            <w:tcW w:w="2196" w:type="pct"/>
            <w:tcBorders>
              <w:left w:val="single" w:color="auto" w:sz="4" w:space="0"/>
            </w:tcBorders>
            <w:vAlign w:val="center"/>
          </w:tcPr>
          <w:p w14:paraId="66A18501">
            <w:pPr>
              <w:snapToGrid w:val="0"/>
              <w:spacing w:after="120" w:line="400" w:lineRule="exact"/>
              <w:jc w:val="left"/>
              <w:rPr>
                <w:rFonts w:ascii="宋体" w:hAnsi="宋体" w:eastAsia="宋体" w:cs="Times New Roman"/>
                <w:color w:val="000000"/>
                <w:szCs w:val="21"/>
              </w:rPr>
            </w:pPr>
            <w:r>
              <w:rPr>
                <w:rFonts w:hint="eastAsia" w:ascii="宋体" w:hAnsi="宋体" w:eastAsia="宋体" w:cs="Times New Roman"/>
                <w:color w:val="000000"/>
                <w:szCs w:val="21"/>
              </w:rPr>
              <w:t>甲方指定地点</w:t>
            </w:r>
          </w:p>
        </w:tc>
      </w:tr>
      <w:tr w14:paraId="0F925A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7" w:type="pct"/>
            <w:tcBorders>
              <w:left w:val="single" w:color="auto" w:sz="4" w:space="0"/>
            </w:tcBorders>
            <w:vAlign w:val="center"/>
          </w:tcPr>
          <w:p w14:paraId="6475A7B6">
            <w:pPr>
              <w:spacing w:line="560" w:lineRule="exact"/>
              <w:jc w:val="center"/>
              <w:rPr>
                <w:rFonts w:ascii="宋体" w:hAnsi="宋体" w:eastAsia="宋体" w:cs="Times New Roman"/>
                <w:color w:val="000000"/>
                <w:szCs w:val="21"/>
              </w:rPr>
            </w:pPr>
            <w:r>
              <w:rPr>
                <w:rFonts w:hint="eastAsia" w:ascii="宋体" w:hAnsi="宋体" w:eastAsia="宋体" w:cs="Times New Roman"/>
                <w:color w:val="000000"/>
                <w:szCs w:val="21"/>
              </w:rPr>
              <w:t>2</w:t>
            </w:r>
          </w:p>
        </w:tc>
        <w:tc>
          <w:tcPr>
            <w:tcW w:w="2327" w:type="pct"/>
            <w:vMerge w:val="restart"/>
            <w:tcBorders>
              <w:right w:val="single" w:color="auto" w:sz="4" w:space="0"/>
            </w:tcBorders>
            <w:vAlign w:val="center"/>
          </w:tcPr>
          <w:p w14:paraId="038EA6FF">
            <w:pPr>
              <w:snapToGrid w:val="0"/>
              <w:spacing w:after="120" w:line="400" w:lineRule="exact"/>
              <w:jc w:val="center"/>
              <w:rPr>
                <w:rFonts w:ascii="宋体" w:hAnsi="宋体" w:eastAsia="宋体" w:cs="Times New Roman"/>
                <w:color w:val="000000"/>
                <w:szCs w:val="21"/>
              </w:rPr>
            </w:pPr>
            <w:r>
              <w:rPr>
                <w:rFonts w:hint="eastAsia" w:ascii="宋体" w:hAnsi="宋体" w:eastAsia="宋体" w:cs="Times New Roman"/>
                <w:color w:val="000000"/>
                <w:szCs w:val="21"/>
              </w:rPr>
              <w:t>履行合同</w:t>
            </w:r>
          </w:p>
        </w:tc>
        <w:tc>
          <w:tcPr>
            <w:tcW w:w="2196" w:type="pct"/>
            <w:tcBorders>
              <w:left w:val="single" w:color="auto" w:sz="4" w:space="0"/>
            </w:tcBorders>
            <w:vAlign w:val="center"/>
          </w:tcPr>
          <w:p w14:paraId="44A2CE01">
            <w:pPr>
              <w:snapToGrid w:val="0"/>
              <w:spacing w:after="120" w:line="400" w:lineRule="exact"/>
              <w:jc w:val="left"/>
              <w:rPr>
                <w:rFonts w:ascii="宋体" w:hAnsi="宋体" w:eastAsia="宋体" w:cs="Times New Roman"/>
                <w:color w:val="000000"/>
                <w:szCs w:val="21"/>
              </w:rPr>
            </w:pPr>
            <w:r>
              <w:rPr>
                <w:rFonts w:hint="eastAsia" w:ascii="宋体" w:hAnsi="宋体" w:eastAsia="宋体" w:cs="仿宋"/>
                <w:szCs w:val="21"/>
              </w:rPr>
              <w:t>合同履约期限：</w:t>
            </w:r>
          </w:p>
        </w:tc>
      </w:tr>
      <w:tr w14:paraId="6BBA0A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7" w:type="pct"/>
            <w:tcBorders>
              <w:left w:val="single" w:color="auto" w:sz="4" w:space="0"/>
            </w:tcBorders>
            <w:vAlign w:val="center"/>
          </w:tcPr>
          <w:p w14:paraId="049C7BF3">
            <w:pPr>
              <w:spacing w:line="560" w:lineRule="exact"/>
              <w:jc w:val="center"/>
              <w:rPr>
                <w:rFonts w:ascii="宋体" w:hAnsi="宋体" w:eastAsia="宋体" w:cs="Times New Roman"/>
                <w:color w:val="000000"/>
                <w:szCs w:val="21"/>
              </w:rPr>
            </w:pPr>
            <w:r>
              <w:rPr>
                <w:rFonts w:hint="eastAsia" w:ascii="宋体" w:hAnsi="宋体" w:eastAsia="宋体" w:cs="Times New Roman"/>
                <w:color w:val="000000"/>
                <w:szCs w:val="21"/>
              </w:rPr>
              <w:t>3</w:t>
            </w:r>
          </w:p>
        </w:tc>
        <w:tc>
          <w:tcPr>
            <w:tcW w:w="2327" w:type="pct"/>
            <w:vMerge w:val="continue"/>
            <w:tcBorders>
              <w:right w:val="single" w:color="auto" w:sz="4" w:space="0"/>
            </w:tcBorders>
            <w:vAlign w:val="center"/>
          </w:tcPr>
          <w:p w14:paraId="074EFD61">
            <w:pPr>
              <w:snapToGrid w:val="0"/>
              <w:spacing w:after="120" w:line="400" w:lineRule="exact"/>
              <w:ind w:firstLine="480"/>
              <w:jc w:val="center"/>
              <w:rPr>
                <w:rFonts w:ascii="宋体" w:hAnsi="宋体" w:eastAsia="宋体" w:cs="Times New Roman"/>
                <w:color w:val="000000"/>
                <w:szCs w:val="21"/>
              </w:rPr>
            </w:pPr>
          </w:p>
        </w:tc>
        <w:tc>
          <w:tcPr>
            <w:tcW w:w="2196" w:type="pct"/>
            <w:tcBorders>
              <w:left w:val="single" w:color="auto" w:sz="4" w:space="0"/>
            </w:tcBorders>
            <w:vAlign w:val="center"/>
          </w:tcPr>
          <w:p w14:paraId="38605C42">
            <w:pPr>
              <w:snapToGrid w:val="0"/>
              <w:spacing w:after="120" w:line="400" w:lineRule="exact"/>
              <w:jc w:val="left"/>
              <w:rPr>
                <w:rFonts w:ascii="宋体" w:hAnsi="宋体" w:eastAsia="宋体" w:cs="Times New Roman"/>
                <w:color w:val="000000"/>
                <w:szCs w:val="21"/>
              </w:rPr>
            </w:pPr>
            <w:r>
              <w:rPr>
                <w:rFonts w:hint="eastAsia" w:ascii="宋体" w:hAnsi="宋体" w:eastAsia="宋体" w:cs="Times New Roman"/>
                <w:color w:val="000000"/>
                <w:szCs w:val="21"/>
              </w:rPr>
              <w:t>交货地点：甲方指定地点</w:t>
            </w:r>
          </w:p>
        </w:tc>
      </w:tr>
      <w:tr w14:paraId="444B22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7" w:type="pct"/>
            <w:tcBorders>
              <w:left w:val="single" w:color="auto" w:sz="4" w:space="0"/>
            </w:tcBorders>
            <w:vAlign w:val="center"/>
          </w:tcPr>
          <w:p w14:paraId="5264D9C2">
            <w:pPr>
              <w:spacing w:line="560" w:lineRule="exact"/>
              <w:jc w:val="center"/>
              <w:rPr>
                <w:rFonts w:ascii="宋体" w:hAnsi="宋体" w:eastAsia="宋体" w:cs="Times New Roman"/>
                <w:color w:val="000000"/>
                <w:szCs w:val="21"/>
              </w:rPr>
            </w:pPr>
            <w:r>
              <w:rPr>
                <w:rFonts w:hint="eastAsia" w:ascii="宋体" w:hAnsi="宋体" w:eastAsia="宋体" w:cs="Times New Roman"/>
                <w:color w:val="000000"/>
                <w:szCs w:val="21"/>
              </w:rPr>
              <w:t>4</w:t>
            </w:r>
          </w:p>
        </w:tc>
        <w:tc>
          <w:tcPr>
            <w:tcW w:w="2327" w:type="pct"/>
            <w:tcBorders>
              <w:right w:val="single" w:color="auto" w:sz="4" w:space="0"/>
            </w:tcBorders>
            <w:vAlign w:val="center"/>
          </w:tcPr>
          <w:p w14:paraId="6440400C">
            <w:pPr>
              <w:snapToGrid w:val="0"/>
              <w:spacing w:after="120" w:line="400" w:lineRule="exact"/>
              <w:jc w:val="center"/>
              <w:rPr>
                <w:rFonts w:ascii="宋体" w:hAnsi="宋体" w:eastAsia="宋体" w:cs="Times New Roman"/>
                <w:color w:val="000000"/>
                <w:szCs w:val="21"/>
              </w:rPr>
            </w:pPr>
            <w:r>
              <w:rPr>
                <w:rFonts w:hint="eastAsia" w:ascii="宋体" w:hAnsi="宋体" w:eastAsia="宋体" w:cs="Times New Roman"/>
                <w:color w:val="000000"/>
                <w:szCs w:val="21"/>
              </w:rPr>
              <w:t>质量保证期</w:t>
            </w:r>
          </w:p>
        </w:tc>
        <w:tc>
          <w:tcPr>
            <w:tcW w:w="2196" w:type="pct"/>
            <w:tcBorders>
              <w:left w:val="single" w:color="auto" w:sz="4" w:space="0"/>
            </w:tcBorders>
            <w:vAlign w:val="center"/>
          </w:tcPr>
          <w:p w14:paraId="081B223C">
            <w:pPr>
              <w:snapToGrid w:val="0"/>
              <w:spacing w:after="120" w:line="400" w:lineRule="exact"/>
              <w:jc w:val="left"/>
              <w:rPr>
                <w:rFonts w:ascii="宋体" w:hAnsi="宋体" w:eastAsia="宋体" w:cs="Times New Roman"/>
                <w:color w:val="000000"/>
                <w:szCs w:val="21"/>
              </w:rPr>
            </w:pPr>
            <w:r>
              <w:rPr>
                <w:rFonts w:hint="eastAsia" w:ascii="宋体" w:hAnsi="宋体" w:eastAsia="宋体" w:cs="Times New Roman"/>
                <w:color w:val="000000"/>
                <w:szCs w:val="21"/>
              </w:rPr>
              <w:t>质保期（），采购需求中另有要求的按采购需求执行</w:t>
            </w:r>
          </w:p>
        </w:tc>
      </w:tr>
      <w:tr w14:paraId="26B89E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7" w:type="pct"/>
            <w:tcBorders>
              <w:left w:val="single" w:color="auto" w:sz="4" w:space="0"/>
            </w:tcBorders>
            <w:vAlign w:val="center"/>
          </w:tcPr>
          <w:p w14:paraId="720349EB">
            <w:pPr>
              <w:spacing w:line="560" w:lineRule="exact"/>
              <w:jc w:val="center"/>
              <w:rPr>
                <w:rFonts w:ascii="宋体" w:hAnsi="宋体" w:eastAsia="宋体" w:cs="Times New Roman"/>
                <w:color w:val="000000"/>
                <w:szCs w:val="21"/>
              </w:rPr>
            </w:pPr>
            <w:r>
              <w:rPr>
                <w:rFonts w:hint="eastAsia" w:ascii="宋体" w:hAnsi="宋体" w:eastAsia="宋体" w:cs="Times New Roman"/>
                <w:color w:val="000000"/>
                <w:szCs w:val="21"/>
              </w:rPr>
              <w:t>5</w:t>
            </w:r>
          </w:p>
        </w:tc>
        <w:tc>
          <w:tcPr>
            <w:tcW w:w="2327" w:type="pct"/>
            <w:tcBorders>
              <w:right w:val="single" w:color="auto" w:sz="4" w:space="0"/>
            </w:tcBorders>
            <w:vAlign w:val="center"/>
          </w:tcPr>
          <w:p w14:paraId="416E4979">
            <w:pPr>
              <w:snapToGrid w:val="0"/>
              <w:spacing w:after="120" w:line="400" w:lineRule="exact"/>
              <w:jc w:val="center"/>
              <w:rPr>
                <w:rFonts w:ascii="宋体" w:hAnsi="宋体" w:eastAsia="宋体" w:cs="Times New Roman"/>
                <w:color w:val="000000"/>
                <w:szCs w:val="21"/>
              </w:rPr>
            </w:pPr>
            <w:r>
              <w:rPr>
                <w:rFonts w:hint="eastAsia" w:ascii="宋体" w:hAnsi="宋体" w:eastAsia="宋体" w:cs="Times New Roman"/>
                <w:color w:val="000000"/>
                <w:szCs w:val="21"/>
              </w:rPr>
              <w:t>响应时间</w:t>
            </w:r>
          </w:p>
        </w:tc>
        <w:tc>
          <w:tcPr>
            <w:tcW w:w="2196" w:type="pct"/>
            <w:tcBorders>
              <w:left w:val="single" w:color="auto" w:sz="4" w:space="0"/>
            </w:tcBorders>
            <w:vAlign w:val="center"/>
          </w:tcPr>
          <w:p w14:paraId="65C702FA">
            <w:pPr>
              <w:snapToGrid w:val="0"/>
              <w:spacing w:after="120" w:line="400" w:lineRule="exact"/>
              <w:jc w:val="left"/>
              <w:rPr>
                <w:rFonts w:ascii="宋体" w:hAnsi="宋体" w:eastAsia="宋体" w:cs="Times New Roman"/>
                <w:color w:val="000000"/>
                <w:szCs w:val="21"/>
              </w:rPr>
            </w:pPr>
            <w:r>
              <w:rPr>
                <w:rFonts w:hint="eastAsia" w:ascii="宋体" w:hAnsi="宋体" w:eastAsia="宋体" w:cs="Times New Roman"/>
                <w:color w:val="000000"/>
                <w:szCs w:val="21"/>
              </w:rPr>
              <w:t>7*24小时</w:t>
            </w:r>
          </w:p>
        </w:tc>
      </w:tr>
      <w:tr w14:paraId="47FD7D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7" w:type="pct"/>
            <w:tcBorders>
              <w:left w:val="single" w:color="auto" w:sz="4" w:space="0"/>
            </w:tcBorders>
            <w:vAlign w:val="center"/>
          </w:tcPr>
          <w:p w14:paraId="69067A3C">
            <w:pPr>
              <w:spacing w:line="560" w:lineRule="exact"/>
              <w:jc w:val="center"/>
              <w:rPr>
                <w:rFonts w:ascii="宋体" w:hAnsi="宋体" w:eastAsia="宋体" w:cs="Times New Roman"/>
                <w:color w:val="000000"/>
                <w:szCs w:val="21"/>
              </w:rPr>
            </w:pPr>
            <w:r>
              <w:rPr>
                <w:rFonts w:hint="eastAsia" w:ascii="宋体" w:hAnsi="宋体" w:eastAsia="宋体" w:cs="Times New Roman"/>
                <w:color w:val="000000"/>
                <w:szCs w:val="21"/>
              </w:rPr>
              <w:t>6</w:t>
            </w:r>
          </w:p>
        </w:tc>
        <w:tc>
          <w:tcPr>
            <w:tcW w:w="2327" w:type="pct"/>
            <w:tcBorders>
              <w:right w:val="single" w:color="auto" w:sz="4" w:space="0"/>
            </w:tcBorders>
            <w:vAlign w:val="center"/>
          </w:tcPr>
          <w:p w14:paraId="3CFF2860">
            <w:pPr>
              <w:snapToGrid w:val="0"/>
              <w:spacing w:after="120" w:line="400" w:lineRule="exact"/>
              <w:jc w:val="center"/>
              <w:rPr>
                <w:rFonts w:ascii="宋体" w:hAnsi="宋体" w:eastAsia="宋体" w:cs="Times New Roman"/>
                <w:color w:val="000000"/>
                <w:szCs w:val="21"/>
              </w:rPr>
            </w:pPr>
            <w:r>
              <w:rPr>
                <w:rFonts w:hint="eastAsia" w:ascii="宋体" w:hAnsi="宋体" w:eastAsia="宋体" w:cs="Times New Roman"/>
                <w:color w:val="000000"/>
                <w:szCs w:val="21"/>
              </w:rPr>
              <w:t>合同价款支付方式和条件</w:t>
            </w:r>
          </w:p>
        </w:tc>
        <w:tc>
          <w:tcPr>
            <w:tcW w:w="2196" w:type="pct"/>
            <w:tcBorders>
              <w:left w:val="single" w:color="auto" w:sz="4" w:space="0"/>
            </w:tcBorders>
            <w:vAlign w:val="center"/>
          </w:tcPr>
          <w:p w14:paraId="403D07B0">
            <w:pPr>
              <w:snapToGrid w:val="0"/>
              <w:spacing w:after="120" w:line="400" w:lineRule="exact"/>
              <w:jc w:val="left"/>
              <w:rPr>
                <w:rFonts w:ascii="宋体" w:hAnsi="宋体" w:eastAsia="宋体" w:cs="Times New Roman"/>
                <w:color w:val="000000"/>
                <w:szCs w:val="21"/>
              </w:rPr>
            </w:pPr>
            <w:r>
              <w:rPr>
                <w:rFonts w:ascii="宋体" w:hAnsi="宋体" w:eastAsia="宋体" w:cs="Times New Roman"/>
                <w:color w:val="000000"/>
                <w:szCs w:val="21"/>
              </w:rPr>
              <w:t>以实际签订为准</w:t>
            </w:r>
          </w:p>
        </w:tc>
      </w:tr>
      <w:tr w14:paraId="56A83C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7" w:type="pct"/>
            <w:tcBorders>
              <w:left w:val="single" w:color="auto" w:sz="4" w:space="0"/>
            </w:tcBorders>
            <w:vAlign w:val="center"/>
          </w:tcPr>
          <w:p w14:paraId="13A1E7B2">
            <w:pPr>
              <w:spacing w:line="560" w:lineRule="exact"/>
              <w:jc w:val="center"/>
              <w:rPr>
                <w:rFonts w:ascii="宋体" w:hAnsi="宋体" w:eastAsia="宋体" w:cs="Times New Roman"/>
                <w:color w:val="000000"/>
                <w:szCs w:val="21"/>
              </w:rPr>
            </w:pPr>
            <w:r>
              <w:rPr>
                <w:rFonts w:hint="eastAsia" w:ascii="宋体" w:hAnsi="宋体" w:eastAsia="宋体" w:cs="Times New Roman"/>
                <w:color w:val="000000"/>
                <w:szCs w:val="21"/>
              </w:rPr>
              <w:t>7</w:t>
            </w:r>
          </w:p>
        </w:tc>
        <w:tc>
          <w:tcPr>
            <w:tcW w:w="2327" w:type="pct"/>
            <w:tcBorders>
              <w:right w:val="single" w:color="auto" w:sz="4" w:space="0"/>
            </w:tcBorders>
            <w:vAlign w:val="center"/>
          </w:tcPr>
          <w:p w14:paraId="5B772138">
            <w:pPr>
              <w:snapToGrid w:val="0"/>
              <w:spacing w:after="120" w:line="400" w:lineRule="exact"/>
              <w:jc w:val="center"/>
              <w:rPr>
                <w:rFonts w:ascii="宋体" w:hAnsi="宋体" w:eastAsia="宋体" w:cs="Times New Roman"/>
                <w:color w:val="000000"/>
                <w:szCs w:val="21"/>
              </w:rPr>
            </w:pPr>
            <w:r>
              <w:rPr>
                <w:rFonts w:hint="eastAsia" w:ascii="宋体" w:hAnsi="宋体" w:eastAsia="宋体" w:cs="Times New Roman"/>
                <w:color w:val="000000"/>
                <w:szCs w:val="21"/>
              </w:rPr>
              <w:t>伴随服务</w:t>
            </w:r>
          </w:p>
        </w:tc>
        <w:tc>
          <w:tcPr>
            <w:tcW w:w="2196" w:type="pct"/>
            <w:tcBorders>
              <w:left w:val="single" w:color="auto" w:sz="4" w:space="0"/>
            </w:tcBorders>
            <w:vAlign w:val="center"/>
          </w:tcPr>
          <w:p w14:paraId="0C7CEBF0">
            <w:pPr>
              <w:snapToGrid w:val="0"/>
              <w:spacing w:after="120" w:line="400" w:lineRule="exact"/>
              <w:jc w:val="left"/>
              <w:rPr>
                <w:rFonts w:ascii="宋体" w:hAnsi="宋体" w:eastAsia="宋体" w:cs="Times New Roman"/>
                <w:color w:val="000000"/>
                <w:szCs w:val="21"/>
              </w:rPr>
            </w:pPr>
            <w:r>
              <w:rPr>
                <w:rFonts w:hint="eastAsia" w:ascii="宋体" w:hAnsi="宋体" w:eastAsia="宋体" w:cs="Times New Roman"/>
                <w:color w:val="000000"/>
                <w:szCs w:val="21"/>
              </w:rPr>
              <w:t>按通用条款执行</w:t>
            </w:r>
          </w:p>
        </w:tc>
      </w:tr>
      <w:tr w14:paraId="1DC5B0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7" w:type="pct"/>
            <w:tcBorders>
              <w:left w:val="single" w:color="auto" w:sz="4" w:space="0"/>
            </w:tcBorders>
            <w:vAlign w:val="center"/>
          </w:tcPr>
          <w:p w14:paraId="083ACC99">
            <w:pPr>
              <w:spacing w:line="560" w:lineRule="exact"/>
              <w:jc w:val="center"/>
              <w:rPr>
                <w:rFonts w:ascii="宋体" w:hAnsi="宋体" w:eastAsia="宋体" w:cs="Times New Roman"/>
                <w:color w:val="000000"/>
                <w:szCs w:val="21"/>
              </w:rPr>
            </w:pPr>
            <w:r>
              <w:rPr>
                <w:rFonts w:hint="eastAsia" w:ascii="宋体" w:hAnsi="宋体" w:eastAsia="宋体" w:cs="Times New Roman"/>
                <w:color w:val="000000"/>
                <w:szCs w:val="21"/>
              </w:rPr>
              <w:t>8</w:t>
            </w:r>
          </w:p>
        </w:tc>
        <w:tc>
          <w:tcPr>
            <w:tcW w:w="2327" w:type="pct"/>
            <w:tcBorders>
              <w:right w:val="single" w:color="auto" w:sz="4" w:space="0"/>
            </w:tcBorders>
            <w:vAlign w:val="center"/>
          </w:tcPr>
          <w:p w14:paraId="31915EF2">
            <w:pPr>
              <w:snapToGrid w:val="0"/>
              <w:spacing w:after="120" w:line="400" w:lineRule="exact"/>
              <w:jc w:val="center"/>
              <w:rPr>
                <w:rFonts w:ascii="宋体" w:hAnsi="宋体" w:eastAsia="宋体" w:cs="Times New Roman"/>
                <w:color w:val="000000"/>
                <w:szCs w:val="21"/>
              </w:rPr>
            </w:pPr>
            <w:r>
              <w:rPr>
                <w:rFonts w:hint="eastAsia" w:ascii="宋体" w:hAnsi="宋体" w:eastAsia="宋体" w:cs="Times New Roman"/>
                <w:color w:val="000000"/>
                <w:szCs w:val="21"/>
              </w:rPr>
              <w:t>解决争议的方式</w:t>
            </w:r>
          </w:p>
        </w:tc>
        <w:tc>
          <w:tcPr>
            <w:tcW w:w="2196" w:type="pct"/>
            <w:tcBorders>
              <w:left w:val="single" w:color="auto" w:sz="4" w:space="0"/>
            </w:tcBorders>
            <w:vAlign w:val="center"/>
          </w:tcPr>
          <w:p w14:paraId="2E13D6B8">
            <w:pPr>
              <w:snapToGrid w:val="0"/>
              <w:spacing w:after="120" w:line="400" w:lineRule="exact"/>
              <w:jc w:val="left"/>
              <w:rPr>
                <w:rFonts w:ascii="宋体" w:hAnsi="宋体" w:eastAsia="宋体" w:cs="Times New Roman"/>
                <w:color w:val="000000"/>
                <w:szCs w:val="21"/>
              </w:rPr>
            </w:pPr>
            <w:r>
              <w:rPr>
                <w:rFonts w:hint="eastAsia" w:ascii="宋体" w:hAnsi="宋体" w:eastAsia="宋体" w:cs="Times New Roman"/>
                <w:color w:val="000000"/>
                <w:szCs w:val="21"/>
              </w:rPr>
              <w:t>向甲方所在地人民法院提起诉讼</w:t>
            </w:r>
          </w:p>
        </w:tc>
      </w:tr>
      <w:tr w14:paraId="677CF8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7" w:type="pct"/>
            <w:tcBorders>
              <w:left w:val="single" w:color="auto" w:sz="4" w:space="0"/>
            </w:tcBorders>
            <w:vAlign w:val="center"/>
          </w:tcPr>
          <w:p w14:paraId="7BED98DD">
            <w:pPr>
              <w:spacing w:line="560" w:lineRule="exact"/>
              <w:jc w:val="center"/>
              <w:rPr>
                <w:rFonts w:ascii="宋体" w:hAnsi="宋体" w:eastAsia="宋体" w:cs="Times New Roman"/>
                <w:color w:val="000000"/>
                <w:szCs w:val="21"/>
              </w:rPr>
            </w:pPr>
            <w:r>
              <w:rPr>
                <w:rFonts w:hint="eastAsia" w:ascii="宋体" w:hAnsi="宋体" w:eastAsia="宋体" w:cs="Times New Roman"/>
                <w:color w:val="000000"/>
                <w:szCs w:val="21"/>
              </w:rPr>
              <w:t>9</w:t>
            </w:r>
          </w:p>
        </w:tc>
        <w:tc>
          <w:tcPr>
            <w:tcW w:w="2327" w:type="pct"/>
            <w:tcBorders>
              <w:right w:val="single" w:color="auto" w:sz="4" w:space="0"/>
            </w:tcBorders>
            <w:vAlign w:val="center"/>
          </w:tcPr>
          <w:p w14:paraId="02EC361A">
            <w:pPr>
              <w:snapToGrid w:val="0"/>
              <w:spacing w:after="120" w:line="400" w:lineRule="exact"/>
              <w:jc w:val="center"/>
              <w:rPr>
                <w:rFonts w:ascii="宋体" w:hAnsi="宋体" w:eastAsia="宋体" w:cs="Times New Roman"/>
                <w:color w:val="000000"/>
                <w:szCs w:val="21"/>
              </w:rPr>
            </w:pPr>
            <w:r>
              <w:rPr>
                <w:rFonts w:hint="eastAsia" w:ascii="宋体" w:hAnsi="宋体" w:eastAsia="宋体" w:cs="Times New Roman"/>
                <w:color w:val="000000"/>
                <w:szCs w:val="21"/>
              </w:rPr>
              <w:t>合同未尽事项</w:t>
            </w:r>
          </w:p>
        </w:tc>
        <w:tc>
          <w:tcPr>
            <w:tcW w:w="2196" w:type="pct"/>
            <w:tcBorders>
              <w:left w:val="single" w:color="auto" w:sz="4" w:space="0"/>
            </w:tcBorders>
            <w:vAlign w:val="center"/>
          </w:tcPr>
          <w:p w14:paraId="18EE92A4">
            <w:pPr>
              <w:snapToGrid w:val="0"/>
              <w:spacing w:after="120" w:line="400" w:lineRule="exact"/>
              <w:jc w:val="left"/>
              <w:rPr>
                <w:rFonts w:ascii="宋体" w:hAnsi="宋体" w:eastAsia="宋体" w:cs="Times New Roman"/>
                <w:color w:val="000000"/>
                <w:szCs w:val="21"/>
              </w:rPr>
            </w:pPr>
            <w:r>
              <w:rPr>
                <w:rFonts w:hint="eastAsia" w:ascii="宋体" w:hAnsi="宋体" w:eastAsia="宋体" w:cs="Times New Roman"/>
                <w:color w:val="000000"/>
                <w:szCs w:val="21"/>
              </w:rPr>
              <w:t>双方协商</w:t>
            </w:r>
          </w:p>
        </w:tc>
      </w:tr>
    </w:tbl>
    <w:p w14:paraId="797BCC99">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br w:type="page"/>
      </w:r>
    </w:p>
    <w:p w14:paraId="7766D0AC">
      <w:pPr>
        <w:spacing w:line="360" w:lineRule="auto"/>
        <w:jc w:val="center"/>
        <w:outlineLvl w:val="0"/>
        <w:rPr>
          <w:rFonts w:ascii="宋体" w:hAnsi="宋体" w:eastAsia="宋体" w:cs="仿宋"/>
          <w:b/>
          <w:sz w:val="28"/>
          <w:szCs w:val="24"/>
        </w:rPr>
      </w:pPr>
      <w:bookmarkStart w:id="58" w:name="_Toc200016466"/>
      <w:r>
        <w:rPr>
          <w:rFonts w:hint="eastAsia" w:ascii="宋体" w:hAnsi="宋体" w:eastAsia="宋体" w:cs="仿宋"/>
          <w:b/>
          <w:sz w:val="28"/>
          <w:szCs w:val="24"/>
        </w:rPr>
        <w:t>第四章 技术标准和要求</w:t>
      </w:r>
      <w:bookmarkEnd w:id="58"/>
      <w:bookmarkStart w:id="59" w:name="_Toc138638535"/>
      <w:bookmarkEnd w:id="59"/>
      <w:bookmarkStart w:id="60" w:name="_Toc138638718"/>
      <w:bookmarkEnd w:id="60"/>
      <w:bookmarkStart w:id="61" w:name="_Toc138638719"/>
      <w:bookmarkEnd w:id="61"/>
      <w:bookmarkStart w:id="62" w:name="_Toc138638906"/>
      <w:bookmarkEnd w:id="62"/>
      <w:bookmarkStart w:id="63" w:name="_Toc138638702"/>
      <w:bookmarkEnd w:id="63"/>
      <w:bookmarkStart w:id="64" w:name="_合同文件的组成及解释顺序"/>
      <w:bookmarkEnd w:id="64"/>
      <w:bookmarkStart w:id="65" w:name="_Toc138638883"/>
      <w:bookmarkEnd w:id="65"/>
      <w:bookmarkStart w:id="66" w:name="_Toc138639145"/>
      <w:bookmarkEnd w:id="66"/>
      <w:bookmarkStart w:id="67" w:name="_Toc138638538"/>
      <w:bookmarkEnd w:id="67"/>
      <w:bookmarkStart w:id="68" w:name="_Toc138638509"/>
      <w:bookmarkEnd w:id="68"/>
      <w:bookmarkStart w:id="69" w:name="_Toc138639091"/>
      <w:bookmarkEnd w:id="69"/>
      <w:bookmarkStart w:id="70" w:name="_Toc138638907"/>
      <w:bookmarkEnd w:id="70"/>
      <w:bookmarkStart w:id="71" w:name="_Toc138638773"/>
      <w:bookmarkEnd w:id="71"/>
      <w:bookmarkStart w:id="72" w:name="_Toc138639074"/>
      <w:bookmarkEnd w:id="72"/>
      <w:bookmarkStart w:id="73" w:name="_Toc138639090"/>
      <w:bookmarkEnd w:id="73"/>
      <w:bookmarkStart w:id="74" w:name="_Toc138638910"/>
      <w:bookmarkEnd w:id="74"/>
      <w:bookmarkStart w:id="75" w:name="_Toc138638534"/>
      <w:bookmarkEnd w:id="75"/>
      <w:bookmarkStart w:id="76" w:name="_Toc138638884"/>
      <w:bookmarkEnd w:id="76"/>
      <w:bookmarkStart w:id="77" w:name="_Toc138638510"/>
      <w:bookmarkEnd w:id="77"/>
      <w:bookmarkStart w:id="78" w:name="_Toc531016893"/>
    </w:p>
    <w:p w14:paraId="79526C56">
      <w:pPr>
        <w:spacing w:line="360" w:lineRule="auto"/>
        <w:jc w:val="center"/>
        <w:outlineLvl w:val="1"/>
        <w:rPr>
          <w:rFonts w:ascii="宋体" w:hAnsi="宋体" w:eastAsia="宋体" w:cs="宋体"/>
          <w:b/>
          <w:bCs/>
          <w:sz w:val="32"/>
          <w:szCs w:val="32"/>
        </w:rPr>
      </w:pPr>
      <w:bookmarkStart w:id="79" w:name="_Toc200016467"/>
      <w:r>
        <w:rPr>
          <w:rFonts w:ascii="宋体" w:hAnsi="宋体" w:eastAsia="宋体" w:cs="宋体"/>
          <w:b/>
          <w:bCs/>
          <w:sz w:val="32"/>
          <w:szCs w:val="32"/>
        </w:rPr>
        <w:t>采购需求清单</w:t>
      </w:r>
      <w:bookmarkEnd w:id="79"/>
    </w:p>
    <w:tbl>
      <w:tblPr>
        <w:tblStyle w:val="38"/>
        <w:tblW w:w="5000" w:type="pct"/>
        <w:jc w:val="center"/>
        <w:tblLayout w:type="autofit"/>
        <w:tblCellMar>
          <w:top w:w="0" w:type="dxa"/>
          <w:left w:w="108" w:type="dxa"/>
          <w:bottom w:w="0" w:type="dxa"/>
          <w:right w:w="108" w:type="dxa"/>
        </w:tblCellMar>
      </w:tblPr>
      <w:tblGrid>
        <w:gridCol w:w="1258"/>
        <w:gridCol w:w="4690"/>
        <w:gridCol w:w="1510"/>
        <w:gridCol w:w="1828"/>
      </w:tblGrid>
      <w:tr w14:paraId="52510E22">
        <w:tblPrEx>
          <w:tblCellMar>
            <w:top w:w="0" w:type="dxa"/>
            <w:left w:w="108" w:type="dxa"/>
            <w:bottom w:w="0" w:type="dxa"/>
            <w:right w:w="108" w:type="dxa"/>
          </w:tblCellMar>
        </w:tblPrEx>
        <w:trPr>
          <w:trHeight w:val="510" w:hRule="atLeast"/>
          <w:jc w:val="center"/>
        </w:trPr>
        <w:tc>
          <w:tcPr>
            <w:tcW w:w="677" w:type="pct"/>
            <w:tcBorders>
              <w:top w:val="single" w:color="000000" w:sz="4" w:space="0"/>
              <w:left w:val="single" w:color="000000" w:sz="4" w:space="0"/>
              <w:bottom w:val="single" w:color="000000" w:sz="4" w:space="0"/>
              <w:right w:val="single" w:color="000000" w:sz="4" w:space="0"/>
            </w:tcBorders>
            <w:vAlign w:val="center"/>
          </w:tcPr>
          <w:p w14:paraId="1B61FD95">
            <w:pPr>
              <w:widowControl/>
              <w:spacing w:line="360" w:lineRule="auto"/>
              <w:jc w:val="center"/>
              <w:textAlignment w:val="center"/>
              <w:rPr>
                <w:rFonts w:ascii="宋体" w:hAnsi="宋体" w:eastAsia="宋体" w:cs="宋体"/>
                <w:b/>
                <w:bCs/>
                <w:szCs w:val="21"/>
              </w:rPr>
            </w:pPr>
            <w:r>
              <w:rPr>
                <w:rFonts w:hint="eastAsia" w:ascii="宋体" w:hAnsi="宋体" w:eastAsia="宋体" w:cs="宋体"/>
                <w:b/>
                <w:bCs/>
                <w:kern w:val="0"/>
                <w:szCs w:val="21"/>
                <w:lang w:bidi="ar"/>
              </w:rPr>
              <w:t>序号</w:t>
            </w:r>
          </w:p>
        </w:tc>
        <w:tc>
          <w:tcPr>
            <w:tcW w:w="2525" w:type="pct"/>
            <w:tcBorders>
              <w:top w:val="single" w:color="000000" w:sz="4" w:space="0"/>
              <w:left w:val="single" w:color="000000" w:sz="4" w:space="0"/>
              <w:bottom w:val="single" w:color="000000" w:sz="4" w:space="0"/>
              <w:right w:val="single" w:color="000000" w:sz="4" w:space="0"/>
            </w:tcBorders>
            <w:vAlign w:val="center"/>
          </w:tcPr>
          <w:p w14:paraId="729D3FFD">
            <w:pPr>
              <w:widowControl/>
              <w:spacing w:line="360" w:lineRule="auto"/>
              <w:jc w:val="center"/>
              <w:textAlignment w:val="center"/>
              <w:rPr>
                <w:rFonts w:ascii="宋体" w:hAnsi="宋体" w:eastAsia="宋体" w:cs="宋体"/>
                <w:b/>
                <w:bCs/>
                <w:szCs w:val="21"/>
              </w:rPr>
            </w:pPr>
            <w:r>
              <w:rPr>
                <w:rFonts w:hint="eastAsia" w:ascii="宋体" w:hAnsi="宋体" w:eastAsia="宋体" w:cs="宋体"/>
                <w:b/>
                <w:bCs/>
                <w:kern w:val="0"/>
                <w:szCs w:val="21"/>
                <w:lang w:bidi="ar"/>
              </w:rPr>
              <w:t>产品名称</w:t>
            </w:r>
          </w:p>
        </w:tc>
        <w:tc>
          <w:tcPr>
            <w:tcW w:w="813" w:type="pct"/>
            <w:tcBorders>
              <w:top w:val="single" w:color="000000" w:sz="4" w:space="0"/>
              <w:left w:val="single" w:color="000000" w:sz="4" w:space="0"/>
              <w:bottom w:val="single" w:color="000000" w:sz="4" w:space="0"/>
              <w:right w:val="single" w:color="000000" w:sz="4" w:space="0"/>
            </w:tcBorders>
            <w:vAlign w:val="center"/>
          </w:tcPr>
          <w:p w14:paraId="6176F672">
            <w:pPr>
              <w:widowControl/>
              <w:spacing w:line="360" w:lineRule="auto"/>
              <w:jc w:val="center"/>
              <w:textAlignment w:val="center"/>
              <w:rPr>
                <w:rFonts w:ascii="宋体" w:hAnsi="宋体" w:eastAsia="宋体" w:cs="宋体"/>
                <w:b/>
                <w:bCs/>
                <w:szCs w:val="21"/>
              </w:rPr>
            </w:pPr>
            <w:r>
              <w:rPr>
                <w:rFonts w:hint="eastAsia" w:ascii="宋体" w:hAnsi="宋体" w:eastAsia="宋体" w:cs="宋体"/>
                <w:b/>
                <w:bCs/>
                <w:kern w:val="0"/>
                <w:szCs w:val="21"/>
                <w:lang w:bidi="ar"/>
              </w:rPr>
              <w:t>数量</w:t>
            </w:r>
          </w:p>
        </w:tc>
        <w:tc>
          <w:tcPr>
            <w:tcW w:w="984" w:type="pct"/>
            <w:tcBorders>
              <w:top w:val="single" w:color="000000" w:sz="4" w:space="0"/>
              <w:left w:val="single" w:color="000000" w:sz="4" w:space="0"/>
              <w:bottom w:val="single" w:color="000000" w:sz="4" w:space="0"/>
              <w:right w:val="single" w:color="000000" w:sz="4" w:space="0"/>
            </w:tcBorders>
            <w:vAlign w:val="center"/>
          </w:tcPr>
          <w:p w14:paraId="7ABEF324">
            <w:pPr>
              <w:widowControl/>
              <w:spacing w:line="360" w:lineRule="auto"/>
              <w:jc w:val="center"/>
              <w:textAlignment w:val="center"/>
              <w:rPr>
                <w:rFonts w:ascii="宋体" w:hAnsi="宋体" w:eastAsia="宋体" w:cs="宋体"/>
                <w:b/>
                <w:bCs/>
                <w:szCs w:val="21"/>
              </w:rPr>
            </w:pPr>
            <w:r>
              <w:rPr>
                <w:rFonts w:hint="eastAsia" w:ascii="宋体" w:hAnsi="宋体" w:eastAsia="宋体" w:cs="宋体"/>
                <w:b/>
                <w:bCs/>
                <w:kern w:val="0"/>
                <w:szCs w:val="21"/>
                <w:lang w:bidi="ar"/>
              </w:rPr>
              <w:t>单位</w:t>
            </w:r>
          </w:p>
        </w:tc>
      </w:tr>
      <w:tr w14:paraId="71EAE817">
        <w:tblPrEx>
          <w:tblCellMar>
            <w:top w:w="0" w:type="dxa"/>
            <w:left w:w="108" w:type="dxa"/>
            <w:bottom w:w="0" w:type="dxa"/>
            <w:right w:w="108" w:type="dxa"/>
          </w:tblCellMar>
        </w:tblPrEx>
        <w:trPr>
          <w:trHeight w:val="270" w:hRule="atLeast"/>
          <w:jc w:val="center"/>
        </w:trPr>
        <w:tc>
          <w:tcPr>
            <w:tcW w:w="677" w:type="pct"/>
            <w:tcBorders>
              <w:top w:val="nil"/>
              <w:left w:val="single" w:color="000000" w:sz="4" w:space="0"/>
              <w:bottom w:val="single" w:color="000000" w:sz="4" w:space="0"/>
              <w:right w:val="single" w:color="000000" w:sz="4" w:space="0"/>
            </w:tcBorders>
            <w:vAlign w:val="center"/>
          </w:tcPr>
          <w:p w14:paraId="3BA407E5">
            <w:pPr>
              <w:widowControl/>
              <w:spacing w:line="360" w:lineRule="auto"/>
              <w:jc w:val="center"/>
              <w:textAlignment w:val="center"/>
              <w:rPr>
                <w:rFonts w:ascii="宋体" w:hAnsi="宋体" w:eastAsia="宋体" w:cs="宋体"/>
                <w:szCs w:val="21"/>
              </w:rPr>
            </w:pPr>
            <w:r>
              <w:rPr>
                <w:rFonts w:hint="eastAsia" w:ascii="宋体" w:hAnsi="宋体" w:eastAsia="宋体" w:cs="宋体"/>
                <w:kern w:val="0"/>
                <w:szCs w:val="21"/>
                <w:lang w:bidi="ar"/>
              </w:rPr>
              <w:t>1</w:t>
            </w:r>
          </w:p>
        </w:tc>
        <w:tc>
          <w:tcPr>
            <w:tcW w:w="2525" w:type="pct"/>
            <w:tcBorders>
              <w:top w:val="single" w:color="000000" w:sz="4" w:space="0"/>
              <w:left w:val="single" w:color="000000" w:sz="4" w:space="0"/>
              <w:bottom w:val="single" w:color="000000" w:sz="4" w:space="0"/>
              <w:right w:val="single" w:color="000000" w:sz="4" w:space="0"/>
            </w:tcBorders>
            <w:vAlign w:val="center"/>
          </w:tcPr>
          <w:p w14:paraId="4FAE6046">
            <w:pPr>
              <w:widowControl/>
              <w:spacing w:line="360" w:lineRule="auto"/>
              <w:jc w:val="left"/>
              <w:textAlignment w:val="center"/>
              <w:rPr>
                <w:rFonts w:ascii="宋体" w:hAnsi="宋体" w:eastAsia="宋体" w:cs="宋体"/>
                <w:szCs w:val="21"/>
              </w:rPr>
            </w:pPr>
            <w:r>
              <w:rPr>
                <w:rFonts w:hint="eastAsia" w:ascii="宋体" w:hAnsi="宋体" w:eastAsia="宋体" w:cs="宋体"/>
                <w:kern w:val="0"/>
                <w:szCs w:val="21"/>
                <w:lang w:bidi="ar"/>
              </w:rPr>
              <w:t>朗读亭</w:t>
            </w:r>
          </w:p>
        </w:tc>
        <w:tc>
          <w:tcPr>
            <w:tcW w:w="813" w:type="pct"/>
            <w:tcBorders>
              <w:top w:val="single" w:color="000000" w:sz="4" w:space="0"/>
              <w:left w:val="single" w:color="000000" w:sz="4" w:space="0"/>
              <w:bottom w:val="single" w:color="000000" w:sz="4" w:space="0"/>
              <w:right w:val="single" w:color="000000" w:sz="4" w:space="0"/>
            </w:tcBorders>
            <w:vAlign w:val="center"/>
          </w:tcPr>
          <w:p w14:paraId="7E3D3178">
            <w:pPr>
              <w:widowControl/>
              <w:spacing w:line="360" w:lineRule="auto"/>
              <w:jc w:val="center"/>
              <w:textAlignment w:val="center"/>
              <w:rPr>
                <w:rFonts w:ascii="宋体" w:hAnsi="宋体" w:eastAsia="宋体" w:cs="宋体"/>
                <w:szCs w:val="21"/>
              </w:rPr>
            </w:pPr>
            <w:r>
              <w:rPr>
                <w:rFonts w:hint="eastAsia" w:ascii="宋体" w:hAnsi="宋体" w:eastAsia="宋体" w:cs="宋体"/>
                <w:kern w:val="0"/>
                <w:szCs w:val="21"/>
                <w:lang w:bidi="ar"/>
              </w:rPr>
              <w:t>2</w:t>
            </w:r>
          </w:p>
        </w:tc>
        <w:tc>
          <w:tcPr>
            <w:tcW w:w="984" w:type="pct"/>
            <w:tcBorders>
              <w:top w:val="single" w:color="000000" w:sz="4" w:space="0"/>
              <w:left w:val="single" w:color="000000" w:sz="4" w:space="0"/>
              <w:bottom w:val="single" w:color="000000" w:sz="4" w:space="0"/>
              <w:right w:val="single" w:color="000000" w:sz="4" w:space="0"/>
            </w:tcBorders>
            <w:vAlign w:val="center"/>
          </w:tcPr>
          <w:p w14:paraId="041E7209">
            <w:pPr>
              <w:widowControl/>
              <w:spacing w:line="360" w:lineRule="auto"/>
              <w:jc w:val="center"/>
              <w:textAlignment w:val="center"/>
              <w:rPr>
                <w:rFonts w:ascii="宋体" w:hAnsi="宋体" w:eastAsia="宋体" w:cs="宋体"/>
                <w:szCs w:val="21"/>
              </w:rPr>
            </w:pPr>
            <w:r>
              <w:rPr>
                <w:rFonts w:hint="eastAsia" w:ascii="宋体" w:hAnsi="宋体" w:eastAsia="宋体" w:cs="宋体"/>
                <w:kern w:val="0"/>
                <w:szCs w:val="21"/>
                <w:lang w:bidi="ar"/>
              </w:rPr>
              <w:t>套</w:t>
            </w:r>
          </w:p>
        </w:tc>
      </w:tr>
      <w:tr w14:paraId="16E9F1AA">
        <w:tblPrEx>
          <w:tblCellMar>
            <w:top w:w="0" w:type="dxa"/>
            <w:left w:w="108" w:type="dxa"/>
            <w:bottom w:w="0" w:type="dxa"/>
            <w:right w:w="108" w:type="dxa"/>
          </w:tblCellMar>
        </w:tblPrEx>
        <w:trPr>
          <w:trHeight w:val="270" w:hRule="atLeast"/>
          <w:jc w:val="center"/>
        </w:trPr>
        <w:tc>
          <w:tcPr>
            <w:tcW w:w="677" w:type="pct"/>
            <w:tcBorders>
              <w:top w:val="nil"/>
              <w:left w:val="single" w:color="000000" w:sz="4" w:space="0"/>
              <w:bottom w:val="single" w:color="000000" w:sz="4" w:space="0"/>
              <w:right w:val="single" w:color="000000" w:sz="4" w:space="0"/>
            </w:tcBorders>
            <w:vAlign w:val="center"/>
          </w:tcPr>
          <w:p w14:paraId="63C55CAD">
            <w:pPr>
              <w:widowControl/>
              <w:spacing w:line="360" w:lineRule="auto"/>
              <w:jc w:val="center"/>
              <w:textAlignment w:val="center"/>
              <w:rPr>
                <w:rFonts w:ascii="宋体" w:hAnsi="宋体" w:eastAsia="宋体" w:cs="宋体"/>
                <w:szCs w:val="21"/>
              </w:rPr>
            </w:pPr>
            <w:r>
              <w:rPr>
                <w:rFonts w:hint="eastAsia" w:ascii="宋体" w:hAnsi="宋体" w:eastAsia="宋体" w:cs="宋体"/>
                <w:kern w:val="0"/>
                <w:szCs w:val="21"/>
                <w:lang w:bidi="ar"/>
              </w:rPr>
              <w:t>2</w:t>
            </w:r>
          </w:p>
        </w:tc>
        <w:tc>
          <w:tcPr>
            <w:tcW w:w="2525" w:type="pct"/>
            <w:tcBorders>
              <w:top w:val="single" w:color="000000" w:sz="4" w:space="0"/>
              <w:left w:val="single" w:color="000000" w:sz="4" w:space="0"/>
              <w:bottom w:val="single" w:color="000000" w:sz="4" w:space="0"/>
              <w:right w:val="single" w:color="000000" w:sz="4" w:space="0"/>
            </w:tcBorders>
            <w:vAlign w:val="center"/>
          </w:tcPr>
          <w:p w14:paraId="09566658">
            <w:pPr>
              <w:widowControl/>
              <w:spacing w:line="360" w:lineRule="auto"/>
              <w:jc w:val="left"/>
              <w:textAlignment w:val="center"/>
              <w:rPr>
                <w:rFonts w:ascii="宋体" w:hAnsi="宋体" w:eastAsia="宋体" w:cs="宋体"/>
                <w:szCs w:val="21"/>
              </w:rPr>
            </w:pPr>
            <w:r>
              <w:rPr>
                <w:rFonts w:hint="eastAsia" w:ascii="宋体" w:hAnsi="宋体" w:eastAsia="宋体" w:cs="宋体"/>
                <w:kern w:val="0"/>
                <w:szCs w:val="21"/>
                <w:lang w:bidi="ar"/>
              </w:rPr>
              <w:t>全能艺术台</w:t>
            </w:r>
          </w:p>
        </w:tc>
        <w:tc>
          <w:tcPr>
            <w:tcW w:w="813" w:type="pct"/>
            <w:tcBorders>
              <w:top w:val="single" w:color="000000" w:sz="4" w:space="0"/>
              <w:left w:val="single" w:color="000000" w:sz="4" w:space="0"/>
              <w:bottom w:val="single" w:color="000000" w:sz="4" w:space="0"/>
              <w:right w:val="single" w:color="000000" w:sz="4" w:space="0"/>
            </w:tcBorders>
            <w:vAlign w:val="center"/>
          </w:tcPr>
          <w:p w14:paraId="2CDB9F1E">
            <w:pPr>
              <w:widowControl/>
              <w:spacing w:line="360" w:lineRule="auto"/>
              <w:jc w:val="center"/>
              <w:textAlignment w:val="center"/>
              <w:rPr>
                <w:rFonts w:ascii="宋体" w:hAnsi="宋体" w:eastAsia="宋体" w:cs="宋体"/>
                <w:szCs w:val="21"/>
              </w:rPr>
            </w:pPr>
            <w:r>
              <w:rPr>
                <w:rFonts w:hint="eastAsia" w:ascii="宋体" w:hAnsi="宋体" w:eastAsia="宋体" w:cs="宋体"/>
                <w:kern w:val="0"/>
                <w:szCs w:val="21"/>
                <w:lang w:bidi="ar"/>
              </w:rPr>
              <w:t>2</w:t>
            </w:r>
          </w:p>
        </w:tc>
        <w:tc>
          <w:tcPr>
            <w:tcW w:w="984" w:type="pct"/>
            <w:tcBorders>
              <w:top w:val="single" w:color="000000" w:sz="4" w:space="0"/>
              <w:left w:val="single" w:color="000000" w:sz="4" w:space="0"/>
              <w:bottom w:val="single" w:color="000000" w:sz="4" w:space="0"/>
              <w:right w:val="single" w:color="000000" w:sz="4" w:space="0"/>
            </w:tcBorders>
            <w:vAlign w:val="center"/>
          </w:tcPr>
          <w:p w14:paraId="29159881">
            <w:pPr>
              <w:widowControl/>
              <w:spacing w:line="360" w:lineRule="auto"/>
              <w:jc w:val="center"/>
              <w:textAlignment w:val="center"/>
              <w:rPr>
                <w:rFonts w:ascii="宋体" w:hAnsi="宋体" w:eastAsia="宋体" w:cs="宋体"/>
                <w:szCs w:val="21"/>
              </w:rPr>
            </w:pPr>
            <w:r>
              <w:rPr>
                <w:rFonts w:hint="eastAsia" w:ascii="宋体" w:hAnsi="宋体" w:eastAsia="宋体" w:cs="宋体"/>
                <w:kern w:val="0"/>
                <w:szCs w:val="21"/>
                <w:lang w:bidi="ar"/>
              </w:rPr>
              <w:t>台</w:t>
            </w:r>
          </w:p>
        </w:tc>
      </w:tr>
      <w:tr w14:paraId="3A58B1E1">
        <w:tblPrEx>
          <w:tblCellMar>
            <w:top w:w="0" w:type="dxa"/>
            <w:left w:w="108" w:type="dxa"/>
            <w:bottom w:w="0" w:type="dxa"/>
            <w:right w:w="108" w:type="dxa"/>
          </w:tblCellMar>
        </w:tblPrEx>
        <w:trPr>
          <w:trHeight w:val="450" w:hRule="atLeast"/>
          <w:jc w:val="center"/>
        </w:trPr>
        <w:tc>
          <w:tcPr>
            <w:tcW w:w="677" w:type="pct"/>
            <w:tcBorders>
              <w:top w:val="nil"/>
              <w:left w:val="single" w:color="000000" w:sz="4" w:space="0"/>
              <w:bottom w:val="single" w:color="000000" w:sz="4" w:space="0"/>
              <w:right w:val="single" w:color="000000" w:sz="4" w:space="0"/>
            </w:tcBorders>
            <w:vAlign w:val="center"/>
          </w:tcPr>
          <w:p w14:paraId="52E1123A">
            <w:pPr>
              <w:widowControl/>
              <w:spacing w:line="360" w:lineRule="auto"/>
              <w:jc w:val="center"/>
              <w:textAlignment w:val="center"/>
              <w:rPr>
                <w:rFonts w:ascii="宋体" w:hAnsi="宋体" w:eastAsia="宋体" w:cs="宋体"/>
                <w:szCs w:val="21"/>
              </w:rPr>
            </w:pPr>
            <w:r>
              <w:rPr>
                <w:rFonts w:hint="eastAsia" w:ascii="宋体" w:hAnsi="宋体" w:eastAsia="宋体" w:cs="宋体"/>
                <w:kern w:val="0"/>
                <w:szCs w:val="21"/>
                <w:lang w:bidi="ar"/>
              </w:rPr>
              <w:t>3</w:t>
            </w:r>
          </w:p>
        </w:tc>
        <w:tc>
          <w:tcPr>
            <w:tcW w:w="2525" w:type="pct"/>
            <w:tcBorders>
              <w:top w:val="single" w:color="000000" w:sz="4" w:space="0"/>
              <w:left w:val="single" w:color="000000" w:sz="4" w:space="0"/>
              <w:bottom w:val="single" w:color="000000" w:sz="4" w:space="0"/>
              <w:right w:val="single" w:color="000000" w:sz="4" w:space="0"/>
            </w:tcBorders>
            <w:vAlign w:val="center"/>
          </w:tcPr>
          <w:p w14:paraId="6CE63F8A">
            <w:pPr>
              <w:widowControl/>
              <w:spacing w:line="360" w:lineRule="auto"/>
              <w:jc w:val="left"/>
              <w:textAlignment w:val="center"/>
              <w:rPr>
                <w:rFonts w:ascii="宋体" w:hAnsi="宋体" w:eastAsia="宋体" w:cs="宋体"/>
                <w:szCs w:val="21"/>
              </w:rPr>
            </w:pPr>
            <w:r>
              <w:rPr>
                <w:rFonts w:hint="eastAsia" w:ascii="宋体" w:hAnsi="宋体" w:eastAsia="宋体" w:cs="宋体"/>
                <w:kern w:val="0"/>
                <w:szCs w:val="21"/>
                <w:lang w:bidi="ar"/>
              </w:rPr>
              <w:t>交互式会议平板98吋</w:t>
            </w:r>
          </w:p>
        </w:tc>
        <w:tc>
          <w:tcPr>
            <w:tcW w:w="813" w:type="pct"/>
            <w:tcBorders>
              <w:top w:val="single" w:color="000000" w:sz="4" w:space="0"/>
              <w:left w:val="single" w:color="000000" w:sz="4" w:space="0"/>
              <w:bottom w:val="single" w:color="000000" w:sz="4" w:space="0"/>
              <w:right w:val="single" w:color="000000" w:sz="4" w:space="0"/>
            </w:tcBorders>
            <w:vAlign w:val="center"/>
          </w:tcPr>
          <w:p w14:paraId="3447A135">
            <w:pPr>
              <w:widowControl/>
              <w:spacing w:line="360" w:lineRule="auto"/>
              <w:jc w:val="center"/>
              <w:textAlignment w:val="center"/>
              <w:rPr>
                <w:rFonts w:ascii="宋体" w:hAnsi="宋体" w:eastAsia="宋体" w:cs="宋体"/>
                <w:szCs w:val="21"/>
              </w:rPr>
            </w:pPr>
            <w:r>
              <w:rPr>
                <w:rFonts w:hint="eastAsia" w:ascii="宋体" w:hAnsi="宋体" w:eastAsia="宋体" w:cs="宋体"/>
                <w:kern w:val="0"/>
                <w:szCs w:val="21"/>
                <w:lang w:bidi="ar"/>
              </w:rPr>
              <w:t>2</w:t>
            </w:r>
          </w:p>
        </w:tc>
        <w:tc>
          <w:tcPr>
            <w:tcW w:w="984" w:type="pct"/>
            <w:tcBorders>
              <w:top w:val="single" w:color="000000" w:sz="4" w:space="0"/>
              <w:left w:val="single" w:color="000000" w:sz="4" w:space="0"/>
              <w:bottom w:val="single" w:color="000000" w:sz="4" w:space="0"/>
              <w:right w:val="single" w:color="000000" w:sz="4" w:space="0"/>
            </w:tcBorders>
            <w:vAlign w:val="center"/>
          </w:tcPr>
          <w:p w14:paraId="45BC876E">
            <w:pPr>
              <w:widowControl/>
              <w:spacing w:line="360" w:lineRule="auto"/>
              <w:jc w:val="center"/>
              <w:textAlignment w:val="center"/>
              <w:rPr>
                <w:rFonts w:ascii="宋体" w:hAnsi="宋体" w:eastAsia="宋体" w:cs="宋体"/>
                <w:szCs w:val="21"/>
              </w:rPr>
            </w:pPr>
            <w:r>
              <w:rPr>
                <w:rFonts w:hint="eastAsia" w:ascii="宋体" w:hAnsi="宋体" w:eastAsia="宋体" w:cs="宋体"/>
                <w:kern w:val="0"/>
                <w:szCs w:val="21"/>
                <w:lang w:bidi="ar"/>
              </w:rPr>
              <w:t>台</w:t>
            </w:r>
          </w:p>
        </w:tc>
      </w:tr>
      <w:tr w14:paraId="441E314F">
        <w:tblPrEx>
          <w:tblCellMar>
            <w:top w:w="0" w:type="dxa"/>
            <w:left w:w="108" w:type="dxa"/>
            <w:bottom w:w="0" w:type="dxa"/>
            <w:right w:w="108" w:type="dxa"/>
          </w:tblCellMar>
        </w:tblPrEx>
        <w:trPr>
          <w:trHeight w:val="270" w:hRule="atLeast"/>
          <w:jc w:val="center"/>
        </w:trPr>
        <w:tc>
          <w:tcPr>
            <w:tcW w:w="677" w:type="pct"/>
            <w:tcBorders>
              <w:top w:val="nil"/>
              <w:left w:val="single" w:color="000000" w:sz="4" w:space="0"/>
              <w:bottom w:val="single" w:color="000000" w:sz="4" w:space="0"/>
              <w:right w:val="single" w:color="000000" w:sz="4" w:space="0"/>
            </w:tcBorders>
            <w:vAlign w:val="center"/>
          </w:tcPr>
          <w:p w14:paraId="3E03CB99">
            <w:pPr>
              <w:widowControl/>
              <w:spacing w:line="360" w:lineRule="auto"/>
              <w:jc w:val="center"/>
              <w:textAlignment w:val="center"/>
              <w:rPr>
                <w:rFonts w:ascii="宋体" w:hAnsi="宋体" w:eastAsia="宋体" w:cs="宋体"/>
                <w:szCs w:val="21"/>
              </w:rPr>
            </w:pPr>
            <w:r>
              <w:rPr>
                <w:rFonts w:hint="eastAsia" w:ascii="宋体" w:hAnsi="宋体" w:eastAsia="宋体" w:cs="宋体"/>
                <w:kern w:val="0"/>
                <w:szCs w:val="21"/>
                <w:lang w:bidi="ar"/>
              </w:rPr>
              <w:t>4</w:t>
            </w:r>
          </w:p>
        </w:tc>
        <w:tc>
          <w:tcPr>
            <w:tcW w:w="2525" w:type="pct"/>
            <w:tcBorders>
              <w:top w:val="single" w:color="000000" w:sz="4" w:space="0"/>
              <w:left w:val="single" w:color="000000" w:sz="4" w:space="0"/>
              <w:bottom w:val="single" w:color="000000" w:sz="4" w:space="0"/>
              <w:right w:val="single" w:color="000000" w:sz="4" w:space="0"/>
            </w:tcBorders>
            <w:vAlign w:val="center"/>
          </w:tcPr>
          <w:p w14:paraId="71FF81B0">
            <w:pPr>
              <w:widowControl/>
              <w:spacing w:line="360" w:lineRule="auto"/>
              <w:jc w:val="left"/>
              <w:textAlignment w:val="center"/>
              <w:rPr>
                <w:rFonts w:ascii="宋体" w:hAnsi="宋体" w:eastAsia="宋体" w:cs="宋体"/>
                <w:szCs w:val="21"/>
              </w:rPr>
            </w:pPr>
            <w:r>
              <w:rPr>
                <w:rFonts w:hint="eastAsia" w:ascii="宋体" w:hAnsi="宋体" w:eastAsia="宋体" w:cs="宋体"/>
                <w:kern w:val="0"/>
                <w:szCs w:val="21"/>
                <w:lang w:bidi="ar"/>
              </w:rPr>
              <w:t>交互式会议平板86吋</w:t>
            </w:r>
          </w:p>
        </w:tc>
        <w:tc>
          <w:tcPr>
            <w:tcW w:w="813" w:type="pct"/>
            <w:tcBorders>
              <w:top w:val="single" w:color="000000" w:sz="4" w:space="0"/>
              <w:left w:val="single" w:color="000000" w:sz="4" w:space="0"/>
              <w:bottom w:val="single" w:color="000000" w:sz="4" w:space="0"/>
              <w:right w:val="single" w:color="000000" w:sz="4" w:space="0"/>
            </w:tcBorders>
            <w:vAlign w:val="center"/>
          </w:tcPr>
          <w:p w14:paraId="4B8AD5E2">
            <w:pPr>
              <w:widowControl/>
              <w:spacing w:line="360" w:lineRule="auto"/>
              <w:jc w:val="center"/>
              <w:textAlignment w:val="center"/>
              <w:rPr>
                <w:rFonts w:ascii="宋体" w:hAnsi="宋体" w:eastAsia="宋体" w:cs="宋体"/>
                <w:szCs w:val="21"/>
              </w:rPr>
            </w:pPr>
            <w:r>
              <w:rPr>
                <w:rFonts w:hint="eastAsia" w:ascii="宋体" w:hAnsi="宋体" w:eastAsia="宋体" w:cs="宋体"/>
                <w:kern w:val="0"/>
                <w:szCs w:val="21"/>
                <w:lang w:bidi="ar"/>
              </w:rPr>
              <w:t>3</w:t>
            </w:r>
          </w:p>
        </w:tc>
        <w:tc>
          <w:tcPr>
            <w:tcW w:w="984" w:type="pct"/>
            <w:tcBorders>
              <w:top w:val="single" w:color="000000" w:sz="4" w:space="0"/>
              <w:left w:val="single" w:color="000000" w:sz="4" w:space="0"/>
              <w:bottom w:val="single" w:color="000000" w:sz="4" w:space="0"/>
              <w:right w:val="single" w:color="000000" w:sz="4" w:space="0"/>
            </w:tcBorders>
            <w:vAlign w:val="center"/>
          </w:tcPr>
          <w:p w14:paraId="09FAA41A">
            <w:pPr>
              <w:widowControl/>
              <w:spacing w:line="360" w:lineRule="auto"/>
              <w:jc w:val="center"/>
              <w:textAlignment w:val="center"/>
              <w:rPr>
                <w:rFonts w:ascii="宋体" w:hAnsi="宋体" w:eastAsia="宋体" w:cs="宋体"/>
                <w:szCs w:val="21"/>
              </w:rPr>
            </w:pPr>
            <w:r>
              <w:rPr>
                <w:rFonts w:hint="eastAsia" w:ascii="宋体" w:hAnsi="宋体" w:eastAsia="宋体" w:cs="宋体"/>
                <w:kern w:val="0"/>
                <w:szCs w:val="21"/>
                <w:lang w:bidi="ar"/>
              </w:rPr>
              <w:t>台</w:t>
            </w:r>
          </w:p>
        </w:tc>
      </w:tr>
      <w:tr w14:paraId="0E0A80EE">
        <w:tblPrEx>
          <w:tblCellMar>
            <w:top w:w="0" w:type="dxa"/>
            <w:left w:w="108" w:type="dxa"/>
            <w:bottom w:w="0" w:type="dxa"/>
            <w:right w:w="108" w:type="dxa"/>
          </w:tblCellMar>
        </w:tblPrEx>
        <w:trPr>
          <w:trHeight w:val="270" w:hRule="atLeast"/>
          <w:jc w:val="center"/>
        </w:trPr>
        <w:tc>
          <w:tcPr>
            <w:tcW w:w="677" w:type="pct"/>
            <w:tcBorders>
              <w:top w:val="nil"/>
              <w:left w:val="single" w:color="000000" w:sz="4" w:space="0"/>
              <w:bottom w:val="single" w:color="000000" w:sz="4" w:space="0"/>
              <w:right w:val="single" w:color="000000" w:sz="4" w:space="0"/>
            </w:tcBorders>
            <w:vAlign w:val="center"/>
          </w:tcPr>
          <w:p w14:paraId="17BBC84F">
            <w:pPr>
              <w:widowControl/>
              <w:spacing w:line="360" w:lineRule="auto"/>
              <w:jc w:val="center"/>
              <w:textAlignment w:val="center"/>
              <w:rPr>
                <w:rFonts w:ascii="宋体" w:hAnsi="宋体" w:eastAsia="宋体" w:cs="宋体"/>
                <w:szCs w:val="21"/>
              </w:rPr>
            </w:pPr>
            <w:r>
              <w:rPr>
                <w:rFonts w:hint="eastAsia" w:ascii="宋体" w:hAnsi="宋体" w:eastAsia="宋体" w:cs="宋体"/>
                <w:kern w:val="0"/>
                <w:szCs w:val="21"/>
                <w:lang w:bidi="ar"/>
              </w:rPr>
              <w:t>5</w:t>
            </w:r>
          </w:p>
        </w:tc>
        <w:tc>
          <w:tcPr>
            <w:tcW w:w="2525" w:type="pct"/>
            <w:tcBorders>
              <w:top w:val="single" w:color="000000" w:sz="4" w:space="0"/>
              <w:left w:val="single" w:color="000000" w:sz="4" w:space="0"/>
              <w:bottom w:val="single" w:color="000000" w:sz="4" w:space="0"/>
              <w:right w:val="single" w:color="000000" w:sz="4" w:space="0"/>
            </w:tcBorders>
            <w:vAlign w:val="center"/>
          </w:tcPr>
          <w:p w14:paraId="72D1B431">
            <w:pPr>
              <w:widowControl/>
              <w:spacing w:line="360" w:lineRule="auto"/>
              <w:jc w:val="left"/>
              <w:textAlignment w:val="center"/>
              <w:rPr>
                <w:rFonts w:ascii="宋体" w:hAnsi="宋体" w:eastAsia="宋体" w:cs="宋体"/>
                <w:szCs w:val="21"/>
              </w:rPr>
            </w:pPr>
            <w:r>
              <w:rPr>
                <w:rFonts w:hint="eastAsia" w:ascii="宋体" w:hAnsi="宋体" w:eastAsia="宋体" w:cs="宋体"/>
                <w:kern w:val="0"/>
                <w:szCs w:val="21"/>
                <w:lang w:bidi="ar"/>
              </w:rPr>
              <w:t>瀑布流移动阅读借阅机</w:t>
            </w:r>
          </w:p>
        </w:tc>
        <w:tc>
          <w:tcPr>
            <w:tcW w:w="813" w:type="pct"/>
            <w:tcBorders>
              <w:top w:val="single" w:color="000000" w:sz="4" w:space="0"/>
              <w:left w:val="single" w:color="000000" w:sz="4" w:space="0"/>
              <w:bottom w:val="single" w:color="000000" w:sz="4" w:space="0"/>
              <w:right w:val="single" w:color="000000" w:sz="4" w:space="0"/>
            </w:tcBorders>
            <w:vAlign w:val="center"/>
          </w:tcPr>
          <w:p w14:paraId="66BF627D">
            <w:pPr>
              <w:widowControl/>
              <w:spacing w:line="360" w:lineRule="auto"/>
              <w:jc w:val="center"/>
              <w:textAlignment w:val="center"/>
              <w:rPr>
                <w:rFonts w:ascii="宋体" w:hAnsi="宋体" w:eastAsia="宋体" w:cs="宋体"/>
                <w:szCs w:val="21"/>
              </w:rPr>
            </w:pPr>
            <w:r>
              <w:rPr>
                <w:rFonts w:hint="eastAsia" w:ascii="宋体" w:hAnsi="宋体" w:eastAsia="宋体" w:cs="宋体"/>
                <w:kern w:val="0"/>
                <w:szCs w:val="21"/>
                <w:lang w:bidi="ar"/>
              </w:rPr>
              <w:t>3</w:t>
            </w:r>
          </w:p>
        </w:tc>
        <w:tc>
          <w:tcPr>
            <w:tcW w:w="984" w:type="pct"/>
            <w:tcBorders>
              <w:top w:val="single" w:color="000000" w:sz="4" w:space="0"/>
              <w:left w:val="single" w:color="000000" w:sz="4" w:space="0"/>
              <w:bottom w:val="single" w:color="000000" w:sz="4" w:space="0"/>
              <w:right w:val="single" w:color="000000" w:sz="4" w:space="0"/>
            </w:tcBorders>
            <w:vAlign w:val="center"/>
          </w:tcPr>
          <w:p w14:paraId="74015D21">
            <w:pPr>
              <w:widowControl/>
              <w:spacing w:line="360" w:lineRule="auto"/>
              <w:jc w:val="center"/>
              <w:textAlignment w:val="center"/>
              <w:rPr>
                <w:rFonts w:ascii="宋体" w:hAnsi="宋体" w:eastAsia="宋体" w:cs="宋体"/>
                <w:szCs w:val="21"/>
              </w:rPr>
            </w:pPr>
            <w:r>
              <w:rPr>
                <w:rFonts w:hint="eastAsia" w:ascii="宋体" w:hAnsi="宋体" w:eastAsia="宋体" w:cs="宋体"/>
                <w:kern w:val="0"/>
                <w:szCs w:val="21"/>
                <w:lang w:bidi="ar"/>
              </w:rPr>
              <w:t>套</w:t>
            </w:r>
          </w:p>
        </w:tc>
      </w:tr>
      <w:tr w14:paraId="161B3082">
        <w:tblPrEx>
          <w:tblCellMar>
            <w:top w:w="0" w:type="dxa"/>
            <w:left w:w="108" w:type="dxa"/>
            <w:bottom w:w="0" w:type="dxa"/>
            <w:right w:w="108" w:type="dxa"/>
          </w:tblCellMar>
        </w:tblPrEx>
        <w:trPr>
          <w:trHeight w:val="270" w:hRule="atLeast"/>
          <w:jc w:val="center"/>
        </w:trPr>
        <w:tc>
          <w:tcPr>
            <w:tcW w:w="677" w:type="pct"/>
            <w:tcBorders>
              <w:top w:val="nil"/>
              <w:left w:val="single" w:color="000000" w:sz="4" w:space="0"/>
              <w:bottom w:val="single" w:color="000000" w:sz="4" w:space="0"/>
              <w:right w:val="single" w:color="000000" w:sz="4" w:space="0"/>
            </w:tcBorders>
            <w:vAlign w:val="center"/>
          </w:tcPr>
          <w:p w14:paraId="5FDC1219">
            <w:pPr>
              <w:widowControl/>
              <w:spacing w:line="360" w:lineRule="auto"/>
              <w:jc w:val="center"/>
              <w:textAlignment w:val="center"/>
              <w:rPr>
                <w:rFonts w:ascii="宋体" w:hAnsi="宋体" w:eastAsia="宋体" w:cs="宋体"/>
                <w:szCs w:val="21"/>
              </w:rPr>
            </w:pPr>
            <w:r>
              <w:rPr>
                <w:rFonts w:hint="eastAsia" w:ascii="宋体" w:hAnsi="宋体" w:eastAsia="宋体" w:cs="宋体"/>
                <w:kern w:val="0"/>
                <w:szCs w:val="21"/>
                <w:lang w:bidi="ar"/>
              </w:rPr>
              <w:t>6</w:t>
            </w:r>
          </w:p>
        </w:tc>
        <w:tc>
          <w:tcPr>
            <w:tcW w:w="2525" w:type="pct"/>
            <w:tcBorders>
              <w:top w:val="single" w:color="000000" w:sz="4" w:space="0"/>
              <w:left w:val="single" w:color="000000" w:sz="4" w:space="0"/>
              <w:bottom w:val="single" w:color="000000" w:sz="4" w:space="0"/>
              <w:right w:val="single" w:color="000000" w:sz="4" w:space="0"/>
            </w:tcBorders>
            <w:vAlign w:val="center"/>
          </w:tcPr>
          <w:p w14:paraId="729EB90D">
            <w:pPr>
              <w:widowControl/>
              <w:spacing w:line="360" w:lineRule="auto"/>
              <w:jc w:val="left"/>
              <w:textAlignment w:val="center"/>
              <w:rPr>
                <w:rFonts w:ascii="宋体" w:hAnsi="宋体" w:eastAsia="宋体" w:cs="宋体"/>
                <w:szCs w:val="21"/>
              </w:rPr>
            </w:pPr>
            <w:r>
              <w:rPr>
                <w:rFonts w:hint="eastAsia" w:ascii="宋体" w:hAnsi="宋体" w:eastAsia="宋体" w:cs="宋体"/>
                <w:kern w:val="0"/>
                <w:szCs w:val="21"/>
                <w:lang w:bidi="ar"/>
              </w:rPr>
              <w:t>用户管理</w:t>
            </w:r>
          </w:p>
        </w:tc>
        <w:tc>
          <w:tcPr>
            <w:tcW w:w="813" w:type="pct"/>
            <w:tcBorders>
              <w:top w:val="single" w:color="000000" w:sz="4" w:space="0"/>
              <w:left w:val="single" w:color="000000" w:sz="4" w:space="0"/>
              <w:bottom w:val="single" w:color="000000" w:sz="4" w:space="0"/>
              <w:right w:val="single" w:color="000000" w:sz="4" w:space="0"/>
            </w:tcBorders>
            <w:vAlign w:val="center"/>
          </w:tcPr>
          <w:p w14:paraId="61B4B29D">
            <w:pPr>
              <w:widowControl/>
              <w:spacing w:line="360" w:lineRule="auto"/>
              <w:jc w:val="center"/>
              <w:textAlignment w:val="center"/>
              <w:rPr>
                <w:rFonts w:ascii="宋体" w:hAnsi="宋体" w:eastAsia="宋体" w:cs="宋体"/>
                <w:szCs w:val="21"/>
              </w:rPr>
            </w:pPr>
            <w:r>
              <w:rPr>
                <w:rFonts w:hint="eastAsia" w:ascii="宋体" w:hAnsi="宋体" w:eastAsia="宋体" w:cs="宋体"/>
                <w:kern w:val="0"/>
                <w:szCs w:val="21"/>
                <w:lang w:bidi="ar"/>
              </w:rPr>
              <w:t>1</w:t>
            </w:r>
          </w:p>
        </w:tc>
        <w:tc>
          <w:tcPr>
            <w:tcW w:w="984" w:type="pct"/>
            <w:tcBorders>
              <w:top w:val="single" w:color="000000" w:sz="4" w:space="0"/>
              <w:left w:val="single" w:color="000000" w:sz="4" w:space="0"/>
              <w:bottom w:val="single" w:color="000000" w:sz="4" w:space="0"/>
              <w:right w:val="single" w:color="000000" w:sz="4" w:space="0"/>
            </w:tcBorders>
            <w:vAlign w:val="center"/>
          </w:tcPr>
          <w:p w14:paraId="1E4C8F0B">
            <w:pPr>
              <w:widowControl/>
              <w:spacing w:line="360" w:lineRule="auto"/>
              <w:jc w:val="center"/>
              <w:textAlignment w:val="center"/>
              <w:rPr>
                <w:rFonts w:ascii="宋体" w:hAnsi="宋体" w:eastAsia="宋体" w:cs="宋体"/>
                <w:szCs w:val="21"/>
              </w:rPr>
            </w:pPr>
            <w:r>
              <w:rPr>
                <w:rFonts w:hint="eastAsia" w:ascii="宋体" w:hAnsi="宋体" w:eastAsia="宋体" w:cs="宋体"/>
                <w:kern w:val="0"/>
                <w:szCs w:val="21"/>
                <w:lang w:bidi="ar"/>
              </w:rPr>
              <w:t>套</w:t>
            </w:r>
          </w:p>
        </w:tc>
      </w:tr>
      <w:tr w14:paraId="02D3CE4B">
        <w:tblPrEx>
          <w:tblCellMar>
            <w:top w:w="0" w:type="dxa"/>
            <w:left w:w="108" w:type="dxa"/>
            <w:bottom w:w="0" w:type="dxa"/>
            <w:right w:w="108" w:type="dxa"/>
          </w:tblCellMar>
        </w:tblPrEx>
        <w:trPr>
          <w:trHeight w:val="270" w:hRule="atLeast"/>
          <w:jc w:val="center"/>
        </w:trPr>
        <w:tc>
          <w:tcPr>
            <w:tcW w:w="677" w:type="pct"/>
            <w:tcBorders>
              <w:top w:val="nil"/>
              <w:left w:val="single" w:color="000000" w:sz="4" w:space="0"/>
              <w:bottom w:val="single" w:color="000000" w:sz="4" w:space="0"/>
              <w:right w:val="single" w:color="000000" w:sz="4" w:space="0"/>
            </w:tcBorders>
            <w:vAlign w:val="center"/>
          </w:tcPr>
          <w:p w14:paraId="6D89214E">
            <w:pPr>
              <w:widowControl/>
              <w:spacing w:line="360" w:lineRule="auto"/>
              <w:jc w:val="center"/>
              <w:textAlignment w:val="center"/>
              <w:rPr>
                <w:rFonts w:ascii="宋体" w:hAnsi="宋体" w:eastAsia="宋体" w:cs="宋体"/>
                <w:szCs w:val="21"/>
              </w:rPr>
            </w:pPr>
            <w:r>
              <w:rPr>
                <w:rFonts w:hint="eastAsia" w:ascii="宋体" w:hAnsi="宋体" w:eastAsia="宋体" w:cs="宋体"/>
                <w:kern w:val="0"/>
                <w:szCs w:val="21"/>
                <w:lang w:bidi="ar"/>
              </w:rPr>
              <w:t>7</w:t>
            </w:r>
          </w:p>
        </w:tc>
        <w:tc>
          <w:tcPr>
            <w:tcW w:w="2525" w:type="pct"/>
            <w:tcBorders>
              <w:top w:val="single" w:color="000000" w:sz="4" w:space="0"/>
              <w:left w:val="single" w:color="000000" w:sz="4" w:space="0"/>
              <w:bottom w:val="single" w:color="000000" w:sz="4" w:space="0"/>
              <w:right w:val="single" w:color="000000" w:sz="4" w:space="0"/>
            </w:tcBorders>
            <w:vAlign w:val="center"/>
          </w:tcPr>
          <w:p w14:paraId="27358054">
            <w:pPr>
              <w:widowControl/>
              <w:spacing w:line="360" w:lineRule="auto"/>
              <w:jc w:val="left"/>
              <w:textAlignment w:val="center"/>
              <w:rPr>
                <w:rFonts w:ascii="宋体" w:hAnsi="宋体" w:eastAsia="宋体" w:cs="宋体"/>
                <w:szCs w:val="21"/>
              </w:rPr>
            </w:pPr>
            <w:r>
              <w:rPr>
                <w:rFonts w:hint="eastAsia" w:ascii="宋体" w:hAnsi="宋体" w:eastAsia="宋体" w:cs="宋体"/>
                <w:kern w:val="0"/>
                <w:szCs w:val="21"/>
                <w:lang w:bidi="ar"/>
              </w:rPr>
              <w:t>应用管理</w:t>
            </w:r>
          </w:p>
        </w:tc>
        <w:tc>
          <w:tcPr>
            <w:tcW w:w="813" w:type="pct"/>
            <w:tcBorders>
              <w:top w:val="single" w:color="000000" w:sz="4" w:space="0"/>
              <w:left w:val="single" w:color="000000" w:sz="4" w:space="0"/>
              <w:bottom w:val="single" w:color="000000" w:sz="4" w:space="0"/>
              <w:right w:val="single" w:color="000000" w:sz="4" w:space="0"/>
            </w:tcBorders>
            <w:vAlign w:val="center"/>
          </w:tcPr>
          <w:p w14:paraId="0AC70A5E">
            <w:pPr>
              <w:widowControl/>
              <w:spacing w:line="360" w:lineRule="auto"/>
              <w:jc w:val="center"/>
              <w:textAlignment w:val="center"/>
              <w:rPr>
                <w:rFonts w:ascii="宋体" w:hAnsi="宋体" w:eastAsia="宋体" w:cs="宋体"/>
                <w:szCs w:val="21"/>
              </w:rPr>
            </w:pPr>
            <w:r>
              <w:rPr>
                <w:rFonts w:hint="eastAsia" w:ascii="宋体" w:hAnsi="宋体" w:eastAsia="宋体" w:cs="宋体"/>
                <w:kern w:val="0"/>
                <w:szCs w:val="21"/>
                <w:lang w:bidi="ar"/>
              </w:rPr>
              <w:t>1</w:t>
            </w:r>
          </w:p>
        </w:tc>
        <w:tc>
          <w:tcPr>
            <w:tcW w:w="984" w:type="pct"/>
            <w:tcBorders>
              <w:top w:val="single" w:color="000000" w:sz="4" w:space="0"/>
              <w:left w:val="single" w:color="000000" w:sz="4" w:space="0"/>
              <w:bottom w:val="single" w:color="000000" w:sz="4" w:space="0"/>
              <w:right w:val="single" w:color="000000" w:sz="4" w:space="0"/>
            </w:tcBorders>
            <w:vAlign w:val="center"/>
          </w:tcPr>
          <w:p w14:paraId="699FC1BA">
            <w:pPr>
              <w:widowControl/>
              <w:spacing w:line="360" w:lineRule="auto"/>
              <w:jc w:val="center"/>
              <w:textAlignment w:val="center"/>
              <w:rPr>
                <w:rFonts w:ascii="宋体" w:hAnsi="宋体" w:eastAsia="宋体" w:cs="宋体"/>
                <w:szCs w:val="21"/>
              </w:rPr>
            </w:pPr>
            <w:r>
              <w:rPr>
                <w:rFonts w:hint="eastAsia" w:ascii="宋体" w:hAnsi="宋体" w:eastAsia="宋体" w:cs="宋体"/>
                <w:kern w:val="0"/>
                <w:szCs w:val="21"/>
                <w:lang w:bidi="ar"/>
              </w:rPr>
              <w:t>套</w:t>
            </w:r>
          </w:p>
        </w:tc>
      </w:tr>
      <w:tr w14:paraId="679943A6">
        <w:tblPrEx>
          <w:tblCellMar>
            <w:top w:w="0" w:type="dxa"/>
            <w:left w:w="108" w:type="dxa"/>
            <w:bottom w:w="0" w:type="dxa"/>
            <w:right w:w="108" w:type="dxa"/>
          </w:tblCellMar>
        </w:tblPrEx>
        <w:trPr>
          <w:trHeight w:val="270" w:hRule="atLeast"/>
          <w:jc w:val="center"/>
        </w:trPr>
        <w:tc>
          <w:tcPr>
            <w:tcW w:w="677" w:type="pct"/>
            <w:tcBorders>
              <w:top w:val="nil"/>
              <w:left w:val="single" w:color="000000" w:sz="4" w:space="0"/>
              <w:bottom w:val="single" w:color="000000" w:sz="4" w:space="0"/>
              <w:right w:val="single" w:color="000000" w:sz="4" w:space="0"/>
            </w:tcBorders>
            <w:vAlign w:val="center"/>
          </w:tcPr>
          <w:p w14:paraId="788A4A8D">
            <w:pPr>
              <w:widowControl/>
              <w:spacing w:line="360" w:lineRule="auto"/>
              <w:jc w:val="center"/>
              <w:textAlignment w:val="center"/>
              <w:rPr>
                <w:rFonts w:ascii="宋体" w:hAnsi="宋体" w:eastAsia="宋体" w:cs="宋体"/>
                <w:szCs w:val="21"/>
              </w:rPr>
            </w:pPr>
            <w:r>
              <w:rPr>
                <w:rFonts w:hint="eastAsia" w:ascii="宋体" w:hAnsi="宋体" w:eastAsia="宋体" w:cs="宋体"/>
                <w:kern w:val="0"/>
                <w:szCs w:val="21"/>
                <w:lang w:bidi="ar"/>
              </w:rPr>
              <w:t>8</w:t>
            </w:r>
          </w:p>
        </w:tc>
        <w:tc>
          <w:tcPr>
            <w:tcW w:w="2525" w:type="pct"/>
            <w:tcBorders>
              <w:top w:val="single" w:color="000000" w:sz="4" w:space="0"/>
              <w:left w:val="single" w:color="000000" w:sz="4" w:space="0"/>
              <w:bottom w:val="single" w:color="000000" w:sz="4" w:space="0"/>
              <w:right w:val="single" w:color="000000" w:sz="4" w:space="0"/>
            </w:tcBorders>
            <w:vAlign w:val="center"/>
          </w:tcPr>
          <w:p w14:paraId="6B013744">
            <w:pPr>
              <w:widowControl/>
              <w:spacing w:line="360" w:lineRule="auto"/>
              <w:jc w:val="left"/>
              <w:textAlignment w:val="center"/>
              <w:rPr>
                <w:rFonts w:ascii="宋体" w:hAnsi="宋体" w:eastAsia="宋体" w:cs="宋体"/>
                <w:szCs w:val="21"/>
              </w:rPr>
            </w:pPr>
            <w:r>
              <w:rPr>
                <w:rFonts w:hint="eastAsia" w:ascii="宋体" w:hAnsi="宋体" w:eastAsia="宋体" w:cs="宋体"/>
                <w:kern w:val="0"/>
                <w:szCs w:val="21"/>
                <w:lang w:bidi="ar"/>
              </w:rPr>
              <w:t>终端管理</w:t>
            </w:r>
          </w:p>
        </w:tc>
        <w:tc>
          <w:tcPr>
            <w:tcW w:w="813" w:type="pct"/>
            <w:tcBorders>
              <w:top w:val="single" w:color="000000" w:sz="4" w:space="0"/>
              <w:left w:val="single" w:color="000000" w:sz="4" w:space="0"/>
              <w:bottom w:val="single" w:color="000000" w:sz="4" w:space="0"/>
              <w:right w:val="single" w:color="000000" w:sz="4" w:space="0"/>
            </w:tcBorders>
            <w:vAlign w:val="center"/>
          </w:tcPr>
          <w:p w14:paraId="27FBDC16">
            <w:pPr>
              <w:widowControl/>
              <w:spacing w:line="360" w:lineRule="auto"/>
              <w:jc w:val="center"/>
              <w:textAlignment w:val="center"/>
              <w:rPr>
                <w:rFonts w:ascii="宋体" w:hAnsi="宋体" w:eastAsia="宋体" w:cs="宋体"/>
                <w:szCs w:val="21"/>
              </w:rPr>
            </w:pPr>
            <w:r>
              <w:rPr>
                <w:rFonts w:hint="eastAsia" w:ascii="宋体" w:hAnsi="宋体" w:eastAsia="宋体" w:cs="宋体"/>
                <w:kern w:val="0"/>
                <w:szCs w:val="21"/>
                <w:lang w:bidi="ar"/>
              </w:rPr>
              <w:t>1</w:t>
            </w:r>
          </w:p>
        </w:tc>
        <w:tc>
          <w:tcPr>
            <w:tcW w:w="984" w:type="pct"/>
            <w:tcBorders>
              <w:top w:val="single" w:color="000000" w:sz="4" w:space="0"/>
              <w:left w:val="single" w:color="000000" w:sz="4" w:space="0"/>
              <w:bottom w:val="single" w:color="000000" w:sz="4" w:space="0"/>
              <w:right w:val="single" w:color="000000" w:sz="4" w:space="0"/>
            </w:tcBorders>
            <w:vAlign w:val="center"/>
          </w:tcPr>
          <w:p w14:paraId="79611D0A">
            <w:pPr>
              <w:widowControl/>
              <w:spacing w:line="360" w:lineRule="auto"/>
              <w:jc w:val="center"/>
              <w:textAlignment w:val="center"/>
              <w:rPr>
                <w:rFonts w:ascii="宋体" w:hAnsi="宋体" w:eastAsia="宋体" w:cs="宋体"/>
                <w:szCs w:val="21"/>
              </w:rPr>
            </w:pPr>
            <w:r>
              <w:rPr>
                <w:rFonts w:hint="eastAsia" w:ascii="宋体" w:hAnsi="宋体" w:eastAsia="宋体" w:cs="宋体"/>
                <w:kern w:val="0"/>
                <w:szCs w:val="21"/>
                <w:lang w:bidi="ar"/>
              </w:rPr>
              <w:t>套</w:t>
            </w:r>
          </w:p>
        </w:tc>
      </w:tr>
      <w:tr w14:paraId="474D0191">
        <w:tblPrEx>
          <w:tblCellMar>
            <w:top w:w="0" w:type="dxa"/>
            <w:left w:w="108" w:type="dxa"/>
            <w:bottom w:w="0" w:type="dxa"/>
            <w:right w:w="108" w:type="dxa"/>
          </w:tblCellMar>
        </w:tblPrEx>
        <w:trPr>
          <w:trHeight w:val="270" w:hRule="atLeast"/>
          <w:jc w:val="center"/>
        </w:trPr>
        <w:tc>
          <w:tcPr>
            <w:tcW w:w="677" w:type="pct"/>
            <w:tcBorders>
              <w:top w:val="nil"/>
              <w:left w:val="single" w:color="000000" w:sz="4" w:space="0"/>
              <w:bottom w:val="single" w:color="000000" w:sz="4" w:space="0"/>
              <w:right w:val="single" w:color="000000" w:sz="4" w:space="0"/>
            </w:tcBorders>
            <w:vAlign w:val="center"/>
          </w:tcPr>
          <w:p w14:paraId="5EBCDC0F">
            <w:pPr>
              <w:widowControl/>
              <w:spacing w:line="360" w:lineRule="auto"/>
              <w:jc w:val="center"/>
              <w:textAlignment w:val="center"/>
              <w:rPr>
                <w:rFonts w:ascii="宋体" w:hAnsi="宋体" w:eastAsia="宋体" w:cs="宋体"/>
                <w:szCs w:val="21"/>
              </w:rPr>
            </w:pPr>
            <w:r>
              <w:rPr>
                <w:rFonts w:hint="eastAsia" w:ascii="宋体" w:hAnsi="宋体" w:eastAsia="宋体" w:cs="宋体"/>
                <w:kern w:val="0"/>
                <w:szCs w:val="21"/>
                <w:lang w:bidi="ar"/>
              </w:rPr>
              <w:t>9</w:t>
            </w:r>
          </w:p>
        </w:tc>
        <w:tc>
          <w:tcPr>
            <w:tcW w:w="2525" w:type="pct"/>
            <w:tcBorders>
              <w:top w:val="single" w:color="000000" w:sz="4" w:space="0"/>
              <w:left w:val="single" w:color="000000" w:sz="4" w:space="0"/>
              <w:bottom w:val="single" w:color="000000" w:sz="4" w:space="0"/>
              <w:right w:val="single" w:color="000000" w:sz="4" w:space="0"/>
            </w:tcBorders>
            <w:noWrap/>
            <w:vAlign w:val="center"/>
          </w:tcPr>
          <w:p w14:paraId="0BB70974">
            <w:pPr>
              <w:widowControl/>
              <w:spacing w:line="360" w:lineRule="auto"/>
              <w:textAlignment w:val="center"/>
              <w:rPr>
                <w:rFonts w:ascii="宋体" w:hAnsi="宋体" w:eastAsia="宋体" w:cs="宋体"/>
                <w:szCs w:val="21"/>
              </w:rPr>
            </w:pPr>
            <w:r>
              <w:rPr>
                <w:rFonts w:hint="eastAsia" w:ascii="宋体" w:hAnsi="宋体" w:eastAsia="宋体" w:cs="宋体"/>
                <w:kern w:val="0"/>
                <w:szCs w:val="21"/>
                <w:lang w:bidi="ar"/>
              </w:rPr>
              <w:t>中央知识库</w:t>
            </w:r>
          </w:p>
        </w:tc>
        <w:tc>
          <w:tcPr>
            <w:tcW w:w="813" w:type="pct"/>
            <w:tcBorders>
              <w:top w:val="single" w:color="000000" w:sz="4" w:space="0"/>
              <w:left w:val="single" w:color="000000" w:sz="4" w:space="0"/>
              <w:bottom w:val="single" w:color="000000" w:sz="4" w:space="0"/>
              <w:right w:val="single" w:color="000000" w:sz="4" w:space="0"/>
            </w:tcBorders>
            <w:vAlign w:val="center"/>
          </w:tcPr>
          <w:p w14:paraId="0143E0B4">
            <w:pPr>
              <w:widowControl/>
              <w:spacing w:line="360" w:lineRule="auto"/>
              <w:jc w:val="center"/>
              <w:textAlignment w:val="center"/>
              <w:rPr>
                <w:rFonts w:ascii="宋体" w:hAnsi="宋体" w:eastAsia="宋体" w:cs="宋体"/>
                <w:szCs w:val="21"/>
              </w:rPr>
            </w:pPr>
            <w:r>
              <w:rPr>
                <w:rFonts w:hint="eastAsia" w:ascii="宋体" w:hAnsi="宋体" w:eastAsia="宋体" w:cs="宋体"/>
                <w:kern w:val="0"/>
                <w:szCs w:val="21"/>
                <w:lang w:bidi="ar"/>
              </w:rPr>
              <w:t>1</w:t>
            </w:r>
          </w:p>
        </w:tc>
        <w:tc>
          <w:tcPr>
            <w:tcW w:w="984" w:type="pct"/>
            <w:tcBorders>
              <w:top w:val="single" w:color="000000" w:sz="4" w:space="0"/>
              <w:left w:val="single" w:color="000000" w:sz="4" w:space="0"/>
              <w:bottom w:val="single" w:color="000000" w:sz="4" w:space="0"/>
              <w:right w:val="single" w:color="000000" w:sz="4" w:space="0"/>
            </w:tcBorders>
            <w:vAlign w:val="center"/>
          </w:tcPr>
          <w:p w14:paraId="5244D62F">
            <w:pPr>
              <w:widowControl/>
              <w:spacing w:line="360" w:lineRule="auto"/>
              <w:jc w:val="center"/>
              <w:textAlignment w:val="center"/>
              <w:rPr>
                <w:rFonts w:ascii="宋体" w:hAnsi="宋体" w:eastAsia="宋体" w:cs="宋体"/>
                <w:szCs w:val="21"/>
              </w:rPr>
            </w:pPr>
            <w:r>
              <w:rPr>
                <w:rFonts w:hint="eastAsia" w:ascii="宋体" w:hAnsi="宋体" w:eastAsia="宋体" w:cs="宋体"/>
                <w:kern w:val="0"/>
                <w:szCs w:val="21"/>
                <w:lang w:bidi="ar"/>
              </w:rPr>
              <w:t>套</w:t>
            </w:r>
          </w:p>
        </w:tc>
      </w:tr>
      <w:tr w14:paraId="097E957C">
        <w:tblPrEx>
          <w:tblCellMar>
            <w:top w:w="0" w:type="dxa"/>
            <w:left w:w="108" w:type="dxa"/>
            <w:bottom w:w="0" w:type="dxa"/>
            <w:right w:w="108" w:type="dxa"/>
          </w:tblCellMar>
        </w:tblPrEx>
        <w:trPr>
          <w:trHeight w:val="270" w:hRule="atLeast"/>
          <w:jc w:val="center"/>
        </w:trPr>
        <w:tc>
          <w:tcPr>
            <w:tcW w:w="677" w:type="pct"/>
            <w:tcBorders>
              <w:top w:val="nil"/>
              <w:left w:val="single" w:color="000000" w:sz="4" w:space="0"/>
              <w:bottom w:val="single" w:color="000000" w:sz="4" w:space="0"/>
              <w:right w:val="single" w:color="000000" w:sz="4" w:space="0"/>
            </w:tcBorders>
            <w:vAlign w:val="center"/>
          </w:tcPr>
          <w:p w14:paraId="51C90EFB">
            <w:pPr>
              <w:widowControl/>
              <w:spacing w:line="360" w:lineRule="auto"/>
              <w:jc w:val="center"/>
              <w:textAlignment w:val="center"/>
              <w:rPr>
                <w:rFonts w:ascii="宋体" w:hAnsi="宋体" w:eastAsia="宋体" w:cs="宋体"/>
                <w:szCs w:val="21"/>
              </w:rPr>
            </w:pPr>
            <w:r>
              <w:rPr>
                <w:rFonts w:hint="eastAsia" w:ascii="宋体" w:hAnsi="宋体" w:eastAsia="宋体" w:cs="宋体"/>
                <w:kern w:val="0"/>
                <w:szCs w:val="21"/>
                <w:lang w:bidi="ar"/>
              </w:rPr>
              <w:t>10</w:t>
            </w:r>
          </w:p>
        </w:tc>
        <w:tc>
          <w:tcPr>
            <w:tcW w:w="2525" w:type="pct"/>
            <w:tcBorders>
              <w:top w:val="single" w:color="000000" w:sz="4" w:space="0"/>
              <w:left w:val="single" w:color="000000" w:sz="4" w:space="0"/>
              <w:bottom w:val="single" w:color="000000" w:sz="4" w:space="0"/>
              <w:right w:val="single" w:color="000000" w:sz="4" w:space="0"/>
            </w:tcBorders>
            <w:noWrap/>
            <w:vAlign w:val="center"/>
          </w:tcPr>
          <w:p w14:paraId="5004F900">
            <w:pPr>
              <w:widowControl/>
              <w:spacing w:line="360" w:lineRule="auto"/>
              <w:textAlignment w:val="center"/>
              <w:rPr>
                <w:rFonts w:ascii="宋体" w:hAnsi="宋体" w:eastAsia="宋体" w:cs="宋体"/>
                <w:szCs w:val="21"/>
              </w:rPr>
            </w:pPr>
            <w:r>
              <w:rPr>
                <w:rFonts w:hint="eastAsia" w:ascii="宋体" w:hAnsi="宋体" w:eastAsia="宋体" w:cs="宋体"/>
                <w:kern w:val="0"/>
                <w:szCs w:val="21"/>
                <w:lang w:bidi="ar"/>
              </w:rPr>
              <w:t>数据中心</w:t>
            </w:r>
          </w:p>
        </w:tc>
        <w:tc>
          <w:tcPr>
            <w:tcW w:w="813" w:type="pct"/>
            <w:tcBorders>
              <w:top w:val="single" w:color="000000" w:sz="4" w:space="0"/>
              <w:left w:val="single" w:color="000000" w:sz="4" w:space="0"/>
              <w:bottom w:val="single" w:color="000000" w:sz="4" w:space="0"/>
              <w:right w:val="single" w:color="000000" w:sz="4" w:space="0"/>
            </w:tcBorders>
            <w:vAlign w:val="center"/>
          </w:tcPr>
          <w:p w14:paraId="3681FF62">
            <w:pPr>
              <w:widowControl/>
              <w:spacing w:line="360" w:lineRule="auto"/>
              <w:jc w:val="center"/>
              <w:textAlignment w:val="center"/>
              <w:rPr>
                <w:rFonts w:ascii="宋体" w:hAnsi="宋体" w:eastAsia="宋体" w:cs="宋体"/>
                <w:szCs w:val="21"/>
              </w:rPr>
            </w:pPr>
            <w:r>
              <w:rPr>
                <w:rFonts w:hint="eastAsia" w:ascii="宋体" w:hAnsi="宋体" w:eastAsia="宋体" w:cs="宋体"/>
                <w:kern w:val="0"/>
                <w:szCs w:val="21"/>
                <w:lang w:bidi="ar"/>
              </w:rPr>
              <w:t>1</w:t>
            </w:r>
          </w:p>
        </w:tc>
        <w:tc>
          <w:tcPr>
            <w:tcW w:w="984" w:type="pct"/>
            <w:tcBorders>
              <w:top w:val="single" w:color="000000" w:sz="4" w:space="0"/>
              <w:left w:val="single" w:color="000000" w:sz="4" w:space="0"/>
              <w:bottom w:val="single" w:color="000000" w:sz="4" w:space="0"/>
              <w:right w:val="single" w:color="000000" w:sz="4" w:space="0"/>
            </w:tcBorders>
            <w:vAlign w:val="center"/>
          </w:tcPr>
          <w:p w14:paraId="7F088451">
            <w:pPr>
              <w:widowControl/>
              <w:spacing w:line="360" w:lineRule="auto"/>
              <w:jc w:val="center"/>
              <w:textAlignment w:val="center"/>
              <w:rPr>
                <w:rFonts w:ascii="宋体" w:hAnsi="宋体" w:eastAsia="宋体" w:cs="宋体"/>
                <w:szCs w:val="21"/>
              </w:rPr>
            </w:pPr>
            <w:r>
              <w:rPr>
                <w:rFonts w:hint="eastAsia" w:ascii="宋体" w:hAnsi="宋体" w:eastAsia="宋体" w:cs="宋体"/>
                <w:kern w:val="0"/>
                <w:szCs w:val="21"/>
                <w:lang w:bidi="ar"/>
              </w:rPr>
              <w:t>套</w:t>
            </w:r>
          </w:p>
        </w:tc>
      </w:tr>
      <w:tr w14:paraId="07EA34EB">
        <w:tblPrEx>
          <w:tblCellMar>
            <w:top w:w="0" w:type="dxa"/>
            <w:left w:w="108" w:type="dxa"/>
            <w:bottom w:w="0" w:type="dxa"/>
            <w:right w:w="108" w:type="dxa"/>
          </w:tblCellMar>
        </w:tblPrEx>
        <w:trPr>
          <w:trHeight w:val="270" w:hRule="atLeast"/>
          <w:jc w:val="center"/>
        </w:trPr>
        <w:tc>
          <w:tcPr>
            <w:tcW w:w="677" w:type="pct"/>
            <w:tcBorders>
              <w:top w:val="nil"/>
              <w:left w:val="single" w:color="000000" w:sz="4" w:space="0"/>
              <w:bottom w:val="single" w:color="000000" w:sz="4" w:space="0"/>
              <w:right w:val="single" w:color="000000" w:sz="4" w:space="0"/>
            </w:tcBorders>
            <w:vAlign w:val="center"/>
          </w:tcPr>
          <w:p w14:paraId="7BB7AC50">
            <w:pPr>
              <w:widowControl/>
              <w:spacing w:line="360" w:lineRule="auto"/>
              <w:jc w:val="center"/>
              <w:textAlignment w:val="center"/>
              <w:rPr>
                <w:rFonts w:ascii="宋体" w:hAnsi="宋体" w:eastAsia="宋体" w:cs="宋体"/>
                <w:szCs w:val="21"/>
              </w:rPr>
            </w:pPr>
            <w:r>
              <w:rPr>
                <w:rFonts w:hint="eastAsia" w:ascii="宋体" w:hAnsi="宋体" w:eastAsia="宋体" w:cs="宋体"/>
                <w:kern w:val="0"/>
                <w:szCs w:val="21"/>
                <w:lang w:bidi="ar"/>
              </w:rPr>
              <w:t>11</w:t>
            </w:r>
          </w:p>
        </w:tc>
        <w:tc>
          <w:tcPr>
            <w:tcW w:w="2525" w:type="pct"/>
            <w:tcBorders>
              <w:top w:val="single" w:color="000000" w:sz="4" w:space="0"/>
              <w:left w:val="single" w:color="000000" w:sz="4" w:space="0"/>
              <w:bottom w:val="single" w:color="000000" w:sz="4" w:space="0"/>
              <w:right w:val="single" w:color="000000" w:sz="4" w:space="0"/>
            </w:tcBorders>
            <w:noWrap/>
            <w:vAlign w:val="center"/>
          </w:tcPr>
          <w:p w14:paraId="0CA3FA29">
            <w:pPr>
              <w:widowControl/>
              <w:spacing w:line="360" w:lineRule="auto"/>
              <w:textAlignment w:val="center"/>
              <w:rPr>
                <w:rFonts w:ascii="宋体" w:hAnsi="宋体" w:eastAsia="宋体" w:cs="宋体"/>
                <w:szCs w:val="21"/>
              </w:rPr>
            </w:pPr>
            <w:r>
              <w:rPr>
                <w:rFonts w:hint="eastAsia" w:ascii="宋体" w:hAnsi="宋体" w:eastAsia="宋体" w:cs="宋体"/>
                <w:kern w:val="0"/>
                <w:szCs w:val="21"/>
                <w:lang w:bidi="ar"/>
              </w:rPr>
              <w:t>应用引擎</w:t>
            </w:r>
          </w:p>
        </w:tc>
        <w:tc>
          <w:tcPr>
            <w:tcW w:w="813" w:type="pct"/>
            <w:tcBorders>
              <w:top w:val="single" w:color="000000" w:sz="4" w:space="0"/>
              <w:left w:val="single" w:color="000000" w:sz="4" w:space="0"/>
              <w:bottom w:val="single" w:color="000000" w:sz="4" w:space="0"/>
              <w:right w:val="single" w:color="000000" w:sz="4" w:space="0"/>
            </w:tcBorders>
            <w:vAlign w:val="center"/>
          </w:tcPr>
          <w:p w14:paraId="110BA71D">
            <w:pPr>
              <w:widowControl/>
              <w:spacing w:line="360" w:lineRule="auto"/>
              <w:jc w:val="center"/>
              <w:textAlignment w:val="center"/>
              <w:rPr>
                <w:rFonts w:ascii="宋体" w:hAnsi="宋体" w:eastAsia="宋体" w:cs="宋体"/>
                <w:szCs w:val="21"/>
              </w:rPr>
            </w:pPr>
            <w:r>
              <w:rPr>
                <w:rFonts w:hint="eastAsia" w:ascii="宋体" w:hAnsi="宋体" w:eastAsia="宋体" w:cs="宋体"/>
                <w:kern w:val="0"/>
                <w:szCs w:val="21"/>
                <w:lang w:bidi="ar"/>
              </w:rPr>
              <w:t>1</w:t>
            </w:r>
          </w:p>
        </w:tc>
        <w:tc>
          <w:tcPr>
            <w:tcW w:w="984" w:type="pct"/>
            <w:tcBorders>
              <w:top w:val="single" w:color="000000" w:sz="4" w:space="0"/>
              <w:left w:val="single" w:color="000000" w:sz="4" w:space="0"/>
              <w:bottom w:val="single" w:color="000000" w:sz="4" w:space="0"/>
              <w:right w:val="single" w:color="000000" w:sz="4" w:space="0"/>
            </w:tcBorders>
            <w:vAlign w:val="center"/>
          </w:tcPr>
          <w:p w14:paraId="69DC1DF6">
            <w:pPr>
              <w:widowControl/>
              <w:spacing w:line="360" w:lineRule="auto"/>
              <w:jc w:val="center"/>
              <w:textAlignment w:val="center"/>
              <w:rPr>
                <w:rFonts w:ascii="宋体" w:hAnsi="宋体" w:eastAsia="宋体" w:cs="宋体"/>
                <w:szCs w:val="21"/>
              </w:rPr>
            </w:pPr>
            <w:r>
              <w:rPr>
                <w:rFonts w:hint="eastAsia" w:ascii="宋体" w:hAnsi="宋体" w:eastAsia="宋体" w:cs="宋体"/>
                <w:kern w:val="0"/>
                <w:szCs w:val="21"/>
                <w:lang w:bidi="ar"/>
              </w:rPr>
              <w:t>套</w:t>
            </w:r>
          </w:p>
        </w:tc>
      </w:tr>
      <w:tr w14:paraId="5D658073">
        <w:tblPrEx>
          <w:tblCellMar>
            <w:top w:w="0" w:type="dxa"/>
            <w:left w:w="108" w:type="dxa"/>
            <w:bottom w:w="0" w:type="dxa"/>
            <w:right w:w="108" w:type="dxa"/>
          </w:tblCellMar>
        </w:tblPrEx>
        <w:trPr>
          <w:trHeight w:val="270" w:hRule="atLeast"/>
          <w:jc w:val="center"/>
        </w:trPr>
        <w:tc>
          <w:tcPr>
            <w:tcW w:w="677" w:type="pct"/>
            <w:tcBorders>
              <w:top w:val="nil"/>
              <w:left w:val="single" w:color="000000" w:sz="4" w:space="0"/>
              <w:bottom w:val="single" w:color="000000" w:sz="4" w:space="0"/>
              <w:right w:val="single" w:color="000000" w:sz="4" w:space="0"/>
            </w:tcBorders>
            <w:vAlign w:val="center"/>
          </w:tcPr>
          <w:p w14:paraId="05751120">
            <w:pPr>
              <w:widowControl/>
              <w:spacing w:line="360" w:lineRule="auto"/>
              <w:jc w:val="center"/>
              <w:textAlignment w:val="center"/>
              <w:rPr>
                <w:rFonts w:ascii="宋体" w:hAnsi="宋体" w:eastAsia="宋体" w:cs="宋体"/>
                <w:szCs w:val="21"/>
              </w:rPr>
            </w:pPr>
            <w:r>
              <w:rPr>
                <w:rFonts w:hint="eastAsia" w:ascii="宋体" w:hAnsi="宋体" w:eastAsia="宋体" w:cs="宋体"/>
                <w:kern w:val="0"/>
                <w:szCs w:val="21"/>
                <w:lang w:bidi="ar"/>
              </w:rPr>
              <w:t>12</w:t>
            </w:r>
          </w:p>
        </w:tc>
        <w:tc>
          <w:tcPr>
            <w:tcW w:w="2525" w:type="pct"/>
            <w:tcBorders>
              <w:top w:val="single" w:color="000000" w:sz="4" w:space="0"/>
              <w:left w:val="single" w:color="000000" w:sz="4" w:space="0"/>
              <w:bottom w:val="single" w:color="000000" w:sz="4" w:space="0"/>
              <w:right w:val="single" w:color="000000" w:sz="4" w:space="0"/>
            </w:tcBorders>
            <w:vAlign w:val="center"/>
          </w:tcPr>
          <w:p w14:paraId="698BB89F">
            <w:pPr>
              <w:widowControl/>
              <w:spacing w:line="360" w:lineRule="auto"/>
              <w:jc w:val="left"/>
              <w:textAlignment w:val="center"/>
              <w:rPr>
                <w:rFonts w:ascii="宋体" w:hAnsi="宋体" w:eastAsia="宋体" w:cs="宋体"/>
                <w:szCs w:val="21"/>
              </w:rPr>
            </w:pPr>
            <w:r>
              <w:rPr>
                <w:rFonts w:hint="eastAsia" w:ascii="宋体" w:hAnsi="宋体" w:eastAsia="宋体" w:cs="宋体"/>
                <w:kern w:val="0"/>
                <w:szCs w:val="21"/>
                <w:lang w:bidi="ar"/>
              </w:rPr>
              <w:t>智能客服</w:t>
            </w:r>
          </w:p>
        </w:tc>
        <w:tc>
          <w:tcPr>
            <w:tcW w:w="813" w:type="pct"/>
            <w:tcBorders>
              <w:top w:val="single" w:color="000000" w:sz="4" w:space="0"/>
              <w:left w:val="single" w:color="000000" w:sz="4" w:space="0"/>
              <w:bottom w:val="single" w:color="000000" w:sz="4" w:space="0"/>
              <w:right w:val="single" w:color="000000" w:sz="4" w:space="0"/>
            </w:tcBorders>
            <w:vAlign w:val="center"/>
          </w:tcPr>
          <w:p w14:paraId="5D2959A6">
            <w:pPr>
              <w:widowControl/>
              <w:spacing w:line="360" w:lineRule="auto"/>
              <w:jc w:val="center"/>
              <w:textAlignment w:val="center"/>
              <w:rPr>
                <w:rFonts w:ascii="宋体" w:hAnsi="宋体" w:eastAsia="宋体" w:cs="宋体"/>
                <w:szCs w:val="21"/>
              </w:rPr>
            </w:pPr>
            <w:r>
              <w:rPr>
                <w:rFonts w:hint="eastAsia" w:ascii="宋体" w:hAnsi="宋体" w:eastAsia="宋体" w:cs="宋体"/>
                <w:kern w:val="0"/>
                <w:szCs w:val="21"/>
                <w:lang w:bidi="ar"/>
              </w:rPr>
              <w:t>1</w:t>
            </w:r>
          </w:p>
        </w:tc>
        <w:tc>
          <w:tcPr>
            <w:tcW w:w="984" w:type="pct"/>
            <w:tcBorders>
              <w:top w:val="single" w:color="000000" w:sz="4" w:space="0"/>
              <w:left w:val="single" w:color="000000" w:sz="4" w:space="0"/>
              <w:bottom w:val="single" w:color="000000" w:sz="4" w:space="0"/>
              <w:right w:val="single" w:color="000000" w:sz="4" w:space="0"/>
            </w:tcBorders>
            <w:vAlign w:val="center"/>
          </w:tcPr>
          <w:p w14:paraId="16985D2C">
            <w:pPr>
              <w:widowControl/>
              <w:spacing w:line="360" w:lineRule="auto"/>
              <w:jc w:val="center"/>
              <w:textAlignment w:val="center"/>
              <w:rPr>
                <w:rFonts w:ascii="宋体" w:hAnsi="宋体" w:eastAsia="宋体" w:cs="宋体"/>
                <w:szCs w:val="21"/>
              </w:rPr>
            </w:pPr>
            <w:r>
              <w:rPr>
                <w:rFonts w:hint="eastAsia" w:ascii="宋体" w:hAnsi="宋体" w:eastAsia="宋体" w:cs="宋体"/>
                <w:kern w:val="0"/>
                <w:szCs w:val="21"/>
                <w:lang w:bidi="ar"/>
              </w:rPr>
              <w:t>套</w:t>
            </w:r>
          </w:p>
        </w:tc>
      </w:tr>
    </w:tbl>
    <w:p w14:paraId="71A61AC8">
      <w:pPr>
        <w:spacing w:line="360" w:lineRule="auto"/>
        <w:jc w:val="center"/>
        <w:outlineLvl w:val="1"/>
        <w:rPr>
          <w:rFonts w:ascii="宋体" w:hAnsi="宋体" w:eastAsia="宋体" w:cs="宋体"/>
          <w:b/>
          <w:bCs/>
          <w:sz w:val="32"/>
          <w:szCs w:val="32"/>
        </w:rPr>
      </w:pPr>
      <w:bookmarkStart w:id="80" w:name="_Toc200016468"/>
      <w:r>
        <w:rPr>
          <w:rFonts w:ascii="宋体" w:hAnsi="宋体" w:eastAsia="宋体" w:cs="宋体"/>
          <w:b/>
          <w:bCs/>
          <w:sz w:val="32"/>
          <w:szCs w:val="32"/>
        </w:rPr>
        <w:t>技术参数</w:t>
      </w:r>
      <w:bookmarkEnd w:id="80"/>
    </w:p>
    <w:tbl>
      <w:tblPr>
        <w:tblStyle w:val="3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2"/>
        <w:gridCol w:w="1150"/>
        <w:gridCol w:w="7164"/>
      </w:tblGrid>
      <w:tr w14:paraId="4A65C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vAlign w:val="center"/>
          </w:tcPr>
          <w:p w14:paraId="22F3999E">
            <w:pPr>
              <w:spacing w:line="360" w:lineRule="auto"/>
              <w:jc w:val="center"/>
              <w:rPr>
                <w:rFonts w:ascii="宋体" w:hAnsi="宋体" w:eastAsia="宋体" w:cs="Times New Roman"/>
                <w:b/>
                <w:bCs/>
                <w:kern w:val="0"/>
                <w:sz w:val="20"/>
                <w:szCs w:val="20"/>
              </w:rPr>
            </w:pPr>
            <w:r>
              <w:rPr>
                <w:rFonts w:hint="eastAsia" w:ascii="宋体" w:hAnsi="宋体" w:eastAsia="宋体" w:cs="Times New Roman"/>
                <w:b/>
                <w:bCs/>
                <w:kern w:val="0"/>
                <w:sz w:val="20"/>
                <w:szCs w:val="20"/>
              </w:rPr>
              <w:t>序号</w:t>
            </w:r>
          </w:p>
        </w:tc>
        <w:tc>
          <w:tcPr>
            <w:tcW w:w="619" w:type="pct"/>
            <w:vAlign w:val="center"/>
          </w:tcPr>
          <w:p w14:paraId="2B098240">
            <w:pPr>
              <w:spacing w:line="360" w:lineRule="auto"/>
              <w:jc w:val="center"/>
              <w:rPr>
                <w:rFonts w:ascii="宋体" w:hAnsi="宋体" w:eastAsia="宋体" w:cs="Times New Roman"/>
                <w:b/>
                <w:bCs/>
                <w:kern w:val="0"/>
                <w:sz w:val="20"/>
                <w:szCs w:val="20"/>
              </w:rPr>
            </w:pPr>
            <w:r>
              <w:rPr>
                <w:rFonts w:hint="eastAsia" w:ascii="宋体" w:hAnsi="宋体" w:eastAsia="宋体" w:cs="Times New Roman"/>
                <w:b/>
                <w:bCs/>
                <w:kern w:val="0"/>
                <w:sz w:val="20"/>
                <w:szCs w:val="20"/>
              </w:rPr>
              <w:t>项目</w:t>
            </w:r>
          </w:p>
        </w:tc>
        <w:tc>
          <w:tcPr>
            <w:tcW w:w="3856" w:type="pct"/>
            <w:vAlign w:val="center"/>
          </w:tcPr>
          <w:p w14:paraId="270A1420">
            <w:pPr>
              <w:spacing w:line="360" w:lineRule="auto"/>
              <w:jc w:val="center"/>
              <w:rPr>
                <w:rFonts w:ascii="宋体" w:hAnsi="宋体" w:eastAsia="宋体" w:cs="Times New Roman"/>
                <w:b/>
                <w:bCs/>
                <w:kern w:val="0"/>
                <w:sz w:val="20"/>
                <w:szCs w:val="20"/>
              </w:rPr>
            </w:pPr>
            <w:r>
              <w:rPr>
                <w:rFonts w:hint="eastAsia" w:ascii="宋体" w:hAnsi="宋体" w:eastAsia="宋体" w:cs="Times New Roman"/>
                <w:b/>
                <w:bCs/>
                <w:kern w:val="0"/>
                <w:sz w:val="20"/>
                <w:szCs w:val="20"/>
              </w:rPr>
              <w:t>技术参数</w:t>
            </w:r>
          </w:p>
        </w:tc>
      </w:tr>
      <w:tr w14:paraId="25B54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vAlign w:val="center"/>
          </w:tcPr>
          <w:p w14:paraId="61B6AE9D">
            <w:pPr>
              <w:spacing w:line="360"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1</w:t>
            </w:r>
          </w:p>
        </w:tc>
        <w:tc>
          <w:tcPr>
            <w:tcW w:w="619" w:type="pct"/>
            <w:vAlign w:val="center"/>
          </w:tcPr>
          <w:p w14:paraId="2D9F2F11">
            <w:pPr>
              <w:spacing w:line="360"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朗读亭</w:t>
            </w:r>
          </w:p>
        </w:tc>
        <w:tc>
          <w:tcPr>
            <w:tcW w:w="3856" w:type="pct"/>
            <w:vAlign w:val="center"/>
          </w:tcPr>
          <w:p w14:paraId="4598BDB3">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一、整机组成</w:t>
            </w:r>
          </w:p>
          <w:p w14:paraId="181F37E2">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1）设备主体：朗读亭框体1 个(含通风系统，灯光、玻璃、钣金框体)；</w:t>
            </w:r>
          </w:p>
          <w:p w14:paraId="0F4FE1E9">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2）朗读亭主体框架：需采用优质冷扎板折弯焊接成形，表面做喷粉防锈处理。</w:t>
            </w:r>
          </w:p>
          <w:p w14:paraId="3B7B5A7D">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3）钢化隔音玻璃：不低于10mm厚度,保证亭子的封闭性、安全性、光线充足，同时阻隔外部干扰杂音。</w:t>
            </w:r>
          </w:p>
          <w:p w14:paraId="041142C0">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4）功能主件：触摸点播系统（屏）≥1 个；影像字幕显示屏≥1 个； 主控机≥1 个；</w:t>
            </w:r>
          </w:p>
          <w:p w14:paraId="78D6D136">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5）主控机：四核及以上高频处理器，运行内存≥4G，存储容量≥32G ,主要接口包括HDMI≥2个、USB2.0≥4个、RJ45≥1个、3.5mm接口≥2个、TF Card接口≥1个等，操作系统：Android5.1或以上。</w:t>
            </w:r>
          </w:p>
          <w:p w14:paraId="5E83E996">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6）设备附件：专业麦克风≥2 个；专业耳机≥2 个；软包升降座椅≥2 个；</w:t>
            </w:r>
          </w:p>
          <w:p w14:paraId="2846D6A6">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7）专业电容麦克风：需配备麦克风固定套筒和支架，心形指向收音，频率响应：20-20000 Hz，阻抗：120Ω ，灵敏度：-38dB。</w:t>
            </w:r>
          </w:p>
          <w:p w14:paraId="09305B03">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8）▲音效处理器：DSP音效处理器，混响，频响可调；噪音指标：≤40分贝；（须提供集成电路布图设计登记证书）</w:t>
            </w:r>
          </w:p>
          <w:p w14:paraId="65852B07">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9）头戴式耳机：灵敏度≥96dB，频率响应：15-22000Hz；佩戴舒适，音质保真；</w:t>
            </w:r>
          </w:p>
          <w:p w14:paraId="0C6C685E">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10）监控摄像头：高清摄像头，最高分辨率≥1920×1080，内存卡≥32G。</w:t>
            </w:r>
          </w:p>
          <w:p w14:paraId="54F83CE4">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11）灯光：LED灯嵌入式照明氛围灯1Wx9盏，柔和暖色灯光，对人眼无刺激，保护读者视力健康，带人体感应控制开关，人走灯灭，做到更加节约环保。</w:t>
            </w:r>
          </w:p>
          <w:p w14:paraId="72C6C2C9">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12）朗读亭内部文化展示牌，支持定制学校logo,尺寸968x201mm。</w:t>
            </w:r>
          </w:p>
          <w:p w14:paraId="7166E5DF">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13）定时器：支持管理设置时间，并且可多组定时设置，无需人工干预。断电记忆，断电无需重新设置。</w:t>
            </w:r>
          </w:p>
          <w:p w14:paraId="29F5190D">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14）现代风格软包座椅：不锈钢金属一体成型，结实稳固，弧形高椅背软包座垫，坐感舒适。</w:t>
            </w:r>
          </w:p>
          <w:p w14:paraId="4DA1F190">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 xml:space="preserve">15）紫外线杀菌：全仓杀菌消毒，提供一个健康朗读空间。 </w:t>
            </w:r>
          </w:p>
          <w:p w14:paraId="5DC101EE">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16）单冷新风系统：配备制冷新风系统，低能耗，免排水耐用环保，包含新风系统。</w:t>
            </w:r>
          </w:p>
          <w:p w14:paraId="09EAB734">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17）智能门禁系统，三合一；指纹、密码、支持ID/IC卡刷卡开门进入朗读亭。</w:t>
            </w:r>
          </w:p>
          <w:p w14:paraId="247D3582">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18）百叶窗帘：使用环保料，遮光效果好，可以灵活调节透光及隐私性。</w:t>
            </w:r>
          </w:p>
          <w:p w14:paraId="421CE151">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19）安全监控摄像头360度监视，1080P循环录制功能，32GB存储，支持移动远程实时查看、网络存储等。</w:t>
            </w:r>
          </w:p>
          <w:p w14:paraId="7593EBBA">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二、规格尺寸</w:t>
            </w:r>
          </w:p>
          <w:p w14:paraId="5E5835F4">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1.产品尺寸: 长（L）≥1.60[m] × 宽（W）≥1.60[m] ×高（H）≥2.720[m] 使用500兆帕强度四级钢材制作而成钢框架，采用优质冷扎板折弯焊接成形，表面做喷粉防锈处理。吊顶采用15mm复合防火板，亭子左右两侧加入中国风实木格删，毛重400KG；机器底部有滚轮方便移动，有座脚方便固定。</w:t>
            </w:r>
          </w:p>
          <w:p w14:paraId="0329E131">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2.额定电源：AC220V/50HZ</w:t>
            </w:r>
          </w:p>
          <w:p w14:paraId="0B79649A">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3.额定功率：整机≥1200W；</w:t>
            </w:r>
          </w:p>
          <w:p w14:paraId="590F74F1">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4.显示部分：主显示器≥32英寸，分辨率≥1920*1080，高清画质，还原真实色彩；触摸屏≥21.5英寸，电容式触摸，分辨率≥1920*1080</w:t>
            </w:r>
          </w:p>
          <w:p w14:paraId="0FAD6FA5">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5.网络：支持无线和有线；</w:t>
            </w:r>
          </w:p>
          <w:p w14:paraId="5460A65F">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三、朗读亭APP软件功能</w:t>
            </w:r>
          </w:p>
          <w:p w14:paraId="4755EB4E">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1.支持多种登录方式：包括①学习通扫码登录，②微信扫码登录；③刷卡登录；④账号密码登录等。</w:t>
            </w:r>
          </w:p>
          <w:p w14:paraId="1832A3D9">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1.软件系统为开放式B/S架构 ,支持定制开发。</w:t>
            </w:r>
          </w:p>
          <w:p w14:paraId="31F14DDA">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不少于50+大文库版块：自由朗读，亲子儿童，经典文学，唐诗宋词，诗歌散文，外语名篇，趣味配音，党章学习，赛事活动，朗读技巧，雷锋日记，中学生必读，小学生必读，K12部编版同步教材，热门排行，名家名篇，唱响主旋律，习近平著作等。</w:t>
            </w:r>
          </w:p>
          <w:p w14:paraId="07FB1950">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3. ▲视频录制功能：用户可选择录制视频作品，采用云存储，支持录制3分钟高清短视频功能，数据均保存到云端服务器、录制的视频在手机端可以同步显示，收听朗读作品时可以观看朗读者当时的视频，视频支持根据用户需求开启录制视频或者关闭录制视频。（需配置摄像头）（该功能需提供相关功能截图）</w:t>
            </w:r>
          </w:p>
          <w:p w14:paraId="3D8703DB">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4.素材推荐：系统基于素材朗读量、点赞量和时间范围多维度进行大数据分析运算，结合智能算法模型，计算得出最受用户喜爱的文章，并按照排序推送给用户。</w:t>
            </w:r>
          </w:p>
          <w:p w14:paraId="5F4C1216">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5.配乐朗读：用户选择朗读的文章，选择适合的配乐进行配乐朗读，同时系统根据素材类型、风格，结合大数据算法智能化精准匹配推荐背景音乐。</w:t>
            </w:r>
          </w:p>
          <w:p w14:paraId="1191C8B5">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6.视频配音：支持配音模仿学习，开始配音后消除人声保留背景声音。配音作品自动同步到小程序端，支持微信小程序端作品查看、评论、转发分享。</w:t>
            </w:r>
          </w:p>
          <w:p w14:paraId="4BB44F37">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7.绘本配音：用户可根据绘本内容进行配音录制，绘本配音作品自动同步到小程序端，支持微信小程序端作品查看、评论、转发分享。</w:t>
            </w:r>
          </w:p>
          <w:p w14:paraId="2BD8AA0D">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8.快速朗读，支持2种快速朗读方式：①随机一首，系统随机推荐一篇素材，用户可一键开始朗读；②自由录制，支持用户自带课本朗读、即兴朗读、上传素材朗读。</w:t>
            </w:r>
          </w:p>
          <w:p w14:paraId="68777FDD">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9.▲作品打分：普通话发音测评，对流畅度，准确性，情感度三个维度进行测评，必须支持全部文章的测评及单个文字测评。（该功能需提供相关功能截图）</w:t>
            </w:r>
          </w:p>
          <w:p w14:paraId="728EEB38">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10.作品管理:支持读者对朗读完的作品进行以下操作：①作品回听②自动保存至草稿箱③发布作品 ④提交参赛⑤制作留声卡⑥扫描作品的二维码，进行分享；⑦发布作品经过审核后会同步到该素材试听列表、作品广场、小程序等模块。</w:t>
            </w:r>
          </w:p>
          <w:p w14:paraId="0E71DBC5">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11.试听他人：用户朗读前可试听该素材全国所有用户朗读的版本进行学习，该素材所有的朗读版本，包含置顶的名家示范音频，以及全国朗读爱好者朗读版本。试听他人模式下，可对他人朗读的作品进行点赞操作。</w:t>
            </w:r>
          </w:p>
          <w:p w14:paraId="724B1970">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12.热门排行推送，支持手动设置热门文章，将指定的文章推送到热门排行分类中。</w:t>
            </w:r>
          </w:p>
          <w:p w14:paraId="1A6F1FA5">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13.制作留声卡：①留声卡图片由作者自由上传编辑，不存在版权争议，可实时预览留声卡效果 ②支持用户可直接一键下载本地。</w:t>
            </w:r>
          </w:p>
          <w:p w14:paraId="27D36004">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14.▲AI智能语音助手：支持语音唤醒。资源搜索：支持搜索标题、作者，并可以直接进入资源进行朗读；人机对话：能够与人对话互动，回答问题，协助创作，高效便捷地帮助人们获取信息、知识和灵感。并具有逻辑推理、多模态理解、多语言支持；资讯查询：支持天气查询、知识查询、航班查询、新闻资讯查询等。（须提供软件著作权复印件及功能截屏证明文件）。</w:t>
            </w:r>
          </w:p>
          <w:p w14:paraId="49CEA86A">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15.积分商城：①积分商城积分获取方式：每日签到获取积分、视频录制录制作品、配音录制作品、点赞作品、参与活动、参与投票等；②商城支持兑换实体物品与虚拟物品；③积分兑换奖品自动定期补货与更新。</w:t>
            </w:r>
          </w:p>
          <w:p w14:paraId="4D03706D">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16.▲普通话测评：英语测评，完整度，流畅度，准确度三个维度进行测评，支持音标练习，听说模拟，单词训练，课文跟读，课文朗读，读写模拟。（提供英文测评软件著作权复印件及功能截屏证明文件）</w:t>
            </w:r>
          </w:p>
          <w:p w14:paraId="6FA5BB63">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17.背诵功能，背诵时自动屏蔽字幕，背诵结束字幕出现，提交后进行测评，含错字、漏字、准确字以及单个文字的读音测评。（提供背诵系统软件著作权复印件及功能截屏证明文件）</w:t>
            </w:r>
          </w:p>
          <w:p w14:paraId="1CDD1E82">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18.点读功能：支持点读模块，可在管理后台上传原文，译文，可播放示范音频。</w:t>
            </w:r>
          </w:p>
          <w:p w14:paraId="7DF1FF6F">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19.▲作品外链功能，无缝连接至使用单位的微信公众号，可以收听，调用录音作品进行分享。（该功能需提供相关功能截图）</w:t>
            </w:r>
          </w:p>
          <w:p w14:paraId="1C13843A">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20.音频设置：管理员可调整麦克风、耳机的输出音量单位值、最小值和最大值。</w:t>
            </w:r>
          </w:p>
          <w:p w14:paraId="35B8600B">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21.故障申报：用户选择故障类型上报后，系统可收到故障信息。</w:t>
            </w:r>
          </w:p>
          <w:p w14:paraId="25D68583">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22.FAQ（常见问题及解答）：后台可编辑常见问题及对应的解答，支持实时更换展示内容。</w:t>
            </w:r>
          </w:p>
          <w:p w14:paraId="59A42776">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23.活动模块：①支持活动信息轮播展示；②支持展示活动详情页，内容支持多段标题（如组织单位、参与方式、活动时间、活动规则、活动评奖等）；</w:t>
            </w:r>
          </w:p>
          <w:p w14:paraId="34C1DF7A">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24.字幕跟随功能：可在朗读时，根据用户所朗读的句子，自动定位聚焦该句定位。</w:t>
            </w:r>
          </w:p>
          <w:p w14:paraId="667AD1FC">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25.延时自动退出登录，如微信登录用户离开设备时没有退出，系统自动检测超时退出该用户登录。</w:t>
            </w:r>
          </w:p>
          <w:p w14:paraId="21278A11">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四、朗读亭管理后台</w:t>
            </w:r>
          </w:p>
          <w:p w14:paraId="6837F009">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1.▲用户权限管理，根据工作需要可以设置系统用户权限，如系统管理员，审核员，操作员等。（提供朗读管理平台系统软件著作权，朗读权限管理系统软件著作权，及功能截屏证明文件）</w:t>
            </w:r>
          </w:p>
          <w:p w14:paraId="0B1EB546">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2.设置及管理用户每天使用设备的时间及使用次数。</w:t>
            </w:r>
          </w:p>
          <w:p w14:paraId="44628C60">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3.用户及粉丝管理，分析统计用户和粉丝数量以及属性。</w:t>
            </w:r>
          </w:p>
          <w:p w14:paraId="46E0498C">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4.数据分析，读者数，粉丝增长量，作品分享排行，文章热门排行，设备录音作品数排行等。</w:t>
            </w:r>
          </w:p>
          <w:p w14:paraId="4D837D42">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5.更新上传文库，管理员或者使用单位均可上传自己的专属文库资源，管理自己设备的文库。</w:t>
            </w:r>
          </w:p>
          <w:p w14:paraId="515ED5E8">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6.朗读资源分类，支持重新定义朗读资源模块，比如增加红色经典阅读等自定义模块。</w:t>
            </w:r>
          </w:p>
          <w:p w14:paraId="6C7160AE">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7.▲活动赛事管理，使用单位根据自己的需求创建及管理自己的活动赛事。（提供朗读活动赛事软件著作权复印件及功能截屏证明文件）</w:t>
            </w:r>
          </w:p>
          <w:p w14:paraId="140D161C">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8.配乐管理，可上传各种不同风格主题的配乐。录音作品管理，对录音作品分享，下载，删除录音作品，支持单个作品下载，支持朗读作品批量下载，更加方便后台下载管理。。</w:t>
            </w:r>
          </w:p>
          <w:p w14:paraId="196EBC76">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9.作品审核功能，采取人工对用户上传发布的作品进行审核，审核通过后方可发布成功。</w:t>
            </w:r>
          </w:p>
          <w:p w14:paraId="17FDD5C4">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10.远程设备管理，对设备进项远程监测，系统升级，文库升级等。</w:t>
            </w:r>
          </w:p>
          <w:p w14:paraId="2BC5A144">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11.屏保宣传文案推送，后台可推送宣传文案到设备的主屏幕，无人朗读时，自动播放视频或者图片或者文字。</w:t>
            </w:r>
          </w:p>
          <w:p w14:paraId="73660F6B">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12.热门排行推送，支持手动设置热门文章，将指定的文章推送到热门排行分类中。</w:t>
            </w:r>
          </w:p>
          <w:p w14:paraId="78B8F88D">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13.评分系统：提供朗读评分系统，后台支持开关此功能。</w:t>
            </w:r>
          </w:p>
          <w:p w14:paraId="1BD5D9C0">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14.用户信息接收，接收用户反馈的问题信息。</w:t>
            </w:r>
          </w:p>
          <w:p w14:paraId="06B509CA">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五、配套移动app功能</w:t>
            </w:r>
          </w:p>
          <w:p w14:paraId="7BF32C81">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1.可定制单位专属app学习页面，朗读应用。</w:t>
            </w:r>
          </w:p>
          <w:p w14:paraId="01F28A54">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2.移动app内资源丰富，可提供电子图书、期刊在线阅读，电子图书可根据单位需求进行配置相应内容。</w:t>
            </w:r>
          </w:p>
          <w:p w14:paraId="6E6FA6F8">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3. 资源的社交系统</w:t>
            </w:r>
          </w:p>
          <w:p w14:paraId="434CEEDB">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（1）▲可提供全终端（移动端和pc端）的交流平台，实现兴趣小组功能。（提供朗读亭质检报告GB 8898-2011《音频、视频及类似电子设备安全要求》(带CNAS,CMA章)）</w:t>
            </w:r>
          </w:p>
          <w:p w14:paraId="199A3061">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①▲用户可以创建自己的小组，可以设定小组名称、加入的权限，权限包括公开加入、邀请加入、审批加入等，用户可以浏览和发现小组。（该功能需提供相关功能截图）</w:t>
            </w:r>
          </w:p>
          <w:p w14:paraId="1E8C1A4D">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②私有小组可以由创建者通过邀请码或使用客户端扫码邀请个人加入小组。</w:t>
            </w:r>
          </w:p>
          <w:p w14:paraId="5D10DBD8">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③小组内可以发表多个话题，话题可以被回复、点赞，可以被置顶。</w:t>
            </w:r>
          </w:p>
          <w:p w14:paraId="37208C2B">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④可实现小组内话题整理，建立文件夹进行分级。</w:t>
            </w:r>
          </w:p>
          <w:p w14:paraId="325AF5AD">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⑤实现小组一键群聊，创建小组的群聊。</w:t>
            </w:r>
          </w:p>
          <w:p w14:paraId="09E0280D">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⑥可实现小组内发表话题时，允许添加图片、录音、收藏的资源等内容。</w:t>
            </w:r>
          </w:p>
          <w:p w14:paraId="531C7804">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（2）可实现用户写笔记功能，笔记可公开、可私有、可共享给部分好友。</w:t>
            </w:r>
          </w:p>
          <w:p w14:paraId="306A0C21">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①▲笔记允许被好友查看、点赞、回复，并且可以作为资源转发推荐到消息、小组话题内。（该功能需提供相关功能截图）</w:t>
            </w:r>
          </w:p>
          <w:p w14:paraId="053EB513">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②可实现对笔记的分类，允许用户建立文件夹进行整理。</w:t>
            </w:r>
          </w:p>
          <w:p w14:paraId="0FE93E42">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③查看好友笔记动态时，允许给关注的人进行分组，并按照分组来查看不同分组内的人员笔记动态。</w:t>
            </w:r>
          </w:p>
          <w:p w14:paraId="398833ED">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其他社交</w:t>
            </w:r>
          </w:p>
          <w:p w14:paraId="5E21CF5C">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（3）可实现在系统内的即时聊天，实现系统用户的消息、信函、语音聊天等主动交流的发起方式</w:t>
            </w:r>
          </w:p>
          <w:p w14:paraId="7AC75AB3">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4）▲移动客户端需支持在线发起直播功能，直播可以被转发到聊天或者动态。用户点击即可打开直播，并且可以发文字进行互动。直播结束后可选择是否支持回放，允许回放可以让用户点击观看直播录像。（该功能需提供相关功能截图）</w:t>
            </w:r>
          </w:p>
          <w:p w14:paraId="3725EC9D">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（5）▲可实现基于专题资源进行多种形式互动分享，如：专题评论、转发，且可以转发至：小组、笔记、消息、通知、微信好友、朋友圈等，实现知识流转最大化。</w:t>
            </w:r>
          </w:p>
          <w:p w14:paraId="46D08F9E">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（6）客户端可支持管理员向用户发布公告。并且支持查看用户的已读和未读情况。公告可以支持添加图片、电子资源等。</w:t>
            </w:r>
          </w:p>
          <w:p w14:paraId="73433D3F">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六、朗读资源</w:t>
            </w:r>
          </w:p>
          <w:p w14:paraId="31CAAAC2">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1.海量文库资源总量不少于≧100000篇，</w:t>
            </w:r>
          </w:p>
          <w:p w14:paraId="1669C2F4">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2.支持智能搜索功能，文库定期更新添加。</w:t>
            </w:r>
          </w:p>
          <w:p w14:paraId="2A143F42">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3. 可自定义文库分类，支持设备单独使用该文库。</w:t>
            </w:r>
          </w:p>
          <w:p w14:paraId="1E394FCA">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4.唐诗宋词元曲27500篇，含李白、杜甫、王勃、王维、孟浩然、王昌龄、王之涣、岑参、苏轼、辛弃疾、柳永、李清照、晏殊、周邦彦、关汉卿、白朴、。郑光祖、马致远、张养浩等作者作品。</w:t>
            </w:r>
          </w:p>
          <w:p w14:paraId="51823071">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5. 经典文学2200篇，含《红楼梦》、《三国演义》、《西游记》、《家》、《十八春、《林海雪原》、《子夜》等。</w:t>
            </w:r>
          </w:p>
          <w:p w14:paraId="728FAE0B">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6.诗歌散文 6800篇，含毛泽东、泰戈尔、徐志摩、余光中。老舍、张爱玲、丰子恺、史铁生、冰心、海子、林徽因、戴望舒、仓央嘉措、李叔同、胡适、林清玄、等作者作品。</w:t>
            </w:r>
          </w:p>
          <w:p w14:paraId="09C8AEF8">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7.节日精选（新年、清明节、劳动节、儿童节、建党节、建军节、父亲节、母亲节、七夕节，中秋节，重阳节、教师节）</w:t>
            </w:r>
          </w:p>
          <w:p w14:paraId="43384670">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8.外语名篇 2800篇，含普希金、海明威、威廉·卡洛斯·威廉姆斯、海涅、海伦凯勒、托马斯·纳什、高尔基、朗费罗等作者作品。</w:t>
            </w:r>
          </w:p>
          <w:p w14:paraId="7C0424C5">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9.红色经典 650篇，含《保卫延安》、《红岩》等经典读本。</w:t>
            </w:r>
          </w:p>
          <w:p w14:paraId="0A4EF7B0">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10.党章学习 350篇，含《两学一做·学习教育手册》、《习近平总书记重要讲话读本》、《中国共产党章程》等。</w:t>
            </w:r>
          </w:p>
          <w:p w14:paraId="60316E1F">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11. 雷锋日记100篇。</w:t>
            </w:r>
          </w:p>
          <w:p w14:paraId="4B33FCBE">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12.英语学习（英语四六级词汇、初高中英语词组）</w:t>
            </w:r>
          </w:p>
          <w:p w14:paraId="6478D31C">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13.抗击疫情（防疫抗疫英雄人物、抗疫精神防疫抗疫故事、抗击疫情诗歌）</w:t>
            </w:r>
          </w:p>
          <w:p w14:paraId="53AF70A0">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14.党建中心，（中国共产党历史、党史人物故事）</w:t>
            </w:r>
          </w:p>
          <w:p w14:paraId="2F71FB03">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15.普通话点读1000句，含生活、出行、工作、应急、学习等基础普通话学习。</w:t>
            </w:r>
          </w:p>
          <w:p w14:paraId="1DB65771">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16.唱响主旋律1000+首MTV。</w:t>
            </w:r>
          </w:p>
          <w:p w14:paraId="42A0C934">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17.习近平相关著作不少于19本，含习近平系列论述摘编、《平“语”近人——习近平总书记用典》、《习近平谈治国理政》等读本。</w:t>
            </w:r>
          </w:p>
          <w:p w14:paraId="46E33DF8">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18.普通话测评（单音节、多音节、朗读短文、自由说话、词汇）</w:t>
            </w:r>
          </w:p>
          <w:p w14:paraId="469488FD">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19.爱我中华主题诵读库。</w:t>
            </w:r>
          </w:p>
          <w:p w14:paraId="36399C59">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20.名家经典，含鲁迅经典合集、朱自清散文集、顾城诗集、艾青诗集。冰心经典合集等名人读本。</w:t>
            </w:r>
          </w:p>
          <w:p w14:paraId="57B7AC42">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21.国学经典，含四书五经，论语、中庸、大学、孟子、诗经，弟子规、春秋等经典著作。</w:t>
            </w:r>
          </w:p>
          <w:p w14:paraId="26C83664">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22.红色家书1000篇。</w:t>
            </w:r>
          </w:p>
          <w:p w14:paraId="3B781B72">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23.二十四节气300篇</w:t>
            </w:r>
          </w:p>
          <w:p w14:paraId="12CAAAF8">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24.成语故事1000篇。</w:t>
            </w:r>
          </w:p>
          <w:p w14:paraId="7073B6E4">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25.寓言故事1000篇。</w:t>
            </w:r>
          </w:p>
          <w:p w14:paraId="1B9D1D8E">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26.绕口令100篇。</w:t>
            </w:r>
          </w:p>
          <w:p w14:paraId="5521972E">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27.中国诗词大会1-5季。</w:t>
            </w:r>
          </w:p>
          <w:p w14:paraId="58E21ADE">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28.朗读者第一季，朗读者第二季。</w:t>
            </w:r>
          </w:p>
          <w:p w14:paraId="1DBEE1C4">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29.地方特色方言，含四川话、广东话、闽南语、东北话、湖南话等。</w:t>
            </w:r>
          </w:p>
          <w:p w14:paraId="47FC9799">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30.小语种点读（日语、英语、德语、意大利语、阿拉伯语、法语、汉语）。</w:t>
            </w:r>
          </w:p>
          <w:p w14:paraId="0719AABB">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31.▲为保证软件产品的合法性，防止知识产权纠纷，产品制造商应具有版权保护能力。需提供朗读系统相关的：朗读云录播软件、朗读亭朗读播放软件、朗读作品分享传播软件、朗读大赛支撑系统等软件著作权。</w:t>
            </w:r>
          </w:p>
        </w:tc>
      </w:tr>
      <w:tr w14:paraId="74106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vAlign w:val="center"/>
          </w:tcPr>
          <w:p w14:paraId="00FC28B8">
            <w:pPr>
              <w:spacing w:line="360"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2</w:t>
            </w:r>
          </w:p>
        </w:tc>
        <w:tc>
          <w:tcPr>
            <w:tcW w:w="619" w:type="pct"/>
            <w:vAlign w:val="center"/>
          </w:tcPr>
          <w:p w14:paraId="0E7AB073">
            <w:pPr>
              <w:spacing w:line="360"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全能艺术台</w:t>
            </w:r>
          </w:p>
        </w:tc>
        <w:tc>
          <w:tcPr>
            <w:tcW w:w="3856" w:type="pct"/>
            <w:vAlign w:val="center"/>
          </w:tcPr>
          <w:p w14:paraId="5C293093">
            <w:pPr>
              <w:spacing w:line="360" w:lineRule="auto"/>
              <w:jc w:val="left"/>
              <w:rPr>
                <w:rFonts w:ascii="宋体" w:hAnsi="宋体" w:eastAsia="宋体" w:cs="Times New Roman"/>
                <w:b/>
                <w:bCs/>
                <w:kern w:val="0"/>
                <w:sz w:val="18"/>
                <w:szCs w:val="18"/>
              </w:rPr>
            </w:pPr>
            <w:r>
              <w:rPr>
                <w:rFonts w:hint="eastAsia" w:ascii="宋体" w:hAnsi="宋体" w:eastAsia="宋体" w:cs="Times New Roman"/>
                <w:b/>
                <w:bCs/>
                <w:kern w:val="0"/>
                <w:sz w:val="18"/>
                <w:szCs w:val="18"/>
              </w:rPr>
              <w:t>一、整机要求：</w:t>
            </w:r>
          </w:p>
          <w:p w14:paraId="1F77A65C">
            <w:pPr>
              <w:spacing w:line="360" w:lineRule="auto"/>
              <w:jc w:val="left"/>
              <w:rPr>
                <w:rFonts w:ascii="宋体" w:hAnsi="宋体" w:eastAsia="宋体" w:cs="Times New Roman"/>
                <w:b/>
                <w:bCs/>
                <w:kern w:val="0"/>
                <w:sz w:val="18"/>
                <w:szCs w:val="18"/>
              </w:rPr>
            </w:pPr>
            <w:r>
              <w:rPr>
                <w:rFonts w:hint="eastAsia" w:ascii="宋体" w:hAnsi="宋体" w:eastAsia="宋体" w:cs="Times New Roman"/>
                <w:b/>
                <w:bCs/>
                <w:kern w:val="0"/>
                <w:sz w:val="18"/>
                <w:szCs w:val="18"/>
              </w:rPr>
              <w:t xml:space="preserve">一体化体验桌 </w:t>
            </w:r>
          </w:p>
          <w:p w14:paraId="2AD4F95C">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1.外部结构：</w:t>
            </w:r>
          </w:p>
          <w:p w14:paraId="6AB6706E">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材质：不低于红花梨木</w:t>
            </w:r>
          </w:p>
          <w:p w14:paraId="1809BD46">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桌子尺寸：不低于1650mm*790mm*810mm（长*宽*高）</w:t>
            </w:r>
          </w:p>
          <w:p w14:paraId="19698AF4">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官帽椅尺寸：不低于580mm×490mm×1120mm（长*宽* 高）</w:t>
            </w:r>
          </w:p>
          <w:p w14:paraId="163850C6">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 xml:space="preserve">外部结构：整体可拆卸，无外露螺丝 </w:t>
            </w:r>
          </w:p>
          <w:p w14:paraId="2DC9AC2E">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2.红外感应屏：</w:t>
            </w:r>
          </w:p>
          <w:p w14:paraId="620F4EF0">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触摸精度:&lt;1.2mm</w:t>
            </w:r>
          </w:p>
          <w:p w14:paraId="2D265E36">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触摸灵敏度:5-8ms</w:t>
            </w:r>
          </w:p>
          <w:p w14:paraId="543352CA">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 xml:space="preserve">线性误:≤1mm </w:t>
            </w:r>
          </w:p>
          <w:p w14:paraId="32B0A7B4">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钢化玻璃：厚2至3mm 透光率&gt;96%</w:t>
            </w:r>
          </w:p>
          <w:p w14:paraId="349682A0">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▲防水等级不低于 IPX6 边框做防水处理（提供全能艺术台红外触摸框的专用防水检测报告）</w:t>
            </w:r>
          </w:p>
          <w:p w14:paraId="418F2E25">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静电防护等级 按照EN6100-4-2 2008:4级 接触式放电8KV 空气式放电15kv</w:t>
            </w:r>
          </w:p>
          <w:p w14:paraId="41A1B7D8">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安全性：直径为63mm钢球从1米高度自由落下玻璃不破</w:t>
            </w:r>
          </w:p>
          <w:p w14:paraId="31763C2F">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3.主机：</w:t>
            </w:r>
          </w:p>
          <w:p w14:paraId="4EE5F045">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 xml:space="preserve">主板：不低于QM9850-I5-8350U      </w:t>
            </w:r>
          </w:p>
          <w:p w14:paraId="3D224266">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 xml:space="preserve">处理器：不低于Intel Core i5 4核 8代 1.7GHz主频   </w:t>
            </w:r>
          </w:p>
          <w:p w14:paraId="72135642">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 xml:space="preserve">内存：不低于8G/DDR4 2666      </w:t>
            </w:r>
          </w:p>
          <w:p w14:paraId="1A750A6D">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 xml:space="preserve">硬盘：不低于256G SSD M.2接口 nvme协议     </w:t>
            </w:r>
          </w:p>
          <w:p w14:paraId="1A7F7089">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 xml:space="preserve">显卡：不低于主板集成620显卡      </w:t>
            </w:r>
          </w:p>
          <w:p w14:paraId="53C7E7B5">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 xml:space="preserve">声卡及网卡：不低于集成6声道高保真音频声卡、集成千兆网卡 </w:t>
            </w:r>
          </w:p>
          <w:p w14:paraId="68F7B4EC">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 xml:space="preserve">电源：150W电源      </w:t>
            </w:r>
          </w:p>
          <w:p w14:paraId="299A8ADE">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 xml:space="preserve">无线网卡：双频wifi模块      </w:t>
            </w:r>
          </w:p>
          <w:p w14:paraId="5638353B">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 xml:space="preserve">操作系统：不低于Windows10(64位) </w:t>
            </w:r>
          </w:p>
          <w:p w14:paraId="6379546A">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 xml:space="preserve">4.显示屏：       </w:t>
            </w:r>
          </w:p>
          <w:p w14:paraId="02277AF8">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 xml:space="preserve">液晶屏尺寸：不低于43寸          </w:t>
            </w:r>
          </w:p>
          <w:p w14:paraId="4EFAA95E">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 xml:space="preserve">分辨率：不低于1920(RGB)×1080,FHD      </w:t>
            </w:r>
          </w:p>
          <w:p w14:paraId="27A249D3">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 xml:space="preserve">亮度 450 cd/m2      </w:t>
            </w:r>
          </w:p>
          <w:p w14:paraId="18681001">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 xml:space="preserve">静态对比率：1100:01:00      </w:t>
            </w:r>
          </w:p>
          <w:p w14:paraId="6CFCE1F7">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 xml:space="preserve">响应时间：≤12ms      </w:t>
            </w:r>
          </w:p>
          <w:p w14:paraId="38BEEA67">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 xml:space="preserve">像素点距：0.4902×0.4902 mm      </w:t>
            </w:r>
          </w:p>
          <w:p w14:paraId="6C29E16D">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 xml:space="preserve">视角：89/89/89/89 (Min.)(CR≥10)      </w:t>
            </w:r>
          </w:p>
          <w:p w14:paraId="3243B85C">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 xml:space="preserve">光源寿命：不低于50K(小时)      </w:t>
            </w:r>
          </w:p>
          <w:p w14:paraId="784C708D">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 xml:space="preserve">工作温度：0~50°C      </w:t>
            </w:r>
          </w:p>
          <w:p w14:paraId="7AC1DD0A">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 xml:space="preserve">饱和度：72%      </w:t>
            </w:r>
          </w:p>
          <w:p w14:paraId="5FEB07DF">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 xml:space="preserve">可视面积：941.184(横)×529.416(竖) mm    </w:t>
            </w:r>
          </w:p>
          <w:p w14:paraId="0F8064FB">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 xml:space="preserve">色度：Wx:0.281 Wy:0.288      </w:t>
            </w:r>
          </w:p>
          <w:p w14:paraId="220628FF">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触摸功能：红外触摸</w:t>
            </w:r>
          </w:p>
          <w:p w14:paraId="4757C44A">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5.▲质量要求：所投产品须通过 CCC产品认证，需提供相关证书。</w:t>
            </w:r>
          </w:p>
          <w:p w14:paraId="4DE632AF">
            <w:pPr>
              <w:spacing w:line="360" w:lineRule="auto"/>
              <w:jc w:val="left"/>
              <w:rPr>
                <w:rFonts w:ascii="宋体" w:hAnsi="宋体" w:eastAsia="宋体" w:cs="Times New Roman"/>
                <w:b/>
                <w:bCs/>
                <w:kern w:val="0"/>
                <w:sz w:val="18"/>
                <w:szCs w:val="18"/>
              </w:rPr>
            </w:pPr>
            <w:r>
              <w:rPr>
                <w:rFonts w:hint="eastAsia" w:ascii="宋体" w:hAnsi="宋体" w:eastAsia="宋体" w:cs="Times New Roman"/>
                <w:b/>
                <w:bCs/>
                <w:kern w:val="0"/>
                <w:sz w:val="18"/>
                <w:szCs w:val="18"/>
              </w:rPr>
              <w:t>二、系统资源：</w:t>
            </w:r>
          </w:p>
          <w:p w14:paraId="6468AC2F">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 ▲支持润笔功能：以水代墨技术，毛笔蘸水，起到润笔的效果，既捕捉传统书写的感受，又摆脱书写过程中的墨水污染，屏幕防水防爆，超液晶高清显示，清洁、环保、经济。（提供第三方机构检测报告）</w:t>
            </w:r>
          </w:p>
          <w:p w14:paraId="7503D258">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 ▲支持四大体验系统：1.琴艺系统、2.棋艺系统3.书法系统4.国画系统（提供功能截图佐证）</w:t>
            </w:r>
          </w:p>
          <w:p w14:paraId="42DBEC7F">
            <w:pPr>
              <w:spacing w:line="360" w:lineRule="auto"/>
              <w:jc w:val="left"/>
              <w:rPr>
                <w:rFonts w:ascii="宋体" w:hAnsi="宋体" w:eastAsia="宋体" w:cs="Times New Roman"/>
                <w:b/>
                <w:bCs/>
                <w:kern w:val="0"/>
                <w:sz w:val="18"/>
                <w:szCs w:val="18"/>
              </w:rPr>
            </w:pPr>
            <w:r>
              <w:rPr>
                <w:rFonts w:hint="eastAsia" w:ascii="宋体" w:hAnsi="宋体" w:eastAsia="宋体" w:cs="Times New Roman"/>
                <w:b/>
                <w:bCs/>
                <w:kern w:val="0"/>
                <w:sz w:val="18"/>
                <w:szCs w:val="18"/>
              </w:rPr>
              <w:t>琴艺系统：</w:t>
            </w:r>
          </w:p>
          <w:p w14:paraId="5BA34071">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1.功能模块：包括但不限于古琴演奏、古琴文化、古琴技法、古琴欣赏、古琴名家。</w:t>
            </w:r>
          </w:p>
          <w:p w14:paraId="75F2AA1F">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2.数字弹奏：包括但不限于自由弹奏、模拟教学、引导练习 。</w:t>
            </w:r>
          </w:p>
          <w:p w14:paraId="61774C14">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3.古琴演奏：体验互动，支持古琴的弦音和徽位弹奏，右手拨弦对应徵、羽、宫、商、角、徵、羽。左手对应从岳山到龙龈（从琴首到琴尾）的十三徽位；支持对演奏过程进行录制保存；支持对保存的录制文件回放。</w:t>
            </w:r>
          </w:p>
          <w:p w14:paraId="0C843771">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4.古琴文化：不少于10篇古琴历史文化知识；支持点击章节标题查看；支持触摸滑动查看。</w:t>
            </w:r>
          </w:p>
          <w:p w14:paraId="7CD5AB09">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5.古琴技法：具备系统介绍古琴的技法和相关知识；具备八个基础指法的3D演示动画教学；具备系统介绍古琴的演奏技法教程。</w:t>
            </w:r>
          </w:p>
          <w:p w14:paraId="7C6DB7DE">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 xml:space="preserve">6.古琴欣赏：支持中国古代十大名曲介绍及赏析；支持设置单曲循环，顺序播放，随机播放，调节音量等功能。 </w:t>
            </w:r>
          </w:p>
          <w:p w14:paraId="626E46D5">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7.名人名家：对不少于十九位中国历史上著名古琴大师的人物生平介绍；对音乐领域成就的介绍；成名曲收录以及欣赏。</w:t>
            </w:r>
          </w:p>
          <w:p w14:paraId="534BDAD8">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8.支持数据统计：利用图表把每日，每周，每月的用户体验数据通过处理分析实现数据直观展示，数据存储于本地和云数据库，开放接口，支持与其它云平台数据对接。</w:t>
            </w:r>
          </w:p>
          <w:p w14:paraId="549741A7">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9.支持背景音乐：内置10首以上沉浸式古典背景音乐，开机自动播放，音量自由调节。</w:t>
            </w:r>
          </w:p>
          <w:p w14:paraId="7A65C81D">
            <w:pPr>
              <w:spacing w:line="360" w:lineRule="auto"/>
              <w:jc w:val="left"/>
              <w:rPr>
                <w:rFonts w:ascii="宋体" w:hAnsi="宋体" w:eastAsia="宋体" w:cs="Times New Roman"/>
                <w:b/>
                <w:bCs/>
                <w:kern w:val="0"/>
                <w:sz w:val="18"/>
                <w:szCs w:val="18"/>
              </w:rPr>
            </w:pPr>
            <w:r>
              <w:rPr>
                <w:rFonts w:hint="eastAsia" w:ascii="宋体" w:hAnsi="宋体" w:eastAsia="宋体" w:cs="Times New Roman"/>
                <w:b/>
                <w:bCs/>
                <w:kern w:val="0"/>
                <w:sz w:val="18"/>
                <w:szCs w:val="18"/>
              </w:rPr>
              <w:t>棋艺系统：</w:t>
            </w:r>
          </w:p>
          <w:p w14:paraId="4F3D800D">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1.功能模块：包括但不限于围棋、象棋、五子棋、黑白棋。</w:t>
            </w:r>
          </w:p>
          <w:p w14:paraId="07E04E55">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2.支持人人对弈和人机对弈、打谱、残局、复盘（棋谱记忆）五大功能模块。</w:t>
            </w:r>
          </w:p>
          <w:p w14:paraId="6ACECEF6">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3.支持人工智能交互实时对弈。具有选择难度、求和、悔棋、认输、走位提示、局时等功能。</w:t>
            </w:r>
          </w:p>
          <w:p w14:paraId="368C4621">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4.支持难度调节：人机对战还包含了多种难度选择，可根据自己的段位自由选择。</w:t>
            </w:r>
          </w:p>
          <w:p w14:paraId="494FC981">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5.支持名谱挑战：每种棋种提供至少30个古今中外的名谱以供玩家研究挑战。</w:t>
            </w:r>
          </w:p>
          <w:p w14:paraId="42C2D273">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6.支持摆盘功能：每种棋种支持摆盘功能，玩家可以通过摆盘功能来对书打谱，或者摆出自己的棋谱供别的玩家挑战。</w:t>
            </w:r>
          </w:p>
          <w:p w14:paraId="70634C30">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7.支持对局回放：每次游戏的所有行棋都完整记录，支持自动回放，支持手动上一步或者下一步。</w:t>
            </w:r>
          </w:p>
          <w:p w14:paraId="4C3997CD">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8.支持落子提示：为了防止长时间的思考导致人的思维迟钝，搞不清对方上一次的落子位置和轮到哪一方落子，每种棋种对上一次落子的位置和轮到哪一方落子都有提示。</w:t>
            </w:r>
          </w:p>
          <w:p w14:paraId="753090F6">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9.支持规则提示：对于有严格落子规则的棋种：象棋、黑白棋对允许落子的格子进行了提示。</w:t>
            </w:r>
          </w:p>
          <w:p w14:paraId="58F672DF">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10.提示音：支持操作按钮提示音，支持落子提示音。</w:t>
            </w:r>
          </w:p>
          <w:p w14:paraId="5DFDAE7D">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11.围棋：</w:t>
            </w:r>
          </w:p>
          <w:p w14:paraId="0B50F077">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支持自由选择人人对战或者人机对战；支持自由选择棋谱作为开局库，体验棋谱制作者的智慧；支持自行摆谱制作开局库，或者利用本项功能进行打谱练习；支持玩家在退出或者重新开始时保存对局记录，然后在对局回放中研究。</w:t>
            </w:r>
          </w:p>
          <w:p w14:paraId="07A64DF3">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12.象棋：</w:t>
            </w:r>
          </w:p>
          <w:p w14:paraId="531CE524">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支持自由选择人人对战或者人机对战；支持自由选择棋谱作为开局库，体验棋谱制作者的智慧；支持自行摆谱制作开局库，或者利用本项功能进行打谱练习；支持玩家在退出或者重新开始时保存对局记录，然后在对局回放中研究。</w:t>
            </w:r>
          </w:p>
          <w:p w14:paraId="1A4ACE73">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13.五子棋</w:t>
            </w:r>
          </w:p>
          <w:p w14:paraId="69393E23">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支持自由选择人人对战或者人机对战；支持自由选择棋谱作为开局库，体验棋谱制作者的智慧；支持自行摆谱制作开局库，或者利用本项功能进行打谱练习；支持玩家在退出或者重新开始时保存对局记录，然后在对局回放中研究。</w:t>
            </w:r>
          </w:p>
          <w:p w14:paraId="649006F7">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14.黑白棋：</w:t>
            </w:r>
          </w:p>
          <w:p w14:paraId="1C511FE5">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支持自由选择人人对战或者人机对战；支持自由选择棋谱作为开局库，体验棋谱制作者的智慧；支持自行摆谱制作开局库，或者利用本项功能进行打谱练习；支持玩家在退出或者重新开始时保存对局记录，然后在对局回放中研究。</w:t>
            </w:r>
          </w:p>
          <w:p w14:paraId="6FCD0A98">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15.支持数据统计：利用图表把每日，每周，每月的用户体验数据通过处理分析实现数据直观展示，数据存储于本地和云数据库，开放接口，支持与其它云平台数据对接。</w:t>
            </w:r>
          </w:p>
          <w:p w14:paraId="3735D793">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16.背景音乐：内置10首以上沉浸式古典背景音乐，开机自动播放，音量自由调节。</w:t>
            </w:r>
          </w:p>
          <w:p w14:paraId="527699C7">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17.▲智能模式：开启智能模式后，在单系统环境下自动使用对坐模式符合传统棋艺体验，在多系统环境下自动使用左右模式方便设备靠墙摆放。（提供功能截图并加盖供应商公章）。</w:t>
            </w:r>
          </w:p>
          <w:p w14:paraId="63A953C0">
            <w:pPr>
              <w:spacing w:line="360" w:lineRule="auto"/>
              <w:jc w:val="left"/>
              <w:rPr>
                <w:rFonts w:ascii="宋体" w:hAnsi="宋体" w:eastAsia="宋体" w:cs="Times New Roman"/>
                <w:b/>
                <w:bCs/>
                <w:kern w:val="0"/>
                <w:sz w:val="18"/>
                <w:szCs w:val="18"/>
              </w:rPr>
            </w:pPr>
            <w:r>
              <w:rPr>
                <w:rFonts w:hint="eastAsia" w:ascii="宋体" w:hAnsi="宋体" w:eastAsia="宋体" w:cs="Times New Roman"/>
                <w:b/>
                <w:bCs/>
                <w:kern w:val="0"/>
                <w:sz w:val="18"/>
                <w:szCs w:val="18"/>
              </w:rPr>
              <w:t>书法系统：</w:t>
            </w:r>
          </w:p>
          <w:p w14:paraId="609268E6">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1.功能模块：包括但不限于自由书写、名帖临摹、书法长廊、名帖欣赏、书法字典、贵宾签名、节气海报、书法百科。</w:t>
            </w:r>
          </w:p>
          <w:p w14:paraId="43117379">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2.支持自由书写：支持体验者使用此模块以水代墨，以屏代纸，自由书写、随性练习，可以进行完整的书法创作流程，作品保存、分享、打印等输出流程。提供不少于72幅创作背景选择，创作过程中 5 种田字格虚线、5 种竖向分隔虚线供创作者定位。作品输出过程中虚线自动消失。支持擦除功能和笔画回退功能，回退笔画数量最多支持无限次回退。</w:t>
            </w:r>
          </w:p>
          <w:p w14:paraId="21351D27">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3.支持名帖临摹：提供不少于22位名家不少于34本名帖，书体包括但不限于楷书、行书、草书、篆、隶楷，名书家有：王羲之，欧阳询，颜真卿，柳公权，赵孟頫等供临摹学习，支持选择描红或直接临摹，学习结果可保存分享打印。</w:t>
            </w:r>
          </w:p>
          <w:p w14:paraId="7383F1EF">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4.支持书法长廊：具备本机保存的优秀书法作品的展示平台，让用户之间更好的交流，相互学习，提高书法艺术水平，可点赞、分享、打印。</w:t>
            </w:r>
          </w:p>
          <w:p w14:paraId="202F15C1">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5.▲支持名帖欣赏：收录从三国时期、至今各个时期、不同风格的海量书法精品不少于40000幅，是书法学习、临摹、鉴赏、研究的好资源。（提供功能截图并加盖供应商公章）。</w:t>
            </w:r>
          </w:p>
          <w:p w14:paraId="7932846D">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6.支持书法字典：提供楷行隶篆草 5 种字体历代名家不少于50 万字书法字库，支持学习者手写/笔写输入查询，查询到的任何一个字任何一个名家的任何书法单字，支持直接描红、临摹，并随意切换原字体呈现模式。</w:t>
            </w:r>
          </w:p>
          <w:p w14:paraId="2349A358">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7.支持贵宾签名：提供会议、活动不少于6种风格背景数字签名板，支持与会者直接利用书法台签名，签名位置可选择签名板的任何位置，签名板可全屏投影在会议大屏。</w:t>
            </w:r>
          </w:p>
          <w:p w14:paraId="4EEBBE39">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8.支持节气海报：提供春夏秋冬 24 种节气现成海报背景，每种节气提供科普和传统文化诠释；支持以现成海报为原型进行书法内容临摹或者个性化书写、题字，并保持高清大图分享打印。</w:t>
            </w:r>
          </w:p>
          <w:p w14:paraId="7AF1EBA7">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9.支持书法百科：提供不少于20 本书法文化、书法学习所需电子图书供学习者翻阅，画面清晰、老少皆宜。</w:t>
            </w:r>
          </w:p>
          <w:p w14:paraId="15D91D41">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10.支持背景DIY：需内置纯色、山水、花鸟、中国红4类不少于72幅书写背景可供选择，可以全屏随意书写。</w:t>
            </w:r>
          </w:p>
          <w:p w14:paraId="35D9467C">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11.支持印章DIY：提供不少于12种风格的电子印章制作功能，体验者可以现场快速制作适合自身风格的印章，可选择方形或圆形等印章，印章支持放大、缩小、随意拖动位置，进行印章加盖。</w:t>
            </w:r>
          </w:p>
          <w:p w14:paraId="52C868D8">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12.支持装裱DIY：需提供立轴、镜框2种装裱形式，不少于24种风格的字画装裱背景可选，可直接对作品进行电子装裱。装裱后的作品可以打印，可分享朋友圈。</w:t>
            </w:r>
          </w:p>
          <w:p w14:paraId="1F148FED">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13.支持海报DIY：支持体验者将手机中的照片扫码上传，并以照片为素材或者背景现场题词、制作海报；提供不少于7种设计模板，使用模板可自动生成海报；提对海报作品的保存分享打印功能。</w:t>
            </w:r>
          </w:p>
          <w:p w14:paraId="164B550F">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14.支持背景音乐：需内置不少于10首沉浸式古典背景音乐，开机自动播放，音量自由调节。</w:t>
            </w:r>
          </w:p>
          <w:p w14:paraId="76FB42CA">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15.支持分享：支持生成相应二维码，书写者扫描后，作品即可上传至手机，保存到本地相册、可分享到朋友圈。</w:t>
            </w:r>
          </w:p>
          <w:p w14:paraId="5603AAA3">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16.支持保存功能：书写的作品支持一键保存到本地，并可随时查看。</w:t>
            </w:r>
          </w:p>
          <w:p w14:paraId="3B77B775">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17.支持后退功能：点击相应按钮，支持退一步，方便书写者修改某一笔不满意的笔画，后退次数没有限制，根据需求可以退至最初的空白背景。</w:t>
            </w:r>
          </w:p>
          <w:p w14:paraId="68263C4F">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18.支持重画功能：点击相应按钮，可全屏清空，全部删除掉已书写的部分。</w:t>
            </w:r>
          </w:p>
          <w:p w14:paraId="522EDA67">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19.支持打印：支持在本地连接打印机，书法作品可以直接点击预览、纸张选择，打印，并即时打印出来，现场作品尺寸大小与打印机所配备的纸张大小一致。</w:t>
            </w:r>
          </w:p>
          <w:p w14:paraId="1E05139E">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20.支持数据统计：利用图表把每日，每周，每月的用户体验数据通过处理分析实现数据直观展示，数据存储于本地和云数据库，开放接口，支持与其它云平台数据对接。</w:t>
            </w:r>
          </w:p>
          <w:p w14:paraId="51D8AB86">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21.▲支持四库全书：收录按照内容分类分经、史、子、集四部分，部下有类，类下有属。全书不少于4部44类66属。收录不少于3000种图书，不少于75000卷，不少于36000册。经部收录儒家“十三经”及相关著作，史部收录史书，子部收录诸子百家著作和类书，集部收录诗文词总集和专集等，内容十分丰富。（提供功能截图并加盖供应商公章）。</w:t>
            </w:r>
          </w:p>
          <w:p w14:paraId="27EFA843">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22.▲</w:t>
            </w:r>
            <w:r>
              <w:rPr>
                <w:rFonts w:hint="eastAsia" w:ascii="Times New Roman" w:hAnsi="Times New Roman" w:eastAsia="宋体" w:cs="Times New Roman"/>
                <w:kern w:val="0"/>
                <w:sz w:val="18"/>
              </w:rPr>
              <w:t>支持</w:t>
            </w:r>
            <w:r>
              <w:rPr>
                <w:rFonts w:hint="eastAsia" w:ascii="宋体" w:hAnsi="宋体" w:eastAsia="宋体" w:cs="Times New Roman"/>
                <w:kern w:val="0"/>
                <w:sz w:val="18"/>
                <w:szCs w:val="18"/>
              </w:rPr>
              <w:t>笔画教学：提供24种基础笔画的运笔教学，让用户更好的学习，提高书法艺术水平。（提供功能截图并加盖供应商公章）。</w:t>
            </w:r>
          </w:p>
          <w:p w14:paraId="3E1122B7">
            <w:pPr>
              <w:spacing w:line="360" w:lineRule="auto"/>
              <w:jc w:val="left"/>
              <w:rPr>
                <w:rFonts w:ascii="宋体" w:hAnsi="宋体" w:eastAsia="宋体" w:cs="Times New Roman"/>
                <w:b/>
                <w:bCs/>
                <w:kern w:val="0"/>
                <w:sz w:val="18"/>
                <w:szCs w:val="18"/>
              </w:rPr>
            </w:pPr>
            <w:r>
              <w:rPr>
                <w:rFonts w:hint="eastAsia" w:ascii="宋体" w:hAnsi="宋体" w:eastAsia="宋体" w:cs="Times New Roman"/>
                <w:b/>
                <w:bCs/>
                <w:kern w:val="0"/>
                <w:sz w:val="18"/>
                <w:szCs w:val="18"/>
              </w:rPr>
              <w:t>国画系统：</w:t>
            </w:r>
          </w:p>
          <w:p w14:paraId="06B1A034">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1.功能模块：包括但不限于自由绘画、国画临摹（画谱自由设色、芥子园画谱描摹、宋人小品临摹）、作品长廊、名画欣赏、国画技法</w:t>
            </w:r>
          </w:p>
          <w:p w14:paraId="2CE390BE">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支持自由绘画：支持18种常用国画颜色，不少于216种调和色，配置完全色谱供自由调色，可调节笔墨色彩浓淡，模拟真实水墨晕染效果。不少于72幅绘画背景自由切换，作品保存后可加盖印章，选择装裱样式。完成后分享至微信。</w:t>
            </w:r>
          </w:p>
          <w:p w14:paraId="182A1BF0">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3.支持国画临摹：包括但不限于宋画小品临摹-不少于80幅宋画小品，芥子园画谱描摹-不少于 30幅临摹内容，自由设色-不少于30幅自由填色内容。</w:t>
            </w:r>
          </w:p>
          <w:p w14:paraId="1762D603">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4.支持作品长廊：本机保存的优秀书法作品的展示平台，让用户之间更好的交流，相互学习，提高书法艺术水平，可点赞、分享、打印。</w:t>
            </w:r>
          </w:p>
          <w:p w14:paraId="7FCA65D7">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5.▲支持名画欣赏：提供不少于10000幅名画供欣赏学习，国画名作推荐、检索。支持对国画作品触控放大缩小、全画幅或细节欣赏，对精品名 画有简介、注释。（提供功能截图并加盖供应商公章）。</w:t>
            </w:r>
          </w:p>
          <w:p w14:paraId="32FEDEBF">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6.支持国画技法：提供不少于8本国画教学书籍供阅读学习。学习中国画基础知识、构图、题款、用笔、用墨、用色、用水等方法技巧。包括山水 花鸟、人物、动物、蔬果等的写意、工笔描绘。</w:t>
            </w:r>
          </w:p>
          <w:p w14:paraId="045431B7">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7.支持背景DIY：内置纯色、山水、花鸟、中国红4类不少于72幅绘画背景可供选择。</w:t>
            </w:r>
          </w:p>
          <w:p w14:paraId="3358A80D">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8.支持印章DIY：提供不少于12种风格的电子印章制作功能，体验者可以现场快速制作适合自身风格的印章，可选择方形或圆形等印章，印章支持放大、缩小、随意拖动位置，进行印章加盖。</w:t>
            </w:r>
          </w:p>
          <w:p w14:paraId="17195B27">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9.支持装裱DIY：提供立轴、镜框2种装裱形式，需提供不少于24种风格的字画装裱背景可选，可直接对作品进行电子装裱。装裱后的作品可以打印，可分享朋友圈。</w:t>
            </w:r>
          </w:p>
          <w:p w14:paraId="24B14345">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10.支持分享：支持生成相应二维码，书写者扫描后，作品即可上传至手机，保存到本地相册、可分享到朋友圈。</w:t>
            </w:r>
          </w:p>
          <w:p w14:paraId="65605184">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11.支持保存功能：书写的作品可以一键保存到本地，并可随时查看。</w:t>
            </w:r>
          </w:p>
          <w:p w14:paraId="66B06C55">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12.支持后退功能：点击相应按钮，可以退一步，方便书写者修改某一笔不满意的笔画，后退次数没有限制，根据需求可以退至最初的空白背景。</w:t>
            </w:r>
          </w:p>
          <w:p w14:paraId="3E6CE808">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13.支持重画功能：点击相应按钮，可全屏清空，全部删除掉已书写的部分。</w:t>
            </w:r>
          </w:p>
          <w:p w14:paraId="5BF52F0E">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14.支持打印：支持在本地连接打印机，书法作品可以直接点击预览、纸张选择，打印，并即时打印出来，现场作品尺寸大小与打印机所配备的纸张大小一致。</w:t>
            </w:r>
          </w:p>
          <w:p w14:paraId="752E49D9">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15.支持数据统计：利用图表把每日，每周，每月的用户体验数据通过处理分析实现数据直观展示，数据存储于本地和云数据库，开放接口，支持与其它云平台数据对接。</w:t>
            </w:r>
          </w:p>
          <w:p w14:paraId="6BD4C5F3">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三、售后服务：</w:t>
            </w:r>
          </w:p>
          <w:p w14:paraId="2FD59D30">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1.线上培训：操作人员产品安装和调试。</w:t>
            </w:r>
          </w:p>
          <w:p w14:paraId="4B6313D6">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2.技术支持：能提供热线、邮件、网络、上门等服务方式的咨询解答和技术支持服务。</w:t>
            </w:r>
          </w:p>
          <w:p w14:paraId="3ABB40FA">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3.保修服务：期满后的维修承诺及收费情况：合同期满后设备发生故障，提供成本维护。</w:t>
            </w:r>
          </w:p>
        </w:tc>
      </w:tr>
      <w:tr w14:paraId="08CA7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vAlign w:val="center"/>
          </w:tcPr>
          <w:p w14:paraId="10A373C8">
            <w:pPr>
              <w:spacing w:line="360"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3</w:t>
            </w:r>
          </w:p>
        </w:tc>
        <w:tc>
          <w:tcPr>
            <w:tcW w:w="619" w:type="pct"/>
            <w:vAlign w:val="center"/>
          </w:tcPr>
          <w:p w14:paraId="6D7E476E">
            <w:pPr>
              <w:spacing w:line="360"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会议一体机</w:t>
            </w:r>
          </w:p>
        </w:tc>
        <w:tc>
          <w:tcPr>
            <w:tcW w:w="3856" w:type="pct"/>
            <w:vAlign w:val="center"/>
          </w:tcPr>
          <w:p w14:paraId="72E958D5">
            <w:pPr>
              <w:spacing w:line="360" w:lineRule="auto"/>
              <w:jc w:val="left"/>
              <w:rPr>
                <w:rFonts w:ascii="宋体" w:hAnsi="宋体" w:eastAsia="宋体" w:cs="Times New Roman"/>
                <w:bCs/>
                <w:kern w:val="0"/>
                <w:sz w:val="18"/>
                <w:szCs w:val="18"/>
              </w:rPr>
            </w:pPr>
            <w:r>
              <w:rPr>
                <w:rFonts w:hint="eastAsia" w:ascii="宋体" w:hAnsi="宋体" w:eastAsia="宋体" w:cs="Times New Roman"/>
                <w:bCs/>
                <w:kern w:val="0"/>
                <w:sz w:val="18"/>
                <w:szCs w:val="18"/>
              </w:rPr>
              <w:t>1、</w:t>
            </w:r>
            <w:r>
              <w:rPr>
                <w:rFonts w:ascii="宋体" w:hAnsi="宋体" w:eastAsia="宋体" w:cs="Times New Roman"/>
                <w:bCs/>
                <w:kern w:val="0"/>
                <w:sz w:val="18"/>
                <w:szCs w:val="18"/>
              </w:rPr>
              <w:t>产品制造商提供产品需通过3C认证和节能认证，产品制造商需通过ISO9001质量管理体系、ISO20000IT服务管理体系和十星级售后服务体系完善程度认证证书</w:t>
            </w:r>
            <w:r>
              <w:rPr>
                <w:rFonts w:hint="eastAsia" w:ascii="宋体" w:hAnsi="宋体" w:eastAsia="宋体" w:cs="Times New Roman"/>
                <w:bCs/>
                <w:kern w:val="0"/>
                <w:sz w:val="18"/>
                <w:szCs w:val="18"/>
              </w:rPr>
              <w:t>。</w:t>
            </w:r>
          </w:p>
          <w:p w14:paraId="31FC856B">
            <w:pPr>
              <w:spacing w:line="360" w:lineRule="auto"/>
              <w:jc w:val="left"/>
              <w:rPr>
                <w:rFonts w:ascii="宋体" w:hAnsi="宋体" w:eastAsia="宋体" w:cs="Times New Roman"/>
                <w:bCs/>
                <w:kern w:val="0"/>
                <w:sz w:val="18"/>
                <w:szCs w:val="18"/>
              </w:rPr>
            </w:pPr>
            <w:r>
              <w:rPr>
                <w:rFonts w:hint="eastAsia" w:ascii="宋体" w:hAnsi="宋体" w:eastAsia="宋体" w:cs="Times New Roman"/>
                <w:bCs/>
                <w:kern w:val="0"/>
                <w:sz w:val="18"/>
                <w:szCs w:val="18"/>
              </w:rPr>
              <w:t>▲2、</w:t>
            </w:r>
            <w:r>
              <w:rPr>
                <w:rFonts w:ascii="宋体" w:hAnsi="宋体" w:eastAsia="宋体" w:cs="Times New Roman"/>
                <w:bCs/>
                <w:kern w:val="0"/>
                <w:sz w:val="18"/>
                <w:szCs w:val="18"/>
              </w:rPr>
              <w:t>屏幕：A规屏及以上，尺寸不低于</w:t>
            </w:r>
            <w:r>
              <w:rPr>
                <w:rFonts w:hint="eastAsia" w:ascii="宋体" w:hAnsi="宋体" w:eastAsia="宋体" w:cs="Times New Roman"/>
                <w:bCs/>
                <w:kern w:val="0"/>
                <w:sz w:val="18"/>
                <w:szCs w:val="18"/>
              </w:rPr>
              <w:t>98寸</w:t>
            </w:r>
            <w:r>
              <w:rPr>
                <w:rFonts w:ascii="宋体" w:hAnsi="宋体" w:eastAsia="宋体" w:cs="Times New Roman"/>
                <w:bCs/>
                <w:kern w:val="0"/>
                <w:sz w:val="18"/>
                <w:szCs w:val="18"/>
              </w:rPr>
              <w:t>，分辨率：3840×2160，显示比例16:9</w:t>
            </w:r>
            <w:r>
              <w:rPr>
                <w:rFonts w:hint="eastAsia" w:ascii="宋体" w:hAnsi="宋体" w:eastAsia="宋体" w:cs="Times New Roman"/>
                <w:bCs/>
                <w:kern w:val="0"/>
                <w:sz w:val="18"/>
                <w:szCs w:val="18"/>
              </w:rPr>
              <w:t>。</w:t>
            </w:r>
            <w:r>
              <w:rPr>
                <w:rFonts w:ascii="宋体" w:hAnsi="宋体" w:eastAsia="宋体" w:cs="Times New Roman"/>
                <w:bCs/>
                <w:kern w:val="0"/>
                <w:sz w:val="18"/>
                <w:szCs w:val="18"/>
              </w:rPr>
              <w:t>屏幕表面采用≥3.2mm的防眩光玻璃，玻璃面板硬度≥8H，光线透过率≥90%，采用</w:t>
            </w:r>
            <w:r>
              <w:rPr>
                <w:rFonts w:hint="eastAsia" w:ascii="宋体" w:hAnsi="宋体" w:eastAsia="宋体" w:cs="Times New Roman"/>
                <w:bCs/>
                <w:kern w:val="0"/>
                <w:sz w:val="18"/>
                <w:szCs w:val="18"/>
              </w:rPr>
              <w:t>0</w:t>
            </w:r>
            <w:r>
              <w:rPr>
                <w:rFonts w:ascii="宋体" w:hAnsi="宋体" w:eastAsia="宋体" w:cs="Times New Roman"/>
                <w:bCs/>
                <w:kern w:val="0"/>
                <w:sz w:val="18"/>
                <w:szCs w:val="18"/>
              </w:rPr>
              <w:t>贴合或全贴合设计，屏体亮度≥400cd/m²，色彩覆盖率不低于90%NTSC，支持物理防蓝光</w:t>
            </w:r>
            <w:r>
              <w:rPr>
                <w:rFonts w:hint="eastAsia" w:ascii="宋体" w:hAnsi="宋体" w:eastAsia="宋体" w:cs="Times New Roman"/>
                <w:bCs/>
                <w:kern w:val="0"/>
                <w:sz w:val="18"/>
                <w:szCs w:val="18"/>
              </w:rPr>
              <w:t>（提供CMA或CNAS认证检测机构出具的检测报告并加盖公章）。</w:t>
            </w:r>
          </w:p>
          <w:p w14:paraId="6621F887">
            <w:pPr>
              <w:spacing w:line="360" w:lineRule="auto"/>
              <w:jc w:val="left"/>
              <w:rPr>
                <w:rFonts w:ascii="宋体" w:hAnsi="宋体" w:eastAsia="宋体" w:cs="Times New Roman"/>
                <w:bCs/>
                <w:kern w:val="0"/>
                <w:sz w:val="18"/>
                <w:szCs w:val="18"/>
              </w:rPr>
            </w:pPr>
            <w:r>
              <w:rPr>
                <w:rFonts w:hint="eastAsia" w:ascii="宋体" w:hAnsi="宋体" w:eastAsia="宋体" w:cs="Times New Roman"/>
                <w:bCs/>
                <w:kern w:val="0"/>
                <w:sz w:val="18"/>
                <w:szCs w:val="18"/>
              </w:rPr>
              <w:t>3、</w:t>
            </w:r>
            <w:r>
              <w:rPr>
                <w:rFonts w:ascii="宋体" w:hAnsi="宋体" w:eastAsia="宋体" w:cs="Times New Roman"/>
                <w:bCs/>
                <w:kern w:val="0"/>
                <w:sz w:val="18"/>
                <w:szCs w:val="18"/>
              </w:rPr>
              <w:t>运行内存≥4G；存储内存≥32G，CPU≥8核，GPU≥8核</w:t>
            </w:r>
            <w:r>
              <w:rPr>
                <w:rFonts w:hint="eastAsia" w:ascii="宋体" w:hAnsi="宋体" w:eastAsia="宋体" w:cs="Times New Roman"/>
                <w:bCs/>
                <w:kern w:val="0"/>
                <w:sz w:val="18"/>
                <w:szCs w:val="18"/>
              </w:rPr>
              <w:t>。</w:t>
            </w:r>
          </w:p>
          <w:p w14:paraId="6583EDE7">
            <w:pPr>
              <w:spacing w:line="360" w:lineRule="auto"/>
              <w:jc w:val="left"/>
              <w:rPr>
                <w:rFonts w:ascii="宋体" w:hAnsi="宋体" w:eastAsia="宋体" w:cs="Times New Roman"/>
                <w:bCs/>
                <w:kern w:val="0"/>
                <w:sz w:val="18"/>
                <w:szCs w:val="18"/>
              </w:rPr>
            </w:pPr>
            <w:r>
              <w:rPr>
                <w:rFonts w:hint="eastAsia" w:ascii="宋体" w:hAnsi="宋体" w:eastAsia="宋体" w:cs="Times New Roman"/>
                <w:bCs/>
                <w:kern w:val="0"/>
                <w:sz w:val="18"/>
                <w:szCs w:val="18"/>
              </w:rPr>
              <w:t>4、</w:t>
            </w:r>
            <w:r>
              <w:rPr>
                <w:rFonts w:ascii="宋体" w:hAnsi="宋体" w:eastAsia="宋体" w:cs="Times New Roman"/>
                <w:bCs/>
                <w:kern w:val="0"/>
                <w:sz w:val="18"/>
                <w:szCs w:val="18"/>
              </w:rPr>
              <w:t>内置≥6阵列麦克风，拾音距离≥12米，整机内置2.1声道扬声器，设备扬声器功率不低于45W</w:t>
            </w:r>
            <w:r>
              <w:rPr>
                <w:rFonts w:hint="eastAsia" w:ascii="宋体" w:hAnsi="宋体" w:eastAsia="宋体" w:cs="Times New Roman"/>
                <w:bCs/>
                <w:kern w:val="0"/>
                <w:sz w:val="18"/>
                <w:szCs w:val="18"/>
              </w:rPr>
              <w:t>。</w:t>
            </w:r>
          </w:p>
          <w:p w14:paraId="07A64FB4">
            <w:pPr>
              <w:spacing w:line="360" w:lineRule="auto"/>
              <w:jc w:val="left"/>
              <w:rPr>
                <w:rFonts w:ascii="宋体" w:hAnsi="宋体" w:eastAsia="宋体" w:cs="Times New Roman"/>
                <w:bCs/>
                <w:kern w:val="0"/>
                <w:sz w:val="18"/>
                <w:szCs w:val="18"/>
              </w:rPr>
            </w:pPr>
            <w:r>
              <w:rPr>
                <w:rFonts w:hint="eastAsia" w:ascii="宋体" w:hAnsi="宋体" w:eastAsia="宋体" w:cs="Times New Roman"/>
                <w:bCs/>
                <w:kern w:val="0"/>
                <w:sz w:val="18"/>
                <w:szCs w:val="18"/>
              </w:rPr>
              <w:t>▲5、</w:t>
            </w:r>
            <w:r>
              <w:rPr>
                <w:rFonts w:ascii="宋体" w:hAnsi="宋体" w:eastAsia="宋体" w:cs="Times New Roman"/>
                <w:bCs/>
                <w:kern w:val="0"/>
                <w:sz w:val="18"/>
                <w:szCs w:val="18"/>
              </w:rPr>
              <w:t>触摸高度≤1.5mm，触摸响应时间≤5ms，为保证书写流畅，Windows系统下触摸书写延迟≤90ms，安卓系统下触摸书写延迟≤50ms</w:t>
            </w:r>
            <w:r>
              <w:rPr>
                <w:rFonts w:hint="eastAsia" w:ascii="宋体" w:hAnsi="宋体" w:eastAsia="宋体" w:cs="Times New Roman"/>
                <w:bCs/>
                <w:kern w:val="0"/>
                <w:sz w:val="18"/>
                <w:szCs w:val="18"/>
              </w:rPr>
              <w:t>，</w:t>
            </w:r>
            <w:r>
              <w:rPr>
                <w:rFonts w:ascii="宋体" w:hAnsi="宋体" w:eastAsia="宋体" w:cs="Times New Roman"/>
                <w:bCs/>
                <w:kern w:val="0"/>
                <w:sz w:val="18"/>
                <w:szCs w:val="18"/>
              </w:rPr>
              <w:t>可支持设备系统最大40点触控</w:t>
            </w:r>
            <w:r>
              <w:rPr>
                <w:rFonts w:hint="eastAsia" w:ascii="宋体" w:hAnsi="宋体" w:eastAsia="宋体" w:cs="Times New Roman"/>
                <w:bCs/>
                <w:kern w:val="0"/>
                <w:sz w:val="18"/>
                <w:szCs w:val="18"/>
              </w:rPr>
              <w:t>（提供CMA或CNAS认证检测机构出具的检测报告并加盖公章）。</w:t>
            </w:r>
          </w:p>
          <w:p w14:paraId="5215C149">
            <w:pPr>
              <w:spacing w:line="360" w:lineRule="auto"/>
              <w:jc w:val="left"/>
              <w:rPr>
                <w:rFonts w:ascii="宋体" w:hAnsi="宋体" w:eastAsia="宋体" w:cs="Times New Roman"/>
                <w:bCs/>
                <w:kern w:val="0"/>
                <w:sz w:val="18"/>
                <w:szCs w:val="18"/>
              </w:rPr>
            </w:pPr>
            <w:r>
              <w:rPr>
                <w:rFonts w:hint="eastAsia" w:ascii="宋体" w:hAnsi="宋体" w:eastAsia="宋体" w:cs="Times New Roman"/>
                <w:bCs/>
                <w:kern w:val="0"/>
                <w:sz w:val="18"/>
                <w:szCs w:val="18"/>
              </w:rPr>
              <w:t>▲6、</w:t>
            </w:r>
            <w:r>
              <w:rPr>
                <w:rFonts w:ascii="宋体" w:hAnsi="宋体" w:eastAsia="宋体" w:cs="Times New Roman"/>
                <w:bCs/>
                <w:kern w:val="0"/>
                <w:sz w:val="18"/>
                <w:szCs w:val="18"/>
              </w:rPr>
              <w:t>为提高信号稳定性，需采用双WiFi模组，并支持2.4G、5G双频</w:t>
            </w:r>
            <w:r>
              <w:rPr>
                <w:rFonts w:hint="eastAsia" w:ascii="宋体" w:hAnsi="宋体" w:eastAsia="宋体" w:cs="Times New Roman"/>
                <w:bCs/>
                <w:kern w:val="0"/>
                <w:sz w:val="18"/>
                <w:szCs w:val="18"/>
              </w:rPr>
              <w:t>WiFi和</w:t>
            </w:r>
            <w:r>
              <w:rPr>
                <w:rFonts w:ascii="宋体" w:hAnsi="宋体" w:eastAsia="宋体" w:cs="Times New Roman"/>
                <w:bCs/>
                <w:kern w:val="0"/>
                <w:sz w:val="18"/>
                <w:szCs w:val="18"/>
              </w:rPr>
              <w:t>蓝牙Bluetooth 5.2，为方便售后维护，WIFi与蓝牙无线模组应支持可快拆方式（</w:t>
            </w:r>
            <w:r>
              <w:rPr>
                <w:rFonts w:hint="eastAsia" w:ascii="宋体" w:hAnsi="宋体" w:eastAsia="宋体" w:cs="Times New Roman"/>
                <w:bCs/>
                <w:kern w:val="0"/>
                <w:sz w:val="18"/>
                <w:szCs w:val="18"/>
              </w:rPr>
              <w:t>提供CMA或CNAS认证检测机构出具的检测报告并加盖公章）</w:t>
            </w:r>
            <w:r>
              <w:rPr>
                <w:rFonts w:ascii="宋体" w:hAnsi="宋体" w:eastAsia="宋体" w:cs="Times New Roman"/>
                <w:bCs/>
                <w:kern w:val="0"/>
                <w:sz w:val="18"/>
                <w:szCs w:val="18"/>
              </w:rPr>
              <w:t>。</w:t>
            </w:r>
          </w:p>
          <w:p w14:paraId="4470AE08">
            <w:pPr>
              <w:spacing w:line="360" w:lineRule="auto"/>
              <w:jc w:val="left"/>
              <w:rPr>
                <w:rFonts w:ascii="宋体" w:hAnsi="宋体" w:eastAsia="宋体" w:cs="Times New Roman"/>
                <w:bCs/>
                <w:kern w:val="0"/>
                <w:sz w:val="18"/>
                <w:szCs w:val="18"/>
              </w:rPr>
            </w:pPr>
            <w:r>
              <w:rPr>
                <w:rFonts w:hint="eastAsia" w:ascii="宋体" w:hAnsi="宋体" w:eastAsia="宋体" w:cs="Times New Roman"/>
                <w:bCs/>
                <w:kern w:val="0"/>
                <w:sz w:val="18"/>
                <w:szCs w:val="18"/>
              </w:rPr>
              <w:t>7、</w:t>
            </w:r>
            <w:r>
              <w:rPr>
                <w:rFonts w:ascii="宋体" w:hAnsi="宋体" w:eastAsia="宋体" w:cs="Times New Roman"/>
                <w:bCs/>
                <w:kern w:val="0"/>
                <w:sz w:val="18"/>
                <w:szCs w:val="18"/>
              </w:rPr>
              <w:t>至少包含1路60W全功能Type-C输入接口，其余接口</w:t>
            </w:r>
            <w:r>
              <w:rPr>
                <w:rFonts w:hint="eastAsia" w:ascii="宋体" w:hAnsi="宋体" w:eastAsia="宋体" w:cs="Times New Roman"/>
                <w:bCs/>
                <w:kern w:val="0"/>
                <w:sz w:val="18"/>
                <w:szCs w:val="18"/>
              </w:rPr>
              <w:t>满足</w:t>
            </w:r>
            <w:r>
              <w:rPr>
                <w:rFonts w:ascii="宋体" w:hAnsi="宋体" w:eastAsia="宋体" w:cs="Times New Roman"/>
                <w:bCs/>
                <w:kern w:val="0"/>
                <w:sz w:val="18"/>
                <w:szCs w:val="18"/>
              </w:rPr>
              <w:t>HDMI IN≥2，HDMI OUT≥1，USB≥</w:t>
            </w:r>
            <w:r>
              <w:rPr>
                <w:rFonts w:hint="eastAsia" w:ascii="宋体" w:hAnsi="宋体" w:eastAsia="宋体" w:cs="Times New Roman"/>
                <w:bCs/>
                <w:kern w:val="0"/>
                <w:sz w:val="18"/>
                <w:szCs w:val="18"/>
              </w:rPr>
              <w:t>3</w:t>
            </w:r>
            <w:r>
              <w:rPr>
                <w:rFonts w:ascii="宋体" w:hAnsi="宋体" w:eastAsia="宋体" w:cs="Times New Roman"/>
                <w:bCs/>
                <w:kern w:val="0"/>
                <w:sz w:val="18"/>
                <w:szCs w:val="18"/>
              </w:rPr>
              <w:t>，TOUCH3.0≥1；Audio OUT≥1；MIC IN≥1；</w:t>
            </w:r>
          </w:p>
          <w:p w14:paraId="74EAAA68">
            <w:pPr>
              <w:spacing w:line="360" w:lineRule="auto"/>
              <w:jc w:val="left"/>
              <w:rPr>
                <w:rFonts w:ascii="宋体" w:hAnsi="宋体" w:eastAsia="宋体" w:cs="Times New Roman"/>
                <w:bCs/>
                <w:kern w:val="0"/>
                <w:sz w:val="18"/>
                <w:szCs w:val="18"/>
              </w:rPr>
            </w:pPr>
            <w:r>
              <w:rPr>
                <w:rFonts w:hint="eastAsia" w:ascii="宋体" w:hAnsi="宋体" w:eastAsia="宋体" w:cs="Times New Roman"/>
                <w:bCs/>
                <w:kern w:val="0"/>
                <w:sz w:val="18"/>
                <w:szCs w:val="18"/>
              </w:rPr>
              <w:t>8、</w:t>
            </w:r>
            <w:r>
              <w:rPr>
                <w:rFonts w:ascii="宋体" w:hAnsi="宋体" w:eastAsia="宋体" w:cs="Times New Roman"/>
                <w:bCs/>
                <w:kern w:val="0"/>
                <w:sz w:val="18"/>
                <w:szCs w:val="18"/>
              </w:rPr>
              <w:t>支持白板书写笔迹自动美化及画笔软硬笔切换，白板书写内容可进行二维码扫码分享、并支持加密及添加水印。</w:t>
            </w:r>
          </w:p>
          <w:p w14:paraId="364E6DEB">
            <w:pPr>
              <w:spacing w:line="360" w:lineRule="auto"/>
              <w:jc w:val="left"/>
              <w:rPr>
                <w:rFonts w:ascii="宋体" w:hAnsi="宋体" w:eastAsia="宋体" w:cs="Times New Roman"/>
                <w:bCs/>
                <w:kern w:val="0"/>
                <w:sz w:val="18"/>
                <w:szCs w:val="18"/>
              </w:rPr>
            </w:pPr>
            <w:r>
              <w:rPr>
                <w:rFonts w:hint="eastAsia" w:ascii="宋体" w:hAnsi="宋体" w:eastAsia="宋体" w:cs="Times New Roman"/>
                <w:bCs/>
                <w:kern w:val="0"/>
                <w:sz w:val="18"/>
                <w:szCs w:val="18"/>
              </w:rPr>
              <w:t>▲9、白板</w:t>
            </w:r>
            <w:r>
              <w:rPr>
                <w:rFonts w:ascii="宋体" w:hAnsi="宋体" w:eastAsia="宋体" w:cs="Times New Roman"/>
                <w:bCs/>
                <w:kern w:val="0"/>
                <w:sz w:val="18"/>
                <w:szCs w:val="18"/>
              </w:rPr>
              <w:t>支持快捷开启语音转写字幕，支持</w:t>
            </w:r>
            <w:r>
              <w:rPr>
                <w:rFonts w:hint="eastAsia" w:ascii="宋体" w:hAnsi="宋体" w:eastAsia="宋体" w:cs="Times New Roman"/>
                <w:bCs/>
                <w:kern w:val="0"/>
                <w:sz w:val="18"/>
                <w:szCs w:val="18"/>
              </w:rPr>
              <w:t>保存</w:t>
            </w:r>
            <w:r>
              <w:rPr>
                <w:rFonts w:ascii="宋体" w:hAnsi="宋体" w:eastAsia="宋体" w:cs="Times New Roman"/>
                <w:bCs/>
                <w:kern w:val="0"/>
                <w:sz w:val="18"/>
                <w:szCs w:val="18"/>
              </w:rPr>
              <w:t>全程记录书写和音频内容，并可实现白板书写、音频和文字内容的笔迹回溯及一一对应功能（</w:t>
            </w:r>
            <w:r>
              <w:rPr>
                <w:rFonts w:hint="eastAsia" w:ascii="宋体" w:hAnsi="宋体" w:eastAsia="宋体" w:cs="Times New Roman"/>
                <w:bCs/>
                <w:kern w:val="0"/>
                <w:sz w:val="18"/>
                <w:szCs w:val="18"/>
              </w:rPr>
              <w:t>提供CMA或CNAS认证检测机构出具的检测报告并加盖公章）。</w:t>
            </w:r>
          </w:p>
          <w:p w14:paraId="6B36DEEE">
            <w:pPr>
              <w:spacing w:line="360" w:lineRule="auto"/>
              <w:jc w:val="left"/>
              <w:rPr>
                <w:rFonts w:ascii="宋体" w:hAnsi="宋体" w:eastAsia="宋体" w:cs="Times New Roman"/>
                <w:bCs/>
                <w:kern w:val="0"/>
                <w:sz w:val="18"/>
                <w:szCs w:val="18"/>
              </w:rPr>
            </w:pPr>
            <w:r>
              <w:rPr>
                <w:rFonts w:hint="eastAsia" w:ascii="宋体" w:hAnsi="宋体" w:eastAsia="宋体" w:cs="Times New Roman"/>
                <w:bCs/>
                <w:kern w:val="0"/>
                <w:sz w:val="18"/>
                <w:szCs w:val="18"/>
              </w:rPr>
              <w:t>▲10、白板搭载大模型技术，支持划词搜索、智能绘画、头脑风暴、内容提纲、生成结果插入，通过大模型生成板书灵感（提供CMA或CNAS认证检测机构出具的检测报告并加盖公章）。</w:t>
            </w:r>
          </w:p>
          <w:p w14:paraId="6D771B6A">
            <w:pPr>
              <w:spacing w:line="360" w:lineRule="auto"/>
              <w:jc w:val="left"/>
              <w:rPr>
                <w:rFonts w:ascii="宋体" w:hAnsi="宋体" w:eastAsia="宋体" w:cs="Times New Roman"/>
                <w:bCs/>
                <w:kern w:val="0"/>
                <w:sz w:val="18"/>
                <w:szCs w:val="18"/>
              </w:rPr>
            </w:pPr>
            <w:r>
              <w:rPr>
                <w:rFonts w:hint="eastAsia" w:ascii="宋体" w:hAnsi="宋体" w:eastAsia="宋体" w:cs="Times New Roman"/>
                <w:bCs/>
                <w:kern w:val="0"/>
                <w:sz w:val="18"/>
                <w:szCs w:val="18"/>
              </w:rPr>
              <w:t>▲11、</w:t>
            </w:r>
            <w:r>
              <w:rPr>
                <w:rFonts w:ascii="宋体" w:hAnsi="宋体" w:eastAsia="宋体" w:cs="Times New Roman"/>
                <w:bCs/>
                <w:kern w:val="0"/>
                <w:sz w:val="18"/>
                <w:szCs w:val="18"/>
              </w:rPr>
              <w:t>投屏支持</w:t>
            </w:r>
            <w:r>
              <w:rPr>
                <w:rFonts w:hint="eastAsia" w:ascii="宋体" w:hAnsi="宋体" w:eastAsia="宋体" w:cs="Times New Roman"/>
                <w:bCs/>
                <w:kern w:val="0"/>
                <w:sz w:val="18"/>
                <w:szCs w:val="18"/>
              </w:rPr>
              <w:t>M</w:t>
            </w:r>
            <w:r>
              <w:rPr>
                <w:rFonts w:ascii="宋体" w:hAnsi="宋体" w:eastAsia="宋体" w:cs="Times New Roman"/>
                <w:bCs/>
                <w:kern w:val="0"/>
                <w:sz w:val="18"/>
                <w:szCs w:val="18"/>
              </w:rPr>
              <w:t>iracas&amp;Airplay混合快捷投屏、屏幕群组功能、拓展投屏、屏幕防干扰、投屏批注、投屏画面选择适配等功能</w:t>
            </w:r>
            <w:r>
              <w:rPr>
                <w:rFonts w:hint="eastAsia" w:ascii="宋体" w:hAnsi="宋体" w:eastAsia="宋体" w:cs="Times New Roman"/>
                <w:bCs/>
                <w:kern w:val="0"/>
                <w:sz w:val="18"/>
                <w:szCs w:val="18"/>
              </w:rPr>
              <w:t>，</w:t>
            </w:r>
            <w:r>
              <w:rPr>
                <w:rFonts w:ascii="宋体" w:hAnsi="宋体" w:eastAsia="宋体" w:cs="Times New Roman"/>
                <w:bCs/>
                <w:kern w:val="0"/>
                <w:sz w:val="18"/>
                <w:szCs w:val="18"/>
              </w:rPr>
              <w:t>支持4K高清投屏，帧率≥30fps，传输延迟≤100ms,连接速度≤10s</w:t>
            </w:r>
            <w:r>
              <w:rPr>
                <w:rFonts w:hint="eastAsia" w:ascii="宋体" w:hAnsi="宋体" w:eastAsia="宋体" w:cs="Times New Roman"/>
                <w:bCs/>
                <w:kern w:val="0"/>
                <w:sz w:val="18"/>
                <w:szCs w:val="18"/>
              </w:rPr>
              <w:t>（提供CMA或CNAS认证检测机构出具的检测报告并加盖公章）。</w:t>
            </w:r>
          </w:p>
          <w:p w14:paraId="0CFE5E30">
            <w:pPr>
              <w:spacing w:line="360" w:lineRule="auto"/>
              <w:jc w:val="left"/>
              <w:rPr>
                <w:rFonts w:ascii="宋体" w:hAnsi="宋体" w:eastAsia="宋体" w:cs="Times New Roman"/>
                <w:bCs/>
                <w:kern w:val="0"/>
                <w:sz w:val="18"/>
                <w:szCs w:val="18"/>
              </w:rPr>
            </w:pPr>
            <w:r>
              <w:rPr>
                <w:rFonts w:hint="eastAsia" w:ascii="宋体" w:hAnsi="宋体" w:eastAsia="宋体" w:cs="Times New Roman"/>
                <w:bCs/>
                <w:kern w:val="0"/>
                <w:sz w:val="18"/>
                <w:szCs w:val="18"/>
              </w:rPr>
              <w:t>12、</w:t>
            </w:r>
            <w:r>
              <w:rPr>
                <w:rFonts w:ascii="宋体" w:hAnsi="宋体" w:eastAsia="宋体" w:cs="Times New Roman"/>
                <w:bCs/>
                <w:kern w:val="0"/>
                <w:sz w:val="18"/>
                <w:szCs w:val="18"/>
              </w:rPr>
              <w:t>为提升办公效率，设备支持搭载大模型技术，支持对本地会议、远程会议形成的会议记录进行语篇规整及智能总结，自动生成会议记录和待办事项</w:t>
            </w:r>
            <w:r>
              <w:rPr>
                <w:rFonts w:hint="eastAsia" w:ascii="宋体" w:hAnsi="宋体" w:eastAsia="宋体" w:cs="Times New Roman"/>
                <w:bCs/>
                <w:kern w:val="0"/>
                <w:sz w:val="18"/>
                <w:szCs w:val="18"/>
              </w:rPr>
              <w:t>。</w:t>
            </w:r>
          </w:p>
          <w:p w14:paraId="4438F20D">
            <w:pPr>
              <w:spacing w:line="360" w:lineRule="auto"/>
              <w:jc w:val="left"/>
              <w:rPr>
                <w:rFonts w:ascii="宋体" w:hAnsi="宋体" w:eastAsia="宋体" w:cs="Times New Roman"/>
                <w:bCs/>
                <w:kern w:val="0"/>
                <w:sz w:val="18"/>
                <w:szCs w:val="18"/>
              </w:rPr>
            </w:pPr>
            <w:r>
              <w:rPr>
                <w:rFonts w:hint="eastAsia" w:ascii="宋体" w:hAnsi="宋体" w:eastAsia="宋体" w:cs="Times New Roman"/>
                <w:bCs/>
                <w:kern w:val="0"/>
                <w:sz w:val="18"/>
                <w:szCs w:val="18"/>
              </w:rPr>
              <w:t>▲13、</w:t>
            </w:r>
            <w:r>
              <w:rPr>
                <w:rFonts w:ascii="宋体" w:hAnsi="宋体" w:eastAsia="宋体" w:cs="Times New Roman"/>
                <w:bCs/>
                <w:kern w:val="0"/>
                <w:sz w:val="18"/>
                <w:szCs w:val="18"/>
              </w:rPr>
              <w:t>应满足涉外沟通场景需要，</w:t>
            </w:r>
            <w:r>
              <w:rPr>
                <w:rFonts w:hint="eastAsia" w:ascii="宋体" w:hAnsi="宋体" w:eastAsia="宋体" w:cs="Times New Roman"/>
                <w:bCs/>
                <w:kern w:val="0"/>
                <w:sz w:val="18"/>
                <w:szCs w:val="18"/>
              </w:rPr>
              <w:t>支持中、英文、阿拉伯语识别及翻译，并支持不少于5个其它小语种识别翻译</w:t>
            </w:r>
            <w:r>
              <w:rPr>
                <w:rFonts w:ascii="宋体" w:hAnsi="宋体" w:eastAsia="宋体" w:cs="Times New Roman"/>
                <w:bCs/>
                <w:kern w:val="0"/>
                <w:sz w:val="18"/>
                <w:szCs w:val="18"/>
              </w:rPr>
              <w:t>，形成双语字幕展示；支持四川话</w:t>
            </w:r>
            <w:r>
              <w:rPr>
                <w:rFonts w:hint="eastAsia" w:ascii="宋体" w:hAnsi="宋体" w:eastAsia="宋体" w:cs="Times New Roman"/>
                <w:bCs/>
                <w:kern w:val="0"/>
                <w:sz w:val="18"/>
                <w:szCs w:val="18"/>
              </w:rPr>
              <w:t>、重庆话、贵州话、云南话、维语、藏语、粤语</w:t>
            </w:r>
            <w:r>
              <w:rPr>
                <w:rFonts w:ascii="宋体" w:hAnsi="宋体" w:eastAsia="宋体" w:cs="Times New Roman"/>
                <w:bCs/>
                <w:kern w:val="0"/>
                <w:sz w:val="18"/>
                <w:szCs w:val="18"/>
              </w:rPr>
              <w:t>在内的多方言语音识别，并可通过声纹识别发言人</w:t>
            </w:r>
            <w:r>
              <w:rPr>
                <w:rFonts w:hint="eastAsia" w:ascii="宋体" w:hAnsi="宋体" w:eastAsia="宋体" w:cs="Times New Roman"/>
                <w:bCs/>
                <w:kern w:val="0"/>
                <w:sz w:val="18"/>
                <w:szCs w:val="18"/>
              </w:rPr>
              <w:t>（提供CMA或CNAS认证检测机构出具的检测报告并加盖公章）。</w:t>
            </w:r>
          </w:p>
          <w:p w14:paraId="71A7C45B">
            <w:pPr>
              <w:spacing w:line="360" w:lineRule="auto"/>
              <w:jc w:val="left"/>
              <w:rPr>
                <w:rFonts w:ascii="宋体" w:hAnsi="宋体" w:eastAsia="宋体" w:cs="Times New Roman"/>
                <w:bCs/>
                <w:kern w:val="0"/>
                <w:sz w:val="18"/>
                <w:szCs w:val="18"/>
              </w:rPr>
            </w:pPr>
            <w:r>
              <w:rPr>
                <w:rFonts w:hint="eastAsia" w:ascii="宋体" w:hAnsi="宋体" w:eastAsia="宋体" w:cs="Times New Roman"/>
                <w:bCs/>
                <w:kern w:val="0"/>
                <w:sz w:val="18"/>
                <w:szCs w:val="18"/>
              </w:rPr>
              <w:t>14、</w:t>
            </w:r>
            <w:r>
              <w:rPr>
                <w:rFonts w:ascii="宋体" w:hAnsi="宋体" w:eastAsia="宋体" w:cs="Times New Roman"/>
                <w:bCs/>
                <w:kern w:val="0"/>
                <w:sz w:val="18"/>
                <w:szCs w:val="18"/>
              </w:rPr>
              <w:t>支持mic及内录音频混合识别翻译，支持外接信源（HDMI、TYPE-C等信源）的内部声源进行语音转写</w:t>
            </w:r>
            <w:r>
              <w:rPr>
                <w:rFonts w:hint="eastAsia" w:ascii="宋体" w:hAnsi="宋体" w:eastAsia="宋体" w:cs="Times New Roman"/>
                <w:bCs/>
                <w:kern w:val="0"/>
                <w:sz w:val="18"/>
                <w:szCs w:val="18"/>
              </w:rPr>
              <w:t>。</w:t>
            </w:r>
          </w:p>
          <w:p w14:paraId="2F6386E7">
            <w:pPr>
              <w:spacing w:line="360" w:lineRule="auto"/>
              <w:jc w:val="left"/>
              <w:rPr>
                <w:rFonts w:ascii="宋体" w:hAnsi="宋体" w:eastAsia="宋体" w:cs="Times New Roman"/>
                <w:bCs/>
                <w:kern w:val="0"/>
                <w:sz w:val="18"/>
                <w:szCs w:val="18"/>
              </w:rPr>
            </w:pPr>
            <w:r>
              <w:rPr>
                <w:rFonts w:hint="eastAsia" w:ascii="宋体" w:hAnsi="宋体" w:eastAsia="宋体" w:cs="Times New Roman"/>
                <w:bCs/>
                <w:kern w:val="0"/>
                <w:sz w:val="18"/>
                <w:szCs w:val="18"/>
              </w:rPr>
              <w:t>15、</w:t>
            </w:r>
            <w:r>
              <w:rPr>
                <w:rFonts w:ascii="宋体" w:hAnsi="宋体" w:eastAsia="宋体" w:cs="Times New Roman"/>
                <w:bCs/>
                <w:kern w:val="0"/>
                <w:sz w:val="18"/>
                <w:szCs w:val="18"/>
              </w:rPr>
              <w:t>为了软硬件适配度更高，产品内置的云会议</w:t>
            </w:r>
            <w:r>
              <w:rPr>
                <w:rFonts w:hint="eastAsia" w:ascii="宋体" w:hAnsi="宋体" w:eastAsia="宋体" w:cs="Times New Roman"/>
                <w:bCs/>
                <w:kern w:val="0"/>
                <w:sz w:val="18"/>
                <w:szCs w:val="18"/>
              </w:rPr>
              <w:t>A</w:t>
            </w:r>
            <w:r>
              <w:rPr>
                <w:rFonts w:ascii="宋体" w:hAnsi="宋体" w:eastAsia="宋体" w:cs="Times New Roman"/>
                <w:bCs/>
                <w:kern w:val="0"/>
                <w:sz w:val="18"/>
                <w:szCs w:val="18"/>
              </w:rPr>
              <w:t>PP与智慧屏设备为同一制造商</w:t>
            </w:r>
            <w:r>
              <w:rPr>
                <w:rFonts w:hint="eastAsia" w:ascii="宋体" w:hAnsi="宋体" w:eastAsia="宋体" w:cs="Times New Roman"/>
                <w:bCs/>
                <w:kern w:val="0"/>
                <w:sz w:val="18"/>
                <w:szCs w:val="18"/>
              </w:rPr>
              <w:t>，支持预约会议、创建会议、加入会议及包括An</w:t>
            </w:r>
            <w:r>
              <w:rPr>
                <w:rFonts w:ascii="宋体" w:hAnsi="宋体" w:eastAsia="宋体" w:cs="Times New Roman"/>
                <w:bCs/>
                <w:kern w:val="0"/>
                <w:sz w:val="18"/>
                <w:szCs w:val="18"/>
              </w:rPr>
              <w:t>droid、iOS、Windows在内的多端设备入会。</w:t>
            </w:r>
          </w:p>
          <w:p w14:paraId="14483F80">
            <w:pPr>
              <w:spacing w:line="360" w:lineRule="auto"/>
              <w:jc w:val="left"/>
              <w:rPr>
                <w:rFonts w:ascii="宋体" w:hAnsi="宋体" w:eastAsia="宋体" w:cs="Times New Roman"/>
                <w:bCs/>
                <w:kern w:val="0"/>
                <w:sz w:val="18"/>
                <w:szCs w:val="18"/>
              </w:rPr>
            </w:pPr>
            <w:r>
              <w:rPr>
                <w:rFonts w:hint="eastAsia" w:ascii="宋体" w:hAnsi="宋体" w:eastAsia="宋体" w:cs="Times New Roman"/>
                <w:bCs/>
                <w:kern w:val="0"/>
                <w:sz w:val="18"/>
                <w:szCs w:val="18"/>
              </w:rPr>
              <w:t>▲16、</w:t>
            </w:r>
            <w:r>
              <w:rPr>
                <w:rFonts w:ascii="宋体" w:hAnsi="宋体" w:eastAsia="宋体" w:cs="Times New Roman"/>
                <w:bCs/>
                <w:kern w:val="0"/>
                <w:sz w:val="18"/>
                <w:szCs w:val="18"/>
              </w:rPr>
              <w:t>设备自带的云会议可通过智慧屏端发起白板协作、会议记录、会议纪要及</w:t>
            </w:r>
            <w:r>
              <w:rPr>
                <w:rFonts w:hint="eastAsia" w:ascii="宋体" w:hAnsi="宋体" w:eastAsia="宋体" w:cs="Times New Roman"/>
                <w:bCs/>
                <w:kern w:val="0"/>
                <w:sz w:val="18"/>
                <w:szCs w:val="18"/>
              </w:rPr>
              <w:t>A</w:t>
            </w:r>
            <w:r>
              <w:rPr>
                <w:rFonts w:ascii="宋体" w:hAnsi="宋体" w:eastAsia="宋体" w:cs="Times New Roman"/>
                <w:bCs/>
                <w:kern w:val="0"/>
                <w:sz w:val="18"/>
                <w:szCs w:val="18"/>
              </w:rPr>
              <w:t>I写作功能（</w:t>
            </w:r>
            <w:r>
              <w:rPr>
                <w:rFonts w:hint="eastAsia" w:ascii="宋体" w:hAnsi="宋体" w:eastAsia="宋体" w:cs="Times New Roman"/>
                <w:bCs/>
                <w:kern w:val="0"/>
                <w:sz w:val="18"/>
                <w:szCs w:val="18"/>
              </w:rPr>
              <w:t>提供CMA或CNAS认证检测机构出具的检测报告并加盖公章）</w:t>
            </w:r>
            <w:r>
              <w:rPr>
                <w:rFonts w:ascii="宋体" w:hAnsi="宋体" w:eastAsia="宋体" w:cs="Times New Roman"/>
                <w:bCs/>
                <w:kern w:val="0"/>
                <w:sz w:val="18"/>
                <w:szCs w:val="18"/>
              </w:rPr>
              <w:t>。</w:t>
            </w:r>
          </w:p>
          <w:p w14:paraId="1EE97174">
            <w:pPr>
              <w:spacing w:line="360" w:lineRule="auto"/>
              <w:jc w:val="left"/>
              <w:rPr>
                <w:rFonts w:ascii="宋体" w:hAnsi="宋体" w:eastAsia="宋体" w:cs="Times New Roman"/>
                <w:bCs/>
                <w:kern w:val="0"/>
                <w:sz w:val="18"/>
                <w:szCs w:val="18"/>
              </w:rPr>
            </w:pPr>
            <w:r>
              <w:rPr>
                <w:rFonts w:hint="eastAsia" w:ascii="宋体" w:hAnsi="宋体" w:eastAsia="宋体" w:cs="Times New Roman"/>
                <w:bCs/>
                <w:kern w:val="0"/>
                <w:sz w:val="18"/>
                <w:szCs w:val="18"/>
              </w:rPr>
              <w:t>17、移动支架：支持360°旋转静音万向轮推拉，高度可调，承重≥100KG。</w:t>
            </w:r>
          </w:p>
          <w:p w14:paraId="6FD0BB4E">
            <w:pPr>
              <w:spacing w:line="360" w:lineRule="auto"/>
              <w:jc w:val="left"/>
              <w:rPr>
                <w:rFonts w:ascii="宋体" w:hAnsi="宋体" w:eastAsia="宋体" w:cs="Times New Roman"/>
                <w:bCs/>
                <w:kern w:val="0"/>
                <w:sz w:val="18"/>
                <w:szCs w:val="18"/>
              </w:rPr>
            </w:pPr>
            <w:r>
              <w:rPr>
                <w:rFonts w:hint="eastAsia" w:ascii="宋体" w:hAnsi="宋体" w:eastAsia="宋体" w:cs="Times New Roman"/>
                <w:bCs/>
                <w:kern w:val="0"/>
                <w:sz w:val="18"/>
                <w:szCs w:val="18"/>
              </w:rPr>
              <w:t>18、需提供厂家针对本次项目的售后服务承诺函及符合参数的参数确认函加盖原厂公章。</w:t>
            </w:r>
          </w:p>
          <w:p w14:paraId="64E3865A">
            <w:pPr>
              <w:spacing w:line="360" w:lineRule="auto"/>
              <w:jc w:val="left"/>
              <w:rPr>
                <w:rFonts w:ascii="宋体" w:hAnsi="宋体" w:eastAsia="宋体" w:cs="Times New Roman"/>
                <w:bCs/>
                <w:kern w:val="0"/>
                <w:sz w:val="18"/>
                <w:szCs w:val="18"/>
              </w:rPr>
            </w:pPr>
            <w:r>
              <w:rPr>
                <w:rFonts w:hint="eastAsia" w:ascii="宋体" w:hAnsi="宋体" w:eastAsia="宋体" w:cs="Times New Roman"/>
                <w:bCs/>
                <w:kern w:val="0"/>
                <w:sz w:val="18"/>
                <w:szCs w:val="18"/>
              </w:rPr>
              <w:t>19、内置电脑：</w:t>
            </w:r>
          </w:p>
          <w:p w14:paraId="40BF07F9">
            <w:pPr>
              <w:spacing w:line="360" w:lineRule="auto"/>
              <w:jc w:val="left"/>
              <w:rPr>
                <w:rFonts w:ascii="宋体" w:hAnsi="宋体" w:eastAsia="宋体" w:cs="Times New Roman"/>
                <w:bCs/>
                <w:kern w:val="0"/>
                <w:sz w:val="18"/>
                <w:szCs w:val="18"/>
              </w:rPr>
            </w:pPr>
            <w:r>
              <w:rPr>
                <w:rFonts w:hint="eastAsia" w:ascii="宋体" w:hAnsi="宋体" w:eastAsia="宋体" w:cs="Times New Roman"/>
                <w:bCs/>
                <w:kern w:val="0"/>
                <w:sz w:val="18"/>
                <w:szCs w:val="18"/>
              </w:rPr>
              <w:t>1）采用80pin Intel通用标准接口,即插即用，易于维护；</w:t>
            </w:r>
          </w:p>
          <w:p w14:paraId="4D1FA959">
            <w:pPr>
              <w:spacing w:line="360" w:lineRule="auto"/>
              <w:jc w:val="left"/>
              <w:rPr>
                <w:rFonts w:ascii="宋体" w:hAnsi="宋体" w:eastAsia="宋体" w:cs="Times New Roman"/>
                <w:bCs/>
                <w:kern w:val="0"/>
                <w:sz w:val="18"/>
                <w:szCs w:val="18"/>
              </w:rPr>
            </w:pPr>
            <w:r>
              <w:rPr>
                <w:rFonts w:hint="eastAsia" w:ascii="宋体" w:hAnsi="宋体" w:eastAsia="宋体" w:cs="Times New Roman"/>
                <w:bCs/>
                <w:kern w:val="0"/>
                <w:sz w:val="18"/>
                <w:szCs w:val="18"/>
              </w:rPr>
              <w:t>2）CPU采用 I5(十二代)或以上处理器；</w:t>
            </w:r>
          </w:p>
          <w:p w14:paraId="74863606">
            <w:pPr>
              <w:spacing w:line="360" w:lineRule="auto"/>
              <w:jc w:val="left"/>
              <w:rPr>
                <w:rFonts w:ascii="宋体" w:hAnsi="宋体" w:eastAsia="宋体" w:cs="Times New Roman"/>
                <w:bCs/>
                <w:kern w:val="0"/>
                <w:sz w:val="18"/>
                <w:szCs w:val="18"/>
              </w:rPr>
            </w:pPr>
            <w:r>
              <w:rPr>
                <w:rFonts w:hint="eastAsia" w:ascii="宋体" w:hAnsi="宋体" w:eastAsia="宋体" w:cs="Times New Roman"/>
                <w:bCs/>
                <w:kern w:val="0"/>
                <w:sz w:val="18"/>
                <w:szCs w:val="18"/>
              </w:rPr>
              <w:t>3）内存：≥8G DDR4；</w:t>
            </w:r>
          </w:p>
          <w:p w14:paraId="1218AFEB">
            <w:pPr>
              <w:spacing w:line="360" w:lineRule="auto"/>
              <w:jc w:val="left"/>
              <w:rPr>
                <w:rFonts w:ascii="宋体" w:hAnsi="宋体" w:eastAsia="宋体" w:cs="Times New Roman"/>
                <w:bCs/>
                <w:kern w:val="0"/>
                <w:sz w:val="18"/>
                <w:szCs w:val="18"/>
              </w:rPr>
            </w:pPr>
            <w:r>
              <w:rPr>
                <w:rFonts w:hint="eastAsia" w:ascii="宋体" w:hAnsi="宋体" w:eastAsia="宋体" w:cs="Times New Roman"/>
                <w:bCs/>
                <w:kern w:val="0"/>
                <w:sz w:val="18"/>
                <w:szCs w:val="18"/>
              </w:rPr>
              <w:t xml:space="preserve">4）硬盘：≥256G SSD固态硬盘； </w:t>
            </w:r>
          </w:p>
          <w:p w14:paraId="0BC447C7">
            <w:pPr>
              <w:spacing w:line="360" w:lineRule="auto"/>
              <w:jc w:val="left"/>
              <w:rPr>
                <w:rFonts w:ascii="宋体" w:hAnsi="宋体" w:eastAsia="宋体" w:cs="Times New Roman"/>
                <w:kern w:val="0"/>
                <w:sz w:val="18"/>
                <w:szCs w:val="18"/>
              </w:rPr>
            </w:pPr>
            <w:r>
              <w:rPr>
                <w:rFonts w:hint="eastAsia" w:ascii="宋体" w:hAnsi="宋体" w:eastAsia="宋体" w:cs="Times New Roman"/>
                <w:bCs/>
                <w:kern w:val="0"/>
                <w:sz w:val="18"/>
                <w:szCs w:val="18"/>
              </w:rPr>
              <w:t>5）接口：整机非外扩展具备6个USB接口（其中至少包含3路USB3.0接口）；具有独立非外扩展的视频输出接口：≥1路HDMI。</w:t>
            </w:r>
          </w:p>
        </w:tc>
      </w:tr>
      <w:tr w14:paraId="07BCC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shd w:val="clear" w:color="auto" w:fill="auto"/>
            <w:vAlign w:val="center"/>
          </w:tcPr>
          <w:p w14:paraId="6D19423A">
            <w:pPr>
              <w:spacing w:line="360"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4</w:t>
            </w:r>
          </w:p>
        </w:tc>
        <w:tc>
          <w:tcPr>
            <w:tcW w:w="619" w:type="pct"/>
            <w:shd w:val="clear" w:color="auto" w:fill="auto"/>
            <w:vAlign w:val="center"/>
          </w:tcPr>
          <w:p w14:paraId="776EE57C">
            <w:pPr>
              <w:spacing w:line="360"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会议一体机</w:t>
            </w:r>
          </w:p>
        </w:tc>
        <w:tc>
          <w:tcPr>
            <w:tcW w:w="3856" w:type="pct"/>
            <w:shd w:val="clear" w:color="auto" w:fill="auto"/>
            <w:vAlign w:val="center"/>
          </w:tcPr>
          <w:p w14:paraId="147E20A4">
            <w:pPr>
              <w:spacing w:line="360" w:lineRule="auto"/>
              <w:jc w:val="left"/>
              <w:rPr>
                <w:rFonts w:ascii="宋体" w:hAnsi="宋体" w:eastAsia="宋体" w:cs="Times New Roman"/>
                <w:bCs/>
                <w:kern w:val="0"/>
                <w:sz w:val="18"/>
                <w:szCs w:val="18"/>
              </w:rPr>
            </w:pPr>
            <w:r>
              <w:rPr>
                <w:rFonts w:hint="eastAsia" w:ascii="宋体" w:hAnsi="宋体" w:eastAsia="宋体" w:cs="Times New Roman"/>
                <w:bCs/>
                <w:kern w:val="0"/>
                <w:sz w:val="18"/>
                <w:szCs w:val="18"/>
              </w:rPr>
              <w:t>1、</w:t>
            </w:r>
            <w:r>
              <w:rPr>
                <w:rFonts w:ascii="宋体" w:hAnsi="宋体" w:eastAsia="宋体" w:cs="Times New Roman"/>
                <w:bCs/>
                <w:kern w:val="0"/>
                <w:sz w:val="18"/>
                <w:szCs w:val="18"/>
              </w:rPr>
              <w:t>产品制造商提供产品需通过3C认证和节能认证，产品制造商需通过ISO9001质量管理体系、ISO20000IT服务管理体系和十星级售后服务体系完善程度认证证书</w:t>
            </w:r>
            <w:r>
              <w:rPr>
                <w:rFonts w:hint="eastAsia" w:ascii="宋体" w:hAnsi="宋体" w:eastAsia="宋体" w:cs="Times New Roman"/>
                <w:bCs/>
                <w:kern w:val="0"/>
                <w:sz w:val="18"/>
                <w:szCs w:val="18"/>
              </w:rPr>
              <w:t>。</w:t>
            </w:r>
          </w:p>
          <w:p w14:paraId="668F043D">
            <w:pPr>
              <w:spacing w:line="360" w:lineRule="auto"/>
              <w:jc w:val="left"/>
              <w:rPr>
                <w:rFonts w:ascii="宋体" w:hAnsi="宋体" w:eastAsia="宋体" w:cs="Times New Roman"/>
                <w:bCs/>
                <w:kern w:val="0"/>
                <w:sz w:val="18"/>
                <w:szCs w:val="18"/>
              </w:rPr>
            </w:pPr>
            <w:r>
              <w:rPr>
                <w:rFonts w:hint="eastAsia" w:ascii="宋体" w:hAnsi="宋体" w:eastAsia="宋体" w:cs="Times New Roman"/>
                <w:bCs/>
                <w:kern w:val="0"/>
                <w:sz w:val="18"/>
                <w:szCs w:val="18"/>
              </w:rPr>
              <w:t>▲2、</w:t>
            </w:r>
            <w:r>
              <w:rPr>
                <w:rFonts w:ascii="宋体" w:hAnsi="宋体" w:eastAsia="宋体" w:cs="Times New Roman"/>
                <w:bCs/>
                <w:kern w:val="0"/>
                <w:sz w:val="18"/>
                <w:szCs w:val="18"/>
              </w:rPr>
              <w:t>屏幕：A规屏及以上，尺寸不低于</w:t>
            </w:r>
            <w:r>
              <w:rPr>
                <w:rFonts w:hint="eastAsia" w:ascii="宋体" w:hAnsi="宋体" w:eastAsia="宋体" w:cs="Times New Roman"/>
                <w:bCs/>
                <w:kern w:val="0"/>
                <w:sz w:val="18"/>
                <w:szCs w:val="18"/>
              </w:rPr>
              <w:t>86寸</w:t>
            </w:r>
            <w:r>
              <w:rPr>
                <w:rFonts w:ascii="宋体" w:hAnsi="宋体" w:eastAsia="宋体" w:cs="Times New Roman"/>
                <w:bCs/>
                <w:kern w:val="0"/>
                <w:sz w:val="18"/>
                <w:szCs w:val="18"/>
              </w:rPr>
              <w:t>，分辨率：3840×2160，显示比例16:9</w:t>
            </w:r>
            <w:r>
              <w:rPr>
                <w:rFonts w:hint="eastAsia" w:ascii="宋体" w:hAnsi="宋体" w:eastAsia="宋体" w:cs="Times New Roman"/>
                <w:bCs/>
                <w:kern w:val="0"/>
                <w:sz w:val="18"/>
                <w:szCs w:val="18"/>
              </w:rPr>
              <w:t>。</w:t>
            </w:r>
            <w:r>
              <w:rPr>
                <w:rFonts w:ascii="宋体" w:hAnsi="宋体" w:eastAsia="宋体" w:cs="Times New Roman"/>
                <w:bCs/>
                <w:kern w:val="0"/>
                <w:sz w:val="18"/>
                <w:szCs w:val="18"/>
              </w:rPr>
              <w:t>屏幕表面采用≥3.2mm的防眩光玻璃，玻璃面板硬度≥8H，光线透过率≥90%，采用</w:t>
            </w:r>
            <w:r>
              <w:rPr>
                <w:rFonts w:hint="eastAsia" w:ascii="宋体" w:hAnsi="宋体" w:eastAsia="宋体" w:cs="Times New Roman"/>
                <w:bCs/>
                <w:kern w:val="0"/>
                <w:sz w:val="18"/>
                <w:szCs w:val="18"/>
              </w:rPr>
              <w:t>0</w:t>
            </w:r>
            <w:r>
              <w:rPr>
                <w:rFonts w:ascii="宋体" w:hAnsi="宋体" w:eastAsia="宋体" w:cs="Times New Roman"/>
                <w:bCs/>
                <w:kern w:val="0"/>
                <w:sz w:val="18"/>
                <w:szCs w:val="18"/>
              </w:rPr>
              <w:t>贴合或全贴合设计，屏体亮度≥400cd/m²，色彩覆盖率不低于90%NTSC，支持物理防蓝光</w:t>
            </w:r>
            <w:r>
              <w:rPr>
                <w:rFonts w:hint="eastAsia" w:ascii="宋体" w:hAnsi="宋体" w:eastAsia="宋体" w:cs="Times New Roman"/>
                <w:bCs/>
                <w:kern w:val="0"/>
                <w:sz w:val="18"/>
                <w:szCs w:val="18"/>
              </w:rPr>
              <w:t>（提供CMA或CNAS认证检测机构出具的检测报告并加盖公章）。</w:t>
            </w:r>
          </w:p>
          <w:p w14:paraId="3F857830">
            <w:pPr>
              <w:spacing w:line="360" w:lineRule="auto"/>
              <w:jc w:val="left"/>
              <w:rPr>
                <w:rFonts w:ascii="宋体" w:hAnsi="宋体" w:eastAsia="宋体" w:cs="Times New Roman"/>
                <w:bCs/>
                <w:kern w:val="0"/>
                <w:sz w:val="18"/>
                <w:szCs w:val="18"/>
              </w:rPr>
            </w:pPr>
            <w:r>
              <w:rPr>
                <w:rFonts w:hint="eastAsia" w:ascii="宋体" w:hAnsi="宋体" w:eastAsia="宋体" w:cs="Times New Roman"/>
                <w:bCs/>
                <w:kern w:val="0"/>
                <w:sz w:val="18"/>
                <w:szCs w:val="18"/>
              </w:rPr>
              <w:t>3、</w:t>
            </w:r>
            <w:r>
              <w:rPr>
                <w:rFonts w:ascii="宋体" w:hAnsi="宋体" w:eastAsia="宋体" w:cs="Times New Roman"/>
                <w:bCs/>
                <w:kern w:val="0"/>
                <w:sz w:val="18"/>
                <w:szCs w:val="18"/>
              </w:rPr>
              <w:t>运行内存≥4G；存储内存≥32G，CPU≥8核，GPU≥8核</w:t>
            </w:r>
            <w:r>
              <w:rPr>
                <w:rFonts w:hint="eastAsia" w:ascii="宋体" w:hAnsi="宋体" w:eastAsia="宋体" w:cs="Times New Roman"/>
                <w:bCs/>
                <w:kern w:val="0"/>
                <w:sz w:val="18"/>
                <w:szCs w:val="18"/>
              </w:rPr>
              <w:t>。</w:t>
            </w:r>
          </w:p>
          <w:p w14:paraId="185B3121">
            <w:pPr>
              <w:spacing w:line="360" w:lineRule="auto"/>
              <w:jc w:val="left"/>
              <w:rPr>
                <w:rFonts w:ascii="宋体" w:hAnsi="宋体" w:eastAsia="宋体" w:cs="Times New Roman"/>
                <w:bCs/>
                <w:kern w:val="0"/>
                <w:sz w:val="18"/>
                <w:szCs w:val="18"/>
              </w:rPr>
            </w:pPr>
            <w:r>
              <w:rPr>
                <w:rFonts w:hint="eastAsia" w:ascii="宋体" w:hAnsi="宋体" w:eastAsia="宋体" w:cs="Times New Roman"/>
                <w:bCs/>
                <w:kern w:val="0"/>
                <w:sz w:val="18"/>
                <w:szCs w:val="18"/>
              </w:rPr>
              <w:t>4、</w:t>
            </w:r>
            <w:r>
              <w:rPr>
                <w:rFonts w:ascii="宋体" w:hAnsi="宋体" w:eastAsia="宋体" w:cs="Times New Roman"/>
                <w:bCs/>
                <w:kern w:val="0"/>
                <w:sz w:val="18"/>
                <w:szCs w:val="18"/>
              </w:rPr>
              <w:t>内置≥6阵列麦克风，拾音距离≥12米，整机内置2.1声道扬声器，设备扬声器功率不低于45W</w:t>
            </w:r>
            <w:r>
              <w:rPr>
                <w:rFonts w:hint="eastAsia" w:ascii="宋体" w:hAnsi="宋体" w:eastAsia="宋体" w:cs="Times New Roman"/>
                <w:bCs/>
                <w:kern w:val="0"/>
                <w:sz w:val="18"/>
                <w:szCs w:val="18"/>
              </w:rPr>
              <w:t>。</w:t>
            </w:r>
          </w:p>
          <w:p w14:paraId="78C97AAF">
            <w:pPr>
              <w:spacing w:line="360" w:lineRule="auto"/>
              <w:jc w:val="left"/>
              <w:rPr>
                <w:rFonts w:ascii="宋体" w:hAnsi="宋体" w:eastAsia="宋体" w:cs="Times New Roman"/>
                <w:bCs/>
                <w:kern w:val="0"/>
                <w:sz w:val="18"/>
                <w:szCs w:val="18"/>
              </w:rPr>
            </w:pPr>
            <w:r>
              <w:rPr>
                <w:rFonts w:hint="eastAsia" w:ascii="宋体" w:hAnsi="宋体" w:eastAsia="宋体" w:cs="Times New Roman"/>
                <w:bCs/>
                <w:kern w:val="0"/>
                <w:sz w:val="18"/>
                <w:szCs w:val="18"/>
              </w:rPr>
              <w:t>▲5、</w:t>
            </w:r>
            <w:r>
              <w:rPr>
                <w:rFonts w:ascii="宋体" w:hAnsi="宋体" w:eastAsia="宋体" w:cs="Times New Roman"/>
                <w:bCs/>
                <w:kern w:val="0"/>
                <w:sz w:val="18"/>
                <w:szCs w:val="18"/>
              </w:rPr>
              <w:t>触摸高度≤1.5mm，触摸响应时间≤5ms，为保证书写流畅，Windows系统下触摸书写延迟≤90ms，安卓系统下触摸书写延迟≤50ms</w:t>
            </w:r>
            <w:r>
              <w:rPr>
                <w:rFonts w:hint="eastAsia" w:ascii="宋体" w:hAnsi="宋体" w:eastAsia="宋体" w:cs="Times New Roman"/>
                <w:bCs/>
                <w:kern w:val="0"/>
                <w:sz w:val="18"/>
                <w:szCs w:val="18"/>
              </w:rPr>
              <w:t>，</w:t>
            </w:r>
            <w:r>
              <w:rPr>
                <w:rFonts w:ascii="宋体" w:hAnsi="宋体" w:eastAsia="宋体" w:cs="Times New Roman"/>
                <w:bCs/>
                <w:kern w:val="0"/>
                <w:sz w:val="18"/>
                <w:szCs w:val="18"/>
              </w:rPr>
              <w:t>可支持设备系统最大40点触控</w:t>
            </w:r>
            <w:r>
              <w:rPr>
                <w:rFonts w:hint="eastAsia" w:ascii="宋体" w:hAnsi="宋体" w:eastAsia="宋体" w:cs="Times New Roman"/>
                <w:bCs/>
                <w:kern w:val="0"/>
                <w:sz w:val="18"/>
                <w:szCs w:val="18"/>
              </w:rPr>
              <w:t>（提供CMA或CNAS认证检测机构出具的检测报告并加盖公章）。</w:t>
            </w:r>
          </w:p>
          <w:p w14:paraId="7322B099">
            <w:pPr>
              <w:spacing w:line="360" w:lineRule="auto"/>
              <w:jc w:val="left"/>
              <w:rPr>
                <w:rFonts w:ascii="宋体" w:hAnsi="宋体" w:eastAsia="宋体" w:cs="Times New Roman"/>
                <w:bCs/>
                <w:kern w:val="0"/>
                <w:sz w:val="18"/>
                <w:szCs w:val="18"/>
              </w:rPr>
            </w:pPr>
            <w:r>
              <w:rPr>
                <w:rFonts w:hint="eastAsia" w:ascii="宋体" w:hAnsi="宋体" w:eastAsia="宋体" w:cs="Times New Roman"/>
                <w:bCs/>
                <w:kern w:val="0"/>
                <w:sz w:val="18"/>
                <w:szCs w:val="18"/>
              </w:rPr>
              <w:t>▲6、</w:t>
            </w:r>
            <w:r>
              <w:rPr>
                <w:rFonts w:ascii="宋体" w:hAnsi="宋体" w:eastAsia="宋体" w:cs="Times New Roman"/>
                <w:bCs/>
                <w:kern w:val="0"/>
                <w:sz w:val="18"/>
                <w:szCs w:val="18"/>
              </w:rPr>
              <w:t>为提高信号稳定性，需采用双WiFi模组，并支持2.4G、5G双频</w:t>
            </w:r>
            <w:r>
              <w:rPr>
                <w:rFonts w:hint="eastAsia" w:ascii="宋体" w:hAnsi="宋体" w:eastAsia="宋体" w:cs="Times New Roman"/>
                <w:bCs/>
                <w:kern w:val="0"/>
                <w:sz w:val="18"/>
                <w:szCs w:val="18"/>
              </w:rPr>
              <w:t>WiFi和</w:t>
            </w:r>
            <w:r>
              <w:rPr>
                <w:rFonts w:ascii="宋体" w:hAnsi="宋体" w:eastAsia="宋体" w:cs="Times New Roman"/>
                <w:bCs/>
                <w:kern w:val="0"/>
                <w:sz w:val="18"/>
                <w:szCs w:val="18"/>
              </w:rPr>
              <w:t>蓝牙Bluetooth 5.2，为方便售后维护，WIFi与蓝牙无线模组应支持可快拆方式（</w:t>
            </w:r>
            <w:r>
              <w:rPr>
                <w:rFonts w:hint="eastAsia" w:ascii="宋体" w:hAnsi="宋体" w:eastAsia="宋体" w:cs="Times New Roman"/>
                <w:bCs/>
                <w:kern w:val="0"/>
                <w:sz w:val="18"/>
                <w:szCs w:val="18"/>
              </w:rPr>
              <w:t>提供CMA或CNAS认证检测机构出具的检测报告并加盖公章）</w:t>
            </w:r>
            <w:r>
              <w:rPr>
                <w:rFonts w:ascii="宋体" w:hAnsi="宋体" w:eastAsia="宋体" w:cs="Times New Roman"/>
                <w:bCs/>
                <w:kern w:val="0"/>
                <w:sz w:val="18"/>
                <w:szCs w:val="18"/>
              </w:rPr>
              <w:t>。</w:t>
            </w:r>
          </w:p>
          <w:p w14:paraId="0BB3DD61">
            <w:pPr>
              <w:spacing w:line="360" w:lineRule="auto"/>
              <w:jc w:val="left"/>
              <w:rPr>
                <w:rFonts w:ascii="宋体" w:hAnsi="宋体" w:eastAsia="宋体" w:cs="Times New Roman"/>
                <w:bCs/>
                <w:kern w:val="0"/>
                <w:sz w:val="18"/>
                <w:szCs w:val="18"/>
              </w:rPr>
            </w:pPr>
            <w:r>
              <w:rPr>
                <w:rFonts w:hint="eastAsia" w:ascii="宋体" w:hAnsi="宋体" w:eastAsia="宋体" w:cs="Times New Roman"/>
                <w:bCs/>
                <w:kern w:val="0"/>
                <w:sz w:val="18"/>
                <w:szCs w:val="18"/>
              </w:rPr>
              <w:t>7、</w:t>
            </w:r>
            <w:r>
              <w:rPr>
                <w:rFonts w:ascii="宋体" w:hAnsi="宋体" w:eastAsia="宋体" w:cs="Times New Roman"/>
                <w:bCs/>
                <w:kern w:val="0"/>
                <w:sz w:val="18"/>
                <w:szCs w:val="18"/>
              </w:rPr>
              <w:t>至少包含1路60W全功能Type-C输入接口，其余接口</w:t>
            </w:r>
            <w:r>
              <w:rPr>
                <w:rFonts w:hint="eastAsia" w:ascii="宋体" w:hAnsi="宋体" w:eastAsia="宋体" w:cs="Times New Roman"/>
                <w:bCs/>
                <w:kern w:val="0"/>
                <w:sz w:val="18"/>
                <w:szCs w:val="18"/>
              </w:rPr>
              <w:t>满足</w:t>
            </w:r>
            <w:r>
              <w:rPr>
                <w:rFonts w:ascii="宋体" w:hAnsi="宋体" w:eastAsia="宋体" w:cs="Times New Roman"/>
                <w:bCs/>
                <w:kern w:val="0"/>
                <w:sz w:val="18"/>
                <w:szCs w:val="18"/>
              </w:rPr>
              <w:t>HDMI IN≥2，HDMI OUT≥1，USB≥</w:t>
            </w:r>
            <w:r>
              <w:rPr>
                <w:rFonts w:hint="eastAsia" w:ascii="宋体" w:hAnsi="宋体" w:eastAsia="宋体" w:cs="Times New Roman"/>
                <w:bCs/>
                <w:kern w:val="0"/>
                <w:sz w:val="18"/>
                <w:szCs w:val="18"/>
              </w:rPr>
              <w:t>3</w:t>
            </w:r>
            <w:r>
              <w:rPr>
                <w:rFonts w:ascii="宋体" w:hAnsi="宋体" w:eastAsia="宋体" w:cs="Times New Roman"/>
                <w:bCs/>
                <w:kern w:val="0"/>
                <w:sz w:val="18"/>
                <w:szCs w:val="18"/>
              </w:rPr>
              <w:t>，TOUCH3.0≥1；Audio OUT≥1；MIC IN≥1；</w:t>
            </w:r>
          </w:p>
          <w:p w14:paraId="486DEEF3">
            <w:pPr>
              <w:spacing w:line="360" w:lineRule="auto"/>
              <w:jc w:val="left"/>
              <w:rPr>
                <w:rFonts w:ascii="宋体" w:hAnsi="宋体" w:eastAsia="宋体" w:cs="Times New Roman"/>
                <w:bCs/>
                <w:kern w:val="0"/>
                <w:sz w:val="18"/>
                <w:szCs w:val="18"/>
              </w:rPr>
            </w:pPr>
            <w:r>
              <w:rPr>
                <w:rFonts w:hint="eastAsia" w:ascii="宋体" w:hAnsi="宋体" w:eastAsia="宋体" w:cs="Times New Roman"/>
                <w:bCs/>
                <w:kern w:val="0"/>
                <w:sz w:val="18"/>
                <w:szCs w:val="18"/>
              </w:rPr>
              <w:t>8、</w:t>
            </w:r>
            <w:r>
              <w:rPr>
                <w:rFonts w:ascii="宋体" w:hAnsi="宋体" w:eastAsia="宋体" w:cs="Times New Roman"/>
                <w:bCs/>
                <w:kern w:val="0"/>
                <w:sz w:val="18"/>
                <w:szCs w:val="18"/>
              </w:rPr>
              <w:t>支持白板书写笔迹自动美化及画笔软硬笔切换，白板书写内容可进行二维码扫码分享、并支持加密及添加水印。</w:t>
            </w:r>
          </w:p>
          <w:p w14:paraId="716BA7D7">
            <w:pPr>
              <w:spacing w:line="360" w:lineRule="auto"/>
              <w:jc w:val="left"/>
              <w:rPr>
                <w:rFonts w:ascii="宋体" w:hAnsi="宋体" w:eastAsia="宋体" w:cs="Times New Roman"/>
                <w:bCs/>
                <w:kern w:val="0"/>
                <w:sz w:val="18"/>
                <w:szCs w:val="18"/>
              </w:rPr>
            </w:pPr>
            <w:r>
              <w:rPr>
                <w:rFonts w:hint="eastAsia" w:ascii="宋体" w:hAnsi="宋体" w:eastAsia="宋体" w:cs="Times New Roman"/>
                <w:bCs/>
                <w:kern w:val="0"/>
                <w:sz w:val="18"/>
                <w:szCs w:val="18"/>
              </w:rPr>
              <w:t>▲9、白板</w:t>
            </w:r>
            <w:r>
              <w:rPr>
                <w:rFonts w:ascii="宋体" w:hAnsi="宋体" w:eastAsia="宋体" w:cs="Times New Roman"/>
                <w:bCs/>
                <w:kern w:val="0"/>
                <w:sz w:val="18"/>
                <w:szCs w:val="18"/>
              </w:rPr>
              <w:t>支持快捷开启语音转写字幕，支持</w:t>
            </w:r>
            <w:r>
              <w:rPr>
                <w:rFonts w:hint="eastAsia" w:ascii="宋体" w:hAnsi="宋体" w:eastAsia="宋体" w:cs="Times New Roman"/>
                <w:bCs/>
                <w:kern w:val="0"/>
                <w:sz w:val="18"/>
                <w:szCs w:val="18"/>
              </w:rPr>
              <w:t>保存</w:t>
            </w:r>
            <w:r>
              <w:rPr>
                <w:rFonts w:ascii="宋体" w:hAnsi="宋体" w:eastAsia="宋体" w:cs="Times New Roman"/>
                <w:bCs/>
                <w:kern w:val="0"/>
                <w:sz w:val="18"/>
                <w:szCs w:val="18"/>
              </w:rPr>
              <w:t>全程记录书写和音频内容，并可实现白板书写、音频和文字内容的笔迹回溯及一一对应功能（</w:t>
            </w:r>
            <w:r>
              <w:rPr>
                <w:rFonts w:hint="eastAsia" w:ascii="宋体" w:hAnsi="宋体" w:eastAsia="宋体" w:cs="Times New Roman"/>
                <w:bCs/>
                <w:kern w:val="0"/>
                <w:sz w:val="18"/>
                <w:szCs w:val="18"/>
              </w:rPr>
              <w:t>提供CMA或CNAS认证检测机构出具的检测报告并加盖公章）。</w:t>
            </w:r>
          </w:p>
          <w:p w14:paraId="3410E2B0">
            <w:pPr>
              <w:spacing w:line="360" w:lineRule="auto"/>
              <w:jc w:val="left"/>
              <w:rPr>
                <w:rFonts w:ascii="宋体" w:hAnsi="宋体" w:eastAsia="宋体" w:cs="Times New Roman"/>
                <w:bCs/>
                <w:kern w:val="0"/>
                <w:sz w:val="18"/>
                <w:szCs w:val="18"/>
              </w:rPr>
            </w:pPr>
            <w:r>
              <w:rPr>
                <w:rFonts w:hint="eastAsia" w:ascii="宋体" w:hAnsi="宋体" w:eastAsia="宋体" w:cs="Times New Roman"/>
                <w:bCs/>
                <w:kern w:val="0"/>
                <w:sz w:val="18"/>
                <w:szCs w:val="18"/>
              </w:rPr>
              <w:t>▲10、白板搭载大模型技术，支持划词搜索、智能绘画、头脑风暴、内容提纲、生成结果插入，通过大模型生成板书灵感（提供CMA或CNAS认证检测机构出具的检测报告并加盖公章）。</w:t>
            </w:r>
          </w:p>
          <w:p w14:paraId="17DAE0F3">
            <w:pPr>
              <w:spacing w:line="360" w:lineRule="auto"/>
              <w:jc w:val="left"/>
              <w:rPr>
                <w:rFonts w:ascii="宋体" w:hAnsi="宋体" w:eastAsia="宋体" w:cs="Times New Roman"/>
                <w:bCs/>
                <w:kern w:val="0"/>
                <w:sz w:val="18"/>
                <w:szCs w:val="18"/>
              </w:rPr>
            </w:pPr>
            <w:r>
              <w:rPr>
                <w:rFonts w:hint="eastAsia" w:ascii="宋体" w:hAnsi="宋体" w:eastAsia="宋体" w:cs="Times New Roman"/>
                <w:bCs/>
                <w:kern w:val="0"/>
                <w:sz w:val="18"/>
                <w:szCs w:val="18"/>
              </w:rPr>
              <w:t>▲11、</w:t>
            </w:r>
            <w:r>
              <w:rPr>
                <w:rFonts w:ascii="宋体" w:hAnsi="宋体" w:eastAsia="宋体" w:cs="Times New Roman"/>
                <w:bCs/>
                <w:kern w:val="0"/>
                <w:sz w:val="18"/>
                <w:szCs w:val="18"/>
              </w:rPr>
              <w:t>投屏支持</w:t>
            </w:r>
            <w:r>
              <w:rPr>
                <w:rFonts w:hint="eastAsia" w:ascii="宋体" w:hAnsi="宋体" w:eastAsia="宋体" w:cs="Times New Roman"/>
                <w:bCs/>
                <w:kern w:val="0"/>
                <w:sz w:val="18"/>
                <w:szCs w:val="18"/>
              </w:rPr>
              <w:t>M</w:t>
            </w:r>
            <w:r>
              <w:rPr>
                <w:rFonts w:ascii="宋体" w:hAnsi="宋体" w:eastAsia="宋体" w:cs="Times New Roman"/>
                <w:bCs/>
                <w:kern w:val="0"/>
                <w:sz w:val="18"/>
                <w:szCs w:val="18"/>
              </w:rPr>
              <w:t>iracas&amp;Airplay混合快捷投屏、屏幕群组功能、拓展投屏、屏幕防干扰、投屏批注、投屏画面选择适配等功能</w:t>
            </w:r>
            <w:r>
              <w:rPr>
                <w:rFonts w:hint="eastAsia" w:ascii="宋体" w:hAnsi="宋体" w:eastAsia="宋体" w:cs="Times New Roman"/>
                <w:bCs/>
                <w:kern w:val="0"/>
                <w:sz w:val="18"/>
                <w:szCs w:val="18"/>
              </w:rPr>
              <w:t>，</w:t>
            </w:r>
            <w:r>
              <w:rPr>
                <w:rFonts w:ascii="宋体" w:hAnsi="宋体" w:eastAsia="宋体" w:cs="Times New Roman"/>
                <w:bCs/>
                <w:kern w:val="0"/>
                <w:sz w:val="18"/>
                <w:szCs w:val="18"/>
              </w:rPr>
              <w:t>支持4K高清投屏，帧率≥30fps，传输延迟≤100ms,连接速度≤10s</w:t>
            </w:r>
            <w:r>
              <w:rPr>
                <w:rFonts w:hint="eastAsia" w:ascii="宋体" w:hAnsi="宋体" w:eastAsia="宋体" w:cs="Times New Roman"/>
                <w:bCs/>
                <w:kern w:val="0"/>
                <w:sz w:val="18"/>
                <w:szCs w:val="18"/>
              </w:rPr>
              <w:t>（提供CMA或CNAS认证检测机构出具的检测报告并加盖公章）。</w:t>
            </w:r>
          </w:p>
          <w:p w14:paraId="6F2DE5A9">
            <w:pPr>
              <w:spacing w:line="360" w:lineRule="auto"/>
              <w:jc w:val="left"/>
              <w:rPr>
                <w:rFonts w:ascii="宋体" w:hAnsi="宋体" w:eastAsia="宋体" w:cs="Times New Roman"/>
                <w:bCs/>
                <w:kern w:val="0"/>
                <w:sz w:val="18"/>
                <w:szCs w:val="18"/>
              </w:rPr>
            </w:pPr>
            <w:r>
              <w:rPr>
                <w:rFonts w:hint="eastAsia" w:ascii="宋体" w:hAnsi="宋体" w:eastAsia="宋体" w:cs="Times New Roman"/>
                <w:bCs/>
                <w:kern w:val="0"/>
                <w:sz w:val="18"/>
                <w:szCs w:val="18"/>
              </w:rPr>
              <w:t>12、</w:t>
            </w:r>
            <w:r>
              <w:rPr>
                <w:rFonts w:ascii="宋体" w:hAnsi="宋体" w:eastAsia="宋体" w:cs="Times New Roman"/>
                <w:bCs/>
                <w:kern w:val="0"/>
                <w:sz w:val="18"/>
                <w:szCs w:val="18"/>
              </w:rPr>
              <w:t>为提升办公效率，设备支持搭载大模型技术，支持对本地会议、远程会议形成的会议记录进行语篇规整及智能总结，自动生成会议记录和待办事项</w:t>
            </w:r>
            <w:r>
              <w:rPr>
                <w:rFonts w:hint="eastAsia" w:ascii="宋体" w:hAnsi="宋体" w:eastAsia="宋体" w:cs="Times New Roman"/>
                <w:bCs/>
                <w:kern w:val="0"/>
                <w:sz w:val="18"/>
                <w:szCs w:val="18"/>
              </w:rPr>
              <w:t>。</w:t>
            </w:r>
          </w:p>
          <w:p w14:paraId="70446692">
            <w:pPr>
              <w:spacing w:line="360" w:lineRule="auto"/>
              <w:jc w:val="left"/>
              <w:rPr>
                <w:rFonts w:ascii="宋体" w:hAnsi="宋体" w:eastAsia="宋体" w:cs="Times New Roman"/>
                <w:bCs/>
                <w:kern w:val="0"/>
                <w:sz w:val="18"/>
                <w:szCs w:val="18"/>
              </w:rPr>
            </w:pPr>
            <w:r>
              <w:rPr>
                <w:rFonts w:hint="eastAsia" w:ascii="宋体" w:hAnsi="宋体" w:eastAsia="宋体" w:cs="Times New Roman"/>
                <w:bCs/>
                <w:kern w:val="0"/>
                <w:sz w:val="18"/>
                <w:szCs w:val="18"/>
              </w:rPr>
              <w:t>▲13、</w:t>
            </w:r>
            <w:r>
              <w:rPr>
                <w:rFonts w:ascii="宋体" w:hAnsi="宋体" w:eastAsia="宋体" w:cs="Times New Roman"/>
                <w:bCs/>
                <w:kern w:val="0"/>
                <w:sz w:val="18"/>
                <w:szCs w:val="18"/>
              </w:rPr>
              <w:t>应满足涉外沟通场景需要，</w:t>
            </w:r>
            <w:r>
              <w:rPr>
                <w:rFonts w:hint="eastAsia" w:ascii="宋体" w:hAnsi="宋体" w:eastAsia="宋体" w:cs="Times New Roman"/>
                <w:bCs/>
                <w:kern w:val="0"/>
                <w:sz w:val="18"/>
                <w:szCs w:val="18"/>
              </w:rPr>
              <w:t>支持中、英文、阿拉伯语识别及翻译，并支持不少于5个其它小语种识别翻译</w:t>
            </w:r>
            <w:r>
              <w:rPr>
                <w:rFonts w:ascii="宋体" w:hAnsi="宋体" w:eastAsia="宋体" w:cs="Times New Roman"/>
                <w:bCs/>
                <w:kern w:val="0"/>
                <w:sz w:val="18"/>
                <w:szCs w:val="18"/>
              </w:rPr>
              <w:t>，形成双语字幕展示；支持四川话</w:t>
            </w:r>
            <w:r>
              <w:rPr>
                <w:rFonts w:hint="eastAsia" w:ascii="宋体" w:hAnsi="宋体" w:eastAsia="宋体" w:cs="Times New Roman"/>
                <w:bCs/>
                <w:kern w:val="0"/>
                <w:sz w:val="18"/>
                <w:szCs w:val="18"/>
              </w:rPr>
              <w:t>、重庆话、贵州话、云南话、维语、藏语、粤语</w:t>
            </w:r>
            <w:r>
              <w:rPr>
                <w:rFonts w:ascii="宋体" w:hAnsi="宋体" w:eastAsia="宋体" w:cs="Times New Roman"/>
                <w:bCs/>
                <w:kern w:val="0"/>
                <w:sz w:val="18"/>
                <w:szCs w:val="18"/>
              </w:rPr>
              <w:t>在内的多方言语音识别，并可通过声纹识别发言人</w:t>
            </w:r>
            <w:r>
              <w:rPr>
                <w:rFonts w:hint="eastAsia" w:ascii="宋体" w:hAnsi="宋体" w:eastAsia="宋体" w:cs="Times New Roman"/>
                <w:bCs/>
                <w:kern w:val="0"/>
                <w:sz w:val="18"/>
                <w:szCs w:val="18"/>
              </w:rPr>
              <w:t>（提供CMA或CNAS认证检测机构出具的检测报告并加盖公章）。</w:t>
            </w:r>
          </w:p>
          <w:p w14:paraId="37236278">
            <w:pPr>
              <w:spacing w:line="360" w:lineRule="auto"/>
              <w:jc w:val="left"/>
              <w:rPr>
                <w:rFonts w:ascii="宋体" w:hAnsi="宋体" w:eastAsia="宋体" w:cs="Times New Roman"/>
                <w:bCs/>
                <w:kern w:val="0"/>
                <w:sz w:val="18"/>
                <w:szCs w:val="18"/>
              </w:rPr>
            </w:pPr>
            <w:r>
              <w:rPr>
                <w:rFonts w:hint="eastAsia" w:ascii="宋体" w:hAnsi="宋体" w:eastAsia="宋体" w:cs="Times New Roman"/>
                <w:bCs/>
                <w:kern w:val="0"/>
                <w:sz w:val="18"/>
                <w:szCs w:val="18"/>
              </w:rPr>
              <w:t>14、</w:t>
            </w:r>
            <w:r>
              <w:rPr>
                <w:rFonts w:ascii="宋体" w:hAnsi="宋体" w:eastAsia="宋体" w:cs="Times New Roman"/>
                <w:bCs/>
                <w:kern w:val="0"/>
                <w:sz w:val="18"/>
                <w:szCs w:val="18"/>
              </w:rPr>
              <w:t>支持mic及内录音频混合识别翻译，支持外接信源（HDMI、TYPE-C等信源）的内部声源进行语音转写</w:t>
            </w:r>
            <w:r>
              <w:rPr>
                <w:rFonts w:hint="eastAsia" w:ascii="宋体" w:hAnsi="宋体" w:eastAsia="宋体" w:cs="Times New Roman"/>
                <w:bCs/>
                <w:kern w:val="0"/>
                <w:sz w:val="18"/>
                <w:szCs w:val="18"/>
              </w:rPr>
              <w:t>。</w:t>
            </w:r>
          </w:p>
          <w:p w14:paraId="1087C658">
            <w:pPr>
              <w:spacing w:line="360" w:lineRule="auto"/>
              <w:jc w:val="left"/>
              <w:rPr>
                <w:rFonts w:ascii="宋体" w:hAnsi="宋体" w:eastAsia="宋体" w:cs="Times New Roman"/>
                <w:bCs/>
                <w:kern w:val="0"/>
                <w:sz w:val="18"/>
                <w:szCs w:val="18"/>
              </w:rPr>
            </w:pPr>
            <w:r>
              <w:rPr>
                <w:rFonts w:hint="eastAsia" w:ascii="宋体" w:hAnsi="宋体" w:eastAsia="宋体" w:cs="Times New Roman"/>
                <w:bCs/>
                <w:kern w:val="0"/>
                <w:sz w:val="18"/>
                <w:szCs w:val="18"/>
              </w:rPr>
              <w:t>15、</w:t>
            </w:r>
            <w:r>
              <w:rPr>
                <w:rFonts w:ascii="宋体" w:hAnsi="宋体" w:eastAsia="宋体" w:cs="Times New Roman"/>
                <w:bCs/>
                <w:kern w:val="0"/>
                <w:sz w:val="18"/>
                <w:szCs w:val="18"/>
              </w:rPr>
              <w:t>为了软硬件适配度更高，产品内置的云会议</w:t>
            </w:r>
            <w:r>
              <w:rPr>
                <w:rFonts w:hint="eastAsia" w:ascii="宋体" w:hAnsi="宋体" w:eastAsia="宋体" w:cs="Times New Roman"/>
                <w:bCs/>
                <w:kern w:val="0"/>
                <w:sz w:val="18"/>
                <w:szCs w:val="18"/>
              </w:rPr>
              <w:t>A</w:t>
            </w:r>
            <w:r>
              <w:rPr>
                <w:rFonts w:ascii="宋体" w:hAnsi="宋体" w:eastAsia="宋体" w:cs="Times New Roman"/>
                <w:bCs/>
                <w:kern w:val="0"/>
                <w:sz w:val="18"/>
                <w:szCs w:val="18"/>
              </w:rPr>
              <w:t>PP与智慧屏设备为同一制造商</w:t>
            </w:r>
            <w:r>
              <w:rPr>
                <w:rFonts w:hint="eastAsia" w:ascii="宋体" w:hAnsi="宋体" w:eastAsia="宋体" w:cs="Times New Roman"/>
                <w:bCs/>
                <w:kern w:val="0"/>
                <w:sz w:val="18"/>
                <w:szCs w:val="18"/>
              </w:rPr>
              <w:t>，支持预约会议、创建会议、加入会议及包括An</w:t>
            </w:r>
            <w:r>
              <w:rPr>
                <w:rFonts w:ascii="宋体" w:hAnsi="宋体" w:eastAsia="宋体" w:cs="Times New Roman"/>
                <w:bCs/>
                <w:kern w:val="0"/>
                <w:sz w:val="18"/>
                <w:szCs w:val="18"/>
              </w:rPr>
              <w:t>droid、iOS、Windows在内的多端设备入会。</w:t>
            </w:r>
          </w:p>
          <w:p w14:paraId="5162CBBC">
            <w:pPr>
              <w:spacing w:line="360" w:lineRule="auto"/>
              <w:jc w:val="left"/>
              <w:rPr>
                <w:rFonts w:ascii="宋体" w:hAnsi="宋体" w:eastAsia="宋体" w:cs="Times New Roman"/>
                <w:bCs/>
                <w:kern w:val="0"/>
                <w:sz w:val="18"/>
                <w:szCs w:val="18"/>
              </w:rPr>
            </w:pPr>
            <w:r>
              <w:rPr>
                <w:rFonts w:hint="eastAsia" w:ascii="宋体" w:hAnsi="宋体" w:eastAsia="宋体" w:cs="Times New Roman"/>
                <w:bCs/>
                <w:kern w:val="0"/>
                <w:sz w:val="18"/>
                <w:szCs w:val="18"/>
              </w:rPr>
              <w:t>▲16、</w:t>
            </w:r>
            <w:r>
              <w:rPr>
                <w:rFonts w:ascii="宋体" w:hAnsi="宋体" w:eastAsia="宋体" w:cs="Times New Roman"/>
                <w:bCs/>
                <w:kern w:val="0"/>
                <w:sz w:val="18"/>
                <w:szCs w:val="18"/>
              </w:rPr>
              <w:t>设备自带的云会议可通过智慧屏端发起白板协作、会议记录、会议纪要及</w:t>
            </w:r>
            <w:r>
              <w:rPr>
                <w:rFonts w:hint="eastAsia" w:ascii="宋体" w:hAnsi="宋体" w:eastAsia="宋体" w:cs="Times New Roman"/>
                <w:bCs/>
                <w:kern w:val="0"/>
                <w:sz w:val="18"/>
                <w:szCs w:val="18"/>
              </w:rPr>
              <w:t>A</w:t>
            </w:r>
            <w:r>
              <w:rPr>
                <w:rFonts w:ascii="宋体" w:hAnsi="宋体" w:eastAsia="宋体" w:cs="Times New Roman"/>
                <w:bCs/>
                <w:kern w:val="0"/>
                <w:sz w:val="18"/>
                <w:szCs w:val="18"/>
              </w:rPr>
              <w:t>I写作功能（</w:t>
            </w:r>
            <w:r>
              <w:rPr>
                <w:rFonts w:hint="eastAsia" w:ascii="宋体" w:hAnsi="宋体" w:eastAsia="宋体" w:cs="Times New Roman"/>
                <w:bCs/>
                <w:kern w:val="0"/>
                <w:sz w:val="18"/>
                <w:szCs w:val="18"/>
              </w:rPr>
              <w:t>提供CMA或CNAS认证检测机构出具的检测报告并加盖公章）</w:t>
            </w:r>
            <w:r>
              <w:rPr>
                <w:rFonts w:ascii="宋体" w:hAnsi="宋体" w:eastAsia="宋体" w:cs="Times New Roman"/>
                <w:bCs/>
                <w:kern w:val="0"/>
                <w:sz w:val="18"/>
                <w:szCs w:val="18"/>
              </w:rPr>
              <w:t>。</w:t>
            </w:r>
          </w:p>
          <w:p w14:paraId="052A618B">
            <w:pPr>
              <w:spacing w:line="360" w:lineRule="auto"/>
              <w:jc w:val="left"/>
              <w:rPr>
                <w:rFonts w:ascii="宋体" w:hAnsi="宋体" w:eastAsia="宋体" w:cs="Times New Roman"/>
                <w:bCs/>
                <w:kern w:val="0"/>
                <w:sz w:val="18"/>
                <w:szCs w:val="18"/>
              </w:rPr>
            </w:pPr>
            <w:r>
              <w:rPr>
                <w:rFonts w:hint="eastAsia" w:ascii="宋体" w:hAnsi="宋体" w:eastAsia="宋体" w:cs="Times New Roman"/>
                <w:bCs/>
                <w:kern w:val="0"/>
                <w:sz w:val="18"/>
                <w:szCs w:val="18"/>
              </w:rPr>
              <w:t>17、移动支架：支持360°旋转静音万向轮推拉，高度可调，承重≥100KG。</w:t>
            </w:r>
          </w:p>
          <w:p w14:paraId="0A89A8A1">
            <w:pPr>
              <w:spacing w:line="360" w:lineRule="auto"/>
              <w:jc w:val="left"/>
              <w:rPr>
                <w:rFonts w:ascii="宋体" w:hAnsi="宋体" w:eastAsia="宋体" w:cs="Times New Roman"/>
                <w:bCs/>
                <w:kern w:val="0"/>
                <w:sz w:val="18"/>
                <w:szCs w:val="18"/>
              </w:rPr>
            </w:pPr>
            <w:r>
              <w:rPr>
                <w:rFonts w:hint="eastAsia" w:ascii="宋体" w:hAnsi="宋体" w:eastAsia="宋体" w:cs="Times New Roman"/>
                <w:bCs/>
                <w:kern w:val="0"/>
                <w:sz w:val="18"/>
                <w:szCs w:val="18"/>
              </w:rPr>
              <w:t>18、需提供厂家针对本次项目的售后服务承诺函及符合参数的参数确认函加盖原厂公章。</w:t>
            </w:r>
          </w:p>
          <w:p w14:paraId="579A26E3">
            <w:pPr>
              <w:spacing w:line="360" w:lineRule="auto"/>
              <w:jc w:val="left"/>
              <w:rPr>
                <w:rFonts w:ascii="宋体" w:hAnsi="宋体" w:eastAsia="宋体" w:cs="Times New Roman"/>
                <w:bCs/>
                <w:kern w:val="0"/>
                <w:sz w:val="18"/>
                <w:szCs w:val="18"/>
              </w:rPr>
            </w:pPr>
            <w:r>
              <w:rPr>
                <w:rFonts w:hint="eastAsia" w:ascii="宋体" w:hAnsi="宋体" w:eastAsia="宋体" w:cs="Times New Roman"/>
                <w:bCs/>
                <w:kern w:val="0"/>
                <w:sz w:val="18"/>
                <w:szCs w:val="18"/>
              </w:rPr>
              <w:t>19、内置电脑：</w:t>
            </w:r>
          </w:p>
          <w:p w14:paraId="6E0FDBC5">
            <w:pPr>
              <w:spacing w:line="360" w:lineRule="auto"/>
              <w:jc w:val="left"/>
              <w:rPr>
                <w:rFonts w:ascii="宋体" w:hAnsi="宋体" w:eastAsia="宋体" w:cs="Times New Roman"/>
                <w:bCs/>
                <w:kern w:val="0"/>
                <w:sz w:val="18"/>
                <w:szCs w:val="18"/>
              </w:rPr>
            </w:pPr>
            <w:r>
              <w:rPr>
                <w:rFonts w:hint="eastAsia" w:ascii="宋体" w:hAnsi="宋体" w:eastAsia="宋体" w:cs="Times New Roman"/>
                <w:bCs/>
                <w:kern w:val="0"/>
                <w:sz w:val="18"/>
                <w:szCs w:val="18"/>
              </w:rPr>
              <w:t>1）采用80pin Intel通用标准接口,即插即用，易于维护；</w:t>
            </w:r>
          </w:p>
          <w:p w14:paraId="1233FD7E">
            <w:pPr>
              <w:spacing w:line="360" w:lineRule="auto"/>
              <w:jc w:val="left"/>
              <w:rPr>
                <w:rFonts w:ascii="宋体" w:hAnsi="宋体" w:eastAsia="宋体" w:cs="Times New Roman"/>
                <w:bCs/>
                <w:kern w:val="0"/>
                <w:sz w:val="18"/>
                <w:szCs w:val="18"/>
              </w:rPr>
            </w:pPr>
            <w:r>
              <w:rPr>
                <w:rFonts w:hint="eastAsia" w:ascii="宋体" w:hAnsi="宋体" w:eastAsia="宋体" w:cs="Times New Roman"/>
                <w:bCs/>
                <w:kern w:val="0"/>
                <w:sz w:val="18"/>
                <w:szCs w:val="18"/>
              </w:rPr>
              <w:t>2）CPU采用 I5(十二代)或以上处理器；</w:t>
            </w:r>
          </w:p>
          <w:p w14:paraId="2595B222">
            <w:pPr>
              <w:spacing w:line="360" w:lineRule="auto"/>
              <w:jc w:val="left"/>
              <w:rPr>
                <w:rFonts w:ascii="宋体" w:hAnsi="宋体" w:eastAsia="宋体" w:cs="Times New Roman"/>
                <w:bCs/>
                <w:kern w:val="0"/>
                <w:sz w:val="18"/>
                <w:szCs w:val="18"/>
              </w:rPr>
            </w:pPr>
            <w:r>
              <w:rPr>
                <w:rFonts w:hint="eastAsia" w:ascii="宋体" w:hAnsi="宋体" w:eastAsia="宋体" w:cs="Times New Roman"/>
                <w:bCs/>
                <w:kern w:val="0"/>
                <w:sz w:val="18"/>
                <w:szCs w:val="18"/>
              </w:rPr>
              <w:t>3）内存：≥8G DDR4；</w:t>
            </w:r>
          </w:p>
          <w:p w14:paraId="450A5EA8">
            <w:pPr>
              <w:spacing w:line="360" w:lineRule="auto"/>
              <w:jc w:val="left"/>
              <w:rPr>
                <w:rFonts w:ascii="宋体" w:hAnsi="宋体" w:eastAsia="宋体" w:cs="Times New Roman"/>
                <w:bCs/>
                <w:kern w:val="0"/>
                <w:sz w:val="18"/>
                <w:szCs w:val="18"/>
              </w:rPr>
            </w:pPr>
            <w:r>
              <w:rPr>
                <w:rFonts w:hint="eastAsia" w:ascii="宋体" w:hAnsi="宋体" w:eastAsia="宋体" w:cs="Times New Roman"/>
                <w:bCs/>
                <w:kern w:val="0"/>
                <w:sz w:val="18"/>
                <w:szCs w:val="18"/>
              </w:rPr>
              <w:t xml:space="preserve">4）硬盘：≥256G SSD固态硬盘； </w:t>
            </w:r>
          </w:p>
          <w:p w14:paraId="43545E14">
            <w:pPr>
              <w:spacing w:line="360" w:lineRule="auto"/>
              <w:jc w:val="left"/>
              <w:rPr>
                <w:rFonts w:ascii="宋体" w:hAnsi="宋体" w:eastAsia="宋体" w:cs="Times New Roman"/>
                <w:kern w:val="0"/>
                <w:sz w:val="18"/>
                <w:szCs w:val="18"/>
              </w:rPr>
            </w:pPr>
            <w:r>
              <w:rPr>
                <w:rFonts w:hint="eastAsia" w:ascii="宋体" w:hAnsi="宋体" w:eastAsia="宋体" w:cs="Times New Roman"/>
                <w:bCs/>
                <w:kern w:val="0"/>
                <w:sz w:val="18"/>
                <w:szCs w:val="18"/>
              </w:rPr>
              <w:t>5）接口：整机非外扩展具备6个USB接口（其中至少包含3路USB3.0接口）；具有独立非外扩展的视频输出接口：≥1路HDMI。</w:t>
            </w:r>
          </w:p>
        </w:tc>
      </w:tr>
      <w:tr w14:paraId="15215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vAlign w:val="center"/>
          </w:tcPr>
          <w:p w14:paraId="3C8E0B14">
            <w:pPr>
              <w:spacing w:line="360"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5</w:t>
            </w:r>
          </w:p>
        </w:tc>
        <w:tc>
          <w:tcPr>
            <w:tcW w:w="619" w:type="pct"/>
            <w:vAlign w:val="center"/>
          </w:tcPr>
          <w:p w14:paraId="77CD3E9A">
            <w:pPr>
              <w:spacing w:line="360" w:lineRule="auto"/>
              <w:jc w:val="center"/>
              <w:rPr>
                <w:rFonts w:ascii="宋体" w:hAnsi="宋体" w:eastAsia="宋体" w:cs="Times New Roman"/>
                <w:kern w:val="0"/>
                <w:sz w:val="18"/>
                <w:szCs w:val="18"/>
              </w:rPr>
            </w:pPr>
            <w:r>
              <w:rPr>
                <w:rFonts w:hint="eastAsia" w:ascii="Times New Roman" w:hAnsi="Times New Roman" w:eastAsia="宋体" w:cs="Times New Roman"/>
                <w:kern w:val="0"/>
                <w:sz w:val="18"/>
                <w:szCs w:val="18"/>
              </w:rPr>
              <w:t>瀑布流移动阅读借阅机</w:t>
            </w:r>
          </w:p>
        </w:tc>
        <w:tc>
          <w:tcPr>
            <w:tcW w:w="3856" w:type="pct"/>
            <w:vAlign w:val="center"/>
          </w:tcPr>
          <w:p w14:paraId="3748D8DD">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 xml:space="preserve">1.系统 </w:t>
            </w:r>
          </w:p>
          <w:p w14:paraId="38BE9829">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1.1瀑布流基于液晶拼接屏研发，软件运行环境为Windows系统，软件可自适应硬件分辨率。</w:t>
            </w:r>
          </w:p>
          <w:p w14:paraId="4A8EC745">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1.2瀑布流实现终端平台展示、图书音频视频图片等资源的后台管理、扫码借阅等功能模块。</w:t>
            </w:r>
          </w:p>
          <w:p w14:paraId="5C9CB17A">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1.3微信小程序是瀑布流的配套移动应用。可通过手机微信扫描瀑布流上的图书、音频、视频、图片的二维码将数字资源借阅到手机、平板电脑等移动终端中阅读，在手机中以微信小程序的方式呈现，读者无需下载额外的app，减轻读者使用成本。</w:t>
            </w:r>
          </w:p>
          <w:p w14:paraId="77453E60">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1.4资源支持远程定时更新，支持自动更新，减少管理成本。</w:t>
            </w:r>
          </w:p>
          <w:p w14:paraId="3DFC8FB0">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1.5管理后台可开放给用户，支持所有设备统一管理、个性化配置UI界面、栏目、上传用户自有的数字资源、发布图文信息公告，并在终端大屏上展示出来。</w:t>
            </w:r>
          </w:p>
          <w:p w14:paraId="10DEC63D">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1.6▲支持纯离线模式，在无网络环境下，可正常浏览本地预设的图书、音频、视频等资源，可在瀑布流大屏上全文阅读、收听、观看，同时也可以用手机扫码借阅。（本功能为选配，默认在线模式，网络受限用户可选择离线模式）（提供功能截图证明）</w:t>
            </w:r>
          </w:p>
          <w:p w14:paraId="48AECE66">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1.7瀑布流支持流速调节，可选择0.75倍、1倍、1.25倍、1.5倍、1.75倍、2倍流速。</w:t>
            </w:r>
          </w:p>
          <w:p w14:paraId="63C01385">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1.8瀑布流资源流动界面支持上下滑动，以方便用户快速找到合适的资源。</w:t>
            </w:r>
          </w:p>
          <w:p w14:paraId="3E690D2F">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1.9▲瀑布流支持定时自动切换不同类型的资源，可定时切换到图书流动界面、音频流动界面、视频流动界面、资讯流动界面等，使前端展示的内容无需固定在某单一类型的资源而显得单调。（提供功能截图证明）</w:t>
            </w:r>
          </w:p>
          <w:p w14:paraId="621F053E">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1.10瀑布流资源支持按分类浏览，也支持按资源名称检索。</w:t>
            </w:r>
          </w:p>
          <w:p w14:paraId="4AFD43F3">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1.11▲瀑布流提供图书、有声读物、精彩视频、期刊、每日一字等多个功能模块，满足用户多元化需求。（提供功能截图证明）</w:t>
            </w:r>
          </w:p>
          <w:p w14:paraId="33E32383">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2.资源</w:t>
            </w:r>
          </w:p>
          <w:p w14:paraId="65CC9F52">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2.1▲瀑布流提供不少于3000种正版授权的电子图书，每月更新不少于150册电子图书。图书资源涵盖文学传记、绘本、财经管理、成功励志、政治军事、艺术摄影、心理社科、历史文化、法律法规、教育教学、育儿家教等多个类型，方便用户检索观看。电子图书支持扫描二维码借阅至微信小程序中阅读，可添加至小程序书架。（提供功能截图证明）</w:t>
            </w:r>
          </w:p>
          <w:p w14:paraId="665BB6A5">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2.2▲瀑布流提供不少于1000集的有声资源，MP3格式，均为真人原声演播，非AI合成语音，播放流畅，现场感足。有声资源涵盖人文科技、文学之声、爱国之声等多个类型，方便用户检索收听。有声资源支持扫描二维码借阅至微信小程序中收听，可添加至小程序书架。（提供功能截图证明）</w:t>
            </w:r>
          </w:p>
          <w:p w14:paraId="273097A4">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2.3▲瀑布流提供不少于400集视频资源。视频资源涵盖好书阅读、党课学习、文化艺术等多个类型，方便用户检索观看。视频资源支持扫描二维码借阅至微信小程序中观看，可添加至小程序书架。（提供功能截图证明）</w:t>
            </w:r>
          </w:p>
          <w:p w14:paraId="1362C351">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2.4▲瀑布流提供不少于600种期刊资源。期刊资源涵盖文学艺术、文化教育、社会科学、政治法律、自然科学、财经管理、医药卫生、工业技术、农业科学等多个类别，方便用户检索阅读。期刊资源支持扫描二维码借阅至微信小程序中阅读，可添加至小程序书架。（提供功能截图证明）</w:t>
            </w:r>
          </w:p>
          <w:p w14:paraId="06506EE8">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2.5▲瀑布流提供“每日一字”模块，内含不少于180个生僻字，内容持续更新，为用户提供更多学习内容。（提供功能截图证明）</w:t>
            </w:r>
          </w:p>
          <w:p w14:paraId="1A656411">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2.6▲瀑布流提供”元宵节猜灯谜“模块，让读者通过猜灯谜来丰富自身对元宵节的了解，提供不少于200道题目的题库资源。界面UI、内置题库支持高度自定义，用户单位可依托此功能模块进行个性化配置，满足对各种节日、活动的不同需求，为读者提供丰富多样的互动体验。（提供功能截图证明）</w:t>
            </w:r>
          </w:p>
          <w:p w14:paraId="28B5B476">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2.7支持用户自有版权的资源录入和展示，支持电子图书、期刊、绘本、有声、视频、图片、H5页面等全面丰富的类型，可通过客户后台管理系统导入并在前端大屏展示，供使用者浏览。</w:t>
            </w:r>
          </w:p>
          <w:p w14:paraId="20D6F2C2">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2.8支持时间轴主题展示模式，用户可将本单位的历史或其他主题内容用时间轴的形式展现出来，支持自定义录入素材，支持图文、音频、视频混排。</w:t>
            </w:r>
          </w:p>
          <w:p w14:paraId="75125E4C">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3. 个性化定制</w:t>
            </w:r>
          </w:p>
          <w:p w14:paraId="26DCB57F">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3.1单位后台管理系统支持修改大屏上的单位名称、logo图片，每个类型的资源均支持背景图修改。</w:t>
            </w:r>
          </w:p>
          <w:p w14:paraId="26E8D494">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3.2▲单位后台管理系统支持修改待机图片发布。瀑布流系统可在设备无人使用时自动跳转至待机图片，全屏播放待机海报，待机图出现的时间可在后台管理系统里自定义设置，支持开启和关闭待机图功能。（提供功能截图证明）</w:t>
            </w:r>
          </w:p>
          <w:p w14:paraId="6F85A6BE">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3.3▲单位后台管理系统支持资讯发布功能，用户可创建信息分类，创建资讯列表，提供全功能多媒体新闻编辑器，支持插入图片、文字、视频等多种格式的信息，用户可利用本功能实现资讯发布、通知公告、个性化专题栏目（如校园文化专栏、当地文化特色专栏、非遗文化专栏等）等需求。资讯可发布至指定的终端设备，使用者可触屏浏览。（提供功能截图证明）</w:t>
            </w:r>
          </w:p>
          <w:p w14:paraId="62AA17FB">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3.4单位后台管理系统支持H5网页的发布，可在大屏前端以栏目的形式展示，点击后可跳转至指定H5网页，页面上提供了“前进、后退、刷新”等功能按键，辅助网页的浏览。用户可利用本功能跳转至单位网站或其他网站，实现个性化宣传需求。</w:t>
            </w:r>
          </w:p>
          <w:p w14:paraId="563E1454">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3.5▲单位后台管理系统支持栏目配置功能，可自定义栏目类型，栏目类型需支持图书、音频、视频、图片、资讯信息、实现个性化配置需求，可增加删除栏目，栏目可自由排序。（提供功能截图证明）</w:t>
            </w:r>
          </w:p>
          <w:p w14:paraId="18A5C6C5">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3.6▲单位后台管理系统支持设备的统一管理，支持单台设备的修改，以达到每台设备不一样的显示效果，也支持批量统一管理。（提供数字内容投送云平台信息系统安全等级保护备案证明）</w:t>
            </w:r>
          </w:p>
          <w:p w14:paraId="3EB7ADE3">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4．配套的手机端服务</w:t>
            </w:r>
          </w:p>
          <w:p w14:paraId="413F3C36">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4.1▲微信小程序是瀑布流的配套移动应用，微信小程序支持扫码借阅功能。使用者无需下载额外的APP，减轻使用成本。（提供功能截图证明）</w:t>
            </w:r>
          </w:p>
          <w:p w14:paraId="7FD1AD58">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4.2▲微信小程序提供书架功能，可将扫描的图书、音频、视频收藏至书架中，保留阅读进度，方便使用者随时随地查找和阅览。（提供功能截图证明）</w:t>
            </w:r>
          </w:p>
        </w:tc>
      </w:tr>
      <w:tr w14:paraId="58244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vAlign w:val="center"/>
          </w:tcPr>
          <w:p w14:paraId="23375311">
            <w:pPr>
              <w:spacing w:line="360" w:lineRule="auto"/>
              <w:jc w:val="center"/>
              <w:rPr>
                <w:rFonts w:ascii="宋体" w:hAnsi="宋体" w:eastAsia="宋体" w:cs="Times New Roman"/>
                <w:kern w:val="0"/>
                <w:sz w:val="20"/>
                <w:szCs w:val="20"/>
              </w:rPr>
            </w:pPr>
            <w:r>
              <w:rPr>
                <w:rFonts w:hint="eastAsia" w:ascii="宋体" w:hAnsi="宋体" w:eastAsia="宋体" w:cs="Times New Roman"/>
                <w:kern w:val="0"/>
                <w:sz w:val="20"/>
                <w:szCs w:val="20"/>
              </w:rPr>
              <w:t>6</w:t>
            </w:r>
          </w:p>
        </w:tc>
        <w:tc>
          <w:tcPr>
            <w:tcW w:w="619" w:type="pct"/>
            <w:vAlign w:val="center"/>
          </w:tcPr>
          <w:p w14:paraId="1B962A99">
            <w:pPr>
              <w:spacing w:line="360" w:lineRule="auto"/>
              <w:jc w:val="center"/>
              <w:rPr>
                <w:rFonts w:ascii="宋体" w:hAnsi="宋体" w:eastAsia="宋体" w:cs="Times New Roman"/>
                <w:b/>
                <w:bCs/>
                <w:kern w:val="0"/>
                <w:sz w:val="20"/>
                <w:szCs w:val="20"/>
              </w:rPr>
            </w:pPr>
            <w:r>
              <w:rPr>
                <w:rFonts w:hint="eastAsia" w:ascii="宋体" w:hAnsi="宋体" w:eastAsia="宋体" w:cs="Times New Roman"/>
                <w:kern w:val="0"/>
                <w:sz w:val="18"/>
                <w:szCs w:val="18"/>
              </w:rPr>
              <w:t>用户管理</w:t>
            </w:r>
          </w:p>
        </w:tc>
        <w:tc>
          <w:tcPr>
            <w:tcW w:w="3856" w:type="pct"/>
            <w:vAlign w:val="center"/>
          </w:tcPr>
          <w:p w14:paraId="110809B0">
            <w:pPr>
              <w:widowControl/>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统一身份认证</w:t>
            </w:r>
          </w:p>
          <w:p w14:paraId="5672110A">
            <w:pPr>
              <w:widowControl/>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需与新疆应用职业技术学院统一身份认证对接，并提供多个系统的统一角色管理、统一用户管理和统一授权访问。对学校的组织、用户、角色等信息进行统一管理。</w:t>
            </w:r>
          </w:p>
          <w:p w14:paraId="730FCEFE">
            <w:pPr>
              <w:widowControl/>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用户管理</w:t>
            </w:r>
          </w:p>
          <w:p w14:paraId="187D68D6">
            <w:pPr>
              <w:widowControl/>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1.支持增、删、查、改读者和工作人员信息，支持批量修改用户信息；</w:t>
            </w:r>
          </w:p>
          <w:p w14:paraId="4D2DE96E">
            <w:pPr>
              <w:widowControl/>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2.支持停用工作人员，停用后将失去登录权限。</w:t>
            </w:r>
          </w:p>
          <w:p w14:paraId="58831CA3">
            <w:pPr>
              <w:widowControl/>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3.可以自定义工作人员角色、工作台。一个用户支持指定多角色，支持工作人员对工作台进行个性化设置。</w:t>
            </w:r>
          </w:p>
          <w:p w14:paraId="58F64C28">
            <w:pPr>
              <w:widowControl/>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4.支持读者手机号等隐私信息做脱敏处理。</w:t>
            </w:r>
          </w:p>
          <w:p w14:paraId="73D43160">
            <w:pPr>
              <w:widowControl/>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5.支持读者和馆员详细信息管理和查看，支持单个或者批量修改读用户信息。</w:t>
            </w:r>
          </w:p>
          <w:p w14:paraId="2E742BCE">
            <w:pPr>
              <w:widowControl/>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6.支持用户数据与学校统一认证、或图书馆管理系统同步，除系统定期同步数据外，支持馆员可通过手动启动同步程序，支持读者卡数据增量同步。</w:t>
            </w:r>
          </w:p>
          <w:p w14:paraId="0ACDB66B">
            <w:pPr>
              <w:widowControl/>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7.支持同步用户中心等管理员账号列表信息，实现管理员授权管理。</w:t>
            </w:r>
          </w:p>
          <w:p w14:paraId="558C7911">
            <w:pPr>
              <w:widowControl/>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8.支持使用组合条件对图书馆读者信息查询，能够查看读者基本信息。读者查询条件支持动态配置，支持在读者证号、读者类型、院系、专业或学科、年级、读者姓名等项中选择常用选项用于数据筛选。</w:t>
            </w:r>
          </w:p>
          <w:p w14:paraId="02EAA126">
            <w:pPr>
              <w:widowControl/>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角色管理</w:t>
            </w:r>
          </w:p>
          <w:p w14:paraId="0BA94EF6">
            <w:pPr>
              <w:widowControl/>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1.支持单位根据自身需求增、删、改、查角色。</w:t>
            </w:r>
          </w:p>
          <w:p w14:paraId="1C7407C2">
            <w:pPr>
              <w:widowControl/>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2.每个角色支持单独管理角色对应的菜单访问权限与功能权限。</w:t>
            </w:r>
          </w:p>
          <w:p w14:paraId="61A24523">
            <w:pPr>
              <w:widowControl/>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3.一个用户支持多个角色。</w:t>
            </w:r>
          </w:p>
          <w:p w14:paraId="589EDE81">
            <w:pPr>
              <w:widowControl/>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4.提供多维度权限管理机制。</w:t>
            </w:r>
          </w:p>
          <w:p w14:paraId="7156555E">
            <w:pPr>
              <w:widowControl/>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组织架构</w:t>
            </w:r>
          </w:p>
          <w:p w14:paraId="313AD7DF">
            <w:pPr>
              <w:widowControl/>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1.支持针对不同场景，创建多套组织架构。</w:t>
            </w:r>
          </w:p>
          <w:p w14:paraId="2BAD7BB6">
            <w:pPr>
              <w:widowControl/>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2.支持通过手动单个添加和批量导入的方式建设组织架构，组织架构支持多级架构。</w:t>
            </w:r>
          </w:p>
          <w:p w14:paraId="551AF12D">
            <w:pPr>
              <w:widowControl/>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3.每个组织架构部门支持自定义部门名称、增删改部门下成员。</w:t>
            </w:r>
          </w:p>
          <w:p w14:paraId="2BC163AF">
            <w:pPr>
              <w:spacing w:line="360" w:lineRule="auto"/>
              <w:jc w:val="center"/>
              <w:rPr>
                <w:rFonts w:ascii="宋体" w:hAnsi="宋体" w:eastAsia="宋体" w:cs="Times New Roman"/>
                <w:b/>
                <w:bCs/>
                <w:kern w:val="0"/>
                <w:sz w:val="20"/>
                <w:szCs w:val="20"/>
              </w:rPr>
            </w:pPr>
            <w:r>
              <w:rPr>
                <w:rFonts w:hint="eastAsia" w:ascii="宋体" w:hAnsi="宋体" w:eastAsia="宋体" w:cs="Times New Roman"/>
                <w:kern w:val="0"/>
                <w:sz w:val="18"/>
                <w:szCs w:val="18"/>
              </w:rPr>
              <w:t>4.支持按部门查看和管理组织成员，支持批量变动用户组织。</w:t>
            </w:r>
          </w:p>
        </w:tc>
      </w:tr>
      <w:tr w14:paraId="176D7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vAlign w:val="center"/>
          </w:tcPr>
          <w:p w14:paraId="17E8834B">
            <w:pPr>
              <w:spacing w:line="360" w:lineRule="auto"/>
              <w:jc w:val="center"/>
              <w:rPr>
                <w:rFonts w:ascii="宋体" w:hAnsi="宋体" w:eastAsia="宋体" w:cs="Times New Roman"/>
                <w:kern w:val="0"/>
                <w:sz w:val="20"/>
                <w:szCs w:val="20"/>
              </w:rPr>
            </w:pPr>
            <w:r>
              <w:rPr>
                <w:rFonts w:hint="eastAsia" w:ascii="宋体" w:hAnsi="宋体" w:eastAsia="宋体" w:cs="Times New Roman"/>
                <w:kern w:val="0"/>
                <w:sz w:val="20"/>
                <w:szCs w:val="20"/>
              </w:rPr>
              <w:t>7</w:t>
            </w:r>
          </w:p>
        </w:tc>
        <w:tc>
          <w:tcPr>
            <w:tcW w:w="619" w:type="pct"/>
            <w:vAlign w:val="center"/>
          </w:tcPr>
          <w:p w14:paraId="37EA7328">
            <w:pPr>
              <w:spacing w:line="360" w:lineRule="auto"/>
              <w:jc w:val="center"/>
              <w:rPr>
                <w:rFonts w:ascii="宋体" w:hAnsi="宋体" w:eastAsia="宋体" w:cs="Times New Roman"/>
                <w:b/>
                <w:bCs/>
                <w:kern w:val="0"/>
                <w:sz w:val="20"/>
                <w:szCs w:val="20"/>
              </w:rPr>
            </w:pPr>
            <w:r>
              <w:rPr>
                <w:rFonts w:hint="eastAsia" w:ascii="宋体" w:hAnsi="宋体" w:eastAsia="宋体" w:cs="Times New Roman"/>
                <w:kern w:val="0"/>
                <w:sz w:val="18"/>
                <w:szCs w:val="18"/>
              </w:rPr>
              <w:t>应用管理</w:t>
            </w:r>
          </w:p>
        </w:tc>
        <w:tc>
          <w:tcPr>
            <w:tcW w:w="3856" w:type="pct"/>
            <w:vAlign w:val="center"/>
          </w:tcPr>
          <w:p w14:paraId="1F784FAD">
            <w:pPr>
              <w:spacing w:line="360" w:lineRule="auto"/>
              <w:jc w:val="left"/>
              <w:rPr>
                <w:rFonts w:ascii="宋体" w:hAnsi="宋体" w:eastAsia="宋体" w:cs="宋体"/>
                <w:kern w:val="0"/>
                <w:sz w:val="18"/>
                <w:szCs w:val="18"/>
              </w:rPr>
            </w:pPr>
            <w:r>
              <w:rPr>
                <w:rFonts w:hint="eastAsia" w:ascii="宋体" w:hAnsi="宋体" w:eastAsia="宋体" w:cs="宋体"/>
                <w:kern w:val="0"/>
                <w:sz w:val="18"/>
                <w:szCs w:val="18"/>
              </w:rPr>
              <w:t>1.后台功能支持管理所有的应用，可按照分类方式管理应用，支持应用检索。</w:t>
            </w:r>
          </w:p>
          <w:p w14:paraId="7AF6B60F">
            <w:pPr>
              <w:spacing w:line="360" w:lineRule="auto"/>
              <w:jc w:val="left"/>
              <w:rPr>
                <w:rFonts w:ascii="宋体" w:hAnsi="宋体" w:eastAsia="宋体" w:cs="宋体"/>
                <w:kern w:val="0"/>
                <w:sz w:val="18"/>
                <w:szCs w:val="18"/>
              </w:rPr>
            </w:pPr>
            <w:r>
              <w:rPr>
                <w:rFonts w:hint="eastAsia" w:ascii="宋体" w:hAnsi="宋体" w:eastAsia="宋体" w:cs="宋体"/>
                <w:kern w:val="0"/>
                <w:sz w:val="18"/>
                <w:szCs w:val="18"/>
              </w:rPr>
              <w:t>2.支持第三方应用注册，支持图书馆已购的第三方应用，通过应用中心向用户服务；注册时应支持管理应用名称、应用类型、开发者信息、开发者联系方式、读者授权（哪些读者可以使用）等信息。</w:t>
            </w:r>
          </w:p>
          <w:p w14:paraId="00548301">
            <w:pPr>
              <w:spacing w:line="360" w:lineRule="auto"/>
              <w:jc w:val="left"/>
              <w:rPr>
                <w:rFonts w:ascii="宋体" w:hAnsi="宋体" w:eastAsia="宋体" w:cs="宋体"/>
                <w:kern w:val="0"/>
                <w:sz w:val="18"/>
                <w:szCs w:val="18"/>
              </w:rPr>
            </w:pPr>
            <w:r>
              <w:rPr>
                <w:rFonts w:hint="eastAsia" w:ascii="宋体" w:hAnsi="宋体" w:eastAsia="宋体" w:cs="宋体"/>
                <w:kern w:val="0"/>
                <w:sz w:val="18"/>
                <w:szCs w:val="18"/>
              </w:rPr>
              <w:t>3.▲支持</w:t>
            </w:r>
            <w:r>
              <w:rPr>
                <w:rFonts w:ascii="宋体" w:hAnsi="宋体" w:eastAsia="宋体" w:cs="宋体"/>
                <w:kern w:val="0"/>
                <w:sz w:val="18"/>
                <w:szCs w:val="18"/>
              </w:rPr>
              <w:t>图书馆自主配置应用分类、支持按应用配角色以及按角色配应用，支持设置前后端使用权限，最终实现不同用户的不同使用界面和使用权限。平台提供不少于50个微应用供图书馆选择，包括</w:t>
            </w:r>
            <w:r>
              <w:rPr>
                <w:rFonts w:hint="eastAsia" w:ascii="宋体" w:hAnsi="宋体" w:eastAsia="宋体" w:cs="宋体"/>
                <w:kern w:val="0"/>
                <w:sz w:val="18"/>
                <w:szCs w:val="18"/>
              </w:rPr>
              <w:t>但不限于</w:t>
            </w:r>
            <w:r>
              <w:rPr>
                <w:rFonts w:ascii="宋体" w:hAnsi="宋体" w:eastAsia="宋体" w:cs="宋体"/>
                <w:kern w:val="0"/>
                <w:sz w:val="18"/>
                <w:szCs w:val="18"/>
              </w:rPr>
              <w:t>打卡活动、</w:t>
            </w:r>
            <w:r>
              <w:rPr>
                <w:rFonts w:hint="eastAsia" w:ascii="宋体" w:hAnsi="宋体" w:eastAsia="宋体" w:cs="宋体"/>
                <w:kern w:val="0"/>
                <w:sz w:val="18"/>
                <w:szCs w:val="18"/>
              </w:rPr>
              <w:t>图书</w:t>
            </w:r>
            <w:r>
              <w:rPr>
                <w:rFonts w:ascii="宋体" w:hAnsi="宋体" w:eastAsia="宋体" w:cs="宋体"/>
                <w:kern w:val="0"/>
                <w:sz w:val="18"/>
                <w:szCs w:val="18"/>
              </w:rPr>
              <w:t>推荐、问卷调查、</w:t>
            </w:r>
            <w:r>
              <w:rPr>
                <w:rFonts w:hint="eastAsia" w:ascii="宋体" w:hAnsi="宋体" w:eastAsia="宋体" w:cs="宋体"/>
                <w:kern w:val="0"/>
                <w:sz w:val="18"/>
                <w:szCs w:val="18"/>
              </w:rPr>
              <w:t>请假销假</w:t>
            </w:r>
            <w:r>
              <w:rPr>
                <w:rFonts w:ascii="宋体" w:hAnsi="宋体" w:eastAsia="宋体" w:cs="宋体"/>
                <w:kern w:val="0"/>
                <w:sz w:val="18"/>
                <w:szCs w:val="18"/>
              </w:rPr>
              <w:t>等应用。相关微应用可以同步支持移动端的使用和展示</w:t>
            </w:r>
            <w:r>
              <w:rPr>
                <w:rFonts w:hint="eastAsia" w:ascii="宋体" w:hAnsi="宋体" w:eastAsia="宋体" w:cs="宋体"/>
                <w:kern w:val="0"/>
                <w:sz w:val="18"/>
                <w:szCs w:val="18"/>
              </w:rPr>
              <w:t>。（提供截图证明）</w:t>
            </w:r>
          </w:p>
          <w:p w14:paraId="7922A280">
            <w:pPr>
              <w:spacing w:line="360" w:lineRule="auto"/>
              <w:jc w:val="left"/>
              <w:rPr>
                <w:rFonts w:ascii="宋体" w:hAnsi="宋体" w:eastAsia="宋体" w:cs="宋体"/>
                <w:kern w:val="0"/>
                <w:sz w:val="18"/>
                <w:szCs w:val="18"/>
              </w:rPr>
            </w:pPr>
            <w:r>
              <w:rPr>
                <w:rFonts w:hint="eastAsia" w:ascii="宋体" w:hAnsi="宋体" w:eastAsia="宋体" w:cs="宋体"/>
                <w:kern w:val="0"/>
                <w:sz w:val="18"/>
                <w:szCs w:val="18"/>
              </w:rPr>
              <w:t>4.支持应用导航栏目管理，可以通过栏目设置区分不同场景下显示的应用内容。对应用及分类的调整，实时同步到移动端和pc端个人空间。</w:t>
            </w:r>
          </w:p>
          <w:p w14:paraId="6572B348">
            <w:pPr>
              <w:spacing w:line="360" w:lineRule="auto"/>
              <w:jc w:val="left"/>
              <w:rPr>
                <w:rFonts w:ascii="宋体" w:hAnsi="宋体" w:eastAsia="宋体" w:cs="宋体"/>
                <w:kern w:val="0"/>
                <w:sz w:val="18"/>
                <w:szCs w:val="18"/>
              </w:rPr>
            </w:pPr>
            <w:r>
              <w:rPr>
                <w:rFonts w:hint="eastAsia" w:ascii="宋体" w:hAnsi="宋体" w:eastAsia="宋体" w:cs="宋体"/>
                <w:kern w:val="0"/>
                <w:sz w:val="18"/>
                <w:szCs w:val="18"/>
              </w:rPr>
              <w:t>5.在平台管理后台，支持一站自动登录各个应用后台。</w:t>
            </w:r>
          </w:p>
          <w:p w14:paraId="3BFE9CDB">
            <w:pPr>
              <w:spacing w:line="360" w:lineRule="auto"/>
              <w:jc w:val="left"/>
              <w:rPr>
                <w:rFonts w:ascii="宋体" w:hAnsi="宋体" w:eastAsia="宋体" w:cs="宋体"/>
                <w:kern w:val="0"/>
                <w:sz w:val="18"/>
                <w:szCs w:val="18"/>
              </w:rPr>
            </w:pPr>
            <w:r>
              <w:rPr>
                <w:rFonts w:hint="eastAsia" w:ascii="宋体" w:hAnsi="宋体" w:eastAsia="宋体" w:cs="宋体"/>
                <w:kern w:val="0"/>
                <w:sz w:val="18"/>
                <w:szCs w:val="18"/>
              </w:rPr>
              <w:t>6.支持针对不同角色指定不同应用使用、管理权限。</w:t>
            </w:r>
          </w:p>
          <w:p w14:paraId="5B7B6604">
            <w:pPr>
              <w:spacing w:line="360" w:lineRule="auto"/>
              <w:jc w:val="left"/>
              <w:rPr>
                <w:rFonts w:ascii="宋体" w:hAnsi="宋体" w:eastAsia="宋体" w:cs="宋体"/>
                <w:kern w:val="0"/>
                <w:sz w:val="18"/>
                <w:szCs w:val="18"/>
              </w:rPr>
            </w:pPr>
            <w:r>
              <w:rPr>
                <w:rFonts w:hint="eastAsia" w:ascii="宋体" w:hAnsi="宋体" w:eastAsia="宋体" w:cs="宋体"/>
                <w:kern w:val="0"/>
                <w:sz w:val="18"/>
                <w:szCs w:val="18"/>
              </w:rPr>
              <w:t>7.支持为应用设置分类，方便后台人员查找管理。</w:t>
            </w:r>
          </w:p>
          <w:p w14:paraId="0E64C185">
            <w:pPr>
              <w:spacing w:line="360" w:lineRule="auto"/>
              <w:jc w:val="left"/>
              <w:rPr>
                <w:rFonts w:ascii="宋体" w:hAnsi="宋体" w:eastAsia="宋体" w:cs="宋体"/>
                <w:kern w:val="0"/>
                <w:sz w:val="18"/>
                <w:szCs w:val="18"/>
              </w:rPr>
            </w:pPr>
            <w:r>
              <w:rPr>
                <w:rFonts w:hint="eastAsia" w:ascii="宋体" w:hAnsi="宋体" w:eastAsia="宋体" w:cs="宋体"/>
                <w:kern w:val="0"/>
                <w:sz w:val="18"/>
                <w:szCs w:val="18"/>
              </w:rPr>
              <w:t>8.系统需提供第三方应用对接接口，支持第三方应用进行接入。</w:t>
            </w:r>
          </w:p>
          <w:p w14:paraId="24638791">
            <w:pPr>
              <w:spacing w:line="360" w:lineRule="auto"/>
              <w:jc w:val="left"/>
              <w:rPr>
                <w:rFonts w:ascii="宋体" w:hAnsi="宋体" w:eastAsia="宋体" w:cs="Times New Roman"/>
                <w:kern w:val="0"/>
                <w:sz w:val="18"/>
                <w:szCs w:val="18"/>
              </w:rPr>
            </w:pPr>
            <w:r>
              <w:rPr>
                <w:rFonts w:hint="eastAsia" w:ascii="宋体" w:hAnsi="宋体" w:eastAsia="宋体" w:cs="宋体"/>
                <w:kern w:val="0"/>
                <w:sz w:val="18"/>
                <w:szCs w:val="18"/>
              </w:rPr>
              <w:t>9.▲平台需提供多种应用引擎，支持制作单位个性化应用。引擎包括但不限于表单、审批、预约、信息查询、图表、网页模块、网页、资讯采集、应用包、知识挑战、共读、资源等类型。通过引擎创建的微应用需支持移动端使用，读者和馆员支持通过移动端使用表单、审批、预约等微应用及管理。（提供截图证明、</w:t>
            </w:r>
            <w:r>
              <w:rPr>
                <w:rFonts w:hint="eastAsia" w:ascii="宋体" w:hAnsi="宋体" w:eastAsia="宋体" w:cs="Times New Roman"/>
                <w:kern w:val="0"/>
                <w:sz w:val="18"/>
                <w:szCs w:val="18"/>
              </w:rPr>
              <w:t>提供空间预约引擎、流程设计引擎、图表设计引擎软件著作权证书）。</w:t>
            </w:r>
          </w:p>
          <w:p w14:paraId="19040806">
            <w:pPr>
              <w:spacing w:line="360" w:lineRule="auto"/>
              <w:jc w:val="left"/>
              <w:rPr>
                <w:rFonts w:ascii="宋体" w:hAnsi="宋体" w:eastAsia="宋体" w:cs="Times New Roman"/>
                <w:kern w:val="0"/>
                <w:sz w:val="18"/>
                <w:szCs w:val="18"/>
              </w:rPr>
            </w:pPr>
            <w:r>
              <w:rPr>
                <w:rFonts w:hint="eastAsia" w:ascii="宋体" w:hAnsi="宋体" w:eastAsia="宋体" w:cs="宋体"/>
                <w:kern w:val="0"/>
                <w:sz w:val="18"/>
                <w:szCs w:val="18"/>
              </w:rPr>
              <w:t>10.支持通过URL的方式添加自建应用。支持自定义应用的名称、图标、应用详情、应用截图、应用的适配终端与终端访问地址。</w:t>
            </w:r>
          </w:p>
          <w:p w14:paraId="2BBAA52C">
            <w:pPr>
              <w:spacing w:line="360" w:lineRule="auto"/>
              <w:rPr>
                <w:rFonts w:ascii="宋体" w:hAnsi="宋体" w:eastAsia="宋体" w:cs="宋体"/>
                <w:b/>
                <w:bCs/>
                <w:kern w:val="0"/>
                <w:sz w:val="18"/>
                <w:szCs w:val="18"/>
              </w:rPr>
            </w:pPr>
            <w:r>
              <w:rPr>
                <w:rFonts w:hint="eastAsia" w:ascii="宋体" w:hAnsi="宋体" w:eastAsia="宋体" w:cs="宋体"/>
                <w:b/>
                <w:bCs/>
                <w:kern w:val="0"/>
                <w:sz w:val="18"/>
                <w:szCs w:val="18"/>
              </w:rPr>
              <w:t>OA办公类微应用</w:t>
            </w:r>
          </w:p>
          <w:p w14:paraId="5042825C">
            <w:pPr>
              <w:spacing w:line="360" w:lineRule="auto"/>
              <w:rPr>
                <w:rFonts w:ascii="宋体" w:hAnsi="宋体" w:eastAsia="宋体" w:cs="宋体"/>
                <w:b/>
                <w:bCs/>
                <w:kern w:val="0"/>
                <w:sz w:val="18"/>
                <w:szCs w:val="18"/>
              </w:rPr>
            </w:pPr>
            <w:r>
              <w:rPr>
                <w:rFonts w:hint="eastAsia" w:ascii="宋体" w:hAnsi="宋体" w:eastAsia="宋体" w:cs="宋体"/>
                <w:kern w:val="0"/>
                <w:sz w:val="18"/>
                <w:szCs w:val="18"/>
              </w:rPr>
              <w:t>1.自动化办公：支持网上文件流转、审批、通知发布和审阅，考勤打卡，系统自动排班和调班，支持部门工作任务分配和完成进度查看。</w:t>
            </w:r>
          </w:p>
          <w:p w14:paraId="27F8C472">
            <w:pPr>
              <w:spacing w:line="360" w:lineRule="auto"/>
              <w:jc w:val="left"/>
              <w:rPr>
                <w:rFonts w:ascii="宋体" w:hAnsi="宋体" w:eastAsia="宋体" w:cs="宋体"/>
                <w:kern w:val="0"/>
                <w:sz w:val="18"/>
                <w:szCs w:val="18"/>
              </w:rPr>
            </w:pPr>
            <w:r>
              <w:rPr>
                <w:rFonts w:hint="eastAsia" w:ascii="宋体" w:hAnsi="宋体" w:eastAsia="宋体" w:cs="宋体"/>
                <w:kern w:val="0"/>
                <w:sz w:val="18"/>
                <w:szCs w:val="18"/>
              </w:rPr>
              <w:t>2.支持通讯录，站内信函，通知，通用审批，wifi打卡等。</w:t>
            </w:r>
          </w:p>
          <w:p w14:paraId="7083A443">
            <w:pPr>
              <w:spacing w:line="360" w:lineRule="auto"/>
              <w:jc w:val="left"/>
              <w:rPr>
                <w:rFonts w:ascii="宋体" w:hAnsi="宋体" w:eastAsia="宋体" w:cs="宋体"/>
                <w:b/>
                <w:bCs/>
                <w:kern w:val="0"/>
                <w:sz w:val="18"/>
                <w:szCs w:val="18"/>
              </w:rPr>
            </w:pPr>
            <w:r>
              <w:rPr>
                <w:rFonts w:hint="eastAsia" w:ascii="宋体" w:hAnsi="宋体" w:eastAsia="宋体" w:cs="宋体"/>
                <w:b/>
                <w:bCs/>
                <w:kern w:val="0"/>
                <w:sz w:val="18"/>
                <w:szCs w:val="18"/>
              </w:rPr>
              <w:t>活动管理</w:t>
            </w:r>
          </w:p>
          <w:p w14:paraId="2BA563BD">
            <w:pPr>
              <w:spacing w:line="360" w:lineRule="auto"/>
              <w:rPr>
                <w:rFonts w:ascii="宋体" w:hAnsi="宋体" w:eastAsia="宋体" w:cs="Times New Roman"/>
                <w:kern w:val="0"/>
                <w:sz w:val="18"/>
                <w:szCs w:val="18"/>
              </w:rPr>
            </w:pPr>
            <w:r>
              <w:rPr>
                <w:rFonts w:hint="eastAsia" w:ascii="宋体" w:hAnsi="宋体" w:eastAsia="宋体" w:cs="Times New Roman"/>
                <w:kern w:val="0"/>
                <w:sz w:val="18"/>
                <w:szCs w:val="18"/>
              </w:rPr>
              <w:t>1.▲支持创建活动，包括设置banner图、标题、时间、地点、类型、主办方、介绍、是否显示报名人数、是否限制报名人数、是否显示报名名单、报名日期限制、报名表单设置、报名审批设置、作品设置、是否开放评论区等活动信息的编辑、支持生成活动二维码。</w:t>
            </w:r>
            <w:r>
              <w:rPr>
                <w:rFonts w:hint="eastAsia" w:ascii="宋体" w:hAnsi="宋体" w:eastAsia="宋体" w:cs="宋体"/>
                <w:kern w:val="0"/>
                <w:sz w:val="18"/>
                <w:szCs w:val="18"/>
              </w:rPr>
              <w:t>（提供截图证明）</w:t>
            </w:r>
          </w:p>
          <w:p w14:paraId="51809A24">
            <w:pPr>
              <w:spacing w:line="360" w:lineRule="auto"/>
              <w:rPr>
                <w:rFonts w:ascii="宋体" w:hAnsi="宋体" w:eastAsia="宋体" w:cs="宋体"/>
                <w:kern w:val="0"/>
                <w:sz w:val="18"/>
                <w:szCs w:val="18"/>
              </w:rPr>
            </w:pPr>
            <w:r>
              <w:rPr>
                <w:rFonts w:hint="eastAsia" w:ascii="宋体" w:hAnsi="宋体" w:eastAsia="宋体" w:cs="宋体"/>
                <w:kern w:val="0"/>
                <w:sz w:val="18"/>
                <w:szCs w:val="18"/>
              </w:rPr>
              <w:t>2.▲支持单一活动的管理，包括发活动通知、发签到、报名名单、签到统计、数据导出、活动编辑、活动集锦管理、活动发布审核、下架活动等。（提供截图证明）</w:t>
            </w:r>
          </w:p>
          <w:p w14:paraId="268B4AA9">
            <w:pPr>
              <w:spacing w:line="360" w:lineRule="auto"/>
              <w:rPr>
                <w:rFonts w:ascii="宋体" w:hAnsi="宋体" w:eastAsia="宋体" w:cs="宋体"/>
                <w:kern w:val="0"/>
                <w:sz w:val="18"/>
                <w:szCs w:val="18"/>
              </w:rPr>
            </w:pPr>
            <w:r>
              <w:rPr>
                <w:rFonts w:hint="eastAsia" w:ascii="宋体" w:hAnsi="宋体" w:eastAsia="宋体" w:cs="宋体"/>
                <w:kern w:val="0"/>
                <w:sz w:val="18"/>
                <w:szCs w:val="18"/>
              </w:rPr>
              <w:t>3.支持展示活动详情信息，包括活动宣传图、名称、时间、地点、主办方、类型、活动状态、报名状态、浏览量、报名量、评论量、评分、集锦、作品展览等信息。</w:t>
            </w:r>
          </w:p>
          <w:p w14:paraId="12A77A2D">
            <w:pPr>
              <w:spacing w:line="360" w:lineRule="auto"/>
              <w:rPr>
                <w:rFonts w:ascii="宋体" w:hAnsi="宋体" w:eastAsia="宋体" w:cs="宋体"/>
                <w:kern w:val="0"/>
                <w:sz w:val="18"/>
                <w:szCs w:val="18"/>
              </w:rPr>
            </w:pPr>
            <w:r>
              <w:rPr>
                <w:rFonts w:hint="eastAsia" w:ascii="宋体" w:hAnsi="宋体" w:eastAsia="宋体" w:cs="宋体"/>
                <w:kern w:val="0"/>
                <w:sz w:val="18"/>
                <w:szCs w:val="18"/>
              </w:rPr>
              <w:t>4.支持收藏和转发活动，转发到微信好友、朋友圈、QQ等传播渠道，并提供活动查询和管理功能。</w:t>
            </w:r>
          </w:p>
          <w:p w14:paraId="476058E5">
            <w:pPr>
              <w:spacing w:line="360" w:lineRule="auto"/>
              <w:rPr>
                <w:rFonts w:ascii="宋体" w:hAnsi="宋体" w:eastAsia="宋体" w:cs="宋体"/>
                <w:kern w:val="0"/>
                <w:sz w:val="18"/>
                <w:szCs w:val="18"/>
              </w:rPr>
            </w:pPr>
            <w:r>
              <w:rPr>
                <w:rFonts w:hint="eastAsia" w:ascii="宋体" w:hAnsi="宋体" w:eastAsia="宋体" w:cs="宋体"/>
                <w:kern w:val="0"/>
                <w:sz w:val="18"/>
                <w:szCs w:val="18"/>
              </w:rPr>
              <w:t>5.支持通过移动端APP和PC端使用。</w:t>
            </w:r>
          </w:p>
          <w:p w14:paraId="1A61B3B7">
            <w:pPr>
              <w:spacing w:line="360" w:lineRule="auto"/>
              <w:rPr>
                <w:rFonts w:ascii="宋体" w:hAnsi="宋体" w:eastAsia="宋体" w:cs="宋体"/>
                <w:b/>
                <w:bCs/>
                <w:kern w:val="0"/>
                <w:sz w:val="18"/>
                <w:szCs w:val="18"/>
              </w:rPr>
            </w:pPr>
            <w:r>
              <w:rPr>
                <w:rFonts w:hint="eastAsia" w:ascii="宋体" w:hAnsi="宋体" w:eastAsia="宋体" w:cs="宋体"/>
                <w:b/>
                <w:bCs/>
                <w:kern w:val="0"/>
                <w:sz w:val="18"/>
                <w:szCs w:val="18"/>
              </w:rPr>
              <w:t>读者积分管理</w:t>
            </w:r>
          </w:p>
          <w:p w14:paraId="773C63F1">
            <w:pPr>
              <w:spacing w:line="360" w:lineRule="auto"/>
              <w:rPr>
                <w:rFonts w:ascii="宋体" w:hAnsi="宋体" w:eastAsia="宋体" w:cs="宋体"/>
                <w:kern w:val="0"/>
                <w:sz w:val="18"/>
                <w:szCs w:val="18"/>
              </w:rPr>
            </w:pPr>
            <w:r>
              <w:rPr>
                <w:rFonts w:hint="eastAsia" w:ascii="宋体" w:hAnsi="宋体" w:eastAsia="宋体" w:cs="宋体"/>
                <w:kern w:val="0"/>
                <w:sz w:val="18"/>
                <w:szCs w:val="18"/>
              </w:rPr>
              <w:t>1.支持提供读者积分服务，支持设置积分开通项目，支持设置每个积分项目的分值。支持管理人员自行设定读者积分的组成部分，以及积分项目和扣分项目。积分支持系统自动增加，也可手工增加，读者积分可用于抵扣罚款等项目。</w:t>
            </w:r>
          </w:p>
          <w:p w14:paraId="19B73857">
            <w:pPr>
              <w:spacing w:line="360" w:lineRule="auto"/>
              <w:rPr>
                <w:rFonts w:ascii="宋体" w:hAnsi="宋体" w:eastAsia="宋体" w:cs="宋体"/>
                <w:kern w:val="0"/>
                <w:sz w:val="18"/>
                <w:szCs w:val="18"/>
              </w:rPr>
            </w:pPr>
            <w:r>
              <w:rPr>
                <w:rFonts w:hint="eastAsia" w:ascii="宋体" w:hAnsi="宋体" w:eastAsia="宋体" w:cs="宋体"/>
                <w:kern w:val="0"/>
                <w:sz w:val="18"/>
                <w:szCs w:val="18"/>
              </w:rPr>
              <w:t>2.▲需提供用户积分应用，用户在使用图书馆服务的同时可以获取积分。包括借书、发布评论、登陆门户、进入图书馆、参加活动报名，做志愿者等，图书馆可以自定义设置积分项目和分值，并支持与图书管理系统、门禁、存包柜、空间预约、入馆教育等相关系统对接，系统会为用户自动发放或抵扣积分。（提供截图证明）</w:t>
            </w:r>
          </w:p>
          <w:p w14:paraId="3344FEDB">
            <w:pPr>
              <w:spacing w:line="360" w:lineRule="auto"/>
              <w:rPr>
                <w:rFonts w:ascii="宋体" w:hAnsi="宋体" w:eastAsia="宋体" w:cs="宋体"/>
                <w:kern w:val="0"/>
                <w:sz w:val="18"/>
                <w:szCs w:val="18"/>
              </w:rPr>
            </w:pPr>
            <w:r>
              <w:rPr>
                <w:rFonts w:hint="eastAsia" w:ascii="宋体" w:hAnsi="宋体" w:eastAsia="宋体" w:cs="宋体"/>
                <w:kern w:val="0"/>
                <w:sz w:val="18"/>
                <w:szCs w:val="18"/>
              </w:rPr>
              <w:t>3.▲支持用户在个人图书馆可以查看自己的积分统计信息及全校积分排名，支持查看积分的获取与兑换详细操作记录。（提供截图证明）</w:t>
            </w:r>
          </w:p>
          <w:p w14:paraId="6EC0DF38">
            <w:pPr>
              <w:spacing w:line="360" w:lineRule="auto"/>
              <w:rPr>
                <w:rFonts w:ascii="宋体" w:hAnsi="宋体" w:eastAsia="宋体" w:cs="宋体"/>
                <w:kern w:val="0"/>
                <w:sz w:val="18"/>
                <w:szCs w:val="18"/>
              </w:rPr>
            </w:pPr>
            <w:r>
              <w:rPr>
                <w:rFonts w:hint="eastAsia" w:ascii="宋体" w:hAnsi="宋体" w:eastAsia="宋体" w:cs="宋体"/>
                <w:kern w:val="0"/>
                <w:sz w:val="18"/>
                <w:szCs w:val="18"/>
              </w:rPr>
              <w:t>4.支持用户提交积分兑换申请，选择需要的奖品后，根据实际积分情况兑换。</w:t>
            </w:r>
          </w:p>
          <w:p w14:paraId="778225D2">
            <w:pPr>
              <w:spacing w:line="360" w:lineRule="auto"/>
              <w:rPr>
                <w:rFonts w:ascii="宋体" w:hAnsi="宋体" w:eastAsia="宋体" w:cs="宋体"/>
                <w:kern w:val="0"/>
                <w:sz w:val="18"/>
                <w:szCs w:val="18"/>
              </w:rPr>
            </w:pPr>
            <w:r>
              <w:rPr>
                <w:rFonts w:hint="eastAsia" w:ascii="宋体" w:hAnsi="宋体" w:eastAsia="宋体" w:cs="宋体"/>
                <w:kern w:val="0"/>
                <w:sz w:val="18"/>
                <w:szCs w:val="18"/>
              </w:rPr>
              <w:t>5.积分管理系统能够实现，积分小于0或图书馆设定的其他条件，一卡通停用，积分≥0或图书馆设定的其他条件，一卡通自动开启。</w:t>
            </w:r>
          </w:p>
          <w:p w14:paraId="0128D15E">
            <w:pPr>
              <w:spacing w:line="360" w:lineRule="auto"/>
              <w:rPr>
                <w:rFonts w:ascii="宋体" w:hAnsi="宋体" w:eastAsia="宋体" w:cs="宋体"/>
                <w:b/>
                <w:bCs/>
                <w:kern w:val="0"/>
                <w:sz w:val="18"/>
                <w:szCs w:val="18"/>
              </w:rPr>
            </w:pPr>
            <w:r>
              <w:rPr>
                <w:rFonts w:hint="eastAsia" w:ascii="宋体" w:hAnsi="宋体" w:eastAsia="宋体" w:cs="宋体"/>
                <w:b/>
                <w:bCs/>
                <w:kern w:val="0"/>
                <w:sz w:val="18"/>
                <w:szCs w:val="18"/>
              </w:rPr>
              <w:t>知识挑战</w:t>
            </w:r>
          </w:p>
          <w:p w14:paraId="616D0C7E">
            <w:pPr>
              <w:spacing w:line="360" w:lineRule="auto"/>
              <w:rPr>
                <w:rFonts w:ascii="宋体" w:hAnsi="宋体" w:eastAsia="宋体" w:cs="宋体"/>
                <w:kern w:val="0"/>
                <w:sz w:val="18"/>
                <w:szCs w:val="18"/>
              </w:rPr>
            </w:pPr>
            <w:r>
              <w:rPr>
                <w:rFonts w:hint="eastAsia" w:ascii="宋体" w:hAnsi="宋体" w:eastAsia="宋体" w:cs="宋体"/>
                <w:kern w:val="0"/>
                <w:sz w:val="18"/>
                <w:szCs w:val="18"/>
              </w:rPr>
              <w:t>1.▲支持通过有趣的常识问答获取积分，支持读者随时查看自己的积分排行；应用需提供多个可直接使用的题库，也可自己根据模版设置，适合院校进行知识竞赛的初选。（提供截图证明）</w:t>
            </w:r>
          </w:p>
          <w:p w14:paraId="69E06767">
            <w:pPr>
              <w:spacing w:line="360" w:lineRule="auto"/>
              <w:rPr>
                <w:rFonts w:ascii="宋体" w:hAnsi="宋体" w:eastAsia="宋体" w:cs="宋体"/>
                <w:b/>
                <w:bCs/>
                <w:kern w:val="0"/>
                <w:sz w:val="18"/>
                <w:szCs w:val="18"/>
              </w:rPr>
            </w:pPr>
            <w:r>
              <w:rPr>
                <w:rFonts w:hint="eastAsia" w:ascii="宋体" w:hAnsi="宋体" w:eastAsia="宋体" w:cs="宋体"/>
                <w:b/>
                <w:bCs/>
                <w:kern w:val="0"/>
                <w:sz w:val="18"/>
                <w:szCs w:val="18"/>
              </w:rPr>
              <w:t>智能推荐</w:t>
            </w:r>
          </w:p>
          <w:p w14:paraId="2270914B">
            <w:pPr>
              <w:spacing w:line="360" w:lineRule="auto"/>
              <w:rPr>
                <w:rFonts w:ascii="宋体" w:hAnsi="宋体" w:eastAsia="宋体" w:cs="宋体"/>
                <w:kern w:val="0"/>
                <w:sz w:val="18"/>
                <w:szCs w:val="18"/>
              </w:rPr>
            </w:pPr>
            <w:r>
              <w:rPr>
                <w:rFonts w:hint="eastAsia" w:ascii="宋体" w:hAnsi="宋体" w:eastAsia="宋体" w:cs="宋体"/>
                <w:kern w:val="0"/>
                <w:sz w:val="18"/>
                <w:szCs w:val="18"/>
              </w:rPr>
              <w:t>1.支持通过用户阅读行为数据分析，为读者推荐近期阅读书籍的作者相关著作，同时根据图书专题等资源名称的关键词匹配和资源分类标签匹配。</w:t>
            </w:r>
          </w:p>
          <w:p w14:paraId="6909F204">
            <w:pPr>
              <w:spacing w:line="360" w:lineRule="auto"/>
              <w:rPr>
                <w:rFonts w:ascii="宋体" w:hAnsi="宋体" w:eastAsia="宋体" w:cs="宋体"/>
                <w:kern w:val="0"/>
                <w:sz w:val="18"/>
                <w:szCs w:val="18"/>
              </w:rPr>
            </w:pPr>
            <w:r>
              <w:rPr>
                <w:rFonts w:hint="eastAsia" w:ascii="宋体" w:hAnsi="宋体" w:eastAsia="宋体" w:cs="宋体"/>
                <w:kern w:val="0"/>
                <w:sz w:val="18"/>
                <w:szCs w:val="18"/>
              </w:rPr>
              <w:t>2.支持基于用户画像分析的推荐方式，将相似用户身份群体的近期热门阅读资源推荐给用户。</w:t>
            </w:r>
          </w:p>
          <w:p w14:paraId="21A22434">
            <w:pPr>
              <w:spacing w:line="360" w:lineRule="auto"/>
              <w:rPr>
                <w:rFonts w:ascii="宋体" w:hAnsi="宋体" w:eastAsia="宋体" w:cs="宋体"/>
                <w:kern w:val="0"/>
                <w:sz w:val="18"/>
                <w:szCs w:val="18"/>
              </w:rPr>
            </w:pPr>
            <w:r>
              <w:rPr>
                <w:rFonts w:hint="eastAsia" w:ascii="宋体" w:hAnsi="宋体" w:eastAsia="宋体" w:cs="宋体"/>
                <w:kern w:val="0"/>
                <w:sz w:val="18"/>
                <w:szCs w:val="18"/>
              </w:rPr>
              <w:t>阅读报告/毕业生报告</w:t>
            </w:r>
          </w:p>
          <w:p w14:paraId="56E737E7">
            <w:pPr>
              <w:spacing w:line="360" w:lineRule="auto"/>
              <w:rPr>
                <w:rFonts w:ascii="宋体" w:hAnsi="宋体" w:eastAsia="宋体" w:cs="宋体"/>
                <w:kern w:val="0"/>
                <w:sz w:val="18"/>
                <w:szCs w:val="18"/>
              </w:rPr>
            </w:pPr>
            <w:r>
              <w:rPr>
                <w:rFonts w:hint="eastAsia" w:ascii="宋体" w:hAnsi="宋体" w:eastAsia="宋体" w:cs="宋体"/>
                <w:kern w:val="0"/>
                <w:sz w:val="18"/>
                <w:szCs w:val="18"/>
              </w:rPr>
              <w:t>支持根据读者阅读数据、进出馆数据等生成阅读报告。包括但不限于阅读清单及其他行为记录。</w:t>
            </w:r>
          </w:p>
          <w:p w14:paraId="47E33BBD">
            <w:pPr>
              <w:spacing w:line="360" w:lineRule="auto"/>
              <w:rPr>
                <w:rFonts w:ascii="宋体" w:hAnsi="宋体" w:eastAsia="宋体" w:cs="宋体"/>
                <w:b/>
                <w:bCs/>
                <w:kern w:val="0"/>
                <w:sz w:val="18"/>
                <w:szCs w:val="18"/>
              </w:rPr>
            </w:pPr>
            <w:r>
              <w:rPr>
                <w:rFonts w:hint="eastAsia" w:ascii="宋体" w:hAnsi="宋体" w:eastAsia="宋体" w:cs="宋体"/>
                <w:b/>
                <w:bCs/>
                <w:kern w:val="0"/>
                <w:sz w:val="18"/>
                <w:szCs w:val="18"/>
              </w:rPr>
              <w:t>阅读积分</w:t>
            </w:r>
          </w:p>
          <w:p w14:paraId="32133800">
            <w:pPr>
              <w:spacing w:line="360" w:lineRule="auto"/>
              <w:rPr>
                <w:rFonts w:ascii="宋体" w:hAnsi="宋体" w:eastAsia="宋体" w:cs="宋体"/>
                <w:kern w:val="0"/>
                <w:sz w:val="18"/>
                <w:szCs w:val="18"/>
              </w:rPr>
            </w:pPr>
            <w:r>
              <w:rPr>
                <w:rFonts w:hint="eastAsia" w:ascii="宋体" w:hAnsi="宋体" w:eastAsia="宋体" w:cs="宋体"/>
                <w:kern w:val="0"/>
                <w:sz w:val="18"/>
                <w:szCs w:val="18"/>
              </w:rPr>
              <w:t>1.需提供阅读积分资源内容，书籍数量不少于200本，名师导读视频资源不少于50集，测试题目不少于400条，包含但不限于国学经典、中国文学、世界文学、人类思想、历史文明、艺术审美、科学技术、经济社会等资源目录体系。</w:t>
            </w:r>
          </w:p>
          <w:p w14:paraId="462AAFBE">
            <w:pPr>
              <w:spacing w:line="360" w:lineRule="auto"/>
              <w:rPr>
                <w:rFonts w:ascii="宋体" w:hAnsi="宋体" w:eastAsia="宋体" w:cs="宋体"/>
                <w:kern w:val="0"/>
                <w:sz w:val="18"/>
                <w:szCs w:val="18"/>
              </w:rPr>
            </w:pPr>
            <w:r>
              <w:rPr>
                <w:rFonts w:hint="eastAsia" w:ascii="宋体" w:hAnsi="宋体" w:eastAsia="宋体" w:cs="宋体"/>
                <w:kern w:val="0"/>
                <w:sz w:val="18"/>
                <w:szCs w:val="18"/>
              </w:rPr>
              <w:t>2.▲支持根据单位自行设置积分规则和达标积分数，支持对总积分、观看视频、阅读、答题的积分下限设置，支持获得每日积分的上限设置。支持对登录、视频观看、阅读、答题讨论、笔记等考核维度和积分规则设置。（提供截图证明）</w:t>
            </w:r>
          </w:p>
          <w:p w14:paraId="46F99D4E">
            <w:pPr>
              <w:spacing w:line="360" w:lineRule="auto"/>
              <w:rPr>
                <w:rFonts w:ascii="宋体" w:hAnsi="宋体" w:eastAsia="宋体" w:cs="宋体"/>
                <w:kern w:val="0"/>
                <w:sz w:val="18"/>
                <w:szCs w:val="18"/>
              </w:rPr>
            </w:pPr>
            <w:r>
              <w:rPr>
                <w:rFonts w:hint="eastAsia" w:ascii="宋体" w:hAnsi="宋体" w:eastAsia="宋体" w:cs="宋体"/>
                <w:kern w:val="0"/>
                <w:sz w:val="18"/>
                <w:szCs w:val="18"/>
              </w:rPr>
              <w:t>3.支持根据学生的使用和学习行为，按照预设的积分规则，进行积分换算，统计记录学生的学习轨迹。支持学生信息数据与学习积分的统一导出。</w:t>
            </w:r>
          </w:p>
          <w:p w14:paraId="6C28FE0B">
            <w:pPr>
              <w:spacing w:line="360" w:lineRule="auto"/>
              <w:jc w:val="center"/>
              <w:rPr>
                <w:rFonts w:ascii="宋体" w:hAnsi="宋体" w:eastAsia="宋体" w:cs="Times New Roman"/>
                <w:b/>
                <w:bCs/>
                <w:kern w:val="0"/>
                <w:sz w:val="20"/>
                <w:szCs w:val="20"/>
              </w:rPr>
            </w:pPr>
            <w:r>
              <w:rPr>
                <w:rFonts w:hint="eastAsia" w:ascii="宋体" w:hAnsi="宋体" w:eastAsia="宋体" w:cs="宋体"/>
                <w:kern w:val="0"/>
                <w:sz w:val="18"/>
                <w:szCs w:val="18"/>
              </w:rPr>
              <w:t>4.支持进度记忆，视频支持防拖拽，支持当前活动窗口探测，防止观看视频或电子书阅读时进行其他活动。系统支持视频取消防拖拽功能；支持长时间无活动自动停止播放，电子书阅读无翻页不记录阅读时长。</w:t>
            </w:r>
          </w:p>
        </w:tc>
      </w:tr>
      <w:tr w14:paraId="5D63C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vAlign w:val="center"/>
          </w:tcPr>
          <w:p w14:paraId="51077235">
            <w:pPr>
              <w:spacing w:line="360" w:lineRule="auto"/>
              <w:jc w:val="center"/>
              <w:rPr>
                <w:rFonts w:ascii="宋体" w:hAnsi="宋体" w:eastAsia="宋体" w:cs="Times New Roman"/>
                <w:kern w:val="0"/>
                <w:sz w:val="20"/>
                <w:szCs w:val="20"/>
              </w:rPr>
            </w:pPr>
            <w:r>
              <w:rPr>
                <w:rFonts w:hint="eastAsia" w:ascii="宋体" w:hAnsi="宋体" w:eastAsia="宋体" w:cs="Times New Roman"/>
                <w:kern w:val="0"/>
                <w:sz w:val="20"/>
                <w:szCs w:val="20"/>
              </w:rPr>
              <w:t>8</w:t>
            </w:r>
          </w:p>
        </w:tc>
        <w:tc>
          <w:tcPr>
            <w:tcW w:w="619" w:type="pct"/>
            <w:vAlign w:val="center"/>
          </w:tcPr>
          <w:p w14:paraId="18628CAF">
            <w:pPr>
              <w:spacing w:line="360" w:lineRule="auto"/>
              <w:jc w:val="center"/>
              <w:rPr>
                <w:rFonts w:ascii="宋体" w:hAnsi="宋体" w:eastAsia="宋体" w:cs="Times New Roman"/>
                <w:b/>
                <w:bCs/>
                <w:kern w:val="0"/>
                <w:sz w:val="20"/>
                <w:szCs w:val="20"/>
              </w:rPr>
            </w:pPr>
            <w:r>
              <w:rPr>
                <w:rFonts w:hint="eastAsia" w:ascii="宋体" w:hAnsi="宋体" w:eastAsia="宋体" w:cs="Times New Roman"/>
                <w:kern w:val="0"/>
                <w:sz w:val="18"/>
                <w:szCs w:val="18"/>
              </w:rPr>
              <w:t>终端管理</w:t>
            </w:r>
          </w:p>
        </w:tc>
        <w:tc>
          <w:tcPr>
            <w:tcW w:w="3856" w:type="pct"/>
            <w:vAlign w:val="center"/>
          </w:tcPr>
          <w:p w14:paraId="069A8F23">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终端管理</w:t>
            </w:r>
          </w:p>
          <w:p w14:paraId="578E7E24">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平台须提供全终端一体化的界面创建与管理系统，支持依托平台内置的应用市场和可视化页面创建设置功能，支持通过应用添加与拖拽自主搭建包含门户、App客户端、微信应用、微信小程序、大屏展示系统等数字展示终端的应用发布，形成互联互通有机融合的智慧服务与管理体系。</w:t>
            </w:r>
            <w:r>
              <w:rPr>
                <w:rFonts w:hint="eastAsia" w:ascii="宋体" w:hAnsi="宋体" w:eastAsia="宋体" w:cs="宋体"/>
                <w:kern w:val="0"/>
                <w:sz w:val="18"/>
                <w:szCs w:val="18"/>
              </w:rPr>
              <w:t>（提供截图证明）</w:t>
            </w:r>
          </w:p>
          <w:p w14:paraId="44520F96">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个人空间管理</w:t>
            </w:r>
            <w:r>
              <w:rPr>
                <w:rFonts w:hint="eastAsia" w:ascii="宋体" w:hAnsi="宋体" w:eastAsia="宋体" w:cs="Times New Roman"/>
                <w:kern w:val="0"/>
                <w:sz w:val="18"/>
                <w:szCs w:val="18"/>
              </w:rPr>
              <w:tab/>
            </w:r>
          </w:p>
          <w:p w14:paraId="4251E756">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1.支持按角色给不同用户配置不同的个人空间页面。</w:t>
            </w:r>
          </w:p>
          <w:p w14:paraId="56694A97">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2.支持配置空间样式，空间样式可选择模版或者根据需求自定义样式。</w:t>
            </w:r>
          </w:p>
          <w:p w14:paraId="76F41ECB">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3.支持自定义个人空间菜单。平台需提供多个系统菜单，支持根据需要选择显示或隐藏。支持管理员新建菜单，配置名称、图标、打开方式。自建的菜单内容支持添加单个应用页面、多应用入口、挂接URL和自定义网页（门户）。</w:t>
            </w:r>
          </w:p>
          <w:p w14:paraId="4787FD60">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4.添加的多应用菜单，支持根据不同角色权限展示应用。</w:t>
            </w:r>
          </w:p>
          <w:p w14:paraId="2DBFC99D">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移动端管理</w:t>
            </w:r>
            <w:r>
              <w:rPr>
                <w:rFonts w:hint="eastAsia" w:ascii="宋体" w:hAnsi="宋体" w:eastAsia="宋体" w:cs="Times New Roman"/>
                <w:kern w:val="0"/>
                <w:sz w:val="18"/>
                <w:szCs w:val="18"/>
              </w:rPr>
              <w:tab/>
            </w:r>
          </w:p>
          <w:p w14:paraId="16DD4007">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1.▲具备移动端app，支持按角色给不同的用户配置不同的移动端页面。（提供所使用移动端软件著作权证书）。</w:t>
            </w:r>
          </w:p>
          <w:p w14:paraId="329ADA41">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2.支持编辑每个移动端页面的显示名称、进入页面的验证码、是否允许通过输入管理员所设置的验证码加入单位。</w:t>
            </w:r>
          </w:p>
          <w:p w14:paraId="15867BE8">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3.支持一键复制页面链接。</w:t>
            </w:r>
          </w:p>
          <w:p w14:paraId="0DE3CBB0">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4.▲须提供安全稳定的移动端app，保证用户信息不被泄露，不被非法利用。（提供所使用移动端2级或以上信息系统安全等保护备案证明）。</w:t>
            </w:r>
          </w:p>
          <w:p w14:paraId="4B2DBE76">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微信端管理</w:t>
            </w:r>
            <w:r>
              <w:rPr>
                <w:rFonts w:hint="eastAsia" w:ascii="宋体" w:hAnsi="宋体" w:eastAsia="宋体" w:cs="Times New Roman"/>
                <w:kern w:val="0"/>
                <w:sz w:val="18"/>
                <w:szCs w:val="18"/>
              </w:rPr>
              <w:tab/>
            </w:r>
          </w:p>
          <w:p w14:paraId="26EECB69">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1.支持多种微信对接方式：如消息推送到公众号、消息推送到单位公众号（支持服务号）、应用挂接到单位公众号菜单上等。</w:t>
            </w:r>
          </w:p>
          <w:p w14:paraId="4B39D08F">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2.应用挂接到单位公众号上，支持多种挂接形式：如单独挂接某个应用、把多个应用集合到一个页面上挂接等。</w:t>
            </w:r>
          </w:p>
          <w:p w14:paraId="60B90017">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3.系统提供应用挂接公众号的服务，应用可根据系统提供的规则在公众号上获取用户的账号信息。</w:t>
            </w:r>
          </w:p>
          <w:p w14:paraId="4EAAA104">
            <w:pPr>
              <w:spacing w:line="360" w:lineRule="auto"/>
              <w:jc w:val="center"/>
              <w:rPr>
                <w:rFonts w:ascii="宋体" w:hAnsi="宋体" w:eastAsia="宋体" w:cs="Times New Roman"/>
                <w:b/>
                <w:bCs/>
                <w:kern w:val="0"/>
                <w:sz w:val="20"/>
                <w:szCs w:val="20"/>
              </w:rPr>
            </w:pPr>
            <w:r>
              <w:rPr>
                <w:rFonts w:hint="eastAsia" w:ascii="宋体" w:hAnsi="宋体" w:eastAsia="宋体" w:cs="Times New Roman"/>
                <w:kern w:val="0"/>
                <w:sz w:val="18"/>
                <w:szCs w:val="18"/>
              </w:rPr>
              <w:t>4.多个应用集合页支持不少于两种模板供单位选择使用。</w:t>
            </w:r>
          </w:p>
        </w:tc>
      </w:tr>
      <w:tr w14:paraId="31F4E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vAlign w:val="center"/>
          </w:tcPr>
          <w:p w14:paraId="151D9C21">
            <w:pPr>
              <w:spacing w:line="360" w:lineRule="auto"/>
              <w:jc w:val="center"/>
              <w:rPr>
                <w:rFonts w:ascii="宋体" w:hAnsi="宋体" w:eastAsia="宋体" w:cs="Times New Roman"/>
                <w:kern w:val="0"/>
                <w:sz w:val="20"/>
                <w:szCs w:val="20"/>
              </w:rPr>
            </w:pPr>
            <w:r>
              <w:rPr>
                <w:rFonts w:hint="eastAsia" w:ascii="宋体" w:hAnsi="宋体" w:eastAsia="宋体" w:cs="Times New Roman"/>
                <w:kern w:val="0"/>
                <w:sz w:val="20"/>
                <w:szCs w:val="20"/>
              </w:rPr>
              <w:t>9</w:t>
            </w:r>
          </w:p>
        </w:tc>
        <w:tc>
          <w:tcPr>
            <w:tcW w:w="619" w:type="pct"/>
            <w:vAlign w:val="center"/>
          </w:tcPr>
          <w:p w14:paraId="1EE99D13">
            <w:pPr>
              <w:spacing w:line="360" w:lineRule="auto"/>
              <w:jc w:val="center"/>
              <w:rPr>
                <w:rFonts w:ascii="宋体" w:hAnsi="宋体" w:eastAsia="宋体" w:cs="Times New Roman"/>
                <w:b/>
                <w:bCs/>
                <w:kern w:val="0"/>
                <w:sz w:val="20"/>
                <w:szCs w:val="20"/>
              </w:rPr>
            </w:pPr>
            <w:r>
              <w:rPr>
                <w:rFonts w:hint="eastAsia" w:ascii="宋体" w:hAnsi="宋体" w:eastAsia="宋体" w:cs="Times New Roman"/>
                <w:kern w:val="0"/>
                <w:sz w:val="18"/>
                <w:szCs w:val="18"/>
              </w:rPr>
              <w:t>中央知识库</w:t>
            </w:r>
          </w:p>
        </w:tc>
        <w:tc>
          <w:tcPr>
            <w:tcW w:w="3856" w:type="pct"/>
            <w:vAlign w:val="center"/>
          </w:tcPr>
          <w:p w14:paraId="38691888">
            <w:pPr>
              <w:spacing w:line="360" w:lineRule="auto"/>
              <w:jc w:val="left"/>
              <w:rPr>
                <w:rFonts w:ascii="宋体" w:hAnsi="宋体" w:eastAsia="宋体" w:cs="宋体"/>
                <w:kern w:val="0"/>
                <w:sz w:val="18"/>
                <w:szCs w:val="18"/>
              </w:rPr>
            </w:pPr>
            <w:r>
              <w:rPr>
                <w:rFonts w:hint="eastAsia" w:ascii="宋体" w:hAnsi="宋体" w:eastAsia="宋体" w:cs="宋体"/>
                <w:kern w:val="0"/>
                <w:sz w:val="18"/>
                <w:szCs w:val="18"/>
              </w:rPr>
              <w:t>1.</w:t>
            </w:r>
            <w:r>
              <w:rPr>
                <w:rFonts w:hint="eastAsia" w:ascii="宋体" w:hAnsi="宋体" w:eastAsia="宋体" w:cs="Times New Roman"/>
                <w:kern w:val="0"/>
                <w:sz w:val="18"/>
                <w:szCs w:val="18"/>
              </w:rPr>
              <w:t>▲</w:t>
            </w:r>
            <w:r>
              <w:rPr>
                <w:rFonts w:hint="eastAsia" w:ascii="宋体" w:hAnsi="宋体" w:eastAsia="宋体" w:cs="宋体"/>
                <w:kern w:val="0"/>
                <w:sz w:val="18"/>
                <w:szCs w:val="18"/>
              </w:rPr>
              <w:t>支持采用由统一维护的中央知识库为元数据共享中心，支持通过自主挂接标记本馆数据库的方式，快速生成本馆电子资源目录；充分利用共享理念，减少图书馆对接获取及维护更新数据库元数据的工作量和成本。（</w:t>
            </w:r>
            <w:r>
              <w:rPr>
                <w:rFonts w:hint="eastAsia" w:ascii="宋体" w:hAnsi="宋体" w:eastAsia="宋体" w:cs="Times New Roman"/>
                <w:kern w:val="0"/>
                <w:sz w:val="18"/>
                <w:szCs w:val="18"/>
              </w:rPr>
              <w:t>提供中央知识库软件著作权证书</w:t>
            </w:r>
            <w:r>
              <w:rPr>
                <w:rFonts w:hint="eastAsia" w:ascii="宋体" w:hAnsi="宋体" w:eastAsia="宋体" w:cs="宋体"/>
                <w:kern w:val="0"/>
                <w:sz w:val="18"/>
                <w:szCs w:val="18"/>
              </w:rPr>
              <w:t>）。</w:t>
            </w:r>
          </w:p>
          <w:p w14:paraId="0485A96A">
            <w:pPr>
              <w:spacing w:line="360" w:lineRule="auto"/>
              <w:jc w:val="left"/>
              <w:rPr>
                <w:rFonts w:ascii="宋体" w:hAnsi="宋体" w:eastAsia="宋体" w:cs="宋体"/>
                <w:kern w:val="0"/>
                <w:sz w:val="18"/>
                <w:szCs w:val="18"/>
              </w:rPr>
            </w:pPr>
            <w:r>
              <w:rPr>
                <w:rFonts w:hint="eastAsia" w:ascii="宋体" w:hAnsi="宋体" w:eastAsia="宋体" w:cs="宋体"/>
                <w:kern w:val="0"/>
                <w:sz w:val="18"/>
                <w:szCs w:val="18"/>
              </w:rPr>
              <w:t>2.中央知识库需包含图书、期刊等基于订购层级的多种文献类型资源库不少于</w:t>
            </w:r>
            <w:r>
              <w:rPr>
                <w:rFonts w:ascii="宋体" w:hAnsi="宋体" w:eastAsia="宋体" w:cs="宋体"/>
                <w:kern w:val="0"/>
                <w:sz w:val="18"/>
                <w:szCs w:val="18"/>
              </w:rPr>
              <w:t>1000</w:t>
            </w:r>
            <w:r>
              <w:rPr>
                <w:rFonts w:hint="eastAsia" w:ascii="宋体" w:hAnsi="宋体" w:eastAsia="宋体" w:cs="宋体"/>
                <w:kern w:val="0"/>
                <w:sz w:val="18"/>
                <w:szCs w:val="18"/>
              </w:rPr>
              <w:t>个，资源包不少于1400个。</w:t>
            </w:r>
          </w:p>
          <w:p w14:paraId="10AF0F2F">
            <w:pPr>
              <w:spacing w:line="360" w:lineRule="auto"/>
              <w:jc w:val="left"/>
              <w:rPr>
                <w:rFonts w:ascii="宋体" w:hAnsi="宋体" w:eastAsia="宋体" w:cs="宋体"/>
                <w:kern w:val="0"/>
                <w:sz w:val="18"/>
                <w:szCs w:val="18"/>
              </w:rPr>
            </w:pPr>
            <w:r>
              <w:rPr>
                <w:rFonts w:hint="eastAsia" w:ascii="宋体" w:hAnsi="宋体" w:eastAsia="宋体" w:cs="宋体"/>
                <w:kern w:val="0"/>
                <w:sz w:val="18"/>
                <w:szCs w:val="18"/>
              </w:rPr>
              <w:t>3.中央知识库支持按资源库或库下的资源包进行挂接配置、订购管理本馆电子资源。支持按资源库别名、缩写等方式检索；支持按生产商、语种、学科分类、收录资料类型等聚类条件导航筛选资源库或资源包；支持查看资源库简介、生产商、收录资料类型、学科、内容层级、语种、收录范围、更新频率等详细信息。</w:t>
            </w:r>
          </w:p>
          <w:p w14:paraId="3ED76135">
            <w:pPr>
              <w:spacing w:line="360" w:lineRule="auto"/>
              <w:jc w:val="left"/>
              <w:rPr>
                <w:rFonts w:ascii="宋体" w:hAnsi="宋体" w:eastAsia="宋体" w:cs="宋体"/>
                <w:kern w:val="0"/>
                <w:sz w:val="18"/>
                <w:szCs w:val="18"/>
              </w:rPr>
            </w:pPr>
            <w:r>
              <w:rPr>
                <w:rFonts w:hint="eastAsia" w:ascii="宋体" w:hAnsi="宋体" w:eastAsia="宋体" w:cs="宋体"/>
                <w:kern w:val="0"/>
                <w:sz w:val="18"/>
                <w:szCs w:val="18"/>
              </w:rPr>
              <w:t>4.中央知识库支持数据库详细信息与分析，对数据库的资源包资源量进行统计，对比中央知识库资源包资源重复情况、本机构购买数据库资源重复情况。</w:t>
            </w:r>
          </w:p>
          <w:p w14:paraId="48B95614">
            <w:pPr>
              <w:spacing w:line="360" w:lineRule="auto"/>
              <w:jc w:val="center"/>
              <w:rPr>
                <w:rFonts w:ascii="宋体" w:hAnsi="宋体" w:eastAsia="宋体" w:cs="Times New Roman"/>
                <w:b/>
                <w:bCs/>
                <w:kern w:val="0"/>
                <w:sz w:val="20"/>
                <w:szCs w:val="20"/>
              </w:rPr>
            </w:pPr>
            <w:r>
              <w:rPr>
                <w:rFonts w:hint="eastAsia" w:ascii="宋体" w:hAnsi="宋体" w:eastAsia="宋体" w:cs="宋体"/>
                <w:kern w:val="0"/>
                <w:sz w:val="18"/>
                <w:szCs w:val="18"/>
              </w:rPr>
              <w:t>5.能及时有效的自动获取最新的新书书目数据，弥补书商提供数据不全的情况，有助于更好的补充馆藏。</w:t>
            </w:r>
          </w:p>
        </w:tc>
      </w:tr>
      <w:tr w14:paraId="010C1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vAlign w:val="center"/>
          </w:tcPr>
          <w:p w14:paraId="58279F59">
            <w:pPr>
              <w:spacing w:line="360" w:lineRule="auto"/>
              <w:jc w:val="center"/>
              <w:rPr>
                <w:rFonts w:ascii="宋体" w:hAnsi="宋体" w:eastAsia="宋体" w:cs="Times New Roman"/>
                <w:kern w:val="0"/>
                <w:sz w:val="20"/>
                <w:szCs w:val="20"/>
              </w:rPr>
            </w:pPr>
            <w:r>
              <w:rPr>
                <w:rFonts w:hint="eastAsia" w:ascii="宋体" w:hAnsi="宋体" w:eastAsia="宋体" w:cs="Times New Roman"/>
                <w:kern w:val="0"/>
                <w:sz w:val="20"/>
                <w:szCs w:val="20"/>
              </w:rPr>
              <w:t>10</w:t>
            </w:r>
          </w:p>
        </w:tc>
        <w:tc>
          <w:tcPr>
            <w:tcW w:w="619" w:type="pct"/>
            <w:vAlign w:val="center"/>
          </w:tcPr>
          <w:p w14:paraId="08C3BAD5">
            <w:pPr>
              <w:spacing w:line="360" w:lineRule="auto"/>
              <w:jc w:val="center"/>
              <w:rPr>
                <w:rFonts w:ascii="宋体" w:hAnsi="宋体" w:eastAsia="宋体" w:cs="Times New Roman"/>
                <w:b/>
                <w:bCs/>
                <w:kern w:val="0"/>
                <w:sz w:val="20"/>
                <w:szCs w:val="20"/>
              </w:rPr>
            </w:pPr>
            <w:r>
              <w:rPr>
                <w:rFonts w:hint="eastAsia" w:ascii="宋体" w:hAnsi="宋体" w:eastAsia="宋体" w:cs="Times New Roman"/>
                <w:kern w:val="0"/>
                <w:sz w:val="18"/>
                <w:szCs w:val="18"/>
              </w:rPr>
              <w:t>数据中心</w:t>
            </w:r>
          </w:p>
        </w:tc>
        <w:tc>
          <w:tcPr>
            <w:tcW w:w="3856" w:type="pct"/>
            <w:vAlign w:val="center"/>
          </w:tcPr>
          <w:p w14:paraId="06D7F8AA">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报表</w:t>
            </w:r>
            <w:r>
              <w:rPr>
                <w:rFonts w:hint="eastAsia" w:ascii="宋体" w:hAnsi="宋体" w:eastAsia="宋体" w:cs="Times New Roman"/>
                <w:kern w:val="0"/>
                <w:sz w:val="18"/>
                <w:szCs w:val="18"/>
              </w:rPr>
              <w:tab/>
            </w:r>
          </w:p>
          <w:p w14:paraId="28F81FB8">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1.▲支持整体借阅统计：支持自定义时间段，对本馆借阅量、还书量、续借量进行统计，分析出馆藏资源使用占比和人均借阅占比情况。（提供数据中心软件著作权证书）</w:t>
            </w:r>
          </w:p>
          <w:p w14:paraId="3DA38B8D">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2.支持读者类型借阅统计：支持对不同读者类型进行借还量统计，包含借书量（次）、还书量（次），且支持查看每一用户类型下的详细借阅清单查询；支持查看不同读者类型下最爱借书的读者展示top10。</w:t>
            </w:r>
          </w:p>
          <w:p w14:paraId="7D6DE6BF">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3.支持系（部）/学院借阅统计：支持统计各个系（部）/学院的借阅情况，包含借阅量（次）、借阅人次、平均借阅量（次），同时可查看单个系（部）/学院的详细借阅情况明细。</w:t>
            </w:r>
          </w:p>
          <w:p w14:paraId="03CA52D0">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4.支持到馆统计分析：支持对读者到馆情况进行统计分析，包含到馆总人次、当年到馆人数，可自定义时间段按月份展示读者到馆情况分布，以及一天时间周期内读者到馆人次分布情况。</w:t>
            </w:r>
          </w:p>
          <w:p w14:paraId="2061C64E">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5.支持到馆分类统计：支持按照系（部）/学院、性别、读者类型统计分析得出总入馆人次和人均入馆人次。</w:t>
            </w:r>
          </w:p>
          <w:p w14:paraId="2F17E772">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6.▲支持资源利用分析：支持从资源利用分析角度进行分析，包含学科使用、检索热词、资源利用趋势等维度进行分析。（提供数据统计决策软件著作权证书）</w:t>
            </w:r>
          </w:p>
          <w:p w14:paraId="7F93E248">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7.支持按照中图分类、教育部学科分类统计资源利用情况。统计维度至少包含文献借出量、读者数。能按时间范围筛选统计结果。</w:t>
            </w:r>
          </w:p>
          <w:p w14:paraId="4CD5DE45">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8.支持图书馆各类读者行为日志数据的管理与统计。支持查看运行数据总量和数据记录起始时间，支持查看每日运行数据汇总，不限于借阅日志、门禁日志、文献下载日志、数据库访问日志、网站访问日志等。</w:t>
            </w:r>
          </w:p>
          <w:p w14:paraId="41D9D33E">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9.支持座位使用统计：支持本年/本月/本周/当天的座位使用量统计及当天可使用的座位统计。</w:t>
            </w:r>
          </w:p>
          <w:p w14:paraId="6765C1C8">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报告</w:t>
            </w:r>
            <w:r>
              <w:rPr>
                <w:rFonts w:hint="eastAsia" w:ascii="宋体" w:hAnsi="宋体" w:eastAsia="宋体" w:cs="Times New Roman"/>
                <w:kern w:val="0"/>
                <w:sz w:val="18"/>
                <w:szCs w:val="18"/>
              </w:rPr>
              <w:tab/>
            </w:r>
          </w:p>
          <w:p w14:paraId="250215CB">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1.支持本馆运行数据统计分析报告：支持按照不同时间段，不同统计模块展示，统计报告包括但不限于：到馆数据分析、图书借阅情况、资源利用分析、用户行为分析等维度。</w:t>
            </w:r>
          </w:p>
          <w:p w14:paraId="3C0928D6">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2.报告支持自由拖拽调整调整各个模块的展示顺序，支持根据优先级进行显示。</w:t>
            </w:r>
          </w:p>
          <w:p w14:paraId="46090780">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3.报告支持导出word格式和pdf格式。</w:t>
            </w:r>
          </w:p>
          <w:p w14:paraId="691B9499">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 xml:space="preserve">采集管理 </w:t>
            </w:r>
          </w:p>
          <w:p w14:paraId="4292781F">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支持集成Spring-Schedule定时任务，支持按照配置规则，周期性采集、推送数据。支持采集的数据类型有资源类数据、业务类型数据。其中资源类数据包含纸质资源和电子资源(元数据库中的各类文献、自建上传数据)，业务类数据包含用户数据、借阅数据、闸机数据、复印数据、占座数据等等。</w:t>
            </w:r>
          </w:p>
          <w:p w14:paraId="5C8501E0">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2.支持灵活配置，通过文件实现动态配置，可按需修改配置（包括：定时任务执行周期cron配置、启用/禁用业务类数据、采集及推送数据量、数据采集SQL等）。</w:t>
            </w:r>
          </w:p>
          <w:p w14:paraId="77220EC9">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3.支持封装统一数据采集、清洗及推送SDK，形成配置读取、数据采集、数据清洗转换、数据上传的整体标准化流程。</w:t>
            </w:r>
          </w:p>
          <w:p w14:paraId="2FC58A00">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4.支持即时记录推送日志，包括成功信息、异常回滚等，并通过分析日志，计算数据采集起始位置，确保数据不重复、不遗漏。</w:t>
            </w:r>
          </w:p>
          <w:p w14:paraId="127A257E">
            <w:pPr>
              <w:spacing w:line="360" w:lineRule="auto"/>
              <w:rPr>
                <w:rFonts w:ascii="宋体" w:hAnsi="宋体" w:eastAsia="宋体" w:cs="Times New Roman"/>
                <w:b/>
                <w:bCs/>
                <w:kern w:val="0"/>
                <w:sz w:val="20"/>
                <w:szCs w:val="20"/>
              </w:rPr>
            </w:pPr>
            <w:r>
              <w:rPr>
                <w:rFonts w:hint="eastAsia" w:ascii="宋体" w:hAnsi="宋体" w:eastAsia="宋体" w:cs="Times New Roman"/>
                <w:kern w:val="0"/>
                <w:sz w:val="18"/>
                <w:szCs w:val="18"/>
              </w:rPr>
              <w:t>5.▲支持将图书馆中的各类型数据进行标准化处理，通过统一数据接口推送到图书馆数据中心的仓储中存储。（提供数据整合服务软件著作权证书）</w:t>
            </w:r>
          </w:p>
        </w:tc>
      </w:tr>
      <w:tr w14:paraId="52750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vAlign w:val="center"/>
          </w:tcPr>
          <w:p w14:paraId="28495324">
            <w:pPr>
              <w:spacing w:line="360" w:lineRule="auto"/>
              <w:jc w:val="center"/>
              <w:rPr>
                <w:rFonts w:ascii="宋体" w:hAnsi="宋体" w:eastAsia="宋体" w:cs="Times New Roman"/>
                <w:kern w:val="0"/>
                <w:sz w:val="20"/>
                <w:szCs w:val="20"/>
              </w:rPr>
            </w:pPr>
            <w:r>
              <w:rPr>
                <w:rFonts w:hint="eastAsia" w:ascii="宋体" w:hAnsi="宋体" w:eastAsia="宋体" w:cs="Times New Roman"/>
                <w:kern w:val="0"/>
                <w:sz w:val="20"/>
                <w:szCs w:val="20"/>
              </w:rPr>
              <w:t>11</w:t>
            </w:r>
          </w:p>
        </w:tc>
        <w:tc>
          <w:tcPr>
            <w:tcW w:w="619" w:type="pct"/>
            <w:vAlign w:val="center"/>
          </w:tcPr>
          <w:p w14:paraId="7B226435">
            <w:pPr>
              <w:spacing w:line="360" w:lineRule="auto"/>
              <w:jc w:val="center"/>
              <w:rPr>
                <w:rFonts w:ascii="宋体" w:hAnsi="宋体" w:eastAsia="宋体" w:cs="Times New Roman"/>
                <w:b/>
                <w:bCs/>
                <w:kern w:val="0"/>
                <w:sz w:val="20"/>
                <w:szCs w:val="20"/>
              </w:rPr>
            </w:pPr>
            <w:r>
              <w:rPr>
                <w:rFonts w:hint="eastAsia" w:ascii="宋体" w:hAnsi="宋体" w:eastAsia="宋体" w:cs="Times New Roman"/>
                <w:kern w:val="0"/>
                <w:sz w:val="18"/>
                <w:szCs w:val="18"/>
              </w:rPr>
              <w:t>应用引擎</w:t>
            </w:r>
          </w:p>
        </w:tc>
        <w:tc>
          <w:tcPr>
            <w:tcW w:w="3856" w:type="pct"/>
            <w:vAlign w:val="center"/>
          </w:tcPr>
          <w:p w14:paraId="54EC5658">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 xml:space="preserve">表单引擎 </w:t>
            </w:r>
          </w:p>
          <w:p w14:paraId="67806FC0">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1.▲支持自建表单应用引擎。支持单位创建、发布、管理个性化表单。功能包含表单配置、发放和数据回收管理。（提供表单设计引擎软件著作权证书）</w:t>
            </w:r>
          </w:p>
          <w:p w14:paraId="08C1CA7A">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2.支持编辑表单应用名称、图标。</w:t>
            </w:r>
          </w:p>
          <w:p w14:paraId="64742C72">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3.支持二次修改表单应用，并保留原表单应用已收集到的数据。</w:t>
            </w:r>
          </w:p>
          <w:p w14:paraId="03A47C3B">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4.▲支持丰富的字段库，支持各类信息的准确收集。可使用字段包括但不限于：单行输入、多行输入、数字输入、单选、多选、日期、日期区间、联系人、部门、说明文字、下拉框、下拉复选、多级下拉，矩阵单选、矩阵多选、子表单、图片、附件、定位、直播、计算公式、滑动条、手写签名、地址、自动编号、富文本、按钮、选择数据、视频，所属人等。</w:t>
            </w:r>
            <w:r>
              <w:rPr>
                <w:rFonts w:hint="eastAsia" w:ascii="宋体" w:hAnsi="宋体" w:eastAsia="宋体" w:cs="宋体"/>
                <w:kern w:val="0"/>
                <w:sz w:val="18"/>
                <w:szCs w:val="18"/>
              </w:rPr>
              <w:t>（提供截图证明）</w:t>
            </w:r>
          </w:p>
          <w:p w14:paraId="24C60952">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5.▲部分字段支持关联其他表单字段、数据联动、从第三方获取数据的功能，可用于实现表单之间数据的关联和联动。</w:t>
            </w:r>
            <w:r>
              <w:rPr>
                <w:rFonts w:hint="eastAsia" w:ascii="宋体" w:hAnsi="宋体" w:eastAsia="宋体" w:cs="宋体"/>
                <w:kern w:val="0"/>
                <w:sz w:val="18"/>
                <w:szCs w:val="18"/>
              </w:rPr>
              <w:t>（提供截图证明）</w:t>
            </w:r>
          </w:p>
          <w:p w14:paraId="6D67CCED">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6.针对前台填写应用，支持设置填写有效时段、收集数量上限、用户填写次数上限、数据修改权限等。</w:t>
            </w:r>
          </w:p>
          <w:p w14:paraId="5BD54896">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7.支持自定义表单填写页样式、并提供多套模板。</w:t>
            </w:r>
          </w:p>
          <w:p w14:paraId="0AACE2EE">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8.支持自定义表单提交后的提示页面。</w:t>
            </w:r>
          </w:p>
          <w:p w14:paraId="70E598B5">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9.支持设置推送提醒，当数据有新增、修改或删除时，可根据预设条件对指定对象发送通知提醒。</w:t>
            </w:r>
          </w:p>
          <w:p w14:paraId="6B4E5B68">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10.针对后台数据管理页面，支持设置显示字段、数据排序规则等；支持自定义页面内展示内容模块的显示与隐藏。</w:t>
            </w:r>
          </w:p>
          <w:p w14:paraId="08671E07">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11.支持更换后台数据管理页显示样式、并提供多套模板。</w:t>
            </w:r>
          </w:p>
          <w:p w14:paraId="4F8F3C45">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12.后台数据管理页支持按条件查询数据，包括按提交时间、按提交人等条件进行筛选，并支持自定义添加筛选项。</w:t>
            </w:r>
          </w:p>
          <w:p w14:paraId="623178F1">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13.后台数据管理页支持对数据进行简单统计，包括对数字类型字段的求和、计次、求取平均值、最大值、最小值，以及对其他类型字段的计次。</w:t>
            </w:r>
          </w:p>
          <w:p w14:paraId="4C200008">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14.支持多维度的权限设置，支持针对不同角色分别设置其数据管理权限、字段权限和操作权限。</w:t>
            </w:r>
          </w:p>
          <w:p w14:paraId="2BB44EB2">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15.支持设置多个权限组，同一个表单，在不同业务系统菜单使用时，可以选择适用不同的权限设置。</w:t>
            </w:r>
          </w:p>
          <w:p w14:paraId="7692BB30">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16.支持自定义添加操作按钮，提供打开url、修改字段值、打开关联表、发起填写另一份表单或审批、触发修改另一份表单数据等功能，并可自定义此类操作按钮的显示规则。</w:t>
            </w:r>
          </w:p>
          <w:p w14:paraId="447DF69B">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17.支持审核设置，管理员可在后台直接对数据进行通过/不通过的简单审核操作，并可针对不同审核结果设置对提交人发送审核结果通知。</w:t>
            </w:r>
          </w:p>
          <w:p w14:paraId="7805D917">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18.支持设置提交校验，可以通过公式设置表单提交检验条件（不满足公式的数据将不能提交），也可配置第三方校验接口、由第三方返回校验结果决定表单是否可以提交。</w:t>
            </w:r>
          </w:p>
          <w:p w14:paraId="222EDB30">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19.支持设置进入表单校验，可以配置一个URL，根据返回值决定是否让表单可以被继续填写。</w:t>
            </w:r>
          </w:p>
          <w:p w14:paraId="35A3FA98">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20.▲支持通过前端事件调用接口从外部获取数据填充本表单，提供更灵活的表单填写方式。</w:t>
            </w:r>
            <w:r>
              <w:rPr>
                <w:rFonts w:hint="eastAsia" w:ascii="宋体" w:hAnsi="宋体" w:eastAsia="宋体" w:cs="宋体"/>
                <w:kern w:val="0"/>
                <w:sz w:val="18"/>
                <w:szCs w:val="18"/>
              </w:rPr>
              <w:t>（提供截图证明）</w:t>
            </w:r>
          </w:p>
          <w:p w14:paraId="5D99A2E2">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21.支持通过数据推送将操作与变更后的数据推送至指定服务器，使表单可以作为一个开放的数据源。</w:t>
            </w:r>
          </w:p>
          <w:p w14:paraId="1CA17340">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22.支持通过内部触发器，在一个表单新增、修改或删除数据后，自动在本单位其他表单或审批中新增数据、将符合条件的数据修改为指定的值、或删除指定数据。</w:t>
            </w:r>
          </w:p>
          <w:p w14:paraId="45DC92FA">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23.支持为表单添加计划任务，可以设置在指定的时间自动更新表单内日期时间间隔天数，或修改指定字段的值。</w:t>
            </w:r>
          </w:p>
          <w:p w14:paraId="77A22015">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24.支持查看管理员操作日志，可根据操作时间段、修改模块、事件类型等条件筛选查看对于本张表单的操作记录。</w:t>
            </w:r>
          </w:p>
          <w:p w14:paraId="6A73C24D">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25.支持数据批量导入，并支持仅新增数据、仅更新数据，更新和新增数据等模式。</w:t>
            </w:r>
          </w:p>
          <w:p w14:paraId="122D04DD">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26.支持将表单发放采集，管理员可通过表单后台发放通知给指定对象，主动收集表单数据。</w:t>
            </w:r>
          </w:p>
          <w:p w14:paraId="4E254D27">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27.支持将表单数据发放修正，管理员可通过表单后台发放数据修正通知给指定对象，收件人可以根据提示修改已提交的数据。</w:t>
            </w:r>
          </w:p>
          <w:p w14:paraId="28A4B17D">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28.支持数据导出，可将收集到的数据导出为excel文件，并支持导出时自行勾选所需字段。</w:t>
            </w:r>
          </w:p>
          <w:p w14:paraId="58810C32">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29.支持将表单数据导出条形码或二维码。</w:t>
            </w:r>
          </w:p>
          <w:p w14:paraId="62128A8B">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30.支持设置打印模板，支持自定义表单数据打印时使用的模板样式。支持设置多套打印模板。</w:t>
            </w:r>
          </w:p>
          <w:p w14:paraId="67CD2EFB">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31.支持表单应用创建者或管理员修改或删除表单应用数据。</w:t>
            </w:r>
          </w:p>
          <w:p w14:paraId="03BA0FEF">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32.支持应用管理员和部门主管在手机上查看所有提交数据，并支持导出。</w:t>
            </w:r>
          </w:p>
          <w:p w14:paraId="1C71567F">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33.支持统计表单未提交人员。支持对未提交人员发送通知提醒。</w:t>
            </w:r>
          </w:p>
          <w:p w14:paraId="280B033A">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34.支持在微信、QQ或浏览器上填写表单。</w:t>
            </w:r>
          </w:p>
          <w:p w14:paraId="6C647C5A">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 xml:space="preserve">审批引擎 </w:t>
            </w:r>
          </w:p>
          <w:p w14:paraId="66F6D412">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1.支持自建审批应用引擎；支持单位创建、发布、管理个性化审批。</w:t>
            </w:r>
          </w:p>
          <w:p w14:paraId="1315A72A">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2.支持修改审批名和审批应用的图标。</w:t>
            </w:r>
          </w:p>
          <w:p w14:paraId="49610582">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3.支持根据组件库拖拽生成审批页面；组件包含但不限于：单行输入、多行输入、数字输入、单选、多选、日期、日期区间、联系人、部门、说明文字、下拉框、下拉复选、多级下拉、子表单、图片、附件、定位、计算公式、滑动条、手写签名、地址、自动编号、关联审批、富文本、按钮、选择数据、视频。</w:t>
            </w:r>
          </w:p>
          <w:p w14:paraId="660D557B">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4.支持选择多种预置好的组件包，包含但不限于：请假套件、外出套件、加班套件、补卡套件。</w:t>
            </w:r>
          </w:p>
          <w:p w14:paraId="6DA8CA1E">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5.▲支持丰富的字段属性设置功能，支持设置字段的标题、别名、描述、默认值、格式、是否必填、校验、权限、样式等各种属性，支持复杂表单的自定义创建及修改，无需定制开发。</w:t>
            </w:r>
            <w:r>
              <w:rPr>
                <w:rFonts w:hint="eastAsia" w:ascii="宋体" w:hAnsi="宋体" w:eastAsia="宋体" w:cs="宋体"/>
                <w:kern w:val="0"/>
                <w:sz w:val="18"/>
                <w:szCs w:val="18"/>
              </w:rPr>
              <w:t>（提供截图证明）</w:t>
            </w:r>
          </w:p>
          <w:p w14:paraId="0449933D">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6.部分字段支持关联其它表单数据、数据联动、从第三方获取数据的功能。支持多表、多流程间的数据关联和联动。</w:t>
            </w:r>
          </w:p>
          <w:p w14:paraId="04839017">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7.支持卡片＋连线式的流程编辑页面，操作简单，流程直观</w:t>
            </w:r>
          </w:p>
          <w:p w14:paraId="29627645">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8.流程支持设置条件，实现在同一个审批应用，可以根据不同的条件走不同的审批流程。条件支持设置名称、调整优先级</w:t>
            </w:r>
          </w:p>
          <w:p w14:paraId="18551889">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9.支持多种审批人类型，包括：发起人自选、指定人员、主管审批、角色审批</w:t>
            </w:r>
          </w:p>
          <w:p w14:paraId="0D767B1D">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10.审批人设置为发起人自选时，支持设置选择范围是全单位或指定主管或指定角色，支持设置只允许选一个人或允许选多个人</w:t>
            </w:r>
          </w:p>
          <w:p w14:paraId="42762693">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11.审批人设置为指定人员时，支持设置为发起人自己、表单内的联系人字段值或手动添加指定审批人</w:t>
            </w:r>
          </w:p>
          <w:p w14:paraId="1E0FA7FD">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12.审批人设置为主管时，支持选择是所在部门主管或更高级别主管</w:t>
            </w:r>
          </w:p>
          <w:p w14:paraId="0778913C">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13.审批人设置为角色时，支持选择一个或多个角色，支持设置在流程中只显示角色名称或显示具体审批人</w:t>
            </w:r>
          </w:p>
          <w:p w14:paraId="1F342855">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14.多人审批节点支持设置为或签或者会签</w:t>
            </w:r>
          </w:p>
          <w:p w14:paraId="6D99E388">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15.非指定审批人节点，支持设置未匹配到审批人时的处理方式：自动通过、自动转交管理员或不允许用户提交</w:t>
            </w:r>
          </w:p>
          <w:p w14:paraId="5330C8BD">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16.支持多种抄送人类型，包括：发起人自选、指定抄送人、角色抄送人</w:t>
            </w:r>
          </w:p>
          <w:p w14:paraId="36C9155B">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17.支持多种抄送方式：包括流程发起时抄送、流程结束时抄送、发起和结束时都抄送</w:t>
            </w:r>
          </w:p>
          <w:p w14:paraId="6B8873FD">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18.支持设置抄送条件：包括审批通过时抄送、审批拒绝时抄送、通过和拒绝时都抄送</w:t>
            </w:r>
          </w:p>
          <w:p w14:paraId="66469F6C">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19.支持给流程中的每个审批人环节设置单独的环节名称、表单操作权限、操作按钮以及操作按钮的排序和名称</w:t>
            </w:r>
          </w:p>
          <w:p w14:paraId="579556A8">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20.审批人在处理审批时，支持添加处理意见、手写签名、电子签章，支持进行同意、拒绝、转他人审批、开始处理、处理完成、回退操作。</w:t>
            </w:r>
          </w:p>
          <w:p w14:paraId="5CD0B9A4">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21.支持给每个审批人环节设置自动提醒，审批人到时间后还未处理审批，系统将会自动发送通知进行提醒</w:t>
            </w:r>
          </w:p>
          <w:p w14:paraId="16298E5A">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22.支持设置审批人去重，实现同一个流程中多次出现的审批人只需同意一次，后续自动通过</w:t>
            </w:r>
          </w:p>
          <w:p w14:paraId="33FBD434">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23.支持设置审批人是发起人自己是是否自动通过</w:t>
            </w:r>
          </w:p>
          <w:p w14:paraId="5BF2E912">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24.支持设置处理意见快捷语，审批人审批时可直接调用预置好的快捷语</w:t>
            </w:r>
          </w:p>
          <w:p w14:paraId="591CFC44">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25.支持设置多种审批发起限制。如审批发起时间段限制、发起次数限制、是否允许多次发起、是否允许撤回等</w:t>
            </w:r>
          </w:p>
          <w:p w14:paraId="23ED5598">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26.支持设置审批是否推送消息到审批人和抄送人的收件箱</w:t>
            </w:r>
          </w:p>
          <w:p w14:paraId="155BFBFA">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27.支持设置自定义审批标题</w:t>
            </w:r>
          </w:p>
          <w:p w14:paraId="091D574A">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28.支持设置PC端流程表单填写时为多列的样式，并且可以自定义每个字段在表单内的显示宽度</w:t>
            </w:r>
          </w:p>
          <w:p w14:paraId="05125584">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29.支持设置PC端填写页的页面样式，提供多套样式模板供选择</w:t>
            </w:r>
          </w:p>
          <w:p w14:paraId="1946FDD5">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30.审批的数据后台，支持导入、查看、导出、删除数据。导出支持excel文件和pdf文件两种格式</w:t>
            </w:r>
          </w:p>
          <w:p w14:paraId="6ADFA4B8">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31.审批的数据后台，支持超级管理员跳过正常流程对审批进行强制通过、拒绝操作</w:t>
            </w:r>
          </w:p>
          <w:p w14:paraId="369877A1">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32.审批的数据后台，支持自定义设置数据列表的各类操作按钮、筛选项、字段显示顺序、字段显示状态、字段显示名称，以及数字及公式的自动合计计算</w:t>
            </w:r>
          </w:p>
          <w:p w14:paraId="790AED64">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33.审批的数据后台，支持给审批状态设置醒目颜色，便于查看状态</w:t>
            </w:r>
          </w:p>
          <w:p w14:paraId="2D325E2E">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34.审批后台支持按角色分配数据查看和操作权限。</w:t>
            </w:r>
          </w:p>
          <w:p w14:paraId="1E6D58D5">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35.支持自定义配置审批发起后的提示页面</w:t>
            </w:r>
          </w:p>
          <w:p w14:paraId="617C8834">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36.支持设置审批的前端事件。前端事件可以在用户进入填写页或填写字段后，自动调用外部接口，并获取数据，将数据写入对应的字段中</w:t>
            </w:r>
          </w:p>
          <w:p w14:paraId="4D425326">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37.支持设置审批的数据推送。当表单数据发生变化时，使用数据推送可将操作与变更后的数据推送至指定服务器</w:t>
            </w:r>
          </w:p>
          <w:p w14:paraId="420F8078">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38.支持设置审批的内部触发器。内部触发器可以实现当一个流程新增、修改或删除数据后，在其他表单或审批中增、删、改数据</w:t>
            </w:r>
          </w:p>
          <w:p w14:paraId="0E7CD137">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39.支持设置审批的提交检验条件，不满足条件数据将不能提交。校验条件可以是公式或者第三方校验接口</w:t>
            </w:r>
          </w:p>
          <w:p w14:paraId="4734A1EC">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40.支持设置审批的填写校验，通过第三方接口实现用户进入填写页时判断是否允许填写</w:t>
            </w:r>
          </w:p>
          <w:p w14:paraId="7416F7B1">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41.支持设置审批的审批校验，通过第三方接口实现审批人处理审批时判断是否允许进行操作</w:t>
            </w:r>
          </w:p>
          <w:p w14:paraId="1ED82899">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42.支持根据审批状态设置是否允许用户下载审批打印文件</w:t>
            </w:r>
          </w:p>
          <w:p w14:paraId="422C8F69">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43.支持设置多套审批打印模板，并且支持给每套模板设置使用条件</w:t>
            </w:r>
          </w:p>
          <w:p w14:paraId="5AC80A1E">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44.具有管理员操作日志，可以查看每个管理员对流程的编辑和修改</w:t>
            </w:r>
          </w:p>
          <w:p w14:paraId="1C60855F">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45.支持用户在微信端、PC端进行填写发起</w:t>
            </w:r>
          </w:p>
          <w:p w14:paraId="76CCA9C4">
            <w:pPr>
              <w:spacing w:line="360" w:lineRule="auto"/>
              <w:jc w:val="center"/>
              <w:rPr>
                <w:rFonts w:ascii="宋体" w:hAnsi="宋体" w:eastAsia="宋体" w:cs="Times New Roman"/>
                <w:b/>
                <w:bCs/>
                <w:kern w:val="0"/>
                <w:sz w:val="20"/>
                <w:szCs w:val="20"/>
              </w:rPr>
            </w:pPr>
            <w:r>
              <w:rPr>
                <w:rFonts w:hint="eastAsia" w:ascii="宋体" w:hAnsi="宋体" w:eastAsia="宋体" w:cs="Times New Roman"/>
                <w:kern w:val="0"/>
                <w:sz w:val="18"/>
                <w:szCs w:val="18"/>
              </w:rPr>
              <w:t>46.支持审批人在微信端、PC端进行审批处理</w:t>
            </w:r>
          </w:p>
        </w:tc>
      </w:tr>
      <w:tr w14:paraId="6E38C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vAlign w:val="center"/>
          </w:tcPr>
          <w:p w14:paraId="21154641">
            <w:pPr>
              <w:spacing w:line="360" w:lineRule="auto"/>
              <w:jc w:val="center"/>
              <w:rPr>
                <w:rFonts w:ascii="宋体" w:hAnsi="宋体" w:eastAsia="宋体" w:cs="Times New Roman"/>
                <w:kern w:val="0"/>
                <w:sz w:val="20"/>
                <w:szCs w:val="20"/>
              </w:rPr>
            </w:pPr>
            <w:r>
              <w:rPr>
                <w:rFonts w:hint="eastAsia" w:ascii="宋体" w:hAnsi="宋体" w:eastAsia="宋体" w:cs="Times New Roman"/>
                <w:kern w:val="0"/>
                <w:sz w:val="20"/>
                <w:szCs w:val="20"/>
              </w:rPr>
              <w:t>12</w:t>
            </w:r>
          </w:p>
        </w:tc>
        <w:tc>
          <w:tcPr>
            <w:tcW w:w="619" w:type="pct"/>
            <w:vAlign w:val="center"/>
          </w:tcPr>
          <w:p w14:paraId="6A2D24C8">
            <w:pPr>
              <w:spacing w:line="360" w:lineRule="auto"/>
              <w:jc w:val="center"/>
              <w:rPr>
                <w:rFonts w:ascii="宋体" w:hAnsi="宋体" w:eastAsia="宋体" w:cs="Times New Roman"/>
                <w:b/>
                <w:bCs/>
                <w:kern w:val="0"/>
                <w:sz w:val="20"/>
                <w:szCs w:val="20"/>
              </w:rPr>
            </w:pPr>
            <w:r>
              <w:rPr>
                <w:rFonts w:hint="eastAsia" w:ascii="宋体" w:hAnsi="宋体" w:eastAsia="宋体" w:cs="Times New Roman"/>
                <w:kern w:val="0"/>
                <w:sz w:val="18"/>
                <w:szCs w:val="18"/>
              </w:rPr>
              <w:t>智能客服</w:t>
            </w:r>
          </w:p>
        </w:tc>
        <w:tc>
          <w:tcPr>
            <w:tcW w:w="3856" w:type="pct"/>
            <w:vAlign w:val="center"/>
          </w:tcPr>
          <w:p w14:paraId="301729C8">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机器人智能解答</w:t>
            </w:r>
          </w:p>
          <w:p w14:paraId="4BD6C19C">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1.▲解答用户常见问题、提供产品或服务相关信息、处理客户投诉与反馈、引导用户操作流程以及根据用户需求提供个性化推荐等；（提供智能客服软件著作权证书）。</w:t>
            </w:r>
          </w:p>
          <w:p w14:paraId="2CA8BF06">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 xml:space="preserve">2.支持自定义添加、编辑、删除、批量导入、批量导出、批量删除业务问答规则，业务问答规则数量无限制； </w:t>
            </w:r>
          </w:p>
          <w:p w14:paraId="593A6CEF">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3.支持手工启用、手工停用业务问答规则，同时可根据关键词搜索业务内容；</w:t>
            </w:r>
          </w:p>
          <w:p w14:paraId="49E76B70">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4.业务问答规则中，回答的答案支持文本、图片、语音、视频、自定义级联菜单、图文混排、链接等多种内容；</w:t>
            </w:r>
          </w:p>
          <w:p w14:paraId="729D580B">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5.支持自定义添加、编辑业务问答中问题标签；问答时根据标签进行问答提示；</w:t>
            </w:r>
          </w:p>
          <w:p w14:paraId="536DB06A">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6.支持机器人自动对没有答案的问题描述进行关键词识别并统计聚类，支持按照关键词问答频率由高到低排序，同时支持批量导出未知问题；</w:t>
            </w:r>
          </w:p>
          <w:p w14:paraId="269E250C">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7.支持手工添加未知问题到业务问答规则，并支持自定义修改；</w:t>
            </w:r>
          </w:p>
          <w:p w14:paraId="5FFBE0FE">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8.支持自动忽略无意义的问法，比如无效数字字母的组合；</w:t>
            </w:r>
          </w:p>
          <w:p w14:paraId="06664025">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9.支持知识问答，内置知识图谱，支持回答常识类问题，比如“李白是谁”；</w:t>
            </w:r>
          </w:p>
          <w:p w14:paraId="2188AB53">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10.支持查询图书、期刊等文献，根据用户输入问题推荐相关文献；支持期刊元数据查看以及文献传递；</w:t>
            </w:r>
          </w:p>
          <w:p w14:paraId="3E704C8E">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11.支持根据用户输入问题进行匹配提示；</w:t>
            </w:r>
          </w:p>
          <w:p w14:paraId="3203D322">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12.支持未知问题回复语自定义；</w:t>
            </w:r>
          </w:p>
          <w:p w14:paraId="2DF63C02">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13.技能设置里支持阈值自定义；</w:t>
            </w:r>
          </w:p>
          <w:p w14:paraId="1BC07220">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14.支持图书馆应用的智能推荐；</w:t>
            </w:r>
          </w:p>
          <w:p w14:paraId="1A59FA4A">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15.▲支持智能学习，根据用户行为自动记录待学习问题，超级管理员可进行一键学习或一键通过；</w:t>
            </w:r>
            <w:r>
              <w:rPr>
                <w:rFonts w:hint="eastAsia" w:ascii="宋体" w:hAnsi="宋体" w:eastAsia="宋体" w:cs="宋体"/>
                <w:kern w:val="0"/>
                <w:sz w:val="18"/>
                <w:szCs w:val="18"/>
              </w:rPr>
              <w:t>（提供截图证明）</w:t>
            </w:r>
          </w:p>
          <w:p w14:paraId="04E01E67">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16.支持对接自动化管理系统，支持读者在智能客服应用中直接查询借阅记录，在线办理图书续借。</w:t>
            </w:r>
          </w:p>
          <w:p w14:paraId="4FB2B903">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17.智能客服应用支持对接自动化管理系统，支持单位纸质馆藏查询。</w:t>
            </w:r>
          </w:p>
          <w:p w14:paraId="17B5ADF2">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18.支持问答分类支持批量编辑，支持移动和拖拽排序。</w:t>
            </w:r>
          </w:p>
          <w:p w14:paraId="104FD41E">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19.问答库支持智能导入，上传文档后可自动抽取出问答。抽取的问答支持添加到问答库。</w:t>
            </w:r>
          </w:p>
          <w:p w14:paraId="5120B3F7">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人工客服服务</w:t>
            </w:r>
          </w:p>
          <w:p w14:paraId="53E68D80">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1.人工客服会话窗口支持直接添加业务问答规则；</w:t>
            </w:r>
          </w:p>
          <w:p w14:paraId="5A48EDE1">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2.支持人工客服分组功能，支持访客选择不同业务组开始对话，比如“图书馆业务”、“网络中心业务”；</w:t>
            </w:r>
          </w:p>
          <w:p w14:paraId="22BB2D97">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3.支持设置通过触发未知问题、关键词、点击转人工客服按钮等来实现自动转接人工客服；</w:t>
            </w:r>
          </w:p>
          <w:p w14:paraId="044934EA">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4.支持人工客服不在线时留言；</w:t>
            </w:r>
          </w:p>
          <w:p w14:paraId="7BA58C71">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5支持留言工单批量导出、批量删除；</w:t>
            </w:r>
          </w:p>
          <w:p w14:paraId="4D2ADE9D">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6.留言支持多次回复，支持查看回复记录和处理进度；</w:t>
            </w:r>
          </w:p>
          <w:p w14:paraId="02E735EB">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7.领取或派发错误的留言支持撤回；</w:t>
            </w:r>
          </w:p>
          <w:p w14:paraId="1BB6CF54">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8.支持留言工单领取、派发、批量领取及批量派发；</w:t>
            </w:r>
          </w:p>
          <w:p w14:paraId="7A9D8F15">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9.用户留言后，支持给管理员发送通知提醒；</w:t>
            </w:r>
          </w:p>
          <w:p w14:paraId="07E7C19D">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10.支持会话转接，按业务组显示在线的人员列表和接待状态；</w:t>
            </w:r>
          </w:p>
          <w:p w14:paraId="79B1B83F">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11.支持知识库搜索功能，用户的问题按照语义匹配自动显示在搜索框；</w:t>
            </w:r>
          </w:p>
          <w:p w14:paraId="685D7CE2">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12.支持人工会话评价邀请；</w:t>
            </w:r>
          </w:p>
          <w:p w14:paraId="0439DC86">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13.▲留言支持直接添加到问答库；</w:t>
            </w:r>
            <w:r>
              <w:rPr>
                <w:rFonts w:hint="eastAsia" w:ascii="宋体" w:hAnsi="宋体" w:eastAsia="宋体" w:cs="宋体"/>
                <w:kern w:val="0"/>
                <w:sz w:val="18"/>
                <w:szCs w:val="18"/>
              </w:rPr>
              <w:t>（提供截图证明）</w:t>
            </w:r>
          </w:p>
          <w:p w14:paraId="04DEF113">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14.人工会话结束后，支持自动发送会话评价；支持客服手动发出会话评价；支持访客自己进行会话评价；</w:t>
            </w:r>
          </w:p>
          <w:p w14:paraId="6B64FA55">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15.支持快捷回复语功能。</w:t>
            </w:r>
          </w:p>
          <w:p w14:paraId="36B09484">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问答统计分析模块</w:t>
            </w:r>
          </w:p>
          <w:p w14:paraId="5C795BB1">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1.支持机器人问答历史纪录查看，根据时间、来源筛选指定历史会话内容，支持批量导出机器人历史会话记录；</w:t>
            </w:r>
          </w:p>
          <w:p w14:paraId="4F11974B">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2.支持热门问题统计，根据问答分类进行热门问题统计；</w:t>
            </w:r>
          </w:p>
          <w:p w14:paraId="67E33355">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3.支持访客统计，根据时间筛选查看访客数、会话数、消息总数；</w:t>
            </w:r>
          </w:p>
          <w:p w14:paraId="0F42A866">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4.支持有效无效回复统计，根据时间筛选查看有效无效率；</w:t>
            </w:r>
          </w:p>
          <w:p w14:paraId="1D8939DC">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5.支持人工问答统计，根据时间查看聊天记录；</w:t>
            </w:r>
          </w:p>
          <w:p w14:paraId="7F0F1BF4">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6.支持客服详情统计功能，可以查看客服的评分和星级；</w:t>
            </w:r>
          </w:p>
          <w:p w14:paraId="28428F9B">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7.▲支持查看、导出客服接待会话的好评率、参评率、评分；</w:t>
            </w:r>
            <w:r>
              <w:rPr>
                <w:rFonts w:hint="eastAsia" w:ascii="宋体" w:hAnsi="宋体" w:eastAsia="宋体" w:cs="宋体"/>
                <w:kern w:val="0"/>
                <w:sz w:val="18"/>
                <w:szCs w:val="18"/>
              </w:rPr>
              <w:t>（提供截图证明）</w:t>
            </w:r>
          </w:p>
          <w:p w14:paraId="0828B32B">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8.支持查看、导出客服的会话首次响应时长、平均会话响应时长；</w:t>
            </w:r>
          </w:p>
          <w:p w14:paraId="52D8EBE4">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9.支持问答库分类命中次数统计；</w:t>
            </w:r>
          </w:p>
          <w:p w14:paraId="20574ECB">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10.▲支持查看机器人不同的回复类型，包括百科问答、知识库问答、文献咨询、任务问答等。</w:t>
            </w:r>
            <w:r>
              <w:rPr>
                <w:rFonts w:hint="eastAsia" w:ascii="宋体" w:hAnsi="宋体" w:eastAsia="宋体" w:cs="宋体"/>
                <w:kern w:val="0"/>
                <w:sz w:val="18"/>
                <w:szCs w:val="18"/>
              </w:rPr>
              <w:t>（提供截图证明）</w:t>
            </w:r>
          </w:p>
          <w:p w14:paraId="26C650C2">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业务管理账号</w:t>
            </w:r>
          </w:p>
          <w:p w14:paraId="0A961B89">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1.默认开通1个机器人智能解答模块；</w:t>
            </w:r>
          </w:p>
          <w:p w14:paraId="614329D6">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2.超级管理员账号可以开通多个机器人；</w:t>
            </w:r>
          </w:p>
          <w:p w14:paraId="3D6299D1">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3.人工客服账号不限数量开放；</w:t>
            </w:r>
          </w:p>
          <w:p w14:paraId="7C8B3B48">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4.支持添加、编辑管理员，调整人数接待上限、所属业务分组；</w:t>
            </w:r>
          </w:p>
          <w:p w14:paraId="0ADBEF06">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5.支持开启黑名单功能；</w:t>
            </w:r>
          </w:p>
          <w:p w14:paraId="0852E938">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6.支持普通管理员可以添加、删除自己创建的业务组；</w:t>
            </w:r>
          </w:p>
          <w:p w14:paraId="3B3C7567">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7.支持根据业务组id自动生成业务组地址；</w:t>
            </w:r>
          </w:p>
          <w:p w14:paraId="08F2DAD5">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8. 支持设置普通管理员的权限，分配机器人和对应的问答库；</w:t>
            </w:r>
          </w:p>
          <w:p w14:paraId="76B89B3C">
            <w:pPr>
              <w:spacing w:line="360" w:lineRule="auto"/>
              <w:rPr>
                <w:rFonts w:ascii="宋体" w:hAnsi="宋体" w:eastAsia="宋体" w:cs="Times New Roman"/>
                <w:b/>
                <w:bCs/>
                <w:kern w:val="0"/>
                <w:sz w:val="20"/>
                <w:szCs w:val="20"/>
              </w:rPr>
            </w:pPr>
            <w:r>
              <w:rPr>
                <w:rFonts w:hint="eastAsia" w:ascii="宋体" w:hAnsi="宋体" w:eastAsia="宋体" w:cs="Times New Roman"/>
                <w:kern w:val="0"/>
                <w:sz w:val="18"/>
                <w:szCs w:val="18"/>
              </w:rPr>
              <w:t>9.业务留言支持分配给管理员。</w:t>
            </w:r>
          </w:p>
        </w:tc>
      </w:tr>
    </w:tbl>
    <w:p w14:paraId="7319EB31">
      <w:pPr>
        <w:spacing w:line="360" w:lineRule="auto"/>
        <w:jc w:val="center"/>
        <w:outlineLvl w:val="1"/>
        <w:rPr>
          <w:rFonts w:ascii="宋体" w:hAnsi="宋体" w:eastAsia="宋体" w:cs="宋体"/>
          <w:b/>
          <w:bCs/>
          <w:sz w:val="32"/>
          <w:szCs w:val="32"/>
        </w:rPr>
      </w:pPr>
      <w:bookmarkStart w:id="81" w:name="_Toc200016469"/>
      <w:r>
        <w:rPr>
          <w:rFonts w:ascii="宋体" w:hAnsi="宋体" w:eastAsia="宋体" w:cs="宋体"/>
          <w:b/>
          <w:bCs/>
          <w:sz w:val="32"/>
          <w:szCs w:val="32"/>
        </w:rPr>
        <w:t>其他要求</w:t>
      </w:r>
      <w:bookmarkEnd w:id="81"/>
    </w:p>
    <w:p w14:paraId="6870F6BC">
      <w:pPr>
        <w:spacing w:line="360" w:lineRule="auto"/>
        <w:ind w:firstLine="560" w:firstLineChars="200"/>
        <w:jc w:val="left"/>
        <w:rPr>
          <w:rFonts w:ascii="宋体" w:hAnsi="宋体" w:eastAsia="宋体" w:cs="宋体"/>
          <w:bCs/>
          <w:sz w:val="28"/>
          <w:szCs w:val="28"/>
        </w:rPr>
      </w:pPr>
      <w:r>
        <w:rPr>
          <w:rFonts w:hint="eastAsia" w:ascii="宋体" w:hAnsi="宋体" w:eastAsia="宋体" w:cs="宋体"/>
          <w:bCs/>
          <w:sz w:val="28"/>
          <w:szCs w:val="28"/>
        </w:rPr>
        <w:t>质保期：</w:t>
      </w:r>
    </w:p>
    <w:p w14:paraId="72AF9CD6">
      <w:pPr>
        <w:spacing w:line="360" w:lineRule="auto"/>
        <w:ind w:firstLine="560" w:firstLineChars="200"/>
        <w:jc w:val="left"/>
        <w:rPr>
          <w:rFonts w:ascii="宋体" w:hAnsi="宋体" w:eastAsia="宋体" w:cs="宋体"/>
          <w:bCs/>
          <w:sz w:val="28"/>
          <w:szCs w:val="28"/>
        </w:rPr>
      </w:pPr>
      <w:r>
        <w:rPr>
          <w:rFonts w:hint="eastAsia" w:ascii="宋体" w:hAnsi="宋体" w:eastAsia="宋体" w:cs="宋体"/>
          <w:bCs/>
          <w:sz w:val="28"/>
          <w:szCs w:val="28"/>
        </w:rPr>
        <w:t>自验收通过之日起，中标供应商提供所投产品和服务原厂商3年免费质保。</w:t>
      </w:r>
    </w:p>
    <w:p w14:paraId="6B4F81DC">
      <w:pPr>
        <w:spacing w:line="360" w:lineRule="auto"/>
        <w:ind w:firstLine="560" w:firstLineChars="200"/>
        <w:jc w:val="left"/>
        <w:rPr>
          <w:rFonts w:ascii="宋体" w:hAnsi="宋体" w:eastAsia="宋体" w:cs="宋体"/>
          <w:bCs/>
          <w:sz w:val="28"/>
          <w:szCs w:val="28"/>
        </w:rPr>
      </w:pPr>
      <w:r>
        <w:rPr>
          <w:rFonts w:hint="eastAsia" w:ascii="宋体" w:hAnsi="宋体" w:eastAsia="宋体" w:cs="宋体"/>
          <w:bCs/>
          <w:sz w:val="28"/>
          <w:szCs w:val="28"/>
        </w:rPr>
        <w:t>服务要求或标准：</w:t>
      </w:r>
    </w:p>
    <w:p w14:paraId="45A35B2A">
      <w:pPr>
        <w:spacing w:line="360" w:lineRule="auto"/>
        <w:ind w:firstLine="560" w:firstLineChars="200"/>
        <w:jc w:val="left"/>
        <w:rPr>
          <w:rFonts w:ascii="宋体" w:hAnsi="宋体" w:eastAsia="宋体" w:cs="宋体"/>
          <w:bCs/>
          <w:sz w:val="28"/>
          <w:szCs w:val="28"/>
        </w:rPr>
      </w:pPr>
      <w:r>
        <w:rPr>
          <w:rFonts w:hint="eastAsia" w:ascii="宋体" w:hAnsi="宋体" w:eastAsia="宋体" w:cs="宋体"/>
          <w:bCs/>
          <w:sz w:val="28"/>
          <w:szCs w:val="28"/>
        </w:rPr>
        <w:t>免费维护期内的7天*24小时的售后服务，在接到用户故障报告后响应时间不超过2小时。</w:t>
      </w:r>
    </w:p>
    <w:p w14:paraId="26C7EAF4">
      <w:pPr>
        <w:spacing w:line="360" w:lineRule="auto"/>
        <w:ind w:firstLine="560" w:firstLineChars="200"/>
        <w:jc w:val="left"/>
        <w:rPr>
          <w:rFonts w:ascii="宋体" w:hAnsi="宋体" w:eastAsia="宋体" w:cs="宋体"/>
          <w:bCs/>
          <w:sz w:val="28"/>
          <w:szCs w:val="28"/>
        </w:rPr>
      </w:pPr>
      <w:r>
        <w:rPr>
          <w:rFonts w:hint="eastAsia" w:ascii="宋体" w:hAnsi="宋体" w:eastAsia="宋体" w:cs="宋体"/>
          <w:bCs/>
          <w:sz w:val="28"/>
          <w:szCs w:val="28"/>
        </w:rPr>
        <w:t>合同履约期限：</w:t>
      </w:r>
    </w:p>
    <w:p w14:paraId="4F9F3439">
      <w:pPr>
        <w:spacing w:line="360" w:lineRule="auto"/>
        <w:ind w:firstLine="560" w:firstLineChars="200"/>
        <w:jc w:val="left"/>
        <w:rPr>
          <w:rFonts w:ascii="宋体" w:hAnsi="宋体" w:eastAsia="宋体" w:cs="宋体"/>
          <w:bCs/>
          <w:sz w:val="28"/>
          <w:szCs w:val="28"/>
        </w:rPr>
      </w:pPr>
      <w:r>
        <w:rPr>
          <w:rFonts w:hint="eastAsia" w:ascii="宋体" w:hAnsi="宋体" w:eastAsia="宋体" w:cs="宋体"/>
          <w:bCs/>
          <w:sz w:val="28"/>
          <w:szCs w:val="28"/>
        </w:rPr>
        <w:t>自合同签订之日起30日历日内交货并完成安装调试。</w:t>
      </w:r>
    </w:p>
    <w:p w14:paraId="012F4F4D">
      <w:pPr>
        <w:spacing w:line="360" w:lineRule="auto"/>
        <w:ind w:firstLine="560" w:firstLineChars="200"/>
        <w:jc w:val="left"/>
        <w:rPr>
          <w:rFonts w:ascii="宋体" w:hAnsi="宋体" w:eastAsia="宋体" w:cs="宋体"/>
          <w:bCs/>
          <w:sz w:val="28"/>
          <w:szCs w:val="28"/>
        </w:rPr>
      </w:pPr>
      <w:r>
        <w:rPr>
          <w:rFonts w:hint="eastAsia" w:ascii="宋体" w:hAnsi="宋体" w:eastAsia="宋体" w:cs="宋体"/>
          <w:bCs/>
          <w:sz w:val="28"/>
          <w:szCs w:val="28"/>
        </w:rPr>
        <w:t>安装地点：</w:t>
      </w:r>
    </w:p>
    <w:p w14:paraId="2024ED9B">
      <w:pPr>
        <w:spacing w:line="360" w:lineRule="auto"/>
        <w:ind w:firstLine="560" w:firstLineChars="200"/>
        <w:jc w:val="left"/>
        <w:rPr>
          <w:rFonts w:ascii="宋体" w:hAnsi="宋体" w:eastAsia="宋体" w:cs="宋体"/>
          <w:bCs/>
          <w:sz w:val="28"/>
          <w:szCs w:val="28"/>
        </w:rPr>
      </w:pPr>
      <w:r>
        <w:rPr>
          <w:rFonts w:hint="eastAsia" w:ascii="宋体" w:hAnsi="宋体" w:eastAsia="宋体" w:cs="宋体"/>
          <w:bCs/>
          <w:sz w:val="28"/>
          <w:szCs w:val="28"/>
        </w:rPr>
        <w:t>采购人指定地点。</w:t>
      </w:r>
    </w:p>
    <w:p w14:paraId="304448BB">
      <w:pPr>
        <w:spacing w:line="360" w:lineRule="auto"/>
        <w:ind w:firstLine="560" w:firstLineChars="200"/>
        <w:jc w:val="left"/>
        <w:rPr>
          <w:rFonts w:ascii="宋体" w:hAnsi="宋体" w:eastAsia="宋体" w:cs="宋体"/>
          <w:bCs/>
          <w:sz w:val="28"/>
          <w:szCs w:val="28"/>
        </w:rPr>
      </w:pPr>
      <w:r>
        <w:rPr>
          <w:rFonts w:hint="eastAsia" w:ascii="宋体" w:hAnsi="宋体" w:eastAsia="宋体" w:cs="宋体"/>
          <w:bCs/>
          <w:sz w:val="28"/>
          <w:szCs w:val="28"/>
        </w:rPr>
        <w:t>售后标准：</w:t>
      </w:r>
    </w:p>
    <w:p w14:paraId="78E807C5">
      <w:pPr>
        <w:spacing w:line="360" w:lineRule="auto"/>
        <w:ind w:firstLine="560" w:firstLineChars="200"/>
        <w:jc w:val="left"/>
        <w:rPr>
          <w:rFonts w:ascii="宋体" w:hAnsi="宋体" w:eastAsia="宋体" w:cs="宋体"/>
          <w:bCs/>
          <w:sz w:val="28"/>
          <w:szCs w:val="28"/>
        </w:rPr>
      </w:pPr>
      <w:r>
        <w:rPr>
          <w:rFonts w:hint="eastAsia" w:ascii="宋体" w:hAnsi="宋体" w:eastAsia="宋体" w:cs="宋体"/>
          <w:bCs/>
          <w:sz w:val="28"/>
          <w:szCs w:val="28"/>
        </w:rPr>
        <w:t>提供3年的免费运维服务；在免费运维期内，必须提供7*24小时热线支持，并提供紧急情况下1小时内到现场、一般情况下2小时内到现场的快速响应。特殊情况无法修复的，质保期内中标供应商应无条件更换新系统或采取使系统可正常运转的措施。</w:t>
      </w:r>
    </w:p>
    <w:p w14:paraId="2B445DB7">
      <w:pPr>
        <w:spacing w:line="360" w:lineRule="auto"/>
        <w:ind w:firstLine="560" w:firstLineChars="200"/>
        <w:jc w:val="left"/>
        <w:rPr>
          <w:rFonts w:ascii="宋体" w:hAnsi="宋体" w:eastAsia="宋体" w:cs="宋体"/>
          <w:bCs/>
          <w:sz w:val="28"/>
          <w:szCs w:val="28"/>
        </w:rPr>
      </w:pPr>
      <w:r>
        <w:rPr>
          <w:rFonts w:hint="eastAsia" w:ascii="宋体" w:hAnsi="宋体" w:eastAsia="宋体" w:cs="宋体"/>
          <w:bCs/>
          <w:sz w:val="28"/>
          <w:szCs w:val="28"/>
        </w:rPr>
        <w:t>付款方式：</w:t>
      </w:r>
    </w:p>
    <w:p w14:paraId="5346AC75">
      <w:pPr>
        <w:spacing w:line="360" w:lineRule="auto"/>
        <w:ind w:firstLine="560" w:firstLineChars="200"/>
        <w:jc w:val="left"/>
        <w:rPr>
          <w:rFonts w:ascii="宋体" w:hAnsi="宋体" w:eastAsia="宋体" w:cs="宋体"/>
          <w:bCs/>
          <w:sz w:val="28"/>
          <w:szCs w:val="28"/>
        </w:rPr>
      </w:pPr>
      <w:r>
        <w:rPr>
          <w:rFonts w:hint="eastAsia" w:ascii="宋体" w:hAnsi="宋体" w:eastAsia="宋体" w:cs="宋体"/>
          <w:bCs/>
          <w:sz w:val="28"/>
          <w:szCs w:val="28"/>
        </w:rPr>
        <w:t>合同签订后，供货方先向采购方开具符合采购方财务需要的等额增值税普通发票。甲方收到上述发票后，向供货方支付 50%合同额。系统和各类设施设备到货、调试完毕并验收合格，经采购方确认能够正常使用且内容、质量无误之后，支付剩余合同金额50%。</w:t>
      </w:r>
    </w:p>
    <w:p w14:paraId="6F0544DA">
      <w:pPr>
        <w:widowControl/>
        <w:jc w:val="left"/>
        <w:rPr>
          <w:rFonts w:ascii="宋体" w:hAnsi="宋体" w:eastAsia="宋体" w:cs="仿宋"/>
          <w:b/>
          <w:sz w:val="28"/>
          <w:szCs w:val="24"/>
        </w:rPr>
      </w:pPr>
      <w:r>
        <w:rPr>
          <w:rFonts w:ascii="宋体" w:hAnsi="宋体" w:eastAsia="宋体" w:cs="仿宋"/>
          <w:b/>
          <w:sz w:val="28"/>
          <w:szCs w:val="24"/>
        </w:rPr>
        <w:br w:type="page"/>
      </w:r>
    </w:p>
    <w:p w14:paraId="0E604E8D">
      <w:pPr>
        <w:spacing w:line="440" w:lineRule="exact"/>
        <w:jc w:val="center"/>
        <w:outlineLvl w:val="0"/>
        <w:rPr>
          <w:rFonts w:ascii="宋体" w:hAnsi="宋体" w:eastAsia="宋体" w:cs="仿宋"/>
          <w:b/>
          <w:sz w:val="24"/>
          <w:szCs w:val="24"/>
        </w:rPr>
      </w:pPr>
      <w:bookmarkStart w:id="82" w:name="_Toc200016470"/>
      <w:r>
        <w:rPr>
          <w:rFonts w:hint="eastAsia" w:ascii="宋体" w:hAnsi="宋体" w:eastAsia="宋体" w:cs="仿宋"/>
          <w:b/>
          <w:sz w:val="28"/>
          <w:szCs w:val="24"/>
        </w:rPr>
        <w:t>第五章 投标文件格式</w:t>
      </w:r>
      <w:bookmarkEnd w:id="78"/>
      <w:bookmarkEnd w:id="82"/>
    </w:p>
    <w:p w14:paraId="18A359AE">
      <w:pPr>
        <w:rPr>
          <w:rFonts w:ascii="宋体" w:hAnsi="宋体" w:eastAsia="宋体" w:cs="仿宋"/>
          <w:b/>
          <w:sz w:val="24"/>
          <w:szCs w:val="24"/>
        </w:rPr>
      </w:pPr>
    </w:p>
    <w:p w14:paraId="4CBA3ADD">
      <w:pPr>
        <w:rPr>
          <w:rFonts w:ascii="宋体" w:hAnsi="宋体" w:eastAsia="宋体" w:cs="仿宋"/>
          <w:sz w:val="24"/>
          <w:szCs w:val="24"/>
          <w:u w:val="single"/>
        </w:rPr>
      </w:pPr>
      <w:r>
        <w:rPr>
          <w:rFonts w:hint="eastAsia" w:ascii="宋体" w:hAnsi="宋体" w:eastAsia="宋体" w:cs="仿宋"/>
          <w:sz w:val="24"/>
          <w:szCs w:val="24"/>
          <w:u w:val="single"/>
        </w:rPr>
        <w:t>投标文件封面示例</w:t>
      </w:r>
    </w:p>
    <w:p w14:paraId="62D9BA2E">
      <w:pPr>
        <w:spacing w:line="720" w:lineRule="auto"/>
        <w:ind w:right="315"/>
        <w:jc w:val="right"/>
        <w:rPr>
          <w:rFonts w:ascii="宋体" w:hAnsi="宋体" w:eastAsia="宋体" w:cs="仿宋"/>
          <w:b/>
          <w:sz w:val="24"/>
          <w:szCs w:val="24"/>
          <w:bdr w:val="single" w:color="auto" w:sz="4" w:space="0"/>
        </w:rPr>
      </w:pPr>
      <w:r>
        <w:rPr>
          <w:rFonts w:hint="eastAsia" w:ascii="宋体" w:hAnsi="宋体" w:eastAsia="宋体" w:cs="仿宋"/>
          <w:b/>
          <w:sz w:val="24"/>
          <w:szCs w:val="24"/>
          <w:bdr w:val="single" w:color="auto" w:sz="4" w:space="0"/>
        </w:rPr>
        <w:t>正本</w:t>
      </w:r>
    </w:p>
    <w:p w14:paraId="31E5DDEA">
      <w:pPr>
        <w:spacing w:line="480" w:lineRule="auto"/>
        <w:jc w:val="center"/>
        <w:rPr>
          <w:rFonts w:ascii="宋体" w:hAnsi="宋体" w:eastAsia="宋体" w:cs="仿宋"/>
          <w:b/>
          <w:bCs/>
          <w:sz w:val="24"/>
          <w:szCs w:val="24"/>
          <w:u w:val="single"/>
        </w:rPr>
      </w:pPr>
      <w:r>
        <w:rPr>
          <w:rFonts w:hint="eastAsia" w:ascii="宋体" w:hAnsi="宋体" w:eastAsia="宋体" w:cs="仿宋"/>
          <w:b/>
          <w:bCs/>
          <w:sz w:val="24"/>
          <w:szCs w:val="24"/>
          <w:u w:val="single"/>
        </w:rPr>
        <w:t>（项目名称）</w:t>
      </w:r>
    </w:p>
    <w:p w14:paraId="0BD01243">
      <w:pPr>
        <w:spacing w:line="480" w:lineRule="auto"/>
        <w:jc w:val="center"/>
        <w:rPr>
          <w:rFonts w:ascii="宋体" w:hAnsi="宋体" w:eastAsia="宋体" w:cs="仿宋"/>
          <w:b/>
          <w:bCs/>
          <w:sz w:val="24"/>
          <w:szCs w:val="24"/>
          <w:u w:val="single"/>
        </w:rPr>
      </w:pPr>
      <w:r>
        <w:rPr>
          <w:rFonts w:hint="eastAsia" w:ascii="宋体" w:hAnsi="宋体" w:eastAsia="宋体" w:cs="仿宋"/>
          <w:b/>
          <w:bCs/>
          <w:sz w:val="24"/>
          <w:szCs w:val="24"/>
          <w:u w:val="single"/>
        </w:rPr>
        <w:t>（项目编号）</w:t>
      </w:r>
    </w:p>
    <w:p w14:paraId="1689E657">
      <w:pPr>
        <w:spacing w:line="300" w:lineRule="exact"/>
        <w:jc w:val="center"/>
        <w:rPr>
          <w:rFonts w:ascii="宋体" w:hAnsi="宋体" w:eastAsia="宋体" w:cs="仿宋"/>
          <w:b/>
          <w:bCs/>
          <w:sz w:val="24"/>
          <w:szCs w:val="24"/>
        </w:rPr>
      </w:pPr>
    </w:p>
    <w:p w14:paraId="011E7367">
      <w:pPr>
        <w:spacing w:line="300" w:lineRule="exact"/>
        <w:jc w:val="center"/>
        <w:rPr>
          <w:rFonts w:ascii="宋体" w:hAnsi="宋体" w:eastAsia="宋体" w:cs="仿宋"/>
          <w:b/>
          <w:bCs/>
          <w:sz w:val="24"/>
          <w:szCs w:val="24"/>
        </w:rPr>
      </w:pPr>
    </w:p>
    <w:p w14:paraId="4EDC8EBC">
      <w:pPr>
        <w:spacing w:line="300" w:lineRule="exact"/>
        <w:jc w:val="center"/>
        <w:rPr>
          <w:rFonts w:ascii="宋体" w:hAnsi="宋体" w:eastAsia="宋体" w:cs="仿宋"/>
          <w:b/>
          <w:bCs/>
          <w:sz w:val="24"/>
          <w:szCs w:val="24"/>
        </w:rPr>
      </w:pPr>
      <w:r>
        <w:rPr>
          <w:rFonts w:hint="eastAsia" w:ascii="宋体" w:hAnsi="宋体" w:eastAsia="宋体" w:cs="仿宋"/>
          <w:b/>
          <w:bCs/>
          <w:sz w:val="24"/>
          <w:szCs w:val="24"/>
        </w:rPr>
        <w:t>投标文件</w:t>
      </w:r>
    </w:p>
    <w:p w14:paraId="2EFD02CF">
      <w:pPr>
        <w:spacing w:line="720" w:lineRule="auto"/>
        <w:rPr>
          <w:rFonts w:ascii="宋体" w:hAnsi="宋体" w:eastAsia="宋体" w:cs="仿宋"/>
          <w:sz w:val="24"/>
          <w:szCs w:val="24"/>
        </w:rPr>
      </w:pPr>
    </w:p>
    <w:p w14:paraId="40A8C0AB">
      <w:pPr>
        <w:spacing w:line="720" w:lineRule="auto"/>
        <w:rPr>
          <w:rFonts w:ascii="宋体" w:hAnsi="宋体" w:eastAsia="宋体" w:cs="仿宋"/>
          <w:sz w:val="24"/>
          <w:szCs w:val="24"/>
        </w:rPr>
      </w:pPr>
      <w:r>
        <w:rPr>
          <w:rFonts w:hint="eastAsia" w:ascii="宋体" w:hAnsi="宋体" w:eastAsia="宋体" w:cs="仿宋"/>
          <w:sz w:val="24"/>
          <w:szCs w:val="24"/>
        </w:rPr>
        <w:t>投标人：（盖章）</w:t>
      </w:r>
    </w:p>
    <w:p w14:paraId="6F9883F7">
      <w:pPr>
        <w:spacing w:line="720" w:lineRule="auto"/>
        <w:rPr>
          <w:rFonts w:ascii="宋体" w:hAnsi="宋体" w:eastAsia="宋体" w:cs="仿宋"/>
          <w:sz w:val="24"/>
          <w:szCs w:val="24"/>
        </w:rPr>
      </w:pPr>
      <w:r>
        <w:rPr>
          <w:rFonts w:hint="eastAsia" w:ascii="宋体" w:hAnsi="宋体" w:eastAsia="宋体" w:cs="仿宋"/>
          <w:sz w:val="24"/>
          <w:szCs w:val="24"/>
        </w:rPr>
        <w:t>法定代表人：（盖章）</w:t>
      </w:r>
    </w:p>
    <w:p w14:paraId="1435FAF3">
      <w:pPr>
        <w:spacing w:line="720" w:lineRule="auto"/>
        <w:rPr>
          <w:rFonts w:ascii="宋体" w:hAnsi="宋体" w:eastAsia="宋体" w:cs="仿宋"/>
          <w:sz w:val="24"/>
          <w:szCs w:val="24"/>
        </w:rPr>
      </w:pPr>
      <w:r>
        <w:rPr>
          <w:rFonts w:hint="eastAsia" w:ascii="宋体" w:hAnsi="宋体" w:eastAsia="宋体" w:cs="仿宋"/>
          <w:sz w:val="24"/>
          <w:szCs w:val="24"/>
        </w:rPr>
        <w:t>联系人：</w:t>
      </w:r>
    </w:p>
    <w:p w14:paraId="7CEF6E6C">
      <w:pPr>
        <w:spacing w:line="720" w:lineRule="auto"/>
        <w:rPr>
          <w:rFonts w:ascii="宋体" w:hAnsi="宋体" w:eastAsia="宋体" w:cs="仿宋"/>
          <w:sz w:val="24"/>
          <w:szCs w:val="24"/>
        </w:rPr>
      </w:pPr>
      <w:r>
        <w:rPr>
          <w:rFonts w:hint="eastAsia" w:ascii="宋体" w:hAnsi="宋体" w:eastAsia="宋体" w:cs="仿宋"/>
          <w:sz w:val="24"/>
          <w:szCs w:val="24"/>
        </w:rPr>
        <w:t>联系电话：</w:t>
      </w:r>
    </w:p>
    <w:p w14:paraId="3815BCA7">
      <w:pPr>
        <w:spacing w:line="720" w:lineRule="auto"/>
        <w:rPr>
          <w:rFonts w:ascii="宋体" w:hAnsi="宋体" w:eastAsia="宋体" w:cs="仿宋"/>
          <w:sz w:val="24"/>
          <w:szCs w:val="24"/>
        </w:rPr>
      </w:pPr>
    </w:p>
    <w:p w14:paraId="2DF4A5FE">
      <w:pPr>
        <w:spacing w:line="720" w:lineRule="auto"/>
        <w:ind w:firstLine="2" w:firstLineChars="1"/>
        <w:jc w:val="center"/>
        <w:rPr>
          <w:rFonts w:ascii="宋体" w:hAnsi="宋体" w:eastAsia="宋体" w:cs="仿宋"/>
          <w:sz w:val="24"/>
          <w:szCs w:val="24"/>
        </w:rPr>
      </w:pPr>
      <w:r>
        <w:rPr>
          <w:rFonts w:hint="eastAsia" w:ascii="宋体" w:hAnsi="宋体" w:eastAsia="宋体" w:cs="仿宋"/>
          <w:sz w:val="24"/>
          <w:szCs w:val="24"/>
        </w:rPr>
        <w:t>年   月   日</w:t>
      </w:r>
    </w:p>
    <w:p w14:paraId="02EAB75C">
      <w:pPr>
        <w:tabs>
          <w:tab w:val="center" w:pos="4832"/>
          <w:tab w:val="left" w:pos="7140"/>
        </w:tabs>
        <w:jc w:val="center"/>
        <w:rPr>
          <w:rFonts w:ascii="宋体" w:hAnsi="宋体" w:eastAsia="宋体" w:cs="仿宋"/>
          <w:b/>
          <w:sz w:val="24"/>
          <w:szCs w:val="24"/>
        </w:rPr>
      </w:pPr>
      <w:r>
        <w:rPr>
          <w:rFonts w:hint="eastAsia" w:ascii="宋体" w:hAnsi="宋体" w:eastAsia="宋体" w:cs="仿宋"/>
          <w:b/>
          <w:sz w:val="24"/>
          <w:szCs w:val="24"/>
        </w:rPr>
        <w:br w:type="page"/>
      </w:r>
      <w:bookmarkStart w:id="83" w:name="_Toc130252613"/>
      <w:r>
        <w:rPr>
          <w:rFonts w:hint="eastAsia" w:ascii="宋体" w:hAnsi="宋体" w:eastAsia="宋体" w:cs="仿宋"/>
          <w:b/>
          <w:sz w:val="24"/>
          <w:szCs w:val="24"/>
        </w:rPr>
        <w:t>目录</w:t>
      </w:r>
      <w:bookmarkEnd w:id="83"/>
    </w:p>
    <w:p w14:paraId="6B2AAC3D">
      <w:pPr>
        <w:spacing w:line="280" w:lineRule="exact"/>
        <w:ind w:firstLine="240" w:firstLineChars="100"/>
        <w:rPr>
          <w:rFonts w:ascii="宋体" w:hAnsi="宋体" w:eastAsia="宋体" w:cs="仿宋"/>
          <w:bCs/>
          <w:sz w:val="24"/>
          <w:szCs w:val="24"/>
        </w:rPr>
      </w:pPr>
    </w:p>
    <w:p w14:paraId="57CABC71">
      <w:pPr>
        <w:spacing w:line="360" w:lineRule="auto"/>
        <w:ind w:firstLine="240" w:firstLineChars="100"/>
        <w:rPr>
          <w:rFonts w:ascii="宋体" w:hAnsi="宋体" w:eastAsia="宋体" w:cs="仿宋"/>
          <w:bCs/>
          <w:sz w:val="24"/>
          <w:szCs w:val="24"/>
        </w:rPr>
      </w:pPr>
      <w:r>
        <w:rPr>
          <w:rFonts w:hint="eastAsia" w:ascii="宋体" w:hAnsi="宋体" w:eastAsia="宋体" w:cs="仿宋"/>
          <w:bCs/>
          <w:sz w:val="24"/>
          <w:szCs w:val="24"/>
        </w:rPr>
        <w:t>一、投标函</w:t>
      </w:r>
    </w:p>
    <w:p w14:paraId="0EAF9463">
      <w:pPr>
        <w:spacing w:line="360" w:lineRule="auto"/>
        <w:ind w:firstLine="240" w:firstLineChars="100"/>
        <w:rPr>
          <w:rFonts w:ascii="宋体" w:hAnsi="宋体" w:eastAsia="宋体" w:cs="仿宋"/>
          <w:bCs/>
          <w:sz w:val="24"/>
          <w:szCs w:val="24"/>
        </w:rPr>
      </w:pPr>
      <w:r>
        <w:rPr>
          <w:rFonts w:hint="eastAsia" w:ascii="宋体" w:hAnsi="宋体" w:eastAsia="宋体" w:cs="仿宋"/>
          <w:bCs/>
          <w:sz w:val="24"/>
          <w:szCs w:val="24"/>
        </w:rPr>
        <w:t>二、投标价格明细表</w:t>
      </w:r>
    </w:p>
    <w:p w14:paraId="446BF909">
      <w:pPr>
        <w:spacing w:line="360" w:lineRule="auto"/>
        <w:ind w:firstLine="240" w:firstLineChars="100"/>
        <w:rPr>
          <w:rFonts w:ascii="宋体" w:hAnsi="宋体" w:eastAsia="宋体" w:cs="仿宋"/>
          <w:bCs/>
          <w:sz w:val="24"/>
          <w:szCs w:val="24"/>
        </w:rPr>
      </w:pPr>
      <w:r>
        <w:rPr>
          <w:rFonts w:hint="eastAsia" w:ascii="宋体" w:hAnsi="宋体" w:eastAsia="宋体" w:cs="仿宋"/>
          <w:bCs/>
          <w:sz w:val="24"/>
          <w:szCs w:val="24"/>
        </w:rPr>
        <w:t>三、中小微企业投标价格统计表</w:t>
      </w:r>
    </w:p>
    <w:p w14:paraId="49863903">
      <w:pPr>
        <w:spacing w:line="360" w:lineRule="auto"/>
        <w:ind w:firstLine="240" w:firstLineChars="100"/>
        <w:rPr>
          <w:rFonts w:ascii="宋体" w:hAnsi="宋体" w:eastAsia="宋体" w:cs="仿宋"/>
          <w:bCs/>
          <w:sz w:val="24"/>
          <w:szCs w:val="24"/>
        </w:rPr>
      </w:pPr>
      <w:r>
        <w:rPr>
          <w:rFonts w:hint="eastAsia" w:ascii="宋体" w:hAnsi="宋体" w:eastAsia="宋体" w:cs="仿宋"/>
          <w:bCs/>
          <w:sz w:val="24"/>
          <w:szCs w:val="24"/>
        </w:rPr>
        <w:t>四、技术条款偏离表</w:t>
      </w:r>
    </w:p>
    <w:p w14:paraId="60B4429D">
      <w:pPr>
        <w:spacing w:line="360" w:lineRule="auto"/>
        <w:ind w:firstLine="240" w:firstLineChars="100"/>
        <w:rPr>
          <w:rFonts w:ascii="宋体" w:hAnsi="宋体" w:eastAsia="宋体" w:cs="仿宋"/>
          <w:bCs/>
          <w:sz w:val="24"/>
          <w:szCs w:val="24"/>
        </w:rPr>
      </w:pPr>
      <w:r>
        <w:rPr>
          <w:rFonts w:hint="eastAsia" w:ascii="宋体" w:hAnsi="宋体" w:eastAsia="宋体" w:cs="仿宋"/>
          <w:bCs/>
          <w:sz w:val="24"/>
          <w:szCs w:val="24"/>
        </w:rPr>
        <w:t>五、商务条款偏离表</w:t>
      </w:r>
    </w:p>
    <w:p w14:paraId="56FDA310">
      <w:pPr>
        <w:spacing w:line="360" w:lineRule="auto"/>
        <w:ind w:firstLine="240" w:firstLineChars="100"/>
        <w:rPr>
          <w:rFonts w:ascii="宋体" w:hAnsi="宋体" w:eastAsia="宋体" w:cs="仿宋"/>
          <w:bCs/>
          <w:sz w:val="24"/>
          <w:szCs w:val="24"/>
        </w:rPr>
      </w:pPr>
      <w:r>
        <w:rPr>
          <w:rFonts w:hint="eastAsia" w:ascii="宋体" w:hAnsi="宋体" w:eastAsia="宋体" w:cs="仿宋"/>
          <w:bCs/>
          <w:sz w:val="24"/>
          <w:szCs w:val="24"/>
        </w:rPr>
        <w:t>六、法定代表人身份证明书</w:t>
      </w:r>
    </w:p>
    <w:p w14:paraId="5ED01099">
      <w:pPr>
        <w:spacing w:line="360" w:lineRule="auto"/>
        <w:ind w:firstLine="240" w:firstLineChars="100"/>
        <w:rPr>
          <w:rFonts w:ascii="宋体" w:hAnsi="宋体" w:eastAsia="宋体" w:cs="仿宋"/>
          <w:bCs/>
          <w:sz w:val="24"/>
          <w:szCs w:val="24"/>
        </w:rPr>
      </w:pPr>
      <w:r>
        <w:rPr>
          <w:rFonts w:hint="eastAsia" w:ascii="宋体" w:hAnsi="宋体" w:eastAsia="宋体" w:cs="仿宋"/>
          <w:bCs/>
          <w:sz w:val="24"/>
          <w:szCs w:val="24"/>
        </w:rPr>
        <w:t>七、法定代表人授权委托书</w:t>
      </w:r>
    </w:p>
    <w:p w14:paraId="0FBE2B35">
      <w:pPr>
        <w:spacing w:line="360" w:lineRule="auto"/>
        <w:ind w:firstLine="240" w:firstLineChars="100"/>
        <w:rPr>
          <w:rFonts w:ascii="宋体" w:hAnsi="宋体" w:eastAsia="宋体" w:cs="仿宋"/>
          <w:bCs/>
          <w:sz w:val="24"/>
          <w:szCs w:val="24"/>
        </w:rPr>
      </w:pPr>
      <w:r>
        <w:rPr>
          <w:rFonts w:hint="eastAsia" w:ascii="宋体" w:hAnsi="宋体" w:eastAsia="宋体" w:cs="仿宋"/>
          <w:bCs/>
          <w:sz w:val="24"/>
          <w:szCs w:val="24"/>
        </w:rPr>
        <w:t>八、投标人资格条件证明材料</w:t>
      </w:r>
    </w:p>
    <w:p w14:paraId="221D9E47">
      <w:pPr>
        <w:spacing w:line="360" w:lineRule="auto"/>
        <w:ind w:firstLine="240" w:firstLineChars="100"/>
        <w:rPr>
          <w:rFonts w:ascii="宋体" w:hAnsi="宋体" w:eastAsia="宋体" w:cs="仿宋"/>
          <w:bCs/>
          <w:sz w:val="24"/>
          <w:szCs w:val="24"/>
        </w:rPr>
      </w:pPr>
      <w:r>
        <w:rPr>
          <w:rFonts w:hint="eastAsia" w:ascii="宋体" w:hAnsi="宋体" w:eastAsia="宋体" w:cs="仿宋"/>
          <w:bCs/>
          <w:sz w:val="24"/>
          <w:szCs w:val="24"/>
        </w:rPr>
        <w:t>九、投标人近年类似项目情况表</w:t>
      </w:r>
    </w:p>
    <w:p w14:paraId="62BF8A46">
      <w:pPr>
        <w:spacing w:line="360" w:lineRule="auto"/>
        <w:ind w:firstLine="240" w:firstLineChars="100"/>
        <w:rPr>
          <w:rFonts w:ascii="宋体" w:hAnsi="宋体" w:eastAsia="宋体" w:cs="仿宋"/>
          <w:bCs/>
          <w:sz w:val="24"/>
          <w:szCs w:val="24"/>
        </w:rPr>
      </w:pPr>
      <w:r>
        <w:rPr>
          <w:rFonts w:hint="eastAsia" w:ascii="宋体" w:hAnsi="宋体" w:eastAsia="宋体" w:cs="仿宋"/>
          <w:bCs/>
          <w:sz w:val="24"/>
          <w:szCs w:val="24"/>
        </w:rPr>
        <w:t>十、售后服务承诺书</w:t>
      </w:r>
    </w:p>
    <w:p w14:paraId="66020756">
      <w:pPr>
        <w:spacing w:line="360" w:lineRule="auto"/>
        <w:ind w:firstLine="240" w:firstLineChars="100"/>
        <w:rPr>
          <w:rFonts w:ascii="宋体" w:hAnsi="宋体" w:eastAsia="宋体" w:cs="仿宋"/>
          <w:bCs/>
          <w:sz w:val="24"/>
          <w:szCs w:val="24"/>
        </w:rPr>
      </w:pPr>
      <w:r>
        <w:rPr>
          <w:rFonts w:hint="eastAsia" w:ascii="宋体" w:hAnsi="宋体" w:eastAsia="宋体" w:cs="仿宋"/>
          <w:bCs/>
          <w:sz w:val="24"/>
          <w:szCs w:val="24"/>
        </w:rPr>
        <w:t>十一、技术方案</w:t>
      </w:r>
    </w:p>
    <w:p w14:paraId="1E2788F9">
      <w:pPr>
        <w:spacing w:line="360" w:lineRule="auto"/>
        <w:ind w:firstLine="240" w:firstLineChars="100"/>
        <w:rPr>
          <w:rFonts w:ascii="宋体" w:hAnsi="宋体" w:eastAsia="宋体" w:cs="仿宋"/>
          <w:bCs/>
          <w:sz w:val="24"/>
          <w:szCs w:val="24"/>
        </w:rPr>
      </w:pPr>
      <w:r>
        <w:rPr>
          <w:rFonts w:hint="eastAsia" w:ascii="宋体" w:hAnsi="宋体" w:eastAsia="宋体" w:cs="仿宋"/>
          <w:bCs/>
          <w:sz w:val="24"/>
          <w:szCs w:val="24"/>
        </w:rPr>
        <w:t>十二、其它需要提交的资料</w:t>
      </w:r>
    </w:p>
    <w:p w14:paraId="30C0D233">
      <w:pPr>
        <w:spacing w:line="360" w:lineRule="auto"/>
        <w:ind w:firstLine="240" w:firstLineChars="100"/>
        <w:rPr>
          <w:rFonts w:ascii="宋体" w:hAnsi="宋体" w:eastAsia="宋体" w:cs="仿宋"/>
          <w:kern w:val="0"/>
          <w:sz w:val="24"/>
          <w:szCs w:val="24"/>
        </w:rPr>
      </w:pPr>
    </w:p>
    <w:p w14:paraId="0DF1EAC4">
      <w:pPr>
        <w:spacing w:line="360" w:lineRule="auto"/>
        <w:rPr>
          <w:rFonts w:ascii="宋体" w:hAnsi="宋体" w:eastAsia="宋体" w:cs="仿宋"/>
          <w:bCs/>
          <w:sz w:val="24"/>
          <w:szCs w:val="24"/>
        </w:rPr>
      </w:pPr>
      <w:r>
        <w:rPr>
          <w:rFonts w:hint="eastAsia" w:ascii="宋体" w:hAnsi="宋体" w:eastAsia="宋体" w:cs="仿宋"/>
          <w:bCs/>
          <w:sz w:val="24"/>
          <w:szCs w:val="24"/>
        </w:rPr>
        <w:t>注：为了便于查找，请按上述顺序编制投标文件内容，并在目录中标明每项内容的起始页码。</w:t>
      </w:r>
    </w:p>
    <w:p w14:paraId="10741BC9">
      <w:pPr>
        <w:tabs>
          <w:tab w:val="center" w:pos="4832"/>
          <w:tab w:val="left" w:pos="7140"/>
        </w:tabs>
        <w:jc w:val="center"/>
        <w:outlineLvl w:val="1"/>
        <w:rPr>
          <w:rFonts w:ascii="宋体" w:hAnsi="宋体" w:eastAsia="宋体" w:cs="仿宋"/>
          <w:b/>
          <w:sz w:val="24"/>
          <w:szCs w:val="24"/>
        </w:rPr>
      </w:pPr>
      <w:r>
        <w:rPr>
          <w:rFonts w:hint="eastAsia" w:ascii="宋体" w:hAnsi="宋体" w:eastAsia="宋体" w:cs="仿宋"/>
          <w:b/>
          <w:sz w:val="24"/>
          <w:szCs w:val="24"/>
        </w:rPr>
        <w:br w:type="page"/>
      </w:r>
      <w:bookmarkStart w:id="84" w:name="_Toc109941764"/>
      <w:bookmarkStart w:id="85" w:name="_Toc130252614"/>
      <w:bookmarkStart w:id="86" w:name="_Toc110707964"/>
      <w:bookmarkStart w:id="87" w:name="_Toc200016471"/>
      <w:r>
        <w:rPr>
          <w:rFonts w:hint="eastAsia" w:ascii="宋体" w:hAnsi="宋体" w:eastAsia="宋体" w:cs="仿宋"/>
          <w:b/>
          <w:sz w:val="24"/>
          <w:szCs w:val="24"/>
        </w:rPr>
        <w:t>一、投标函</w:t>
      </w:r>
      <w:bookmarkEnd w:id="84"/>
      <w:bookmarkEnd w:id="85"/>
      <w:bookmarkEnd w:id="86"/>
      <w:bookmarkEnd w:id="87"/>
    </w:p>
    <w:p w14:paraId="4B19C409">
      <w:pPr>
        <w:widowControl/>
        <w:shd w:val="clear" w:color="auto" w:fill="FFFFFF"/>
        <w:snapToGrid w:val="0"/>
        <w:spacing w:line="384" w:lineRule="auto"/>
        <w:jc w:val="left"/>
        <w:rPr>
          <w:rFonts w:ascii="宋体" w:hAnsi="宋体" w:eastAsia="宋体" w:cs="仿宋"/>
          <w:kern w:val="0"/>
          <w:sz w:val="24"/>
          <w:szCs w:val="24"/>
        </w:rPr>
      </w:pPr>
    </w:p>
    <w:p w14:paraId="270FFF97">
      <w:pPr>
        <w:widowControl/>
        <w:shd w:val="clear" w:color="auto" w:fill="FFFFFF"/>
        <w:snapToGrid w:val="0"/>
        <w:spacing w:line="384" w:lineRule="auto"/>
        <w:jc w:val="left"/>
        <w:rPr>
          <w:rFonts w:ascii="宋体" w:hAnsi="宋体" w:eastAsia="宋体" w:cs="仿宋"/>
          <w:kern w:val="0"/>
          <w:sz w:val="24"/>
          <w:szCs w:val="24"/>
        </w:rPr>
      </w:pPr>
      <w:r>
        <w:rPr>
          <w:rFonts w:hint="eastAsia" w:ascii="宋体" w:hAnsi="宋体" w:eastAsia="宋体" w:cs="仿宋"/>
          <w:kern w:val="0"/>
          <w:sz w:val="24"/>
          <w:szCs w:val="24"/>
        </w:rPr>
        <w:t>致：</w:t>
      </w:r>
      <w:r>
        <w:rPr>
          <w:rFonts w:hint="eastAsia" w:ascii="宋体" w:hAnsi="宋体" w:eastAsia="宋体" w:cs="仿宋"/>
          <w:kern w:val="0"/>
          <w:sz w:val="24"/>
          <w:szCs w:val="24"/>
          <w:u w:val="single"/>
        </w:rPr>
        <w:t xml:space="preserve">                                             </w:t>
      </w:r>
      <w:r>
        <w:rPr>
          <w:rFonts w:hint="eastAsia" w:ascii="宋体" w:hAnsi="宋体" w:eastAsia="宋体" w:cs="仿宋"/>
          <w:kern w:val="0"/>
          <w:sz w:val="24"/>
          <w:szCs w:val="24"/>
        </w:rPr>
        <w:t>（采购人名称）</w:t>
      </w:r>
    </w:p>
    <w:p w14:paraId="46E756AD">
      <w:pPr>
        <w:widowControl/>
        <w:shd w:val="clear" w:color="auto" w:fill="FFFFFF"/>
        <w:snapToGrid w:val="0"/>
        <w:spacing w:line="384" w:lineRule="auto"/>
        <w:jc w:val="left"/>
        <w:rPr>
          <w:rFonts w:ascii="宋体" w:hAnsi="宋体" w:eastAsia="宋体" w:cs="仿宋"/>
          <w:kern w:val="0"/>
          <w:sz w:val="24"/>
          <w:szCs w:val="24"/>
        </w:rPr>
      </w:pPr>
    </w:p>
    <w:p w14:paraId="6D4BBC89">
      <w:pPr>
        <w:widowControl/>
        <w:shd w:val="clear" w:color="auto" w:fill="FFFFFF"/>
        <w:snapToGrid w:val="0"/>
        <w:spacing w:line="384" w:lineRule="auto"/>
        <w:ind w:firstLine="420"/>
        <w:jc w:val="left"/>
        <w:rPr>
          <w:rFonts w:ascii="宋体" w:hAnsi="宋体" w:eastAsia="宋体" w:cs="仿宋"/>
          <w:kern w:val="0"/>
          <w:sz w:val="24"/>
          <w:szCs w:val="24"/>
        </w:rPr>
      </w:pPr>
      <w:r>
        <w:rPr>
          <w:rFonts w:hint="eastAsia" w:ascii="宋体" w:hAnsi="宋体" w:eastAsia="宋体" w:cs="仿宋"/>
          <w:kern w:val="0"/>
          <w:sz w:val="24"/>
          <w:szCs w:val="24"/>
        </w:rPr>
        <w:t>根据已收到的</w:t>
      </w:r>
      <w:r>
        <w:rPr>
          <w:rFonts w:hint="eastAsia" w:ascii="宋体" w:hAnsi="宋体" w:eastAsia="宋体" w:cs="仿宋"/>
          <w:kern w:val="0"/>
          <w:sz w:val="24"/>
          <w:szCs w:val="24"/>
          <w:u w:val="single"/>
        </w:rPr>
        <w:t xml:space="preserve">                       </w:t>
      </w:r>
      <w:r>
        <w:rPr>
          <w:rFonts w:hint="eastAsia" w:ascii="宋体" w:hAnsi="宋体" w:eastAsia="宋体" w:cs="仿宋"/>
          <w:kern w:val="0"/>
          <w:sz w:val="24"/>
          <w:szCs w:val="24"/>
        </w:rPr>
        <w:t>项目的招标文件，遵照《中华人民共和国政府采购法》等有关法律法规的规定，经考察现场和充分研究贵方的招标文件的全部内容后，我方郑重承诺如下：</w:t>
      </w:r>
    </w:p>
    <w:p w14:paraId="3A513940">
      <w:pPr>
        <w:widowControl/>
        <w:shd w:val="clear" w:color="auto" w:fill="FFFFFF"/>
        <w:snapToGrid w:val="0"/>
        <w:spacing w:line="384" w:lineRule="auto"/>
        <w:ind w:firstLine="420"/>
        <w:jc w:val="left"/>
        <w:rPr>
          <w:rFonts w:ascii="宋体" w:hAnsi="宋体" w:eastAsia="宋体" w:cs="仿宋"/>
          <w:kern w:val="0"/>
          <w:sz w:val="24"/>
          <w:szCs w:val="24"/>
        </w:rPr>
      </w:pPr>
      <w:r>
        <w:rPr>
          <w:rFonts w:hint="eastAsia" w:ascii="宋体" w:hAnsi="宋体" w:eastAsia="宋体" w:cs="仿宋"/>
          <w:kern w:val="0"/>
          <w:sz w:val="24"/>
          <w:szCs w:val="24"/>
        </w:rPr>
        <w:t>1.我方投标价格为人民币</w:t>
      </w:r>
      <w:r>
        <w:rPr>
          <w:rFonts w:hint="eastAsia" w:ascii="宋体" w:hAnsi="宋体" w:eastAsia="宋体" w:cs="仿宋"/>
          <w:kern w:val="0"/>
          <w:sz w:val="24"/>
          <w:szCs w:val="24"/>
          <w:u w:val="single"/>
        </w:rPr>
        <w:t xml:space="preserve">     </w:t>
      </w:r>
      <w:r>
        <w:rPr>
          <w:rFonts w:hint="eastAsia" w:ascii="宋体" w:hAnsi="宋体" w:eastAsia="宋体" w:cs="仿宋"/>
          <w:kern w:val="0"/>
          <w:sz w:val="24"/>
          <w:szCs w:val="24"/>
        </w:rPr>
        <w:t>元（大写</w:t>
      </w:r>
      <w:r>
        <w:rPr>
          <w:rFonts w:hint="eastAsia" w:ascii="宋体" w:hAnsi="宋体" w:eastAsia="宋体" w:cs="仿宋"/>
          <w:kern w:val="0"/>
          <w:sz w:val="24"/>
          <w:szCs w:val="24"/>
          <w:u w:val="single"/>
        </w:rPr>
        <w:t xml:space="preserve">   </w:t>
      </w:r>
      <w:r>
        <w:rPr>
          <w:rFonts w:hint="eastAsia" w:ascii="宋体" w:hAnsi="宋体" w:eastAsia="宋体" w:cs="仿宋"/>
          <w:kern w:val="0"/>
          <w:sz w:val="24"/>
          <w:szCs w:val="24"/>
        </w:rPr>
        <w:t>） ，合同履约期限为自合同签订之日起</w:t>
      </w:r>
      <w:r>
        <w:rPr>
          <w:rFonts w:hint="eastAsia" w:ascii="宋体" w:hAnsi="宋体" w:eastAsia="宋体" w:cs="仿宋"/>
          <w:kern w:val="0"/>
          <w:sz w:val="24"/>
          <w:szCs w:val="24"/>
          <w:u w:val="single"/>
        </w:rPr>
        <w:t xml:space="preserve">    （30）</w:t>
      </w:r>
      <w:r>
        <w:rPr>
          <w:rFonts w:hint="eastAsia" w:ascii="宋体" w:hAnsi="宋体" w:eastAsia="宋体" w:cs="仿宋"/>
          <w:kern w:val="0"/>
          <w:sz w:val="24"/>
          <w:szCs w:val="24"/>
        </w:rPr>
        <w:t>日历日内送达采购人指定地点并安装调试完毕。</w:t>
      </w:r>
      <w:r>
        <w:rPr>
          <w:rFonts w:hint="eastAsia" w:cs="仿宋" w:asciiTheme="minorEastAsia" w:hAnsiTheme="minorEastAsia"/>
          <w:b/>
          <w:kern w:val="0"/>
          <w:sz w:val="24"/>
          <w:szCs w:val="24"/>
        </w:rPr>
        <w:t>（投标价格如果被评标委员会认定为异常低价，投标人需现场提供成本预算等证明材料，否则其投标报价的有效性可能会被否决）</w:t>
      </w:r>
    </w:p>
    <w:p w14:paraId="08C544AD">
      <w:pPr>
        <w:widowControl/>
        <w:shd w:val="clear" w:color="auto" w:fill="FFFFFF"/>
        <w:snapToGrid w:val="0"/>
        <w:spacing w:line="384" w:lineRule="auto"/>
        <w:ind w:firstLine="420"/>
        <w:jc w:val="left"/>
        <w:rPr>
          <w:rFonts w:ascii="宋体" w:hAnsi="宋体" w:eastAsia="宋体" w:cs="仿宋"/>
          <w:kern w:val="0"/>
          <w:sz w:val="24"/>
          <w:szCs w:val="24"/>
        </w:rPr>
      </w:pPr>
      <w:r>
        <w:rPr>
          <w:rFonts w:hint="eastAsia" w:ascii="宋体" w:hAnsi="宋体" w:eastAsia="宋体" w:cs="仿宋"/>
          <w:kern w:val="0"/>
          <w:sz w:val="24"/>
          <w:szCs w:val="24"/>
        </w:rPr>
        <w:t>2.如果我方中标，我方将按规定履行合同责任义务。保证在合同约定的供货期限内供货，并确保我方提供货物的品种、规格、质量和数量以及相关服务满足招标文件的要求。</w:t>
      </w:r>
    </w:p>
    <w:p w14:paraId="500BF4B2">
      <w:pPr>
        <w:widowControl/>
        <w:shd w:val="clear" w:color="auto" w:fill="FFFFFF"/>
        <w:snapToGrid w:val="0"/>
        <w:spacing w:line="384" w:lineRule="auto"/>
        <w:ind w:firstLine="420"/>
        <w:jc w:val="left"/>
        <w:rPr>
          <w:rFonts w:ascii="宋体" w:hAnsi="宋体" w:eastAsia="宋体" w:cs="仿宋"/>
          <w:kern w:val="0"/>
          <w:sz w:val="24"/>
          <w:szCs w:val="24"/>
        </w:rPr>
      </w:pPr>
      <w:r>
        <w:rPr>
          <w:rFonts w:hint="eastAsia" w:ascii="宋体" w:hAnsi="宋体" w:eastAsia="宋体" w:cs="仿宋"/>
          <w:kern w:val="0"/>
          <w:sz w:val="24"/>
          <w:szCs w:val="24"/>
        </w:rPr>
        <w:t>3.</w:t>
      </w:r>
      <w:r>
        <w:rPr>
          <w:rFonts w:hint="eastAsia"/>
          <w:sz w:val="24"/>
          <w:szCs w:val="24"/>
        </w:rPr>
        <w:t xml:space="preserve"> 质保期</w:t>
      </w:r>
      <w:r>
        <w:rPr>
          <w:rFonts w:hint="eastAsia" w:ascii="宋体" w:hAnsi="宋体" w:eastAsia="宋体" w:cs="仿宋"/>
          <w:kern w:val="0"/>
          <w:sz w:val="24"/>
          <w:szCs w:val="24"/>
        </w:rPr>
        <w:t>：我方承诺为采购人提供</w:t>
      </w:r>
      <w:r>
        <w:rPr>
          <w:rFonts w:hint="eastAsia" w:ascii="宋体" w:hAnsi="宋体" w:eastAsia="宋体" w:cs="仿宋"/>
          <w:kern w:val="0"/>
          <w:sz w:val="24"/>
          <w:szCs w:val="24"/>
          <w:u w:val="single"/>
        </w:rPr>
        <w:t xml:space="preserve">       </w:t>
      </w:r>
      <w:r>
        <w:rPr>
          <w:rFonts w:hint="eastAsia" w:ascii="宋体" w:hAnsi="宋体" w:eastAsia="宋体" w:cs="仿宋"/>
          <w:kern w:val="0"/>
          <w:sz w:val="24"/>
          <w:szCs w:val="24"/>
        </w:rPr>
        <w:t>年内免费维护，自甲方及相关部门总体验收合格之日起计算。如果由于我方责任致使不能验收，此质保期相应顺延。</w:t>
      </w:r>
    </w:p>
    <w:p w14:paraId="2D2A245D">
      <w:pPr>
        <w:widowControl/>
        <w:shd w:val="clear" w:color="auto" w:fill="FFFFFF"/>
        <w:snapToGrid w:val="0"/>
        <w:spacing w:line="384" w:lineRule="auto"/>
        <w:ind w:firstLine="420"/>
        <w:jc w:val="left"/>
        <w:rPr>
          <w:rFonts w:ascii="宋体" w:hAnsi="宋体" w:eastAsia="宋体" w:cs="仿宋"/>
          <w:kern w:val="0"/>
          <w:sz w:val="24"/>
          <w:szCs w:val="24"/>
        </w:rPr>
      </w:pPr>
      <w:r>
        <w:rPr>
          <w:rFonts w:hint="eastAsia" w:ascii="宋体" w:hAnsi="宋体" w:eastAsia="宋体" w:cs="仿宋"/>
          <w:kern w:val="0"/>
          <w:sz w:val="24"/>
          <w:szCs w:val="24"/>
        </w:rPr>
        <w:t>4.本投标文件在招标文件规定的投标有效期内对我方具有约束力，如果我方在投标有效期内撤销投标，其投标保证金将被贵方没收。</w:t>
      </w:r>
    </w:p>
    <w:p w14:paraId="7DE8FEC9">
      <w:pPr>
        <w:widowControl/>
        <w:shd w:val="clear" w:color="auto" w:fill="FFFFFF"/>
        <w:snapToGrid w:val="0"/>
        <w:spacing w:line="384" w:lineRule="auto"/>
        <w:ind w:firstLine="420"/>
        <w:jc w:val="left"/>
        <w:rPr>
          <w:rFonts w:ascii="宋体" w:hAnsi="宋体" w:eastAsia="宋体" w:cs="仿宋"/>
          <w:kern w:val="0"/>
          <w:sz w:val="24"/>
          <w:szCs w:val="24"/>
        </w:rPr>
      </w:pPr>
      <w:r>
        <w:rPr>
          <w:rFonts w:hint="eastAsia" w:ascii="宋体" w:hAnsi="宋体" w:eastAsia="宋体" w:cs="仿宋"/>
          <w:kern w:val="0"/>
          <w:sz w:val="24"/>
          <w:szCs w:val="24"/>
        </w:rPr>
        <w:t>5.我方已详细审查全部招标文件并完全理解并同意放弃对这方面有不明及误解的权力。</w:t>
      </w:r>
    </w:p>
    <w:p w14:paraId="7BFEBA5D">
      <w:pPr>
        <w:widowControl/>
        <w:shd w:val="clear" w:color="auto" w:fill="FFFFFF"/>
        <w:snapToGrid w:val="0"/>
        <w:spacing w:line="384" w:lineRule="auto"/>
        <w:ind w:firstLine="420"/>
        <w:jc w:val="left"/>
        <w:rPr>
          <w:rFonts w:ascii="宋体" w:hAnsi="宋体" w:eastAsia="宋体" w:cs="仿宋"/>
          <w:kern w:val="0"/>
          <w:sz w:val="24"/>
          <w:szCs w:val="24"/>
        </w:rPr>
      </w:pPr>
      <w:r>
        <w:rPr>
          <w:rFonts w:hint="eastAsia" w:ascii="宋体" w:hAnsi="宋体" w:eastAsia="宋体" w:cs="仿宋"/>
          <w:kern w:val="0"/>
          <w:sz w:val="24"/>
          <w:szCs w:val="24"/>
        </w:rPr>
        <w:t>6.我方愿意提供贵方可能要求的与投标有关的一切数据或资料，完全理解贵方不一定接受最低投标报价的投标或收到的任何投标。</w:t>
      </w:r>
    </w:p>
    <w:p w14:paraId="2AC1F10B">
      <w:pPr>
        <w:widowControl/>
        <w:shd w:val="clear" w:color="auto" w:fill="FFFFFF"/>
        <w:snapToGrid w:val="0"/>
        <w:spacing w:line="384" w:lineRule="auto"/>
        <w:ind w:firstLine="420"/>
        <w:jc w:val="left"/>
        <w:rPr>
          <w:rFonts w:ascii="宋体" w:hAnsi="宋体" w:eastAsia="宋体" w:cs="仿宋"/>
          <w:kern w:val="0"/>
          <w:sz w:val="24"/>
          <w:szCs w:val="24"/>
        </w:rPr>
      </w:pPr>
      <w:r>
        <w:rPr>
          <w:rFonts w:hint="eastAsia" w:ascii="宋体" w:hAnsi="宋体" w:eastAsia="宋体" w:cs="仿宋"/>
          <w:kern w:val="0"/>
          <w:sz w:val="24"/>
          <w:szCs w:val="24"/>
        </w:rPr>
        <w:t>7.我方派法定代表人或其授权委托人作为我方代表，负责按时参加开标会并签署与投标有关的相关文件等。</w:t>
      </w:r>
    </w:p>
    <w:p w14:paraId="3A7425A4">
      <w:pPr>
        <w:widowControl/>
        <w:shd w:val="clear" w:color="auto" w:fill="FFFFFF"/>
        <w:snapToGrid w:val="0"/>
        <w:spacing w:line="384" w:lineRule="auto"/>
        <w:ind w:firstLine="420"/>
        <w:jc w:val="left"/>
        <w:rPr>
          <w:rFonts w:ascii="宋体" w:hAnsi="宋体" w:eastAsia="宋体" w:cs="仿宋"/>
          <w:kern w:val="0"/>
          <w:sz w:val="24"/>
          <w:szCs w:val="24"/>
        </w:rPr>
      </w:pPr>
      <w:r>
        <w:rPr>
          <w:rFonts w:hint="eastAsia" w:ascii="宋体" w:hAnsi="宋体" w:eastAsia="宋体" w:cs="仿宋"/>
          <w:kern w:val="0"/>
          <w:sz w:val="24"/>
          <w:szCs w:val="24"/>
        </w:rPr>
        <w:t>8. 如我方中标，我方自愿向采购代理机构支付咨询费，并在合同签订后3个工作日内向采购代理机构提供采购合同原件一份用于采购资料备案工作。</w:t>
      </w:r>
    </w:p>
    <w:p w14:paraId="520B3174">
      <w:pPr>
        <w:widowControl/>
        <w:shd w:val="clear" w:color="auto" w:fill="FFFFFF"/>
        <w:snapToGrid w:val="0"/>
        <w:spacing w:line="384" w:lineRule="auto"/>
        <w:jc w:val="left"/>
        <w:rPr>
          <w:rFonts w:ascii="宋体" w:hAnsi="宋体" w:eastAsia="宋体" w:cs="仿宋"/>
          <w:kern w:val="0"/>
          <w:sz w:val="24"/>
          <w:szCs w:val="24"/>
        </w:rPr>
      </w:pPr>
      <w:r>
        <w:rPr>
          <w:rFonts w:hint="eastAsia" w:ascii="宋体" w:hAnsi="宋体" w:eastAsia="宋体" w:cs="仿宋"/>
          <w:kern w:val="0"/>
          <w:sz w:val="24"/>
          <w:szCs w:val="24"/>
        </w:rPr>
        <w:t>投标人：</w:t>
      </w:r>
      <w:r>
        <w:rPr>
          <w:rFonts w:hint="eastAsia" w:ascii="宋体" w:hAnsi="宋体" w:eastAsia="宋体" w:cs="仿宋"/>
          <w:kern w:val="0"/>
          <w:sz w:val="24"/>
          <w:szCs w:val="24"/>
          <w:u w:val="single"/>
        </w:rPr>
        <w:t xml:space="preserve">                      </w:t>
      </w:r>
      <w:r>
        <w:rPr>
          <w:rFonts w:hint="eastAsia" w:ascii="宋体" w:hAnsi="宋体" w:eastAsia="宋体" w:cs="仿宋"/>
          <w:kern w:val="0"/>
          <w:sz w:val="24"/>
          <w:szCs w:val="24"/>
        </w:rPr>
        <w:t>（盖章）</w:t>
      </w:r>
    </w:p>
    <w:p w14:paraId="491340CC">
      <w:pPr>
        <w:widowControl/>
        <w:shd w:val="clear" w:color="auto" w:fill="FFFFFF"/>
        <w:snapToGrid w:val="0"/>
        <w:spacing w:line="384" w:lineRule="auto"/>
        <w:jc w:val="left"/>
        <w:rPr>
          <w:rFonts w:ascii="宋体" w:hAnsi="宋体" w:eastAsia="宋体" w:cs="仿宋"/>
          <w:kern w:val="0"/>
          <w:sz w:val="24"/>
          <w:szCs w:val="24"/>
        </w:rPr>
      </w:pPr>
    </w:p>
    <w:p w14:paraId="50197387">
      <w:pPr>
        <w:widowControl/>
        <w:shd w:val="clear" w:color="auto" w:fill="FFFFFF"/>
        <w:snapToGrid w:val="0"/>
        <w:spacing w:line="384" w:lineRule="auto"/>
        <w:jc w:val="left"/>
        <w:rPr>
          <w:rFonts w:ascii="宋体" w:hAnsi="宋体" w:eastAsia="宋体" w:cs="仿宋"/>
          <w:kern w:val="0"/>
          <w:sz w:val="24"/>
          <w:szCs w:val="24"/>
        </w:rPr>
      </w:pPr>
      <w:r>
        <w:rPr>
          <w:rFonts w:hint="eastAsia" w:ascii="宋体" w:hAnsi="宋体" w:eastAsia="宋体" w:cs="仿宋"/>
          <w:kern w:val="0"/>
          <w:sz w:val="24"/>
          <w:szCs w:val="24"/>
        </w:rPr>
        <w:t>法定代表人：</w:t>
      </w:r>
      <w:r>
        <w:rPr>
          <w:rFonts w:hint="eastAsia" w:ascii="宋体" w:hAnsi="宋体" w:eastAsia="宋体" w:cs="仿宋"/>
          <w:kern w:val="0"/>
          <w:sz w:val="24"/>
          <w:szCs w:val="24"/>
          <w:u w:val="single"/>
        </w:rPr>
        <w:t xml:space="preserve">                    </w:t>
      </w:r>
      <w:r>
        <w:rPr>
          <w:rFonts w:hint="eastAsia" w:ascii="宋体" w:hAnsi="宋体" w:eastAsia="宋体" w:cs="仿宋"/>
          <w:kern w:val="0"/>
          <w:sz w:val="24"/>
          <w:szCs w:val="24"/>
        </w:rPr>
        <w:t>（盖章）</w:t>
      </w:r>
    </w:p>
    <w:p w14:paraId="151589EE">
      <w:pPr>
        <w:widowControl/>
        <w:shd w:val="clear" w:color="auto" w:fill="FFFFFF"/>
        <w:wordWrap w:val="0"/>
        <w:snapToGrid w:val="0"/>
        <w:spacing w:line="384" w:lineRule="auto"/>
        <w:ind w:firstLine="420"/>
        <w:jc w:val="right"/>
        <w:rPr>
          <w:rFonts w:ascii="宋体" w:hAnsi="宋体" w:eastAsia="宋体" w:cs="仿宋"/>
          <w:kern w:val="0"/>
          <w:sz w:val="24"/>
          <w:szCs w:val="24"/>
        </w:rPr>
      </w:pPr>
      <w:r>
        <w:rPr>
          <w:rFonts w:hint="eastAsia" w:ascii="宋体" w:hAnsi="宋体" w:eastAsia="宋体" w:cs="仿宋"/>
          <w:kern w:val="0"/>
          <w:sz w:val="24"/>
          <w:szCs w:val="24"/>
        </w:rPr>
        <w:t>日期：     年   月   日</w:t>
      </w:r>
    </w:p>
    <w:p w14:paraId="4733FD23">
      <w:pPr>
        <w:tabs>
          <w:tab w:val="center" w:pos="4832"/>
          <w:tab w:val="left" w:pos="7140"/>
        </w:tabs>
        <w:jc w:val="center"/>
        <w:outlineLvl w:val="1"/>
        <w:rPr>
          <w:rFonts w:ascii="宋体" w:hAnsi="宋体" w:eastAsia="宋体" w:cs="仿宋"/>
          <w:b/>
          <w:sz w:val="24"/>
          <w:szCs w:val="24"/>
        </w:rPr>
      </w:pPr>
      <w:r>
        <w:rPr>
          <w:rFonts w:hint="eastAsia" w:ascii="宋体" w:hAnsi="宋体" w:eastAsia="宋体" w:cs="仿宋"/>
          <w:kern w:val="0"/>
          <w:sz w:val="24"/>
          <w:szCs w:val="24"/>
        </w:rPr>
        <w:br w:type="page"/>
      </w:r>
      <w:bookmarkStart w:id="88" w:name="_Toc200016472"/>
      <w:bookmarkStart w:id="89" w:name="_Toc109921158"/>
      <w:bookmarkStart w:id="90" w:name="_Toc130252615"/>
      <w:bookmarkStart w:id="91" w:name="_Toc109941765"/>
      <w:bookmarkStart w:id="92" w:name="_Toc110707965"/>
      <w:r>
        <w:rPr>
          <w:rFonts w:hint="eastAsia" w:ascii="宋体" w:hAnsi="宋体" w:eastAsia="宋体" w:cs="仿宋"/>
          <w:b/>
          <w:sz w:val="24"/>
          <w:szCs w:val="24"/>
        </w:rPr>
        <w:t>二、投标价格明细表</w:t>
      </w:r>
      <w:bookmarkEnd w:id="88"/>
      <w:bookmarkEnd w:id="89"/>
      <w:bookmarkEnd w:id="90"/>
      <w:bookmarkEnd w:id="91"/>
      <w:bookmarkEnd w:id="92"/>
    </w:p>
    <w:p w14:paraId="60D719B3">
      <w:pPr>
        <w:spacing w:line="360" w:lineRule="auto"/>
        <w:ind w:firstLine="720" w:firstLineChars="300"/>
        <w:jc w:val="left"/>
        <w:rPr>
          <w:rFonts w:ascii="宋体" w:hAnsi="宋体" w:eastAsia="宋体" w:cs="仿宋"/>
          <w:sz w:val="24"/>
          <w:szCs w:val="24"/>
        </w:rPr>
      </w:pPr>
      <w:r>
        <w:rPr>
          <w:rFonts w:hint="eastAsia" w:ascii="宋体" w:hAnsi="宋体" w:eastAsia="宋体" w:cs="仿宋"/>
          <w:sz w:val="24"/>
          <w:szCs w:val="24"/>
        </w:rPr>
        <w:t xml:space="preserve">                                                           单位：元</w:t>
      </w:r>
    </w:p>
    <w:tbl>
      <w:tblPr>
        <w:tblStyle w:val="38"/>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22"/>
        <w:gridCol w:w="1294"/>
        <w:gridCol w:w="719"/>
        <w:gridCol w:w="951"/>
        <w:gridCol w:w="1348"/>
        <w:gridCol w:w="1033"/>
        <w:gridCol w:w="1053"/>
        <w:gridCol w:w="1033"/>
        <w:gridCol w:w="1033"/>
      </w:tblGrid>
      <w:tr w14:paraId="4E6BED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trPr>
        <w:tc>
          <w:tcPr>
            <w:tcW w:w="443" w:type="pct"/>
            <w:vAlign w:val="center"/>
          </w:tcPr>
          <w:p w14:paraId="573029E4">
            <w:pPr>
              <w:spacing w:line="360" w:lineRule="auto"/>
              <w:jc w:val="center"/>
              <w:rPr>
                <w:rFonts w:ascii="宋体" w:hAnsi="宋体" w:eastAsia="宋体" w:cs="仿宋"/>
                <w:bCs/>
                <w:szCs w:val="21"/>
              </w:rPr>
            </w:pPr>
            <w:r>
              <w:rPr>
                <w:rFonts w:hint="eastAsia" w:ascii="宋体" w:hAnsi="宋体" w:eastAsia="宋体" w:cs="仿宋"/>
                <w:bCs/>
                <w:szCs w:val="21"/>
              </w:rPr>
              <w:t>序号</w:t>
            </w:r>
          </w:p>
        </w:tc>
        <w:tc>
          <w:tcPr>
            <w:tcW w:w="697" w:type="pct"/>
            <w:vAlign w:val="center"/>
          </w:tcPr>
          <w:p w14:paraId="39E49302">
            <w:pPr>
              <w:spacing w:line="360" w:lineRule="auto"/>
              <w:jc w:val="center"/>
              <w:rPr>
                <w:rFonts w:ascii="宋体" w:hAnsi="宋体" w:eastAsia="宋体" w:cs="仿宋"/>
                <w:bCs/>
                <w:szCs w:val="21"/>
              </w:rPr>
            </w:pPr>
            <w:r>
              <w:rPr>
                <w:rFonts w:hint="eastAsia" w:ascii="宋体" w:hAnsi="宋体" w:eastAsia="宋体" w:cs="仿宋"/>
                <w:bCs/>
                <w:szCs w:val="21"/>
              </w:rPr>
              <w:t>标的名称</w:t>
            </w:r>
          </w:p>
        </w:tc>
        <w:tc>
          <w:tcPr>
            <w:tcW w:w="387" w:type="pct"/>
            <w:vAlign w:val="center"/>
          </w:tcPr>
          <w:p w14:paraId="4EFD9AE9">
            <w:pPr>
              <w:spacing w:line="360" w:lineRule="auto"/>
              <w:jc w:val="center"/>
              <w:rPr>
                <w:rFonts w:ascii="宋体" w:hAnsi="宋体" w:eastAsia="宋体" w:cs="仿宋"/>
                <w:bCs/>
                <w:szCs w:val="21"/>
              </w:rPr>
            </w:pPr>
            <w:r>
              <w:rPr>
                <w:rFonts w:hint="eastAsia" w:ascii="宋体" w:hAnsi="宋体" w:eastAsia="宋体" w:cs="仿宋"/>
                <w:bCs/>
                <w:szCs w:val="21"/>
              </w:rPr>
              <w:t>品牌</w:t>
            </w:r>
          </w:p>
        </w:tc>
        <w:tc>
          <w:tcPr>
            <w:tcW w:w="512" w:type="pct"/>
            <w:vAlign w:val="center"/>
          </w:tcPr>
          <w:p w14:paraId="21C3C0CF">
            <w:pPr>
              <w:spacing w:line="360" w:lineRule="auto"/>
              <w:jc w:val="center"/>
              <w:rPr>
                <w:rFonts w:ascii="宋体" w:hAnsi="宋体" w:eastAsia="宋体" w:cs="仿宋"/>
                <w:bCs/>
                <w:szCs w:val="21"/>
              </w:rPr>
            </w:pPr>
            <w:r>
              <w:rPr>
                <w:rFonts w:hint="eastAsia" w:ascii="宋体" w:hAnsi="宋体" w:eastAsia="宋体" w:cs="仿宋"/>
                <w:bCs/>
                <w:szCs w:val="21"/>
              </w:rPr>
              <w:t>制造商</w:t>
            </w:r>
          </w:p>
        </w:tc>
        <w:tc>
          <w:tcPr>
            <w:tcW w:w="726" w:type="pct"/>
            <w:vAlign w:val="center"/>
          </w:tcPr>
          <w:p w14:paraId="01A84BD9">
            <w:pPr>
              <w:spacing w:line="360" w:lineRule="auto"/>
              <w:jc w:val="center"/>
              <w:rPr>
                <w:rFonts w:ascii="宋体" w:hAnsi="宋体" w:eastAsia="宋体" w:cs="仿宋"/>
                <w:bCs/>
                <w:szCs w:val="21"/>
              </w:rPr>
            </w:pPr>
            <w:r>
              <w:rPr>
                <w:rFonts w:hint="eastAsia" w:ascii="宋体" w:hAnsi="宋体" w:eastAsia="宋体" w:cs="仿宋"/>
                <w:bCs/>
                <w:szCs w:val="21"/>
              </w:rPr>
              <w:t>规格型号</w:t>
            </w:r>
          </w:p>
        </w:tc>
        <w:tc>
          <w:tcPr>
            <w:tcW w:w="556" w:type="pct"/>
            <w:vAlign w:val="center"/>
          </w:tcPr>
          <w:p w14:paraId="3BA6AF26">
            <w:pPr>
              <w:spacing w:line="360" w:lineRule="auto"/>
              <w:jc w:val="center"/>
              <w:rPr>
                <w:rFonts w:ascii="宋体" w:hAnsi="宋体" w:eastAsia="宋体" w:cs="仿宋"/>
                <w:bCs/>
                <w:szCs w:val="21"/>
              </w:rPr>
            </w:pPr>
            <w:r>
              <w:rPr>
                <w:rFonts w:hint="eastAsia" w:ascii="宋体" w:hAnsi="宋体" w:eastAsia="宋体" w:cs="仿宋"/>
                <w:bCs/>
                <w:szCs w:val="21"/>
              </w:rPr>
              <w:t>数量</w:t>
            </w:r>
          </w:p>
        </w:tc>
        <w:tc>
          <w:tcPr>
            <w:tcW w:w="566" w:type="pct"/>
            <w:vAlign w:val="center"/>
          </w:tcPr>
          <w:p w14:paraId="21DD87B9">
            <w:pPr>
              <w:spacing w:line="360" w:lineRule="auto"/>
              <w:jc w:val="center"/>
              <w:rPr>
                <w:rFonts w:ascii="宋体" w:hAnsi="宋体" w:eastAsia="宋体" w:cs="仿宋"/>
                <w:bCs/>
                <w:szCs w:val="21"/>
              </w:rPr>
            </w:pPr>
            <w:r>
              <w:rPr>
                <w:rFonts w:hint="eastAsia" w:ascii="宋体" w:hAnsi="宋体" w:eastAsia="宋体" w:cs="仿宋"/>
                <w:bCs/>
                <w:szCs w:val="21"/>
              </w:rPr>
              <w:t>单价</w:t>
            </w:r>
          </w:p>
        </w:tc>
        <w:tc>
          <w:tcPr>
            <w:tcW w:w="556" w:type="pct"/>
            <w:vAlign w:val="center"/>
          </w:tcPr>
          <w:p w14:paraId="0F0FCB95">
            <w:pPr>
              <w:spacing w:line="360" w:lineRule="auto"/>
              <w:jc w:val="center"/>
              <w:rPr>
                <w:rFonts w:ascii="宋体" w:hAnsi="宋体" w:eastAsia="宋体" w:cs="仿宋"/>
                <w:bCs/>
                <w:szCs w:val="21"/>
              </w:rPr>
            </w:pPr>
            <w:r>
              <w:rPr>
                <w:rFonts w:hint="eastAsia" w:ascii="宋体" w:hAnsi="宋体" w:eastAsia="宋体" w:cs="仿宋"/>
                <w:bCs/>
                <w:szCs w:val="21"/>
              </w:rPr>
              <w:t>小计</w:t>
            </w:r>
          </w:p>
        </w:tc>
        <w:tc>
          <w:tcPr>
            <w:tcW w:w="556" w:type="pct"/>
            <w:vAlign w:val="center"/>
          </w:tcPr>
          <w:p w14:paraId="3CF43C74">
            <w:pPr>
              <w:spacing w:line="360" w:lineRule="auto"/>
              <w:jc w:val="center"/>
              <w:rPr>
                <w:rFonts w:ascii="宋体" w:hAnsi="宋体" w:eastAsia="宋体" w:cs="仿宋"/>
                <w:bCs/>
                <w:szCs w:val="21"/>
              </w:rPr>
            </w:pPr>
            <w:r>
              <w:rPr>
                <w:rFonts w:hint="eastAsia" w:ascii="宋体" w:hAnsi="宋体" w:eastAsia="宋体" w:cs="仿宋"/>
                <w:bCs/>
                <w:szCs w:val="21"/>
              </w:rPr>
              <w:t>备注</w:t>
            </w:r>
          </w:p>
        </w:tc>
      </w:tr>
      <w:tr w14:paraId="1859BF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3" w:type="pct"/>
            <w:vAlign w:val="center"/>
          </w:tcPr>
          <w:p w14:paraId="26463B86">
            <w:pPr>
              <w:spacing w:line="360" w:lineRule="auto"/>
              <w:jc w:val="center"/>
              <w:rPr>
                <w:rFonts w:ascii="宋体" w:hAnsi="宋体" w:eastAsia="宋体" w:cs="仿宋"/>
                <w:bCs/>
                <w:szCs w:val="21"/>
              </w:rPr>
            </w:pPr>
            <w:r>
              <w:rPr>
                <w:rFonts w:hint="eastAsia" w:ascii="宋体" w:hAnsi="宋体" w:eastAsia="宋体" w:cs="仿宋"/>
                <w:bCs/>
                <w:szCs w:val="21"/>
              </w:rPr>
              <w:t>1</w:t>
            </w:r>
          </w:p>
        </w:tc>
        <w:tc>
          <w:tcPr>
            <w:tcW w:w="697" w:type="pct"/>
            <w:vAlign w:val="center"/>
          </w:tcPr>
          <w:p w14:paraId="3664CB1A">
            <w:pPr>
              <w:spacing w:line="360" w:lineRule="auto"/>
              <w:jc w:val="center"/>
              <w:rPr>
                <w:rFonts w:ascii="宋体" w:hAnsi="宋体" w:eastAsia="宋体" w:cs="仿宋"/>
                <w:bCs/>
                <w:szCs w:val="21"/>
              </w:rPr>
            </w:pPr>
          </w:p>
        </w:tc>
        <w:tc>
          <w:tcPr>
            <w:tcW w:w="387" w:type="pct"/>
            <w:vAlign w:val="center"/>
          </w:tcPr>
          <w:p w14:paraId="3EA6FFD1">
            <w:pPr>
              <w:spacing w:line="360" w:lineRule="auto"/>
              <w:jc w:val="center"/>
              <w:rPr>
                <w:rFonts w:ascii="宋体" w:hAnsi="宋体" w:eastAsia="宋体" w:cs="仿宋"/>
                <w:bCs/>
                <w:szCs w:val="21"/>
              </w:rPr>
            </w:pPr>
          </w:p>
        </w:tc>
        <w:tc>
          <w:tcPr>
            <w:tcW w:w="512" w:type="pct"/>
            <w:vAlign w:val="center"/>
          </w:tcPr>
          <w:p w14:paraId="514A3A48">
            <w:pPr>
              <w:spacing w:line="360" w:lineRule="auto"/>
              <w:jc w:val="center"/>
              <w:rPr>
                <w:rFonts w:ascii="宋体" w:hAnsi="宋体" w:eastAsia="宋体" w:cs="仿宋"/>
                <w:bCs/>
                <w:szCs w:val="21"/>
              </w:rPr>
            </w:pPr>
          </w:p>
        </w:tc>
        <w:tc>
          <w:tcPr>
            <w:tcW w:w="726" w:type="pct"/>
            <w:vAlign w:val="center"/>
          </w:tcPr>
          <w:p w14:paraId="280E1AE6">
            <w:pPr>
              <w:spacing w:line="360" w:lineRule="auto"/>
              <w:jc w:val="center"/>
              <w:rPr>
                <w:rFonts w:ascii="宋体" w:hAnsi="宋体" w:eastAsia="宋体" w:cs="仿宋"/>
                <w:bCs/>
                <w:szCs w:val="21"/>
              </w:rPr>
            </w:pPr>
          </w:p>
        </w:tc>
        <w:tc>
          <w:tcPr>
            <w:tcW w:w="556" w:type="pct"/>
            <w:vAlign w:val="center"/>
          </w:tcPr>
          <w:p w14:paraId="3AF38234">
            <w:pPr>
              <w:spacing w:line="360" w:lineRule="auto"/>
              <w:jc w:val="center"/>
              <w:rPr>
                <w:rFonts w:ascii="宋体" w:hAnsi="宋体" w:eastAsia="宋体" w:cs="仿宋"/>
                <w:bCs/>
                <w:szCs w:val="21"/>
              </w:rPr>
            </w:pPr>
          </w:p>
        </w:tc>
        <w:tc>
          <w:tcPr>
            <w:tcW w:w="566" w:type="pct"/>
            <w:vAlign w:val="center"/>
          </w:tcPr>
          <w:p w14:paraId="12B3DA4F">
            <w:pPr>
              <w:spacing w:line="360" w:lineRule="auto"/>
              <w:jc w:val="center"/>
              <w:rPr>
                <w:rFonts w:ascii="宋体" w:hAnsi="宋体" w:eastAsia="宋体" w:cs="仿宋"/>
                <w:bCs/>
                <w:szCs w:val="21"/>
              </w:rPr>
            </w:pPr>
          </w:p>
        </w:tc>
        <w:tc>
          <w:tcPr>
            <w:tcW w:w="556" w:type="pct"/>
            <w:vAlign w:val="center"/>
          </w:tcPr>
          <w:p w14:paraId="66927A4C">
            <w:pPr>
              <w:spacing w:line="360" w:lineRule="auto"/>
              <w:jc w:val="center"/>
              <w:rPr>
                <w:rFonts w:ascii="宋体" w:hAnsi="宋体" w:eastAsia="宋体" w:cs="仿宋"/>
                <w:bCs/>
                <w:szCs w:val="21"/>
              </w:rPr>
            </w:pPr>
          </w:p>
        </w:tc>
        <w:tc>
          <w:tcPr>
            <w:tcW w:w="556" w:type="pct"/>
            <w:vAlign w:val="center"/>
          </w:tcPr>
          <w:p w14:paraId="2E5759A2">
            <w:pPr>
              <w:spacing w:line="360" w:lineRule="auto"/>
              <w:jc w:val="center"/>
              <w:rPr>
                <w:rFonts w:ascii="宋体" w:hAnsi="宋体" w:eastAsia="宋体" w:cs="仿宋"/>
                <w:bCs/>
                <w:szCs w:val="21"/>
              </w:rPr>
            </w:pPr>
          </w:p>
        </w:tc>
      </w:tr>
      <w:tr w14:paraId="692CED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3" w:type="pct"/>
            <w:vAlign w:val="center"/>
          </w:tcPr>
          <w:p w14:paraId="59787F91">
            <w:pPr>
              <w:spacing w:line="360" w:lineRule="auto"/>
              <w:jc w:val="center"/>
              <w:rPr>
                <w:rFonts w:ascii="宋体" w:hAnsi="宋体" w:eastAsia="宋体" w:cs="仿宋"/>
                <w:bCs/>
                <w:szCs w:val="21"/>
              </w:rPr>
            </w:pPr>
            <w:r>
              <w:rPr>
                <w:rFonts w:hint="eastAsia" w:ascii="宋体" w:hAnsi="宋体" w:eastAsia="宋体" w:cs="仿宋"/>
                <w:bCs/>
                <w:szCs w:val="21"/>
              </w:rPr>
              <w:t>2</w:t>
            </w:r>
          </w:p>
        </w:tc>
        <w:tc>
          <w:tcPr>
            <w:tcW w:w="697" w:type="pct"/>
            <w:vAlign w:val="center"/>
          </w:tcPr>
          <w:p w14:paraId="1A7B2443">
            <w:pPr>
              <w:spacing w:line="360" w:lineRule="auto"/>
              <w:jc w:val="center"/>
              <w:rPr>
                <w:rFonts w:ascii="宋体" w:hAnsi="宋体" w:eastAsia="宋体" w:cs="仿宋"/>
                <w:bCs/>
                <w:szCs w:val="21"/>
              </w:rPr>
            </w:pPr>
          </w:p>
        </w:tc>
        <w:tc>
          <w:tcPr>
            <w:tcW w:w="387" w:type="pct"/>
            <w:vAlign w:val="center"/>
          </w:tcPr>
          <w:p w14:paraId="3779A2AF">
            <w:pPr>
              <w:spacing w:line="360" w:lineRule="auto"/>
              <w:jc w:val="center"/>
              <w:rPr>
                <w:rFonts w:ascii="宋体" w:hAnsi="宋体" w:eastAsia="宋体" w:cs="仿宋"/>
                <w:bCs/>
                <w:szCs w:val="21"/>
              </w:rPr>
            </w:pPr>
          </w:p>
        </w:tc>
        <w:tc>
          <w:tcPr>
            <w:tcW w:w="512" w:type="pct"/>
            <w:vAlign w:val="center"/>
          </w:tcPr>
          <w:p w14:paraId="3CA0FD92">
            <w:pPr>
              <w:spacing w:line="360" w:lineRule="auto"/>
              <w:jc w:val="center"/>
              <w:rPr>
                <w:rFonts w:ascii="宋体" w:hAnsi="宋体" w:eastAsia="宋体" w:cs="仿宋"/>
                <w:bCs/>
                <w:szCs w:val="21"/>
              </w:rPr>
            </w:pPr>
          </w:p>
        </w:tc>
        <w:tc>
          <w:tcPr>
            <w:tcW w:w="726" w:type="pct"/>
            <w:vAlign w:val="center"/>
          </w:tcPr>
          <w:p w14:paraId="782BE94A">
            <w:pPr>
              <w:spacing w:line="360" w:lineRule="auto"/>
              <w:jc w:val="center"/>
              <w:rPr>
                <w:rFonts w:ascii="宋体" w:hAnsi="宋体" w:eastAsia="宋体" w:cs="仿宋"/>
                <w:bCs/>
                <w:szCs w:val="21"/>
              </w:rPr>
            </w:pPr>
          </w:p>
        </w:tc>
        <w:tc>
          <w:tcPr>
            <w:tcW w:w="556" w:type="pct"/>
            <w:vAlign w:val="center"/>
          </w:tcPr>
          <w:p w14:paraId="680CDDA8">
            <w:pPr>
              <w:spacing w:line="360" w:lineRule="auto"/>
              <w:jc w:val="center"/>
              <w:rPr>
                <w:rFonts w:ascii="宋体" w:hAnsi="宋体" w:eastAsia="宋体" w:cs="仿宋"/>
                <w:bCs/>
                <w:szCs w:val="21"/>
              </w:rPr>
            </w:pPr>
          </w:p>
        </w:tc>
        <w:tc>
          <w:tcPr>
            <w:tcW w:w="566" w:type="pct"/>
            <w:vAlign w:val="center"/>
          </w:tcPr>
          <w:p w14:paraId="3F73F503">
            <w:pPr>
              <w:spacing w:line="360" w:lineRule="auto"/>
              <w:jc w:val="center"/>
              <w:rPr>
                <w:rFonts w:ascii="宋体" w:hAnsi="宋体" w:eastAsia="宋体" w:cs="仿宋"/>
                <w:bCs/>
                <w:szCs w:val="21"/>
              </w:rPr>
            </w:pPr>
          </w:p>
        </w:tc>
        <w:tc>
          <w:tcPr>
            <w:tcW w:w="556" w:type="pct"/>
            <w:vAlign w:val="center"/>
          </w:tcPr>
          <w:p w14:paraId="1C17393A">
            <w:pPr>
              <w:spacing w:line="360" w:lineRule="auto"/>
              <w:jc w:val="center"/>
              <w:rPr>
                <w:rFonts w:ascii="宋体" w:hAnsi="宋体" w:eastAsia="宋体" w:cs="仿宋"/>
                <w:bCs/>
                <w:szCs w:val="21"/>
              </w:rPr>
            </w:pPr>
          </w:p>
        </w:tc>
        <w:tc>
          <w:tcPr>
            <w:tcW w:w="556" w:type="pct"/>
            <w:vAlign w:val="center"/>
          </w:tcPr>
          <w:p w14:paraId="5F79DFD5">
            <w:pPr>
              <w:spacing w:line="360" w:lineRule="auto"/>
              <w:jc w:val="center"/>
              <w:rPr>
                <w:rFonts w:ascii="宋体" w:hAnsi="宋体" w:eastAsia="宋体" w:cs="仿宋"/>
                <w:bCs/>
                <w:szCs w:val="21"/>
              </w:rPr>
            </w:pPr>
          </w:p>
        </w:tc>
      </w:tr>
      <w:tr w14:paraId="50D175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3" w:type="pct"/>
            <w:vAlign w:val="center"/>
          </w:tcPr>
          <w:p w14:paraId="40E26767">
            <w:pPr>
              <w:spacing w:line="360" w:lineRule="auto"/>
              <w:jc w:val="center"/>
              <w:rPr>
                <w:rFonts w:ascii="宋体" w:hAnsi="宋体" w:eastAsia="宋体" w:cs="仿宋"/>
                <w:bCs/>
                <w:szCs w:val="21"/>
              </w:rPr>
            </w:pPr>
            <w:r>
              <w:rPr>
                <w:rFonts w:hint="eastAsia" w:ascii="宋体" w:hAnsi="宋体" w:eastAsia="宋体" w:cs="仿宋"/>
                <w:bCs/>
                <w:szCs w:val="21"/>
              </w:rPr>
              <w:t>3</w:t>
            </w:r>
          </w:p>
        </w:tc>
        <w:tc>
          <w:tcPr>
            <w:tcW w:w="697" w:type="pct"/>
            <w:vAlign w:val="center"/>
          </w:tcPr>
          <w:p w14:paraId="70736AF7">
            <w:pPr>
              <w:spacing w:line="360" w:lineRule="auto"/>
              <w:jc w:val="center"/>
              <w:rPr>
                <w:rFonts w:ascii="宋体" w:hAnsi="宋体" w:eastAsia="宋体" w:cs="仿宋"/>
                <w:bCs/>
                <w:szCs w:val="21"/>
              </w:rPr>
            </w:pPr>
          </w:p>
        </w:tc>
        <w:tc>
          <w:tcPr>
            <w:tcW w:w="387" w:type="pct"/>
            <w:vAlign w:val="center"/>
          </w:tcPr>
          <w:p w14:paraId="38E40483">
            <w:pPr>
              <w:spacing w:line="360" w:lineRule="auto"/>
              <w:jc w:val="center"/>
              <w:rPr>
                <w:rFonts w:ascii="宋体" w:hAnsi="宋体" w:eastAsia="宋体" w:cs="仿宋"/>
                <w:bCs/>
                <w:szCs w:val="21"/>
              </w:rPr>
            </w:pPr>
          </w:p>
        </w:tc>
        <w:tc>
          <w:tcPr>
            <w:tcW w:w="512" w:type="pct"/>
            <w:vAlign w:val="center"/>
          </w:tcPr>
          <w:p w14:paraId="696B44F1">
            <w:pPr>
              <w:spacing w:line="360" w:lineRule="auto"/>
              <w:jc w:val="center"/>
              <w:rPr>
                <w:rFonts w:ascii="宋体" w:hAnsi="宋体" w:eastAsia="宋体" w:cs="仿宋"/>
                <w:bCs/>
                <w:szCs w:val="21"/>
              </w:rPr>
            </w:pPr>
          </w:p>
        </w:tc>
        <w:tc>
          <w:tcPr>
            <w:tcW w:w="726" w:type="pct"/>
            <w:vAlign w:val="center"/>
          </w:tcPr>
          <w:p w14:paraId="53BB9D57">
            <w:pPr>
              <w:spacing w:line="360" w:lineRule="auto"/>
              <w:jc w:val="center"/>
              <w:rPr>
                <w:rFonts w:ascii="宋体" w:hAnsi="宋体" w:eastAsia="宋体" w:cs="仿宋"/>
                <w:bCs/>
                <w:szCs w:val="21"/>
              </w:rPr>
            </w:pPr>
          </w:p>
        </w:tc>
        <w:tc>
          <w:tcPr>
            <w:tcW w:w="556" w:type="pct"/>
            <w:vAlign w:val="center"/>
          </w:tcPr>
          <w:p w14:paraId="718AE8A8">
            <w:pPr>
              <w:spacing w:line="360" w:lineRule="auto"/>
              <w:jc w:val="center"/>
              <w:rPr>
                <w:rFonts w:ascii="宋体" w:hAnsi="宋体" w:eastAsia="宋体" w:cs="仿宋"/>
                <w:bCs/>
                <w:szCs w:val="21"/>
              </w:rPr>
            </w:pPr>
          </w:p>
        </w:tc>
        <w:tc>
          <w:tcPr>
            <w:tcW w:w="566" w:type="pct"/>
            <w:vAlign w:val="center"/>
          </w:tcPr>
          <w:p w14:paraId="6A565981">
            <w:pPr>
              <w:spacing w:line="360" w:lineRule="auto"/>
              <w:jc w:val="center"/>
              <w:rPr>
                <w:rFonts w:ascii="宋体" w:hAnsi="宋体" w:eastAsia="宋体" w:cs="仿宋"/>
                <w:bCs/>
                <w:szCs w:val="21"/>
              </w:rPr>
            </w:pPr>
          </w:p>
        </w:tc>
        <w:tc>
          <w:tcPr>
            <w:tcW w:w="556" w:type="pct"/>
            <w:vAlign w:val="center"/>
          </w:tcPr>
          <w:p w14:paraId="36AA8D50">
            <w:pPr>
              <w:spacing w:line="360" w:lineRule="auto"/>
              <w:jc w:val="center"/>
              <w:rPr>
                <w:rFonts w:ascii="宋体" w:hAnsi="宋体" w:eastAsia="宋体" w:cs="仿宋"/>
                <w:bCs/>
                <w:szCs w:val="21"/>
              </w:rPr>
            </w:pPr>
          </w:p>
        </w:tc>
        <w:tc>
          <w:tcPr>
            <w:tcW w:w="556" w:type="pct"/>
            <w:vAlign w:val="center"/>
          </w:tcPr>
          <w:p w14:paraId="71218062">
            <w:pPr>
              <w:spacing w:line="360" w:lineRule="auto"/>
              <w:jc w:val="center"/>
              <w:rPr>
                <w:rFonts w:ascii="宋体" w:hAnsi="宋体" w:eastAsia="宋体" w:cs="仿宋"/>
                <w:bCs/>
                <w:szCs w:val="21"/>
              </w:rPr>
            </w:pPr>
          </w:p>
        </w:tc>
      </w:tr>
      <w:tr w14:paraId="1D423D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3" w:type="pct"/>
            <w:vAlign w:val="center"/>
          </w:tcPr>
          <w:p w14:paraId="3578C024">
            <w:pPr>
              <w:spacing w:line="360" w:lineRule="auto"/>
              <w:jc w:val="center"/>
              <w:rPr>
                <w:rFonts w:ascii="宋体" w:hAnsi="宋体" w:eastAsia="宋体" w:cs="仿宋"/>
                <w:bCs/>
                <w:szCs w:val="21"/>
              </w:rPr>
            </w:pPr>
            <w:r>
              <w:rPr>
                <w:rFonts w:hint="eastAsia" w:ascii="宋体" w:hAnsi="宋体" w:eastAsia="宋体" w:cs="仿宋"/>
                <w:bCs/>
                <w:szCs w:val="21"/>
              </w:rPr>
              <w:t>4</w:t>
            </w:r>
          </w:p>
        </w:tc>
        <w:tc>
          <w:tcPr>
            <w:tcW w:w="697" w:type="pct"/>
            <w:vAlign w:val="center"/>
          </w:tcPr>
          <w:p w14:paraId="0C7E069C">
            <w:pPr>
              <w:spacing w:line="360" w:lineRule="auto"/>
              <w:jc w:val="center"/>
              <w:rPr>
                <w:rFonts w:ascii="宋体" w:hAnsi="宋体" w:eastAsia="宋体" w:cs="仿宋"/>
                <w:bCs/>
                <w:szCs w:val="21"/>
              </w:rPr>
            </w:pPr>
          </w:p>
        </w:tc>
        <w:tc>
          <w:tcPr>
            <w:tcW w:w="387" w:type="pct"/>
            <w:vAlign w:val="center"/>
          </w:tcPr>
          <w:p w14:paraId="73D7638E">
            <w:pPr>
              <w:spacing w:line="360" w:lineRule="auto"/>
              <w:jc w:val="center"/>
              <w:rPr>
                <w:rFonts w:ascii="宋体" w:hAnsi="宋体" w:eastAsia="宋体" w:cs="仿宋"/>
                <w:bCs/>
                <w:szCs w:val="21"/>
              </w:rPr>
            </w:pPr>
          </w:p>
        </w:tc>
        <w:tc>
          <w:tcPr>
            <w:tcW w:w="512" w:type="pct"/>
            <w:vAlign w:val="center"/>
          </w:tcPr>
          <w:p w14:paraId="10C7CBA8">
            <w:pPr>
              <w:spacing w:line="360" w:lineRule="auto"/>
              <w:jc w:val="center"/>
              <w:rPr>
                <w:rFonts w:ascii="宋体" w:hAnsi="宋体" w:eastAsia="宋体" w:cs="仿宋"/>
                <w:bCs/>
                <w:szCs w:val="21"/>
              </w:rPr>
            </w:pPr>
          </w:p>
        </w:tc>
        <w:tc>
          <w:tcPr>
            <w:tcW w:w="726" w:type="pct"/>
            <w:vAlign w:val="center"/>
          </w:tcPr>
          <w:p w14:paraId="0F7900EF">
            <w:pPr>
              <w:spacing w:line="360" w:lineRule="auto"/>
              <w:jc w:val="center"/>
              <w:rPr>
                <w:rFonts w:ascii="宋体" w:hAnsi="宋体" w:eastAsia="宋体" w:cs="仿宋"/>
                <w:bCs/>
                <w:szCs w:val="21"/>
              </w:rPr>
            </w:pPr>
          </w:p>
        </w:tc>
        <w:tc>
          <w:tcPr>
            <w:tcW w:w="556" w:type="pct"/>
            <w:vAlign w:val="center"/>
          </w:tcPr>
          <w:p w14:paraId="2C107AC8">
            <w:pPr>
              <w:spacing w:line="360" w:lineRule="auto"/>
              <w:jc w:val="center"/>
              <w:rPr>
                <w:rFonts w:ascii="宋体" w:hAnsi="宋体" w:eastAsia="宋体" w:cs="仿宋"/>
                <w:bCs/>
                <w:szCs w:val="21"/>
              </w:rPr>
            </w:pPr>
          </w:p>
        </w:tc>
        <w:tc>
          <w:tcPr>
            <w:tcW w:w="566" w:type="pct"/>
            <w:vAlign w:val="center"/>
          </w:tcPr>
          <w:p w14:paraId="03ED55E7">
            <w:pPr>
              <w:spacing w:line="360" w:lineRule="auto"/>
              <w:jc w:val="center"/>
              <w:rPr>
                <w:rFonts w:ascii="宋体" w:hAnsi="宋体" w:eastAsia="宋体" w:cs="仿宋"/>
                <w:bCs/>
                <w:szCs w:val="21"/>
              </w:rPr>
            </w:pPr>
          </w:p>
        </w:tc>
        <w:tc>
          <w:tcPr>
            <w:tcW w:w="556" w:type="pct"/>
            <w:vAlign w:val="center"/>
          </w:tcPr>
          <w:p w14:paraId="29209EBF">
            <w:pPr>
              <w:spacing w:line="360" w:lineRule="auto"/>
              <w:jc w:val="center"/>
              <w:rPr>
                <w:rFonts w:ascii="宋体" w:hAnsi="宋体" w:eastAsia="宋体" w:cs="仿宋"/>
                <w:bCs/>
                <w:szCs w:val="21"/>
              </w:rPr>
            </w:pPr>
          </w:p>
        </w:tc>
        <w:tc>
          <w:tcPr>
            <w:tcW w:w="556" w:type="pct"/>
            <w:vAlign w:val="center"/>
          </w:tcPr>
          <w:p w14:paraId="3157BB0F">
            <w:pPr>
              <w:spacing w:line="360" w:lineRule="auto"/>
              <w:jc w:val="center"/>
              <w:rPr>
                <w:rFonts w:ascii="宋体" w:hAnsi="宋体" w:eastAsia="宋体" w:cs="仿宋"/>
                <w:bCs/>
                <w:szCs w:val="21"/>
              </w:rPr>
            </w:pPr>
          </w:p>
        </w:tc>
      </w:tr>
      <w:tr w14:paraId="108B42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3" w:type="pct"/>
            <w:vAlign w:val="center"/>
          </w:tcPr>
          <w:p w14:paraId="45473095">
            <w:pPr>
              <w:spacing w:line="360" w:lineRule="auto"/>
              <w:jc w:val="center"/>
              <w:rPr>
                <w:rFonts w:ascii="宋体" w:hAnsi="宋体" w:eastAsia="宋体" w:cs="仿宋"/>
                <w:bCs/>
                <w:szCs w:val="21"/>
              </w:rPr>
            </w:pPr>
            <w:r>
              <w:rPr>
                <w:rFonts w:hint="eastAsia" w:ascii="宋体" w:hAnsi="宋体" w:eastAsia="宋体" w:cs="仿宋"/>
                <w:bCs/>
                <w:szCs w:val="21"/>
              </w:rPr>
              <w:t>5</w:t>
            </w:r>
          </w:p>
        </w:tc>
        <w:tc>
          <w:tcPr>
            <w:tcW w:w="697" w:type="pct"/>
            <w:vAlign w:val="center"/>
          </w:tcPr>
          <w:p w14:paraId="4493FFA4">
            <w:pPr>
              <w:spacing w:line="360" w:lineRule="auto"/>
              <w:jc w:val="center"/>
              <w:rPr>
                <w:rFonts w:ascii="宋体" w:hAnsi="宋体" w:eastAsia="宋体" w:cs="仿宋"/>
                <w:bCs/>
                <w:szCs w:val="21"/>
              </w:rPr>
            </w:pPr>
          </w:p>
        </w:tc>
        <w:tc>
          <w:tcPr>
            <w:tcW w:w="387" w:type="pct"/>
            <w:vAlign w:val="center"/>
          </w:tcPr>
          <w:p w14:paraId="713701C8">
            <w:pPr>
              <w:spacing w:line="360" w:lineRule="auto"/>
              <w:jc w:val="center"/>
              <w:rPr>
                <w:rFonts w:ascii="宋体" w:hAnsi="宋体" w:eastAsia="宋体" w:cs="仿宋"/>
                <w:bCs/>
                <w:szCs w:val="21"/>
              </w:rPr>
            </w:pPr>
          </w:p>
        </w:tc>
        <w:tc>
          <w:tcPr>
            <w:tcW w:w="512" w:type="pct"/>
            <w:vAlign w:val="center"/>
          </w:tcPr>
          <w:p w14:paraId="3BF9B4AE">
            <w:pPr>
              <w:spacing w:line="360" w:lineRule="auto"/>
              <w:jc w:val="center"/>
              <w:rPr>
                <w:rFonts w:ascii="宋体" w:hAnsi="宋体" w:eastAsia="宋体" w:cs="仿宋"/>
                <w:bCs/>
                <w:szCs w:val="21"/>
              </w:rPr>
            </w:pPr>
          </w:p>
        </w:tc>
        <w:tc>
          <w:tcPr>
            <w:tcW w:w="726" w:type="pct"/>
            <w:vAlign w:val="center"/>
          </w:tcPr>
          <w:p w14:paraId="1EDFD7D6">
            <w:pPr>
              <w:spacing w:line="360" w:lineRule="auto"/>
              <w:jc w:val="center"/>
              <w:rPr>
                <w:rFonts w:ascii="宋体" w:hAnsi="宋体" w:eastAsia="宋体" w:cs="仿宋"/>
                <w:bCs/>
                <w:szCs w:val="21"/>
              </w:rPr>
            </w:pPr>
          </w:p>
        </w:tc>
        <w:tc>
          <w:tcPr>
            <w:tcW w:w="556" w:type="pct"/>
            <w:vAlign w:val="center"/>
          </w:tcPr>
          <w:p w14:paraId="57271079">
            <w:pPr>
              <w:spacing w:line="360" w:lineRule="auto"/>
              <w:jc w:val="center"/>
              <w:rPr>
                <w:rFonts w:ascii="宋体" w:hAnsi="宋体" w:eastAsia="宋体" w:cs="仿宋"/>
                <w:bCs/>
                <w:szCs w:val="21"/>
              </w:rPr>
            </w:pPr>
          </w:p>
        </w:tc>
        <w:tc>
          <w:tcPr>
            <w:tcW w:w="566" w:type="pct"/>
            <w:vAlign w:val="center"/>
          </w:tcPr>
          <w:p w14:paraId="66343F2D">
            <w:pPr>
              <w:spacing w:line="360" w:lineRule="auto"/>
              <w:jc w:val="center"/>
              <w:rPr>
                <w:rFonts w:ascii="宋体" w:hAnsi="宋体" w:eastAsia="宋体" w:cs="仿宋"/>
                <w:bCs/>
                <w:szCs w:val="21"/>
              </w:rPr>
            </w:pPr>
          </w:p>
        </w:tc>
        <w:tc>
          <w:tcPr>
            <w:tcW w:w="556" w:type="pct"/>
            <w:vAlign w:val="center"/>
          </w:tcPr>
          <w:p w14:paraId="15F5C56E">
            <w:pPr>
              <w:spacing w:line="360" w:lineRule="auto"/>
              <w:jc w:val="center"/>
              <w:rPr>
                <w:rFonts w:ascii="宋体" w:hAnsi="宋体" w:eastAsia="宋体" w:cs="仿宋"/>
                <w:bCs/>
                <w:szCs w:val="21"/>
              </w:rPr>
            </w:pPr>
          </w:p>
        </w:tc>
        <w:tc>
          <w:tcPr>
            <w:tcW w:w="556" w:type="pct"/>
            <w:vAlign w:val="center"/>
          </w:tcPr>
          <w:p w14:paraId="6E3B125C">
            <w:pPr>
              <w:spacing w:line="360" w:lineRule="auto"/>
              <w:jc w:val="center"/>
              <w:rPr>
                <w:rFonts w:ascii="宋体" w:hAnsi="宋体" w:eastAsia="宋体" w:cs="仿宋"/>
                <w:bCs/>
                <w:szCs w:val="21"/>
              </w:rPr>
            </w:pPr>
          </w:p>
        </w:tc>
      </w:tr>
      <w:tr w14:paraId="335B78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3" w:type="pct"/>
            <w:vAlign w:val="center"/>
          </w:tcPr>
          <w:p w14:paraId="44B904FF">
            <w:pPr>
              <w:spacing w:line="360" w:lineRule="auto"/>
              <w:jc w:val="center"/>
              <w:rPr>
                <w:rFonts w:ascii="宋体" w:hAnsi="宋体" w:eastAsia="宋体" w:cs="仿宋"/>
                <w:bCs/>
                <w:szCs w:val="21"/>
              </w:rPr>
            </w:pPr>
            <w:r>
              <w:rPr>
                <w:rFonts w:hint="eastAsia" w:ascii="宋体" w:hAnsi="宋体" w:eastAsia="宋体" w:cs="仿宋"/>
                <w:bCs/>
                <w:szCs w:val="21"/>
              </w:rPr>
              <w:t>…</w:t>
            </w:r>
          </w:p>
        </w:tc>
        <w:tc>
          <w:tcPr>
            <w:tcW w:w="697" w:type="pct"/>
            <w:vAlign w:val="center"/>
          </w:tcPr>
          <w:p w14:paraId="7EB07855">
            <w:pPr>
              <w:spacing w:line="360" w:lineRule="auto"/>
              <w:jc w:val="center"/>
              <w:rPr>
                <w:rFonts w:ascii="宋体" w:hAnsi="宋体" w:eastAsia="宋体" w:cs="仿宋"/>
                <w:bCs/>
                <w:szCs w:val="21"/>
              </w:rPr>
            </w:pPr>
          </w:p>
        </w:tc>
        <w:tc>
          <w:tcPr>
            <w:tcW w:w="387" w:type="pct"/>
            <w:vAlign w:val="center"/>
          </w:tcPr>
          <w:p w14:paraId="404FC3A9">
            <w:pPr>
              <w:spacing w:line="360" w:lineRule="auto"/>
              <w:jc w:val="center"/>
              <w:rPr>
                <w:rFonts w:ascii="宋体" w:hAnsi="宋体" w:eastAsia="宋体" w:cs="仿宋"/>
                <w:bCs/>
                <w:szCs w:val="21"/>
              </w:rPr>
            </w:pPr>
          </w:p>
        </w:tc>
        <w:tc>
          <w:tcPr>
            <w:tcW w:w="512" w:type="pct"/>
            <w:vAlign w:val="center"/>
          </w:tcPr>
          <w:p w14:paraId="176234F4">
            <w:pPr>
              <w:spacing w:line="360" w:lineRule="auto"/>
              <w:jc w:val="center"/>
              <w:rPr>
                <w:rFonts w:ascii="宋体" w:hAnsi="宋体" w:eastAsia="宋体" w:cs="仿宋"/>
                <w:bCs/>
                <w:szCs w:val="21"/>
              </w:rPr>
            </w:pPr>
          </w:p>
        </w:tc>
        <w:tc>
          <w:tcPr>
            <w:tcW w:w="726" w:type="pct"/>
            <w:vAlign w:val="center"/>
          </w:tcPr>
          <w:p w14:paraId="57746166">
            <w:pPr>
              <w:spacing w:line="360" w:lineRule="auto"/>
              <w:jc w:val="center"/>
              <w:rPr>
                <w:rFonts w:ascii="宋体" w:hAnsi="宋体" w:eastAsia="宋体" w:cs="仿宋"/>
                <w:bCs/>
                <w:szCs w:val="21"/>
              </w:rPr>
            </w:pPr>
          </w:p>
        </w:tc>
        <w:tc>
          <w:tcPr>
            <w:tcW w:w="556" w:type="pct"/>
            <w:vAlign w:val="center"/>
          </w:tcPr>
          <w:p w14:paraId="0BDC7A72">
            <w:pPr>
              <w:spacing w:line="360" w:lineRule="auto"/>
              <w:jc w:val="center"/>
              <w:rPr>
                <w:rFonts w:ascii="宋体" w:hAnsi="宋体" w:eastAsia="宋体" w:cs="仿宋"/>
                <w:bCs/>
                <w:szCs w:val="21"/>
              </w:rPr>
            </w:pPr>
          </w:p>
        </w:tc>
        <w:tc>
          <w:tcPr>
            <w:tcW w:w="566" w:type="pct"/>
            <w:vAlign w:val="center"/>
          </w:tcPr>
          <w:p w14:paraId="550B9B5F">
            <w:pPr>
              <w:spacing w:line="360" w:lineRule="auto"/>
              <w:jc w:val="center"/>
              <w:rPr>
                <w:rFonts w:ascii="宋体" w:hAnsi="宋体" w:eastAsia="宋体" w:cs="仿宋"/>
                <w:bCs/>
                <w:szCs w:val="21"/>
              </w:rPr>
            </w:pPr>
          </w:p>
        </w:tc>
        <w:tc>
          <w:tcPr>
            <w:tcW w:w="556" w:type="pct"/>
            <w:vAlign w:val="center"/>
          </w:tcPr>
          <w:p w14:paraId="4787F696">
            <w:pPr>
              <w:spacing w:line="360" w:lineRule="auto"/>
              <w:jc w:val="center"/>
              <w:rPr>
                <w:rFonts w:ascii="宋体" w:hAnsi="宋体" w:eastAsia="宋体" w:cs="仿宋"/>
                <w:bCs/>
                <w:szCs w:val="21"/>
              </w:rPr>
            </w:pPr>
          </w:p>
        </w:tc>
        <w:tc>
          <w:tcPr>
            <w:tcW w:w="556" w:type="pct"/>
            <w:vAlign w:val="center"/>
          </w:tcPr>
          <w:p w14:paraId="3147A3DB">
            <w:pPr>
              <w:spacing w:line="360" w:lineRule="auto"/>
              <w:jc w:val="center"/>
              <w:rPr>
                <w:rFonts w:ascii="宋体" w:hAnsi="宋体" w:eastAsia="宋体" w:cs="仿宋"/>
                <w:bCs/>
                <w:szCs w:val="21"/>
              </w:rPr>
            </w:pPr>
          </w:p>
        </w:tc>
      </w:tr>
      <w:tr w14:paraId="354B68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trPr>
        <w:tc>
          <w:tcPr>
            <w:tcW w:w="3888" w:type="pct"/>
            <w:gridSpan w:val="7"/>
            <w:vAlign w:val="center"/>
          </w:tcPr>
          <w:p w14:paraId="3B684D77">
            <w:pPr>
              <w:spacing w:line="360" w:lineRule="auto"/>
              <w:jc w:val="center"/>
              <w:rPr>
                <w:rFonts w:ascii="宋体" w:hAnsi="宋体" w:eastAsia="宋体" w:cs="仿宋"/>
                <w:bCs/>
                <w:szCs w:val="21"/>
              </w:rPr>
            </w:pPr>
            <w:r>
              <w:rPr>
                <w:rFonts w:hint="eastAsia" w:ascii="宋体" w:hAnsi="宋体" w:eastAsia="宋体" w:cs="仿宋"/>
                <w:bCs/>
                <w:szCs w:val="21"/>
              </w:rPr>
              <w:t>合计</w:t>
            </w:r>
          </w:p>
        </w:tc>
        <w:tc>
          <w:tcPr>
            <w:tcW w:w="556" w:type="pct"/>
            <w:vAlign w:val="center"/>
          </w:tcPr>
          <w:p w14:paraId="728E8691">
            <w:pPr>
              <w:spacing w:line="360" w:lineRule="auto"/>
              <w:jc w:val="center"/>
              <w:rPr>
                <w:rFonts w:ascii="宋体" w:hAnsi="宋体" w:eastAsia="宋体" w:cs="仿宋"/>
                <w:bCs/>
                <w:szCs w:val="21"/>
              </w:rPr>
            </w:pPr>
          </w:p>
        </w:tc>
        <w:tc>
          <w:tcPr>
            <w:tcW w:w="556" w:type="pct"/>
            <w:vAlign w:val="center"/>
          </w:tcPr>
          <w:p w14:paraId="536303E8">
            <w:pPr>
              <w:spacing w:line="360" w:lineRule="auto"/>
              <w:jc w:val="center"/>
              <w:rPr>
                <w:rFonts w:ascii="宋体" w:hAnsi="宋体" w:eastAsia="宋体" w:cs="仿宋"/>
                <w:bCs/>
                <w:szCs w:val="21"/>
              </w:rPr>
            </w:pPr>
          </w:p>
        </w:tc>
      </w:tr>
    </w:tbl>
    <w:p w14:paraId="3562BE05">
      <w:pPr>
        <w:spacing w:line="360" w:lineRule="auto"/>
        <w:jc w:val="left"/>
        <w:rPr>
          <w:rFonts w:ascii="宋体" w:hAnsi="宋体" w:eastAsia="宋体" w:cs="仿宋"/>
          <w:sz w:val="24"/>
          <w:szCs w:val="24"/>
        </w:rPr>
      </w:pPr>
    </w:p>
    <w:p w14:paraId="43498ED9">
      <w:pPr>
        <w:spacing w:line="360" w:lineRule="auto"/>
        <w:jc w:val="left"/>
        <w:rPr>
          <w:rFonts w:ascii="宋体" w:hAnsi="宋体" w:eastAsia="宋体" w:cs="仿宋"/>
          <w:sz w:val="24"/>
          <w:szCs w:val="24"/>
        </w:rPr>
      </w:pPr>
      <w:r>
        <w:rPr>
          <w:rFonts w:hint="eastAsia" w:ascii="宋体" w:hAnsi="宋体" w:eastAsia="宋体" w:cs="仿宋"/>
          <w:sz w:val="24"/>
          <w:szCs w:val="24"/>
        </w:rPr>
        <w:t>备注：</w:t>
      </w:r>
    </w:p>
    <w:p w14:paraId="0CDF516A">
      <w:pPr>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1、此表的格式与内容可根据项目实际情况自行增减。</w:t>
      </w:r>
    </w:p>
    <w:p w14:paraId="2F54C8DF">
      <w:pPr>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2、标的名称和数量应按照第四章“技术标准和要求”内容填写。</w:t>
      </w:r>
    </w:p>
    <w:p w14:paraId="73B4A4B2">
      <w:pPr>
        <w:spacing w:line="360" w:lineRule="auto"/>
        <w:ind w:firstLine="480" w:firstLineChars="200"/>
        <w:jc w:val="left"/>
        <w:rPr>
          <w:rFonts w:ascii="宋体" w:hAnsi="宋体" w:eastAsia="宋体" w:cs="仿宋"/>
          <w:kern w:val="0"/>
          <w:sz w:val="24"/>
          <w:szCs w:val="24"/>
        </w:rPr>
      </w:pPr>
      <w:r>
        <w:rPr>
          <w:rFonts w:hint="eastAsia" w:ascii="宋体" w:hAnsi="宋体" w:eastAsia="宋体" w:cs="仿宋"/>
          <w:sz w:val="24"/>
          <w:szCs w:val="24"/>
        </w:rPr>
        <w:t>3、</w:t>
      </w:r>
      <w:r>
        <w:rPr>
          <w:rFonts w:hint="eastAsia" w:ascii="宋体" w:hAnsi="宋体" w:eastAsia="宋体" w:cs="仿宋"/>
          <w:kern w:val="0"/>
          <w:sz w:val="24"/>
          <w:szCs w:val="24"/>
        </w:rPr>
        <w:t>投标价格应包括投标人履行本项目合同（如果中标）所必须的所有成本费用和中标人应承担的一切税费；未列和没有填写的项目费用，采购人将视为已包括在投标价格中。</w:t>
      </w:r>
    </w:p>
    <w:p w14:paraId="29099170">
      <w:pPr>
        <w:spacing w:line="360" w:lineRule="auto"/>
        <w:jc w:val="left"/>
        <w:rPr>
          <w:rFonts w:ascii="宋体" w:hAnsi="宋体" w:eastAsia="宋体" w:cs="仿宋"/>
          <w:kern w:val="0"/>
          <w:sz w:val="24"/>
          <w:szCs w:val="24"/>
        </w:rPr>
      </w:pPr>
    </w:p>
    <w:p w14:paraId="15DA5A15">
      <w:pPr>
        <w:spacing w:line="360" w:lineRule="auto"/>
        <w:jc w:val="left"/>
        <w:rPr>
          <w:rFonts w:ascii="宋体" w:hAnsi="宋体" w:eastAsia="宋体" w:cs="仿宋"/>
          <w:kern w:val="0"/>
          <w:sz w:val="24"/>
          <w:szCs w:val="24"/>
        </w:rPr>
      </w:pPr>
    </w:p>
    <w:p w14:paraId="4511FD0E">
      <w:pPr>
        <w:widowControl/>
        <w:shd w:val="clear" w:color="auto" w:fill="FFFFFF"/>
        <w:snapToGrid w:val="0"/>
        <w:spacing w:line="384" w:lineRule="auto"/>
        <w:jc w:val="left"/>
        <w:rPr>
          <w:rFonts w:ascii="宋体" w:hAnsi="宋体" w:eastAsia="宋体" w:cs="仿宋"/>
          <w:kern w:val="0"/>
          <w:sz w:val="24"/>
          <w:szCs w:val="24"/>
        </w:rPr>
      </w:pPr>
      <w:r>
        <w:rPr>
          <w:rFonts w:hint="eastAsia" w:ascii="宋体" w:hAnsi="宋体" w:eastAsia="宋体" w:cs="仿宋"/>
          <w:kern w:val="0"/>
          <w:sz w:val="24"/>
          <w:szCs w:val="24"/>
        </w:rPr>
        <w:t>投标人：</w:t>
      </w:r>
      <w:r>
        <w:rPr>
          <w:rFonts w:hint="eastAsia" w:ascii="宋体" w:hAnsi="宋体" w:eastAsia="宋体" w:cs="仿宋"/>
          <w:kern w:val="0"/>
          <w:sz w:val="24"/>
          <w:szCs w:val="24"/>
          <w:u w:val="single"/>
        </w:rPr>
        <w:t xml:space="preserve">                      </w:t>
      </w:r>
      <w:r>
        <w:rPr>
          <w:rFonts w:hint="eastAsia" w:ascii="宋体" w:hAnsi="宋体" w:eastAsia="宋体" w:cs="仿宋"/>
          <w:kern w:val="0"/>
          <w:sz w:val="24"/>
          <w:szCs w:val="24"/>
        </w:rPr>
        <w:t>（盖章）</w:t>
      </w:r>
    </w:p>
    <w:p w14:paraId="4BF5AC34">
      <w:pPr>
        <w:widowControl/>
        <w:shd w:val="clear" w:color="auto" w:fill="FFFFFF"/>
        <w:snapToGrid w:val="0"/>
        <w:spacing w:line="384" w:lineRule="auto"/>
        <w:jc w:val="left"/>
        <w:rPr>
          <w:rFonts w:ascii="宋体" w:hAnsi="宋体" w:eastAsia="宋体" w:cs="仿宋"/>
          <w:kern w:val="0"/>
          <w:sz w:val="24"/>
          <w:szCs w:val="24"/>
        </w:rPr>
      </w:pPr>
    </w:p>
    <w:p w14:paraId="279F3A1C">
      <w:pPr>
        <w:widowControl/>
        <w:shd w:val="clear" w:color="auto" w:fill="FFFFFF"/>
        <w:snapToGrid w:val="0"/>
        <w:spacing w:line="384" w:lineRule="auto"/>
        <w:jc w:val="left"/>
        <w:rPr>
          <w:rFonts w:ascii="宋体" w:hAnsi="宋体" w:eastAsia="宋体" w:cs="仿宋"/>
          <w:kern w:val="0"/>
          <w:sz w:val="24"/>
          <w:szCs w:val="24"/>
        </w:rPr>
      </w:pPr>
      <w:r>
        <w:rPr>
          <w:rFonts w:hint="eastAsia" w:ascii="宋体" w:hAnsi="宋体" w:eastAsia="宋体" w:cs="仿宋"/>
          <w:kern w:val="0"/>
          <w:sz w:val="24"/>
          <w:szCs w:val="24"/>
        </w:rPr>
        <w:t>法定代表人：</w:t>
      </w:r>
      <w:r>
        <w:rPr>
          <w:rFonts w:hint="eastAsia" w:ascii="宋体" w:hAnsi="宋体" w:eastAsia="宋体" w:cs="仿宋"/>
          <w:kern w:val="0"/>
          <w:sz w:val="24"/>
          <w:szCs w:val="24"/>
          <w:u w:val="single"/>
        </w:rPr>
        <w:t xml:space="preserve">                    </w:t>
      </w:r>
      <w:r>
        <w:rPr>
          <w:rFonts w:hint="eastAsia" w:ascii="宋体" w:hAnsi="宋体" w:eastAsia="宋体" w:cs="仿宋"/>
          <w:kern w:val="0"/>
          <w:sz w:val="24"/>
          <w:szCs w:val="24"/>
        </w:rPr>
        <w:t>（盖章）</w:t>
      </w:r>
    </w:p>
    <w:p w14:paraId="22970620">
      <w:pPr>
        <w:widowControl/>
        <w:shd w:val="clear" w:color="auto" w:fill="FFFFFF"/>
        <w:wordWrap w:val="0"/>
        <w:snapToGrid w:val="0"/>
        <w:spacing w:line="384" w:lineRule="auto"/>
        <w:ind w:firstLine="420"/>
        <w:jc w:val="right"/>
        <w:rPr>
          <w:rFonts w:ascii="宋体" w:hAnsi="宋体" w:eastAsia="宋体" w:cs="仿宋"/>
          <w:kern w:val="0"/>
          <w:sz w:val="24"/>
          <w:szCs w:val="24"/>
        </w:rPr>
      </w:pPr>
      <w:r>
        <w:rPr>
          <w:rFonts w:hint="eastAsia" w:ascii="宋体" w:hAnsi="宋体" w:eastAsia="宋体" w:cs="仿宋"/>
          <w:kern w:val="0"/>
          <w:sz w:val="24"/>
          <w:szCs w:val="24"/>
        </w:rPr>
        <w:t>日期：     年   月   日</w:t>
      </w:r>
    </w:p>
    <w:p w14:paraId="328D1BEF">
      <w:pPr>
        <w:spacing w:line="360" w:lineRule="auto"/>
        <w:jc w:val="left"/>
        <w:rPr>
          <w:rFonts w:ascii="宋体" w:hAnsi="宋体" w:eastAsia="宋体" w:cs="仿宋"/>
          <w:sz w:val="24"/>
          <w:szCs w:val="24"/>
        </w:rPr>
      </w:pPr>
    </w:p>
    <w:p w14:paraId="04628DA1">
      <w:pPr>
        <w:widowControl/>
        <w:jc w:val="left"/>
        <w:rPr>
          <w:rFonts w:ascii="宋体" w:hAnsi="宋体" w:eastAsia="宋体" w:cs="仿宋"/>
          <w:sz w:val="24"/>
          <w:szCs w:val="24"/>
        </w:rPr>
      </w:pPr>
      <w:r>
        <w:rPr>
          <w:rFonts w:hint="eastAsia" w:ascii="宋体" w:hAnsi="宋体" w:eastAsia="宋体" w:cs="仿宋"/>
          <w:sz w:val="24"/>
          <w:szCs w:val="24"/>
        </w:rPr>
        <w:br w:type="page"/>
      </w:r>
    </w:p>
    <w:p w14:paraId="54972618">
      <w:pPr>
        <w:tabs>
          <w:tab w:val="center" w:pos="4832"/>
          <w:tab w:val="left" w:pos="7140"/>
        </w:tabs>
        <w:jc w:val="center"/>
        <w:outlineLvl w:val="1"/>
        <w:rPr>
          <w:rFonts w:ascii="宋体" w:hAnsi="宋体" w:eastAsia="宋体" w:cs="仿宋"/>
          <w:b/>
          <w:sz w:val="24"/>
          <w:szCs w:val="24"/>
        </w:rPr>
      </w:pPr>
      <w:bookmarkStart w:id="93" w:name="_Toc109941767"/>
      <w:bookmarkStart w:id="94" w:name="_Toc110707967"/>
      <w:bookmarkStart w:id="95" w:name="_Toc130252617"/>
      <w:bookmarkStart w:id="96" w:name="_Toc109921160"/>
      <w:bookmarkStart w:id="97" w:name="_Toc200016473"/>
      <w:r>
        <w:rPr>
          <w:rFonts w:hint="eastAsia" w:ascii="宋体" w:hAnsi="宋体" w:eastAsia="宋体" w:cs="仿宋"/>
          <w:b/>
          <w:sz w:val="24"/>
          <w:szCs w:val="24"/>
        </w:rPr>
        <w:t>三、技术条款偏离表</w:t>
      </w:r>
      <w:bookmarkEnd w:id="93"/>
      <w:bookmarkEnd w:id="94"/>
      <w:bookmarkEnd w:id="95"/>
      <w:bookmarkEnd w:id="96"/>
      <w:bookmarkEnd w:id="97"/>
    </w:p>
    <w:p w14:paraId="58F22F55">
      <w:pPr>
        <w:rPr>
          <w:rFonts w:ascii="宋体" w:hAnsi="宋体" w:eastAsia="宋体" w:cs="仿宋"/>
        </w:rPr>
      </w:pPr>
    </w:p>
    <w:tbl>
      <w:tblPr>
        <w:tblStyle w:val="3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05"/>
        <w:gridCol w:w="1357"/>
        <w:gridCol w:w="1326"/>
        <w:gridCol w:w="1326"/>
        <w:gridCol w:w="1326"/>
        <w:gridCol w:w="1327"/>
        <w:gridCol w:w="1327"/>
      </w:tblGrid>
      <w:tr w14:paraId="198DE4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vAlign w:val="center"/>
          </w:tcPr>
          <w:p w14:paraId="3891E269">
            <w:pPr>
              <w:spacing w:line="360" w:lineRule="auto"/>
              <w:jc w:val="center"/>
              <w:rPr>
                <w:rFonts w:ascii="宋体" w:hAnsi="宋体" w:eastAsia="宋体" w:cs="仿宋"/>
                <w:bCs/>
                <w:szCs w:val="21"/>
              </w:rPr>
            </w:pPr>
            <w:r>
              <w:rPr>
                <w:rFonts w:hint="eastAsia" w:ascii="宋体" w:hAnsi="宋体" w:eastAsia="宋体" w:cs="仿宋"/>
                <w:bCs/>
                <w:szCs w:val="21"/>
              </w:rPr>
              <w:t>序号</w:t>
            </w:r>
          </w:p>
        </w:tc>
        <w:tc>
          <w:tcPr>
            <w:tcW w:w="1357" w:type="dxa"/>
            <w:vAlign w:val="center"/>
          </w:tcPr>
          <w:p w14:paraId="096EFC67">
            <w:pPr>
              <w:spacing w:line="360" w:lineRule="auto"/>
              <w:jc w:val="center"/>
              <w:rPr>
                <w:rFonts w:ascii="宋体" w:hAnsi="宋体" w:eastAsia="宋体" w:cs="仿宋"/>
                <w:bCs/>
                <w:szCs w:val="21"/>
              </w:rPr>
            </w:pPr>
            <w:r>
              <w:rPr>
                <w:rFonts w:hint="eastAsia" w:ascii="宋体" w:hAnsi="宋体" w:eastAsia="宋体" w:cs="仿宋"/>
                <w:bCs/>
                <w:szCs w:val="21"/>
              </w:rPr>
              <w:t>标的名称</w:t>
            </w:r>
          </w:p>
        </w:tc>
        <w:tc>
          <w:tcPr>
            <w:tcW w:w="1326" w:type="dxa"/>
            <w:vAlign w:val="center"/>
          </w:tcPr>
          <w:p w14:paraId="60D14234">
            <w:pPr>
              <w:spacing w:line="360" w:lineRule="auto"/>
              <w:jc w:val="center"/>
              <w:rPr>
                <w:rFonts w:ascii="宋体" w:hAnsi="宋体" w:eastAsia="宋体" w:cs="仿宋"/>
                <w:bCs/>
                <w:szCs w:val="21"/>
              </w:rPr>
            </w:pPr>
            <w:r>
              <w:rPr>
                <w:rFonts w:hint="eastAsia" w:ascii="宋体" w:hAnsi="宋体" w:eastAsia="宋体" w:cs="仿宋"/>
                <w:bCs/>
                <w:szCs w:val="21"/>
              </w:rPr>
              <w:t>招标文件条目号</w:t>
            </w:r>
          </w:p>
        </w:tc>
        <w:tc>
          <w:tcPr>
            <w:tcW w:w="1326" w:type="dxa"/>
            <w:vAlign w:val="center"/>
          </w:tcPr>
          <w:p w14:paraId="422AE31D">
            <w:pPr>
              <w:spacing w:line="360" w:lineRule="auto"/>
              <w:jc w:val="center"/>
              <w:rPr>
                <w:rFonts w:ascii="宋体" w:hAnsi="宋体" w:eastAsia="宋体" w:cs="仿宋"/>
                <w:bCs/>
                <w:szCs w:val="21"/>
              </w:rPr>
            </w:pPr>
            <w:r>
              <w:rPr>
                <w:rFonts w:hint="eastAsia" w:ascii="宋体" w:hAnsi="宋体" w:eastAsia="宋体" w:cs="仿宋"/>
                <w:bCs/>
                <w:szCs w:val="21"/>
              </w:rPr>
              <w:t>招标文件要求规格</w:t>
            </w:r>
          </w:p>
        </w:tc>
        <w:tc>
          <w:tcPr>
            <w:tcW w:w="1326" w:type="dxa"/>
            <w:vAlign w:val="center"/>
          </w:tcPr>
          <w:p w14:paraId="46DD2935">
            <w:pPr>
              <w:spacing w:line="360" w:lineRule="auto"/>
              <w:jc w:val="center"/>
              <w:rPr>
                <w:rFonts w:ascii="宋体" w:hAnsi="宋体" w:eastAsia="宋体" w:cs="仿宋"/>
                <w:bCs/>
                <w:szCs w:val="21"/>
              </w:rPr>
            </w:pPr>
            <w:r>
              <w:rPr>
                <w:rFonts w:hint="eastAsia" w:ascii="宋体" w:hAnsi="宋体" w:eastAsia="宋体" w:cs="仿宋"/>
                <w:bCs/>
                <w:szCs w:val="21"/>
              </w:rPr>
              <w:t>投标规格</w:t>
            </w:r>
          </w:p>
        </w:tc>
        <w:tc>
          <w:tcPr>
            <w:tcW w:w="1327" w:type="dxa"/>
            <w:vAlign w:val="center"/>
          </w:tcPr>
          <w:p w14:paraId="68A546BF">
            <w:pPr>
              <w:spacing w:line="360" w:lineRule="auto"/>
              <w:jc w:val="center"/>
              <w:rPr>
                <w:rFonts w:ascii="宋体" w:hAnsi="宋体" w:eastAsia="宋体" w:cs="仿宋"/>
                <w:bCs/>
                <w:szCs w:val="21"/>
              </w:rPr>
            </w:pPr>
            <w:r>
              <w:rPr>
                <w:rFonts w:hint="eastAsia" w:ascii="宋体" w:hAnsi="宋体" w:eastAsia="宋体" w:cs="仿宋"/>
                <w:bCs/>
                <w:szCs w:val="21"/>
              </w:rPr>
              <w:t>偏离</w:t>
            </w:r>
          </w:p>
        </w:tc>
        <w:tc>
          <w:tcPr>
            <w:tcW w:w="1327" w:type="dxa"/>
            <w:vAlign w:val="center"/>
          </w:tcPr>
          <w:p w14:paraId="15537A89">
            <w:pPr>
              <w:spacing w:line="360" w:lineRule="auto"/>
              <w:jc w:val="center"/>
              <w:rPr>
                <w:rFonts w:ascii="宋体" w:hAnsi="宋体" w:eastAsia="宋体" w:cs="仿宋"/>
                <w:bCs/>
                <w:szCs w:val="21"/>
              </w:rPr>
            </w:pPr>
            <w:r>
              <w:rPr>
                <w:rFonts w:hint="eastAsia" w:ascii="宋体" w:hAnsi="宋体" w:eastAsia="宋体" w:cs="仿宋"/>
                <w:bCs/>
                <w:szCs w:val="21"/>
              </w:rPr>
              <w:t>说明</w:t>
            </w:r>
          </w:p>
        </w:tc>
      </w:tr>
      <w:tr w14:paraId="7B2438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62007EA2">
            <w:pPr>
              <w:spacing w:line="360" w:lineRule="auto"/>
              <w:jc w:val="center"/>
              <w:rPr>
                <w:rFonts w:ascii="宋体" w:hAnsi="宋体" w:eastAsia="宋体" w:cs="仿宋"/>
                <w:b/>
                <w:bCs/>
                <w:szCs w:val="21"/>
              </w:rPr>
            </w:pPr>
          </w:p>
        </w:tc>
        <w:tc>
          <w:tcPr>
            <w:tcW w:w="1357" w:type="dxa"/>
          </w:tcPr>
          <w:p w14:paraId="70EE5C90">
            <w:pPr>
              <w:spacing w:line="360" w:lineRule="auto"/>
              <w:jc w:val="center"/>
              <w:rPr>
                <w:rFonts w:ascii="宋体" w:hAnsi="宋体" w:eastAsia="宋体" w:cs="仿宋"/>
                <w:b/>
                <w:bCs/>
                <w:szCs w:val="21"/>
              </w:rPr>
            </w:pPr>
          </w:p>
        </w:tc>
        <w:tc>
          <w:tcPr>
            <w:tcW w:w="1326" w:type="dxa"/>
          </w:tcPr>
          <w:p w14:paraId="663D9A1E">
            <w:pPr>
              <w:spacing w:line="360" w:lineRule="auto"/>
              <w:jc w:val="center"/>
              <w:rPr>
                <w:rFonts w:ascii="宋体" w:hAnsi="宋体" w:eastAsia="宋体" w:cs="仿宋"/>
                <w:b/>
                <w:bCs/>
                <w:szCs w:val="21"/>
              </w:rPr>
            </w:pPr>
          </w:p>
        </w:tc>
        <w:tc>
          <w:tcPr>
            <w:tcW w:w="1326" w:type="dxa"/>
          </w:tcPr>
          <w:p w14:paraId="5BD891C8">
            <w:pPr>
              <w:spacing w:line="360" w:lineRule="auto"/>
              <w:jc w:val="center"/>
              <w:rPr>
                <w:rFonts w:ascii="宋体" w:hAnsi="宋体" w:eastAsia="宋体" w:cs="仿宋"/>
                <w:b/>
                <w:bCs/>
                <w:szCs w:val="21"/>
              </w:rPr>
            </w:pPr>
          </w:p>
        </w:tc>
        <w:tc>
          <w:tcPr>
            <w:tcW w:w="1326" w:type="dxa"/>
          </w:tcPr>
          <w:p w14:paraId="2311280A">
            <w:pPr>
              <w:spacing w:line="360" w:lineRule="auto"/>
              <w:jc w:val="center"/>
              <w:rPr>
                <w:rFonts w:ascii="宋体" w:hAnsi="宋体" w:eastAsia="宋体" w:cs="仿宋"/>
                <w:b/>
                <w:bCs/>
                <w:szCs w:val="21"/>
              </w:rPr>
            </w:pPr>
          </w:p>
        </w:tc>
        <w:tc>
          <w:tcPr>
            <w:tcW w:w="1327" w:type="dxa"/>
          </w:tcPr>
          <w:p w14:paraId="42CD3996">
            <w:pPr>
              <w:spacing w:line="360" w:lineRule="auto"/>
              <w:jc w:val="center"/>
              <w:rPr>
                <w:rFonts w:ascii="宋体" w:hAnsi="宋体" w:eastAsia="宋体" w:cs="仿宋"/>
                <w:b/>
                <w:bCs/>
                <w:szCs w:val="21"/>
              </w:rPr>
            </w:pPr>
          </w:p>
        </w:tc>
        <w:tc>
          <w:tcPr>
            <w:tcW w:w="1327" w:type="dxa"/>
          </w:tcPr>
          <w:p w14:paraId="79538EF5">
            <w:pPr>
              <w:spacing w:line="360" w:lineRule="auto"/>
              <w:jc w:val="center"/>
              <w:rPr>
                <w:rFonts w:ascii="宋体" w:hAnsi="宋体" w:eastAsia="宋体" w:cs="仿宋"/>
                <w:b/>
                <w:bCs/>
                <w:szCs w:val="21"/>
              </w:rPr>
            </w:pPr>
          </w:p>
        </w:tc>
      </w:tr>
      <w:tr w14:paraId="26088B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746C0ECD">
            <w:pPr>
              <w:spacing w:line="360" w:lineRule="auto"/>
              <w:jc w:val="center"/>
              <w:rPr>
                <w:rFonts w:ascii="宋体" w:hAnsi="宋体" w:eastAsia="宋体" w:cs="仿宋"/>
                <w:b/>
                <w:bCs/>
                <w:szCs w:val="21"/>
              </w:rPr>
            </w:pPr>
          </w:p>
        </w:tc>
        <w:tc>
          <w:tcPr>
            <w:tcW w:w="1357" w:type="dxa"/>
          </w:tcPr>
          <w:p w14:paraId="154BA0F1">
            <w:pPr>
              <w:spacing w:line="360" w:lineRule="auto"/>
              <w:jc w:val="center"/>
              <w:rPr>
                <w:rFonts w:ascii="宋体" w:hAnsi="宋体" w:eastAsia="宋体" w:cs="仿宋"/>
                <w:b/>
                <w:bCs/>
                <w:szCs w:val="21"/>
              </w:rPr>
            </w:pPr>
          </w:p>
        </w:tc>
        <w:tc>
          <w:tcPr>
            <w:tcW w:w="1326" w:type="dxa"/>
          </w:tcPr>
          <w:p w14:paraId="13AE5B1D">
            <w:pPr>
              <w:spacing w:line="360" w:lineRule="auto"/>
              <w:jc w:val="center"/>
              <w:rPr>
                <w:rFonts w:ascii="宋体" w:hAnsi="宋体" w:eastAsia="宋体" w:cs="仿宋"/>
                <w:b/>
                <w:bCs/>
                <w:szCs w:val="21"/>
              </w:rPr>
            </w:pPr>
          </w:p>
        </w:tc>
        <w:tc>
          <w:tcPr>
            <w:tcW w:w="1326" w:type="dxa"/>
          </w:tcPr>
          <w:p w14:paraId="0C064A53">
            <w:pPr>
              <w:spacing w:line="360" w:lineRule="auto"/>
              <w:jc w:val="center"/>
              <w:rPr>
                <w:rFonts w:ascii="宋体" w:hAnsi="宋体" w:eastAsia="宋体" w:cs="仿宋"/>
                <w:b/>
                <w:bCs/>
                <w:szCs w:val="21"/>
              </w:rPr>
            </w:pPr>
          </w:p>
        </w:tc>
        <w:tc>
          <w:tcPr>
            <w:tcW w:w="1326" w:type="dxa"/>
          </w:tcPr>
          <w:p w14:paraId="31E9E6C7">
            <w:pPr>
              <w:spacing w:line="360" w:lineRule="auto"/>
              <w:jc w:val="center"/>
              <w:rPr>
                <w:rFonts w:ascii="宋体" w:hAnsi="宋体" w:eastAsia="宋体" w:cs="仿宋"/>
                <w:b/>
                <w:bCs/>
                <w:szCs w:val="21"/>
              </w:rPr>
            </w:pPr>
          </w:p>
        </w:tc>
        <w:tc>
          <w:tcPr>
            <w:tcW w:w="1327" w:type="dxa"/>
          </w:tcPr>
          <w:p w14:paraId="049B91F5">
            <w:pPr>
              <w:spacing w:line="360" w:lineRule="auto"/>
              <w:jc w:val="center"/>
              <w:rPr>
                <w:rFonts w:ascii="宋体" w:hAnsi="宋体" w:eastAsia="宋体" w:cs="仿宋"/>
                <w:b/>
                <w:bCs/>
                <w:szCs w:val="21"/>
              </w:rPr>
            </w:pPr>
          </w:p>
        </w:tc>
        <w:tc>
          <w:tcPr>
            <w:tcW w:w="1327" w:type="dxa"/>
          </w:tcPr>
          <w:p w14:paraId="6630E0F7">
            <w:pPr>
              <w:spacing w:line="360" w:lineRule="auto"/>
              <w:jc w:val="center"/>
              <w:rPr>
                <w:rFonts w:ascii="宋体" w:hAnsi="宋体" w:eastAsia="宋体" w:cs="仿宋"/>
                <w:b/>
                <w:bCs/>
                <w:szCs w:val="21"/>
              </w:rPr>
            </w:pPr>
          </w:p>
        </w:tc>
      </w:tr>
      <w:tr w14:paraId="03F40E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3E481BB3">
            <w:pPr>
              <w:spacing w:line="360" w:lineRule="auto"/>
              <w:jc w:val="center"/>
              <w:rPr>
                <w:rFonts w:ascii="宋体" w:hAnsi="宋体" w:eastAsia="宋体" w:cs="仿宋"/>
                <w:b/>
                <w:bCs/>
                <w:szCs w:val="21"/>
              </w:rPr>
            </w:pPr>
          </w:p>
        </w:tc>
        <w:tc>
          <w:tcPr>
            <w:tcW w:w="1357" w:type="dxa"/>
          </w:tcPr>
          <w:p w14:paraId="4539B352">
            <w:pPr>
              <w:spacing w:line="360" w:lineRule="auto"/>
              <w:jc w:val="center"/>
              <w:rPr>
                <w:rFonts w:ascii="宋体" w:hAnsi="宋体" w:eastAsia="宋体" w:cs="仿宋"/>
                <w:b/>
                <w:bCs/>
                <w:szCs w:val="21"/>
              </w:rPr>
            </w:pPr>
          </w:p>
        </w:tc>
        <w:tc>
          <w:tcPr>
            <w:tcW w:w="1326" w:type="dxa"/>
          </w:tcPr>
          <w:p w14:paraId="23D015BA">
            <w:pPr>
              <w:spacing w:line="360" w:lineRule="auto"/>
              <w:jc w:val="center"/>
              <w:rPr>
                <w:rFonts w:ascii="宋体" w:hAnsi="宋体" w:eastAsia="宋体" w:cs="仿宋"/>
                <w:b/>
                <w:bCs/>
                <w:szCs w:val="21"/>
              </w:rPr>
            </w:pPr>
          </w:p>
        </w:tc>
        <w:tc>
          <w:tcPr>
            <w:tcW w:w="1326" w:type="dxa"/>
          </w:tcPr>
          <w:p w14:paraId="6AED88D4">
            <w:pPr>
              <w:spacing w:line="360" w:lineRule="auto"/>
              <w:jc w:val="center"/>
              <w:rPr>
                <w:rFonts w:ascii="宋体" w:hAnsi="宋体" w:eastAsia="宋体" w:cs="仿宋"/>
                <w:b/>
                <w:bCs/>
                <w:szCs w:val="21"/>
              </w:rPr>
            </w:pPr>
          </w:p>
        </w:tc>
        <w:tc>
          <w:tcPr>
            <w:tcW w:w="1326" w:type="dxa"/>
          </w:tcPr>
          <w:p w14:paraId="4EDA19BE">
            <w:pPr>
              <w:spacing w:line="360" w:lineRule="auto"/>
              <w:jc w:val="center"/>
              <w:rPr>
                <w:rFonts w:ascii="宋体" w:hAnsi="宋体" w:eastAsia="宋体" w:cs="仿宋"/>
                <w:b/>
                <w:bCs/>
                <w:szCs w:val="21"/>
              </w:rPr>
            </w:pPr>
          </w:p>
        </w:tc>
        <w:tc>
          <w:tcPr>
            <w:tcW w:w="1327" w:type="dxa"/>
          </w:tcPr>
          <w:p w14:paraId="351D7434">
            <w:pPr>
              <w:spacing w:line="360" w:lineRule="auto"/>
              <w:jc w:val="center"/>
              <w:rPr>
                <w:rFonts w:ascii="宋体" w:hAnsi="宋体" w:eastAsia="宋体" w:cs="仿宋"/>
                <w:b/>
                <w:bCs/>
                <w:szCs w:val="21"/>
              </w:rPr>
            </w:pPr>
          </w:p>
        </w:tc>
        <w:tc>
          <w:tcPr>
            <w:tcW w:w="1327" w:type="dxa"/>
          </w:tcPr>
          <w:p w14:paraId="6B3A809E">
            <w:pPr>
              <w:spacing w:line="360" w:lineRule="auto"/>
              <w:jc w:val="center"/>
              <w:rPr>
                <w:rFonts w:ascii="宋体" w:hAnsi="宋体" w:eastAsia="宋体" w:cs="仿宋"/>
                <w:b/>
                <w:bCs/>
                <w:szCs w:val="21"/>
              </w:rPr>
            </w:pPr>
          </w:p>
        </w:tc>
      </w:tr>
      <w:tr w14:paraId="7EB6E9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68C9E4F6">
            <w:pPr>
              <w:spacing w:line="360" w:lineRule="auto"/>
              <w:jc w:val="center"/>
              <w:rPr>
                <w:rFonts w:ascii="宋体" w:hAnsi="宋体" w:eastAsia="宋体" w:cs="仿宋"/>
                <w:b/>
                <w:bCs/>
                <w:szCs w:val="21"/>
              </w:rPr>
            </w:pPr>
          </w:p>
        </w:tc>
        <w:tc>
          <w:tcPr>
            <w:tcW w:w="1357" w:type="dxa"/>
          </w:tcPr>
          <w:p w14:paraId="5CA92FAE">
            <w:pPr>
              <w:spacing w:line="360" w:lineRule="auto"/>
              <w:jc w:val="center"/>
              <w:rPr>
                <w:rFonts w:ascii="宋体" w:hAnsi="宋体" w:eastAsia="宋体" w:cs="仿宋"/>
                <w:b/>
                <w:bCs/>
                <w:szCs w:val="21"/>
              </w:rPr>
            </w:pPr>
          </w:p>
        </w:tc>
        <w:tc>
          <w:tcPr>
            <w:tcW w:w="1326" w:type="dxa"/>
          </w:tcPr>
          <w:p w14:paraId="46C57CD3">
            <w:pPr>
              <w:spacing w:line="360" w:lineRule="auto"/>
              <w:jc w:val="center"/>
              <w:rPr>
                <w:rFonts w:ascii="宋体" w:hAnsi="宋体" w:eastAsia="宋体" w:cs="仿宋"/>
                <w:b/>
                <w:bCs/>
                <w:szCs w:val="21"/>
              </w:rPr>
            </w:pPr>
          </w:p>
        </w:tc>
        <w:tc>
          <w:tcPr>
            <w:tcW w:w="1326" w:type="dxa"/>
          </w:tcPr>
          <w:p w14:paraId="48113651">
            <w:pPr>
              <w:spacing w:line="360" w:lineRule="auto"/>
              <w:jc w:val="center"/>
              <w:rPr>
                <w:rFonts w:ascii="宋体" w:hAnsi="宋体" w:eastAsia="宋体" w:cs="仿宋"/>
                <w:b/>
                <w:bCs/>
                <w:szCs w:val="21"/>
              </w:rPr>
            </w:pPr>
          </w:p>
        </w:tc>
        <w:tc>
          <w:tcPr>
            <w:tcW w:w="1326" w:type="dxa"/>
          </w:tcPr>
          <w:p w14:paraId="082FD81B">
            <w:pPr>
              <w:spacing w:line="360" w:lineRule="auto"/>
              <w:jc w:val="center"/>
              <w:rPr>
                <w:rFonts w:ascii="宋体" w:hAnsi="宋体" w:eastAsia="宋体" w:cs="仿宋"/>
                <w:b/>
                <w:bCs/>
                <w:szCs w:val="21"/>
              </w:rPr>
            </w:pPr>
          </w:p>
        </w:tc>
        <w:tc>
          <w:tcPr>
            <w:tcW w:w="1327" w:type="dxa"/>
          </w:tcPr>
          <w:p w14:paraId="3AF6AAE8">
            <w:pPr>
              <w:spacing w:line="360" w:lineRule="auto"/>
              <w:jc w:val="center"/>
              <w:rPr>
                <w:rFonts w:ascii="宋体" w:hAnsi="宋体" w:eastAsia="宋体" w:cs="仿宋"/>
                <w:b/>
                <w:bCs/>
                <w:szCs w:val="21"/>
              </w:rPr>
            </w:pPr>
          </w:p>
        </w:tc>
        <w:tc>
          <w:tcPr>
            <w:tcW w:w="1327" w:type="dxa"/>
          </w:tcPr>
          <w:p w14:paraId="0A629C9F">
            <w:pPr>
              <w:spacing w:line="360" w:lineRule="auto"/>
              <w:jc w:val="center"/>
              <w:rPr>
                <w:rFonts w:ascii="宋体" w:hAnsi="宋体" w:eastAsia="宋体" w:cs="仿宋"/>
                <w:b/>
                <w:bCs/>
                <w:szCs w:val="21"/>
              </w:rPr>
            </w:pPr>
          </w:p>
        </w:tc>
      </w:tr>
      <w:tr w14:paraId="3B1E65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5059023B">
            <w:pPr>
              <w:spacing w:line="360" w:lineRule="auto"/>
              <w:jc w:val="center"/>
              <w:rPr>
                <w:rFonts w:ascii="宋体" w:hAnsi="宋体" w:eastAsia="宋体" w:cs="仿宋"/>
                <w:b/>
                <w:bCs/>
                <w:szCs w:val="21"/>
              </w:rPr>
            </w:pPr>
          </w:p>
        </w:tc>
        <w:tc>
          <w:tcPr>
            <w:tcW w:w="1357" w:type="dxa"/>
          </w:tcPr>
          <w:p w14:paraId="1423D152">
            <w:pPr>
              <w:spacing w:line="360" w:lineRule="auto"/>
              <w:jc w:val="center"/>
              <w:rPr>
                <w:rFonts w:ascii="宋体" w:hAnsi="宋体" w:eastAsia="宋体" w:cs="仿宋"/>
                <w:b/>
                <w:bCs/>
                <w:szCs w:val="21"/>
              </w:rPr>
            </w:pPr>
          </w:p>
        </w:tc>
        <w:tc>
          <w:tcPr>
            <w:tcW w:w="1326" w:type="dxa"/>
          </w:tcPr>
          <w:p w14:paraId="325B20BE">
            <w:pPr>
              <w:spacing w:line="360" w:lineRule="auto"/>
              <w:jc w:val="center"/>
              <w:rPr>
                <w:rFonts w:ascii="宋体" w:hAnsi="宋体" w:eastAsia="宋体" w:cs="仿宋"/>
                <w:b/>
                <w:bCs/>
                <w:szCs w:val="21"/>
              </w:rPr>
            </w:pPr>
          </w:p>
        </w:tc>
        <w:tc>
          <w:tcPr>
            <w:tcW w:w="1326" w:type="dxa"/>
          </w:tcPr>
          <w:p w14:paraId="15E06028">
            <w:pPr>
              <w:spacing w:line="360" w:lineRule="auto"/>
              <w:jc w:val="center"/>
              <w:rPr>
                <w:rFonts w:ascii="宋体" w:hAnsi="宋体" w:eastAsia="宋体" w:cs="仿宋"/>
                <w:b/>
                <w:bCs/>
                <w:szCs w:val="21"/>
              </w:rPr>
            </w:pPr>
          </w:p>
        </w:tc>
        <w:tc>
          <w:tcPr>
            <w:tcW w:w="1326" w:type="dxa"/>
          </w:tcPr>
          <w:p w14:paraId="1569A2F7">
            <w:pPr>
              <w:spacing w:line="360" w:lineRule="auto"/>
              <w:jc w:val="center"/>
              <w:rPr>
                <w:rFonts w:ascii="宋体" w:hAnsi="宋体" w:eastAsia="宋体" w:cs="仿宋"/>
                <w:b/>
                <w:bCs/>
                <w:szCs w:val="21"/>
              </w:rPr>
            </w:pPr>
          </w:p>
        </w:tc>
        <w:tc>
          <w:tcPr>
            <w:tcW w:w="1327" w:type="dxa"/>
          </w:tcPr>
          <w:p w14:paraId="3EA0EF32">
            <w:pPr>
              <w:spacing w:line="360" w:lineRule="auto"/>
              <w:jc w:val="center"/>
              <w:rPr>
                <w:rFonts w:ascii="宋体" w:hAnsi="宋体" w:eastAsia="宋体" w:cs="仿宋"/>
                <w:b/>
                <w:bCs/>
                <w:szCs w:val="21"/>
              </w:rPr>
            </w:pPr>
          </w:p>
        </w:tc>
        <w:tc>
          <w:tcPr>
            <w:tcW w:w="1327" w:type="dxa"/>
          </w:tcPr>
          <w:p w14:paraId="4897C298">
            <w:pPr>
              <w:spacing w:line="360" w:lineRule="auto"/>
              <w:jc w:val="center"/>
              <w:rPr>
                <w:rFonts w:ascii="宋体" w:hAnsi="宋体" w:eastAsia="宋体" w:cs="仿宋"/>
                <w:b/>
                <w:bCs/>
                <w:szCs w:val="21"/>
              </w:rPr>
            </w:pPr>
          </w:p>
        </w:tc>
      </w:tr>
    </w:tbl>
    <w:p w14:paraId="7A5C5BFF">
      <w:pPr>
        <w:spacing w:line="360" w:lineRule="auto"/>
        <w:ind w:firstLine="475" w:firstLineChars="198"/>
        <w:jc w:val="left"/>
        <w:rPr>
          <w:rFonts w:ascii="宋体" w:hAnsi="宋体" w:eastAsia="宋体" w:cs="仿宋"/>
          <w:sz w:val="24"/>
          <w:szCs w:val="24"/>
        </w:rPr>
      </w:pPr>
    </w:p>
    <w:p w14:paraId="2DB27EB9">
      <w:pPr>
        <w:spacing w:line="360" w:lineRule="auto"/>
        <w:ind w:firstLine="475" w:firstLineChars="198"/>
        <w:jc w:val="left"/>
        <w:rPr>
          <w:rFonts w:ascii="宋体" w:hAnsi="宋体" w:eastAsia="宋体" w:cs="仿宋"/>
          <w:sz w:val="24"/>
          <w:szCs w:val="24"/>
        </w:rPr>
      </w:pPr>
      <w:r>
        <w:rPr>
          <w:rFonts w:hint="eastAsia" w:ascii="宋体" w:hAnsi="宋体" w:eastAsia="宋体" w:cs="仿宋"/>
          <w:sz w:val="24"/>
          <w:szCs w:val="24"/>
        </w:rPr>
        <w:t>备注：投标人应根据其提供的标的物，对照招标文件第四章“技术标准和要求”中的要求，有差异的，则在此表中列明实际响应的内容提要并加以说明，以便查对。本表包括所有的技术响应及差异。无差异说明表示完全响应。</w:t>
      </w:r>
    </w:p>
    <w:p w14:paraId="79FE9A6B">
      <w:pPr>
        <w:widowControl/>
        <w:shd w:val="clear" w:color="auto" w:fill="FFFFFF"/>
        <w:snapToGrid w:val="0"/>
        <w:spacing w:line="384" w:lineRule="auto"/>
        <w:jc w:val="left"/>
        <w:rPr>
          <w:rFonts w:ascii="宋体" w:hAnsi="宋体" w:eastAsia="宋体" w:cs="仿宋"/>
          <w:kern w:val="0"/>
          <w:sz w:val="24"/>
          <w:szCs w:val="24"/>
        </w:rPr>
      </w:pPr>
    </w:p>
    <w:p w14:paraId="361811C9">
      <w:pPr>
        <w:widowControl/>
        <w:shd w:val="clear" w:color="auto" w:fill="FFFFFF"/>
        <w:snapToGrid w:val="0"/>
        <w:spacing w:line="384" w:lineRule="auto"/>
        <w:jc w:val="left"/>
        <w:rPr>
          <w:rFonts w:ascii="宋体" w:hAnsi="宋体" w:eastAsia="宋体" w:cs="仿宋"/>
          <w:kern w:val="0"/>
          <w:sz w:val="24"/>
          <w:szCs w:val="24"/>
        </w:rPr>
      </w:pPr>
    </w:p>
    <w:p w14:paraId="49494302">
      <w:pPr>
        <w:widowControl/>
        <w:shd w:val="clear" w:color="auto" w:fill="FFFFFF"/>
        <w:snapToGrid w:val="0"/>
        <w:spacing w:line="384" w:lineRule="auto"/>
        <w:jc w:val="left"/>
        <w:rPr>
          <w:rFonts w:ascii="宋体" w:hAnsi="宋体" w:eastAsia="宋体" w:cs="仿宋"/>
          <w:kern w:val="0"/>
          <w:sz w:val="24"/>
          <w:szCs w:val="24"/>
        </w:rPr>
      </w:pPr>
      <w:r>
        <w:rPr>
          <w:rFonts w:hint="eastAsia" w:ascii="宋体" w:hAnsi="宋体" w:eastAsia="宋体" w:cs="仿宋"/>
          <w:kern w:val="0"/>
          <w:sz w:val="24"/>
          <w:szCs w:val="24"/>
        </w:rPr>
        <w:t>投标人：</w:t>
      </w:r>
      <w:r>
        <w:rPr>
          <w:rFonts w:hint="eastAsia" w:ascii="宋体" w:hAnsi="宋体" w:eastAsia="宋体" w:cs="仿宋"/>
          <w:kern w:val="0"/>
          <w:sz w:val="24"/>
          <w:szCs w:val="24"/>
          <w:u w:val="single"/>
        </w:rPr>
        <w:t xml:space="preserve">                      </w:t>
      </w:r>
      <w:r>
        <w:rPr>
          <w:rFonts w:hint="eastAsia" w:ascii="宋体" w:hAnsi="宋体" w:eastAsia="宋体" w:cs="仿宋"/>
          <w:kern w:val="0"/>
          <w:sz w:val="24"/>
          <w:szCs w:val="24"/>
        </w:rPr>
        <w:t>（盖章）</w:t>
      </w:r>
    </w:p>
    <w:p w14:paraId="2F44D9B3">
      <w:pPr>
        <w:widowControl/>
        <w:shd w:val="clear" w:color="auto" w:fill="FFFFFF"/>
        <w:snapToGrid w:val="0"/>
        <w:spacing w:line="384" w:lineRule="auto"/>
        <w:jc w:val="left"/>
        <w:rPr>
          <w:rFonts w:ascii="宋体" w:hAnsi="宋体" w:eastAsia="宋体" w:cs="仿宋"/>
          <w:kern w:val="0"/>
          <w:sz w:val="24"/>
          <w:szCs w:val="24"/>
        </w:rPr>
      </w:pPr>
    </w:p>
    <w:p w14:paraId="3756D555">
      <w:pPr>
        <w:widowControl/>
        <w:shd w:val="clear" w:color="auto" w:fill="FFFFFF"/>
        <w:snapToGrid w:val="0"/>
        <w:spacing w:line="384" w:lineRule="auto"/>
        <w:jc w:val="left"/>
        <w:rPr>
          <w:rFonts w:ascii="宋体" w:hAnsi="宋体" w:eastAsia="宋体" w:cs="仿宋"/>
          <w:kern w:val="0"/>
          <w:sz w:val="24"/>
          <w:szCs w:val="24"/>
        </w:rPr>
      </w:pPr>
      <w:r>
        <w:rPr>
          <w:rFonts w:hint="eastAsia" w:ascii="宋体" w:hAnsi="宋体" w:eastAsia="宋体" w:cs="仿宋"/>
          <w:kern w:val="0"/>
          <w:sz w:val="24"/>
          <w:szCs w:val="24"/>
        </w:rPr>
        <w:t>法定代表人：</w:t>
      </w:r>
      <w:r>
        <w:rPr>
          <w:rFonts w:hint="eastAsia" w:ascii="宋体" w:hAnsi="宋体" w:eastAsia="宋体" w:cs="仿宋"/>
          <w:kern w:val="0"/>
          <w:sz w:val="24"/>
          <w:szCs w:val="24"/>
          <w:u w:val="single"/>
        </w:rPr>
        <w:t xml:space="preserve">                    </w:t>
      </w:r>
      <w:r>
        <w:rPr>
          <w:rFonts w:hint="eastAsia" w:ascii="宋体" w:hAnsi="宋体" w:eastAsia="宋体" w:cs="仿宋"/>
          <w:kern w:val="0"/>
          <w:sz w:val="24"/>
          <w:szCs w:val="24"/>
        </w:rPr>
        <w:t>（盖章）</w:t>
      </w:r>
    </w:p>
    <w:p w14:paraId="34DD5E71">
      <w:pPr>
        <w:widowControl/>
        <w:shd w:val="clear" w:color="auto" w:fill="FFFFFF"/>
        <w:wordWrap w:val="0"/>
        <w:snapToGrid w:val="0"/>
        <w:spacing w:line="384" w:lineRule="auto"/>
        <w:ind w:firstLine="420"/>
        <w:jc w:val="right"/>
        <w:rPr>
          <w:rFonts w:ascii="宋体" w:hAnsi="宋体" w:eastAsia="宋体" w:cs="仿宋"/>
          <w:kern w:val="0"/>
          <w:sz w:val="24"/>
          <w:szCs w:val="24"/>
        </w:rPr>
      </w:pPr>
      <w:r>
        <w:rPr>
          <w:rFonts w:hint="eastAsia" w:ascii="宋体" w:hAnsi="宋体" w:eastAsia="宋体" w:cs="仿宋"/>
          <w:kern w:val="0"/>
          <w:sz w:val="24"/>
          <w:szCs w:val="24"/>
        </w:rPr>
        <w:t>日期：     年   月   日</w:t>
      </w:r>
    </w:p>
    <w:p w14:paraId="312413FD">
      <w:pPr>
        <w:tabs>
          <w:tab w:val="center" w:pos="4832"/>
          <w:tab w:val="left" w:pos="7140"/>
        </w:tabs>
        <w:jc w:val="center"/>
        <w:outlineLvl w:val="1"/>
        <w:rPr>
          <w:rFonts w:ascii="宋体" w:hAnsi="宋体" w:eastAsia="宋体" w:cs="仿宋"/>
          <w:b/>
          <w:sz w:val="24"/>
          <w:szCs w:val="24"/>
        </w:rPr>
      </w:pPr>
      <w:r>
        <w:rPr>
          <w:rFonts w:hint="eastAsia" w:ascii="宋体" w:hAnsi="宋体" w:eastAsia="宋体" w:cs="仿宋"/>
          <w:b/>
          <w:bCs/>
          <w:kern w:val="36"/>
          <w:sz w:val="24"/>
          <w:szCs w:val="24"/>
        </w:rPr>
        <w:br w:type="page"/>
      </w:r>
      <w:bookmarkStart w:id="98" w:name="_Toc130252618"/>
      <w:bookmarkStart w:id="99" w:name="_Toc109941768"/>
      <w:bookmarkStart w:id="100" w:name="_Toc200016474"/>
      <w:bookmarkStart w:id="101" w:name="_Toc109921161"/>
      <w:bookmarkStart w:id="102" w:name="_Toc110707968"/>
      <w:r>
        <w:rPr>
          <w:rFonts w:hint="eastAsia" w:ascii="宋体" w:hAnsi="宋体" w:eastAsia="宋体" w:cs="仿宋"/>
          <w:b/>
          <w:bCs/>
          <w:kern w:val="36"/>
          <w:sz w:val="24"/>
          <w:szCs w:val="24"/>
        </w:rPr>
        <w:t>四</w:t>
      </w:r>
      <w:r>
        <w:rPr>
          <w:rFonts w:hint="eastAsia" w:ascii="宋体" w:hAnsi="宋体" w:eastAsia="宋体" w:cs="仿宋"/>
          <w:b/>
          <w:sz w:val="24"/>
          <w:szCs w:val="24"/>
        </w:rPr>
        <w:t>、商务条款偏离表</w:t>
      </w:r>
      <w:bookmarkEnd w:id="98"/>
      <w:bookmarkEnd w:id="99"/>
      <w:bookmarkEnd w:id="100"/>
      <w:bookmarkEnd w:id="101"/>
      <w:bookmarkEnd w:id="102"/>
    </w:p>
    <w:p w14:paraId="37041CF8">
      <w:pPr>
        <w:rPr>
          <w:rFonts w:ascii="宋体" w:hAnsi="宋体" w:eastAsia="宋体" w:cs="仿宋"/>
        </w:rPr>
      </w:pPr>
    </w:p>
    <w:tbl>
      <w:tblPr>
        <w:tblStyle w:val="3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06"/>
        <w:gridCol w:w="2070"/>
        <w:gridCol w:w="2052"/>
        <w:gridCol w:w="2126"/>
        <w:gridCol w:w="1985"/>
      </w:tblGrid>
      <w:tr w14:paraId="47A9F4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jc w:val="center"/>
        </w:trPr>
        <w:tc>
          <w:tcPr>
            <w:tcW w:w="806" w:type="dxa"/>
            <w:vAlign w:val="center"/>
          </w:tcPr>
          <w:p w14:paraId="72739A77">
            <w:pPr>
              <w:jc w:val="center"/>
              <w:rPr>
                <w:rFonts w:ascii="宋体" w:hAnsi="宋体" w:eastAsia="宋体" w:cs="仿宋"/>
                <w:bCs/>
                <w:szCs w:val="21"/>
              </w:rPr>
            </w:pPr>
            <w:r>
              <w:rPr>
                <w:rFonts w:hint="eastAsia" w:ascii="宋体" w:hAnsi="宋体" w:eastAsia="宋体" w:cs="仿宋"/>
                <w:bCs/>
                <w:szCs w:val="21"/>
              </w:rPr>
              <w:t>序号</w:t>
            </w:r>
          </w:p>
        </w:tc>
        <w:tc>
          <w:tcPr>
            <w:tcW w:w="2070" w:type="dxa"/>
            <w:vAlign w:val="center"/>
          </w:tcPr>
          <w:p w14:paraId="4ADA7476">
            <w:pPr>
              <w:jc w:val="center"/>
              <w:rPr>
                <w:rFonts w:ascii="宋体" w:hAnsi="宋体" w:eastAsia="宋体" w:cs="仿宋"/>
                <w:bCs/>
                <w:szCs w:val="21"/>
              </w:rPr>
            </w:pPr>
            <w:r>
              <w:rPr>
                <w:rFonts w:hint="eastAsia" w:ascii="宋体" w:hAnsi="宋体" w:eastAsia="宋体" w:cs="仿宋"/>
                <w:bCs/>
                <w:szCs w:val="21"/>
              </w:rPr>
              <w:t>招标文件条目号</w:t>
            </w:r>
          </w:p>
        </w:tc>
        <w:tc>
          <w:tcPr>
            <w:tcW w:w="2052" w:type="dxa"/>
            <w:vAlign w:val="center"/>
          </w:tcPr>
          <w:p w14:paraId="2C6F9A61">
            <w:pPr>
              <w:jc w:val="center"/>
              <w:rPr>
                <w:rFonts w:ascii="宋体" w:hAnsi="宋体" w:eastAsia="宋体" w:cs="仿宋"/>
                <w:bCs/>
                <w:szCs w:val="21"/>
              </w:rPr>
            </w:pPr>
            <w:r>
              <w:rPr>
                <w:rFonts w:hint="eastAsia" w:ascii="宋体" w:hAnsi="宋体" w:eastAsia="宋体" w:cs="仿宋"/>
                <w:bCs/>
                <w:szCs w:val="21"/>
              </w:rPr>
              <w:t>招标文件的商务条款</w:t>
            </w:r>
          </w:p>
        </w:tc>
        <w:tc>
          <w:tcPr>
            <w:tcW w:w="2126" w:type="dxa"/>
            <w:vAlign w:val="center"/>
          </w:tcPr>
          <w:p w14:paraId="781BC179">
            <w:pPr>
              <w:jc w:val="center"/>
              <w:rPr>
                <w:rFonts w:ascii="宋体" w:hAnsi="宋体" w:eastAsia="宋体" w:cs="仿宋"/>
                <w:bCs/>
                <w:szCs w:val="21"/>
              </w:rPr>
            </w:pPr>
            <w:r>
              <w:rPr>
                <w:rFonts w:hint="eastAsia" w:ascii="宋体" w:hAnsi="宋体" w:eastAsia="宋体" w:cs="仿宋"/>
                <w:bCs/>
                <w:szCs w:val="21"/>
              </w:rPr>
              <w:t>投标文件的商务条款</w:t>
            </w:r>
          </w:p>
        </w:tc>
        <w:tc>
          <w:tcPr>
            <w:tcW w:w="1985" w:type="dxa"/>
            <w:vAlign w:val="center"/>
          </w:tcPr>
          <w:p w14:paraId="23DB54E1">
            <w:pPr>
              <w:jc w:val="center"/>
              <w:rPr>
                <w:rFonts w:ascii="宋体" w:hAnsi="宋体" w:eastAsia="宋体" w:cs="仿宋"/>
                <w:bCs/>
                <w:szCs w:val="21"/>
              </w:rPr>
            </w:pPr>
            <w:r>
              <w:rPr>
                <w:rFonts w:hint="eastAsia" w:ascii="宋体" w:hAnsi="宋体" w:eastAsia="宋体" w:cs="仿宋"/>
                <w:bCs/>
                <w:szCs w:val="21"/>
              </w:rPr>
              <w:t>说明</w:t>
            </w:r>
          </w:p>
        </w:tc>
      </w:tr>
      <w:tr w14:paraId="56EE74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42B8AF3E">
            <w:pPr>
              <w:jc w:val="center"/>
              <w:rPr>
                <w:rFonts w:ascii="宋体" w:hAnsi="宋体" w:eastAsia="宋体" w:cs="仿宋"/>
                <w:b/>
                <w:bCs/>
                <w:szCs w:val="21"/>
              </w:rPr>
            </w:pPr>
          </w:p>
        </w:tc>
        <w:tc>
          <w:tcPr>
            <w:tcW w:w="2070" w:type="dxa"/>
          </w:tcPr>
          <w:p w14:paraId="77EA8AE0">
            <w:pPr>
              <w:jc w:val="center"/>
              <w:rPr>
                <w:rFonts w:ascii="宋体" w:hAnsi="宋体" w:eastAsia="宋体" w:cs="仿宋"/>
                <w:b/>
                <w:bCs/>
                <w:szCs w:val="21"/>
              </w:rPr>
            </w:pPr>
          </w:p>
        </w:tc>
        <w:tc>
          <w:tcPr>
            <w:tcW w:w="2052" w:type="dxa"/>
          </w:tcPr>
          <w:p w14:paraId="499590D7">
            <w:pPr>
              <w:jc w:val="center"/>
              <w:rPr>
                <w:rFonts w:ascii="宋体" w:hAnsi="宋体" w:eastAsia="宋体" w:cs="仿宋"/>
                <w:b/>
                <w:bCs/>
                <w:szCs w:val="21"/>
              </w:rPr>
            </w:pPr>
          </w:p>
        </w:tc>
        <w:tc>
          <w:tcPr>
            <w:tcW w:w="2126" w:type="dxa"/>
          </w:tcPr>
          <w:p w14:paraId="760E8493">
            <w:pPr>
              <w:jc w:val="center"/>
              <w:rPr>
                <w:rFonts w:ascii="宋体" w:hAnsi="宋体" w:eastAsia="宋体" w:cs="仿宋"/>
                <w:b/>
                <w:bCs/>
                <w:szCs w:val="21"/>
              </w:rPr>
            </w:pPr>
          </w:p>
        </w:tc>
        <w:tc>
          <w:tcPr>
            <w:tcW w:w="1985" w:type="dxa"/>
          </w:tcPr>
          <w:p w14:paraId="11CE340C">
            <w:pPr>
              <w:jc w:val="center"/>
              <w:rPr>
                <w:rFonts w:ascii="宋体" w:hAnsi="宋体" w:eastAsia="宋体" w:cs="仿宋"/>
                <w:b/>
                <w:bCs/>
                <w:szCs w:val="21"/>
              </w:rPr>
            </w:pPr>
          </w:p>
        </w:tc>
      </w:tr>
      <w:tr w14:paraId="5D4DD9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65AB30BC">
            <w:pPr>
              <w:jc w:val="center"/>
              <w:rPr>
                <w:rFonts w:ascii="宋体" w:hAnsi="宋体" w:eastAsia="宋体" w:cs="仿宋"/>
                <w:b/>
                <w:bCs/>
                <w:szCs w:val="21"/>
              </w:rPr>
            </w:pPr>
          </w:p>
        </w:tc>
        <w:tc>
          <w:tcPr>
            <w:tcW w:w="2070" w:type="dxa"/>
          </w:tcPr>
          <w:p w14:paraId="755FC047">
            <w:pPr>
              <w:jc w:val="center"/>
              <w:rPr>
                <w:rFonts w:ascii="宋体" w:hAnsi="宋体" w:eastAsia="宋体" w:cs="仿宋"/>
                <w:b/>
                <w:bCs/>
                <w:szCs w:val="21"/>
              </w:rPr>
            </w:pPr>
          </w:p>
        </w:tc>
        <w:tc>
          <w:tcPr>
            <w:tcW w:w="2052" w:type="dxa"/>
          </w:tcPr>
          <w:p w14:paraId="01DDB068">
            <w:pPr>
              <w:jc w:val="center"/>
              <w:rPr>
                <w:rFonts w:ascii="宋体" w:hAnsi="宋体" w:eastAsia="宋体" w:cs="仿宋"/>
                <w:b/>
                <w:bCs/>
                <w:szCs w:val="21"/>
              </w:rPr>
            </w:pPr>
          </w:p>
        </w:tc>
        <w:tc>
          <w:tcPr>
            <w:tcW w:w="2126" w:type="dxa"/>
          </w:tcPr>
          <w:p w14:paraId="08B36577">
            <w:pPr>
              <w:jc w:val="center"/>
              <w:rPr>
                <w:rFonts w:ascii="宋体" w:hAnsi="宋体" w:eastAsia="宋体" w:cs="仿宋"/>
                <w:b/>
                <w:bCs/>
                <w:szCs w:val="21"/>
              </w:rPr>
            </w:pPr>
          </w:p>
        </w:tc>
        <w:tc>
          <w:tcPr>
            <w:tcW w:w="1985" w:type="dxa"/>
          </w:tcPr>
          <w:p w14:paraId="7431260C">
            <w:pPr>
              <w:jc w:val="center"/>
              <w:rPr>
                <w:rFonts w:ascii="宋体" w:hAnsi="宋体" w:eastAsia="宋体" w:cs="仿宋"/>
                <w:b/>
                <w:bCs/>
                <w:szCs w:val="21"/>
              </w:rPr>
            </w:pPr>
          </w:p>
        </w:tc>
      </w:tr>
      <w:tr w14:paraId="64FA3E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43F1211E">
            <w:pPr>
              <w:jc w:val="center"/>
              <w:rPr>
                <w:rFonts w:ascii="宋体" w:hAnsi="宋体" w:eastAsia="宋体" w:cs="仿宋"/>
                <w:b/>
                <w:bCs/>
                <w:szCs w:val="21"/>
              </w:rPr>
            </w:pPr>
          </w:p>
        </w:tc>
        <w:tc>
          <w:tcPr>
            <w:tcW w:w="2070" w:type="dxa"/>
          </w:tcPr>
          <w:p w14:paraId="3D85CF83">
            <w:pPr>
              <w:jc w:val="center"/>
              <w:rPr>
                <w:rFonts w:ascii="宋体" w:hAnsi="宋体" w:eastAsia="宋体" w:cs="仿宋"/>
                <w:b/>
                <w:bCs/>
                <w:szCs w:val="21"/>
              </w:rPr>
            </w:pPr>
          </w:p>
        </w:tc>
        <w:tc>
          <w:tcPr>
            <w:tcW w:w="2052" w:type="dxa"/>
          </w:tcPr>
          <w:p w14:paraId="1375F4BD">
            <w:pPr>
              <w:jc w:val="center"/>
              <w:rPr>
                <w:rFonts w:ascii="宋体" w:hAnsi="宋体" w:eastAsia="宋体" w:cs="仿宋"/>
                <w:b/>
                <w:bCs/>
                <w:szCs w:val="21"/>
              </w:rPr>
            </w:pPr>
          </w:p>
        </w:tc>
        <w:tc>
          <w:tcPr>
            <w:tcW w:w="2126" w:type="dxa"/>
          </w:tcPr>
          <w:p w14:paraId="5A773863">
            <w:pPr>
              <w:jc w:val="center"/>
              <w:rPr>
                <w:rFonts w:ascii="宋体" w:hAnsi="宋体" w:eastAsia="宋体" w:cs="仿宋"/>
                <w:b/>
                <w:bCs/>
                <w:szCs w:val="21"/>
              </w:rPr>
            </w:pPr>
          </w:p>
        </w:tc>
        <w:tc>
          <w:tcPr>
            <w:tcW w:w="1985" w:type="dxa"/>
          </w:tcPr>
          <w:p w14:paraId="6FCCE419">
            <w:pPr>
              <w:jc w:val="center"/>
              <w:rPr>
                <w:rFonts w:ascii="宋体" w:hAnsi="宋体" w:eastAsia="宋体" w:cs="仿宋"/>
                <w:b/>
                <w:bCs/>
                <w:szCs w:val="21"/>
              </w:rPr>
            </w:pPr>
          </w:p>
        </w:tc>
      </w:tr>
      <w:tr w14:paraId="7190EC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5E10C415">
            <w:pPr>
              <w:jc w:val="center"/>
              <w:rPr>
                <w:rFonts w:ascii="宋体" w:hAnsi="宋体" w:eastAsia="宋体" w:cs="仿宋"/>
                <w:b/>
                <w:bCs/>
                <w:szCs w:val="21"/>
              </w:rPr>
            </w:pPr>
          </w:p>
        </w:tc>
        <w:tc>
          <w:tcPr>
            <w:tcW w:w="2070" w:type="dxa"/>
          </w:tcPr>
          <w:p w14:paraId="1FA5A34D">
            <w:pPr>
              <w:jc w:val="center"/>
              <w:rPr>
                <w:rFonts w:ascii="宋体" w:hAnsi="宋体" w:eastAsia="宋体" w:cs="仿宋"/>
                <w:b/>
                <w:bCs/>
                <w:szCs w:val="21"/>
              </w:rPr>
            </w:pPr>
          </w:p>
        </w:tc>
        <w:tc>
          <w:tcPr>
            <w:tcW w:w="2052" w:type="dxa"/>
          </w:tcPr>
          <w:p w14:paraId="1BC37AD9">
            <w:pPr>
              <w:jc w:val="center"/>
              <w:rPr>
                <w:rFonts w:ascii="宋体" w:hAnsi="宋体" w:eastAsia="宋体" w:cs="仿宋"/>
                <w:b/>
                <w:bCs/>
                <w:szCs w:val="21"/>
              </w:rPr>
            </w:pPr>
          </w:p>
        </w:tc>
        <w:tc>
          <w:tcPr>
            <w:tcW w:w="2126" w:type="dxa"/>
          </w:tcPr>
          <w:p w14:paraId="4D2F862A">
            <w:pPr>
              <w:jc w:val="center"/>
              <w:rPr>
                <w:rFonts w:ascii="宋体" w:hAnsi="宋体" w:eastAsia="宋体" w:cs="仿宋"/>
                <w:b/>
                <w:bCs/>
                <w:szCs w:val="21"/>
              </w:rPr>
            </w:pPr>
          </w:p>
        </w:tc>
        <w:tc>
          <w:tcPr>
            <w:tcW w:w="1985" w:type="dxa"/>
          </w:tcPr>
          <w:p w14:paraId="097CB432">
            <w:pPr>
              <w:jc w:val="center"/>
              <w:rPr>
                <w:rFonts w:ascii="宋体" w:hAnsi="宋体" w:eastAsia="宋体" w:cs="仿宋"/>
                <w:b/>
                <w:bCs/>
                <w:szCs w:val="21"/>
              </w:rPr>
            </w:pPr>
          </w:p>
        </w:tc>
      </w:tr>
      <w:tr w14:paraId="4A792C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450D1935">
            <w:pPr>
              <w:jc w:val="center"/>
              <w:rPr>
                <w:rFonts w:ascii="宋体" w:hAnsi="宋体" w:eastAsia="宋体" w:cs="仿宋"/>
                <w:b/>
                <w:bCs/>
                <w:szCs w:val="21"/>
              </w:rPr>
            </w:pPr>
          </w:p>
        </w:tc>
        <w:tc>
          <w:tcPr>
            <w:tcW w:w="2070" w:type="dxa"/>
          </w:tcPr>
          <w:p w14:paraId="5F7A2216">
            <w:pPr>
              <w:jc w:val="center"/>
              <w:rPr>
                <w:rFonts w:ascii="宋体" w:hAnsi="宋体" w:eastAsia="宋体" w:cs="仿宋"/>
                <w:b/>
                <w:bCs/>
                <w:szCs w:val="21"/>
              </w:rPr>
            </w:pPr>
          </w:p>
        </w:tc>
        <w:tc>
          <w:tcPr>
            <w:tcW w:w="2052" w:type="dxa"/>
          </w:tcPr>
          <w:p w14:paraId="7ECFC90B">
            <w:pPr>
              <w:jc w:val="center"/>
              <w:rPr>
                <w:rFonts w:ascii="宋体" w:hAnsi="宋体" w:eastAsia="宋体" w:cs="仿宋"/>
                <w:b/>
                <w:bCs/>
                <w:szCs w:val="21"/>
              </w:rPr>
            </w:pPr>
          </w:p>
        </w:tc>
        <w:tc>
          <w:tcPr>
            <w:tcW w:w="2126" w:type="dxa"/>
          </w:tcPr>
          <w:p w14:paraId="07374DDD">
            <w:pPr>
              <w:jc w:val="center"/>
              <w:rPr>
                <w:rFonts w:ascii="宋体" w:hAnsi="宋体" w:eastAsia="宋体" w:cs="仿宋"/>
                <w:b/>
                <w:bCs/>
                <w:szCs w:val="21"/>
              </w:rPr>
            </w:pPr>
          </w:p>
        </w:tc>
        <w:tc>
          <w:tcPr>
            <w:tcW w:w="1985" w:type="dxa"/>
          </w:tcPr>
          <w:p w14:paraId="3F4587E8">
            <w:pPr>
              <w:jc w:val="center"/>
              <w:rPr>
                <w:rFonts w:ascii="宋体" w:hAnsi="宋体" w:eastAsia="宋体" w:cs="仿宋"/>
                <w:b/>
                <w:bCs/>
                <w:szCs w:val="21"/>
              </w:rPr>
            </w:pPr>
          </w:p>
        </w:tc>
      </w:tr>
    </w:tbl>
    <w:p w14:paraId="310DE295">
      <w:pPr>
        <w:spacing w:line="360" w:lineRule="auto"/>
        <w:ind w:firstLine="480" w:firstLineChars="200"/>
        <w:jc w:val="left"/>
        <w:rPr>
          <w:rFonts w:ascii="宋体" w:hAnsi="宋体" w:eastAsia="宋体" w:cs="仿宋"/>
          <w:sz w:val="24"/>
          <w:szCs w:val="24"/>
        </w:rPr>
      </w:pPr>
    </w:p>
    <w:p w14:paraId="1B71274E">
      <w:pPr>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备注：投标人商务条款有差异的，则在此表中列明实际响应的内容提要并加以说明，以便查对。无差异说明表示完全响应。</w:t>
      </w:r>
    </w:p>
    <w:p w14:paraId="78BEAB36">
      <w:pPr>
        <w:spacing w:line="360" w:lineRule="auto"/>
        <w:jc w:val="left"/>
        <w:rPr>
          <w:rFonts w:ascii="宋体" w:hAnsi="宋体" w:eastAsia="宋体" w:cs="仿宋"/>
          <w:sz w:val="24"/>
          <w:szCs w:val="24"/>
        </w:rPr>
      </w:pPr>
    </w:p>
    <w:p w14:paraId="17E2ADDE">
      <w:pPr>
        <w:spacing w:line="360" w:lineRule="auto"/>
        <w:jc w:val="left"/>
        <w:rPr>
          <w:rFonts w:ascii="宋体" w:hAnsi="宋体" w:eastAsia="宋体" w:cs="仿宋"/>
          <w:sz w:val="24"/>
          <w:szCs w:val="24"/>
        </w:rPr>
      </w:pPr>
    </w:p>
    <w:p w14:paraId="584538B3">
      <w:pPr>
        <w:widowControl/>
        <w:shd w:val="clear" w:color="auto" w:fill="FFFFFF"/>
        <w:snapToGrid w:val="0"/>
        <w:spacing w:line="384" w:lineRule="auto"/>
        <w:jc w:val="left"/>
        <w:rPr>
          <w:rFonts w:ascii="宋体" w:hAnsi="宋体" w:eastAsia="宋体" w:cs="仿宋"/>
          <w:kern w:val="0"/>
          <w:sz w:val="24"/>
          <w:szCs w:val="24"/>
        </w:rPr>
      </w:pPr>
      <w:r>
        <w:rPr>
          <w:rFonts w:hint="eastAsia" w:ascii="宋体" w:hAnsi="宋体" w:eastAsia="宋体" w:cs="仿宋"/>
          <w:kern w:val="0"/>
          <w:sz w:val="24"/>
          <w:szCs w:val="24"/>
        </w:rPr>
        <w:t>投标人：</w:t>
      </w:r>
      <w:r>
        <w:rPr>
          <w:rFonts w:hint="eastAsia" w:ascii="宋体" w:hAnsi="宋体" w:eastAsia="宋体" w:cs="仿宋"/>
          <w:kern w:val="0"/>
          <w:sz w:val="24"/>
          <w:szCs w:val="24"/>
          <w:u w:val="single"/>
        </w:rPr>
        <w:t xml:space="preserve">                      </w:t>
      </w:r>
      <w:r>
        <w:rPr>
          <w:rFonts w:hint="eastAsia" w:ascii="宋体" w:hAnsi="宋体" w:eastAsia="宋体" w:cs="仿宋"/>
          <w:kern w:val="0"/>
          <w:sz w:val="24"/>
          <w:szCs w:val="24"/>
        </w:rPr>
        <w:t>（盖章）</w:t>
      </w:r>
    </w:p>
    <w:p w14:paraId="4775491F">
      <w:pPr>
        <w:widowControl/>
        <w:shd w:val="clear" w:color="auto" w:fill="FFFFFF"/>
        <w:snapToGrid w:val="0"/>
        <w:spacing w:line="384" w:lineRule="auto"/>
        <w:jc w:val="left"/>
        <w:rPr>
          <w:rFonts w:ascii="宋体" w:hAnsi="宋体" w:eastAsia="宋体" w:cs="仿宋"/>
          <w:kern w:val="0"/>
          <w:sz w:val="24"/>
          <w:szCs w:val="24"/>
        </w:rPr>
      </w:pPr>
    </w:p>
    <w:p w14:paraId="622C8A43">
      <w:pPr>
        <w:widowControl/>
        <w:shd w:val="clear" w:color="auto" w:fill="FFFFFF"/>
        <w:snapToGrid w:val="0"/>
        <w:spacing w:line="384" w:lineRule="auto"/>
        <w:jc w:val="left"/>
        <w:rPr>
          <w:rFonts w:ascii="宋体" w:hAnsi="宋体" w:eastAsia="宋体" w:cs="仿宋"/>
          <w:kern w:val="0"/>
          <w:sz w:val="24"/>
          <w:szCs w:val="24"/>
        </w:rPr>
      </w:pPr>
      <w:r>
        <w:rPr>
          <w:rFonts w:hint="eastAsia" w:ascii="宋体" w:hAnsi="宋体" w:eastAsia="宋体" w:cs="仿宋"/>
          <w:kern w:val="0"/>
          <w:sz w:val="24"/>
          <w:szCs w:val="24"/>
        </w:rPr>
        <w:t>法定代表人：</w:t>
      </w:r>
      <w:r>
        <w:rPr>
          <w:rFonts w:hint="eastAsia" w:ascii="宋体" w:hAnsi="宋体" w:eastAsia="宋体" w:cs="仿宋"/>
          <w:kern w:val="0"/>
          <w:sz w:val="24"/>
          <w:szCs w:val="24"/>
          <w:u w:val="single"/>
        </w:rPr>
        <w:t xml:space="preserve">                    </w:t>
      </w:r>
      <w:r>
        <w:rPr>
          <w:rFonts w:hint="eastAsia" w:ascii="宋体" w:hAnsi="宋体" w:eastAsia="宋体" w:cs="仿宋"/>
          <w:kern w:val="0"/>
          <w:sz w:val="24"/>
          <w:szCs w:val="24"/>
        </w:rPr>
        <w:t>（盖章）</w:t>
      </w:r>
    </w:p>
    <w:p w14:paraId="35D690C1">
      <w:pPr>
        <w:widowControl/>
        <w:shd w:val="clear" w:color="auto" w:fill="FFFFFF"/>
        <w:wordWrap w:val="0"/>
        <w:snapToGrid w:val="0"/>
        <w:spacing w:line="384" w:lineRule="auto"/>
        <w:ind w:firstLine="420"/>
        <w:jc w:val="right"/>
        <w:rPr>
          <w:rFonts w:ascii="宋体" w:hAnsi="宋体" w:eastAsia="宋体" w:cs="仿宋"/>
          <w:kern w:val="0"/>
          <w:sz w:val="24"/>
          <w:szCs w:val="24"/>
        </w:rPr>
      </w:pPr>
      <w:r>
        <w:rPr>
          <w:rFonts w:hint="eastAsia" w:ascii="宋体" w:hAnsi="宋体" w:eastAsia="宋体" w:cs="仿宋"/>
          <w:kern w:val="0"/>
          <w:sz w:val="24"/>
          <w:szCs w:val="24"/>
        </w:rPr>
        <w:t>日期：     年   月   日</w:t>
      </w:r>
    </w:p>
    <w:p w14:paraId="7979E660">
      <w:pPr>
        <w:tabs>
          <w:tab w:val="center" w:pos="4832"/>
          <w:tab w:val="left" w:pos="7140"/>
        </w:tabs>
        <w:jc w:val="center"/>
        <w:outlineLvl w:val="1"/>
        <w:rPr>
          <w:rFonts w:ascii="宋体" w:hAnsi="宋体" w:eastAsia="宋体" w:cs="仿宋"/>
          <w:b/>
          <w:sz w:val="24"/>
          <w:szCs w:val="24"/>
        </w:rPr>
      </w:pPr>
      <w:r>
        <w:rPr>
          <w:rFonts w:hint="eastAsia" w:ascii="宋体" w:hAnsi="宋体" w:eastAsia="宋体" w:cs="仿宋"/>
          <w:b/>
          <w:bCs/>
          <w:kern w:val="36"/>
          <w:sz w:val="24"/>
          <w:szCs w:val="24"/>
        </w:rPr>
        <w:br w:type="page"/>
      </w:r>
      <w:bookmarkStart w:id="103" w:name="_Toc109941769"/>
      <w:bookmarkStart w:id="104" w:name="_Toc130252619"/>
      <w:bookmarkStart w:id="105" w:name="_Toc200016475"/>
      <w:bookmarkStart w:id="106" w:name="_Toc109921162"/>
      <w:bookmarkStart w:id="107" w:name="_Toc110707969"/>
      <w:r>
        <w:rPr>
          <w:rFonts w:hint="eastAsia" w:ascii="宋体" w:hAnsi="宋体" w:eastAsia="宋体" w:cs="仿宋"/>
          <w:b/>
          <w:bCs/>
          <w:kern w:val="36"/>
          <w:sz w:val="24"/>
          <w:szCs w:val="24"/>
        </w:rPr>
        <w:t>五</w:t>
      </w:r>
      <w:r>
        <w:rPr>
          <w:rFonts w:hint="eastAsia" w:ascii="宋体" w:hAnsi="宋体" w:eastAsia="宋体" w:cs="仿宋"/>
          <w:b/>
          <w:sz w:val="24"/>
          <w:szCs w:val="24"/>
        </w:rPr>
        <w:t>、法定代表人身份证明书</w:t>
      </w:r>
      <w:bookmarkEnd w:id="103"/>
      <w:bookmarkEnd w:id="104"/>
      <w:bookmarkEnd w:id="105"/>
      <w:bookmarkEnd w:id="106"/>
      <w:bookmarkEnd w:id="107"/>
    </w:p>
    <w:p w14:paraId="5062378E">
      <w:pPr>
        <w:widowControl/>
        <w:shd w:val="clear" w:color="auto" w:fill="FFFFFF"/>
        <w:snapToGrid w:val="0"/>
        <w:spacing w:line="384" w:lineRule="auto"/>
        <w:jc w:val="left"/>
        <w:rPr>
          <w:rFonts w:ascii="宋体" w:hAnsi="宋体" w:eastAsia="宋体" w:cs="仿宋"/>
          <w:kern w:val="0"/>
          <w:sz w:val="24"/>
          <w:szCs w:val="24"/>
        </w:rPr>
      </w:pPr>
    </w:p>
    <w:p w14:paraId="77401B43">
      <w:pPr>
        <w:widowControl/>
        <w:shd w:val="clear" w:color="auto" w:fill="FFFFFF"/>
        <w:snapToGrid w:val="0"/>
        <w:spacing w:line="384" w:lineRule="auto"/>
        <w:jc w:val="left"/>
        <w:rPr>
          <w:rFonts w:ascii="宋体" w:hAnsi="宋体" w:eastAsia="宋体" w:cs="仿宋"/>
          <w:kern w:val="0"/>
          <w:sz w:val="24"/>
          <w:szCs w:val="24"/>
        </w:rPr>
      </w:pPr>
      <w:r>
        <w:rPr>
          <w:rFonts w:hint="eastAsia" w:ascii="宋体" w:hAnsi="宋体" w:eastAsia="宋体" w:cs="仿宋"/>
          <w:kern w:val="0"/>
          <w:sz w:val="24"/>
          <w:szCs w:val="24"/>
        </w:rPr>
        <w:t>投 标 人：</w:t>
      </w:r>
      <w:r>
        <w:rPr>
          <w:rFonts w:hint="eastAsia" w:ascii="宋体" w:hAnsi="宋体" w:eastAsia="宋体" w:cs="仿宋"/>
          <w:kern w:val="0"/>
          <w:sz w:val="24"/>
          <w:szCs w:val="24"/>
          <w:u w:val="single"/>
        </w:rPr>
        <w:t xml:space="preserve">                              </w:t>
      </w:r>
    </w:p>
    <w:p w14:paraId="2F412B7B">
      <w:pPr>
        <w:widowControl/>
        <w:shd w:val="clear" w:color="auto" w:fill="FFFFFF"/>
        <w:snapToGrid w:val="0"/>
        <w:spacing w:line="384" w:lineRule="auto"/>
        <w:jc w:val="left"/>
        <w:rPr>
          <w:rFonts w:ascii="宋体" w:hAnsi="宋体" w:eastAsia="宋体" w:cs="仿宋"/>
          <w:kern w:val="0"/>
          <w:sz w:val="24"/>
          <w:szCs w:val="24"/>
        </w:rPr>
      </w:pPr>
      <w:r>
        <w:rPr>
          <w:rFonts w:hint="eastAsia" w:ascii="宋体" w:hAnsi="宋体" w:eastAsia="宋体" w:cs="仿宋"/>
          <w:kern w:val="0"/>
          <w:sz w:val="24"/>
          <w:szCs w:val="24"/>
        </w:rPr>
        <w:t>单位性质：</w:t>
      </w:r>
      <w:r>
        <w:rPr>
          <w:rFonts w:hint="eastAsia" w:ascii="宋体" w:hAnsi="宋体" w:eastAsia="宋体" w:cs="仿宋"/>
          <w:kern w:val="0"/>
          <w:sz w:val="24"/>
          <w:szCs w:val="24"/>
          <w:u w:val="single"/>
        </w:rPr>
        <w:t xml:space="preserve">                              </w:t>
      </w:r>
    </w:p>
    <w:p w14:paraId="5D0F259B">
      <w:pPr>
        <w:widowControl/>
        <w:shd w:val="clear" w:color="auto" w:fill="FFFFFF"/>
        <w:snapToGrid w:val="0"/>
        <w:spacing w:line="384" w:lineRule="auto"/>
        <w:jc w:val="left"/>
        <w:rPr>
          <w:rFonts w:ascii="宋体" w:hAnsi="宋体" w:eastAsia="宋体" w:cs="仿宋"/>
          <w:kern w:val="0"/>
          <w:sz w:val="24"/>
          <w:szCs w:val="24"/>
        </w:rPr>
      </w:pPr>
      <w:r>
        <w:rPr>
          <w:rFonts w:hint="eastAsia" w:ascii="宋体" w:hAnsi="宋体" w:eastAsia="宋体" w:cs="仿宋"/>
          <w:kern w:val="0"/>
          <w:sz w:val="24"/>
          <w:szCs w:val="24"/>
        </w:rPr>
        <w:t>地    址：</w:t>
      </w:r>
      <w:r>
        <w:rPr>
          <w:rFonts w:hint="eastAsia" w:ascii="宋体" w:hAnsi="宋体" w:eastAsia="宋体" w:cs="仿宋"/>
          <w:kern w:val="0"/>
          <w:sz w:val="24"/>
          <w:szCs w:val="24"/>
          <w:u w:val="single"/>
        </w:rPr>
        <w:t xml:space="preserve">                              </w:t>
      </w:r>
    </w:p>
    <w:p w14:paraId="201D007D">
      <w:pPr>
        <w:widowControl/>
        <w:shd w:val="clear" w:color="auto" w:fill="FFFFFF"/>
        <w:snapToGrid w:val="0"/>
        <w:spacing w:line="384" w:lineRule="auto"/>
        <w:jc w:val="left"/>
        <w:rPr>
          <w:rFonts w:ascii="宋体" w:hAnsi="宋体" w:eastAsia="宋体" w:cs="仿宋"/>
          <w:kern w:val="0"/>
          <w:sz w:val="24"/>
          <w:szCs w:val="24"/>
        </w:rPr>
      </w:pPr>
      <w:r>
        <w:rPr>
          <w:rFonts w:hint="eastAsia" w:ascii="宋体" w:hAnsi="宋体" w:eastAsia="宋体" w:cs="仿宋"/>
          <w:kern w:val="0"/>
          <w:sz w:val="24"/>
          <w:szCs w:val="24"/>
        </w:rPr>
        <w:t>成立时间：</w:t>
      </w:r>
      <w:r>
        <w:rPr>
          <w:rFonts w:hint="eastAsia" w:ascii="宋体" w:hAnsi="宋体" w:eastAsia="宋体" w:cs="仿宋"/>
          <w:kern w:val="0"/>
          <w:sz w:val="24"/>
          <w:szCs w:val="24"/>
          <w:u w:val="single"/>
        </w:rPr>
        <w:t xml:space="preserve">           </w:t>
      </w:r>
      <w:r>
        <w:rPr>
          <w:rFonts w:hint="eastAsia" w:ascii="宋体" w:hAnsi="宋体" w:eastAsia="宋体" w:cs="仿宋"/>
          <w:kern w:val="0"/>
          <w:sz w:val="24"/>
          <w:szCs w:val="24"/>
        </w:rPr>
        <w:t>年</w:t>
      </w:r>
      <w:r>
        <w:rPr>
          <w:rFonts w:hint="eastAsia" w:ascii="宋体" w:hAnsi="宋体" w:eastAsia="宋体" w:cs="仿宋"/>
          <w:kern w:val="0"/>
          <w:sz w:val="24"/>
          <w:szCs w:val="24"/>
          <w:u w:val="single"/>
        </w:rPr>
        <w:t xml:space="preserve">       </w:t>
      </w:r>
      <w:r>
        <w:rPr>
          <w:rFonts w:hint="eastAsia" w:ascii="宋体" w:hAnsi="宋体" w:eastAsia="宋体" w:cs="仿宋"/>
          <w:kern w:val="0"/>
          <w:sz w:val="24"/>
          <w:szCs w:val="24"/>
        </w:rPr>
        <w:t>月</w:t>
      </w:r>
      <w:r>
        <w:rPr>
          <w:rFonts w:hint="eastAsia" w:ascii="宋体" w:hAnsi="宋体" w:eastAsia="宋体" w:cs="仿宋"/>
          <w:kern w:val="0"/>
          <w:sz w:val="24"/>
          <w:szCs w:val="24"/>
          <w:u w:val="single"/>
        </w:rPr>
        <w:t xml:space="preserve">       </w:t>
      </w:r>
      <w:r>
        <w:rPr>
          <w:rFonts w:hint="eastAsia" w:ascii="宋体" w:hAnsi="宋体" w:eastAsia="宋体" w:cs="仿宋"/>
          <w:kern w:val="0"/>
          <w:sz w:val="24"/>
          <w:szCs w:val="24"/>
        </w:rPr>
        <w:t>日</w:t>
      </w:r>
    </w:p>
    <w:p w14:paraId="49CFFD97">
      <w:pPr>
        <w:widowControl/>
        <w:shd w:val="clear" w:color="auto" w:fill="FFFFFF"/>
        <w:snapToGrid w:val="0"/>
        <w:spacing w:line="384" w:lineRule="auto"/>
        <w:jc w:val="left"/>
        <w:rPr>
          <w:rFonts w:ascii="宋体" w:hAnsi="宋体" w:eastAsia="宋体" w:cs="仿宋"/>
          <w:kern w:val="0"/>
          <w:sz w:val="24"/>
          <w:szCs w:val="24"/>
        </w:rPr>
      </w:pPr>
      <w:r>
        <w:rPr>
          <w:rFonts w:hint="eastAsia" w:ascii="宋体" w:hAnsi="宋体" w:eastAsia="宋体" w:cs="仿宋"/>
          <w:kern w:val="0"/>
          <w:sz w:val="24"/>
          <w:szCs w:val="24"/>
        </w:rPr>
        <w:t>经营期限：</w:t>
      </w:r>
      <w:r>
        <w:rPr>
          <w:rFonts w:hint="eastAsia" w:ascii="宋体" w:hAnsi="宋体" w:eastAsia="宋体" w:cs="仿宋"/>
          <w:kern w:val="0"/>
          <w:sz w:val="24"/>
          <w:szCs w:val="24"/>
          <w:u w:val="single"/>
        </w:rPr>
        <w:t xml:space="preserve">                              </w:t>
      </w:r>
    </w:p>
    <w:p w14:paraId="614B0056">
      <w:pPr>
        <w:widowControl/>
        <w:shd w:val="clear" w:color="auto" w:fill="FFFFFF"/>
        <w:snapToGrid w:val="0"/>
        <w:spacing w:line="384" w:lineRule="auto"/>
        <w:jc w:val="left"/>
        <w:rPr>
          <w:rFonts w:ascii="宋体" w:hAnsi="宋体" w:eastAsia="宋体" w:cs="仿宋"/>
          <w:kern w:val="0"/>
          <w:sz w:val="24"/>
          <w:szCs w:val="24"/>
        </w:rPr>
      </w:pPr>
    </w:p>
    <w:p w14:paraId="7F168438">
      <w:pPr>
        <w:widowControl/>
        <w:shd w:val="clear" w:color="auto" w:fill="FFFFFF"/>
        <w:snapToGrid w:val="0"/>
        <w:spacing w:line="384" w:lineRule="auto"/>
        <w:ind w:firstLine="480" w:firstLineChars="200"/>
        <w:jc w:val="left"/>
        <w:rPr>
          <w:rFonts w:ascii="宋体" w:hAnsi="宋体" w:eastAsia="宋体" w:cs="仿宋"/>
          <w:kern w:val="0"/>
          <w:sz w:val="24"/>
          <w:szCs w:val="24"/>
        </w:rPr>
      </w:pPr>
      <w:r>
        <w:rPr>
          <w:rFonts w:hint="eastAsia" w:ascii="宋体" w:hAnsi="宋体" w:eastAsia="宋体" w:cs="仿宋"/>
          <w:kern w:val="0"/>
          <w:sz w:val="24"/>
          <w:szCs w:val="24"/>
        </w:rPr>
        <w:t>姓名：</w:t>
      </w:r>
      <w:r>
        <w:rPr>
          <w:rFonts w:hint="eastAsia" w:ascii="宋体" w:hAnsi="宋体" w:eastAsia="宋体" w:cs="仿宋"/>
          <w:kern w:val="0"/>
          <w:sz w:val="24"/>
          <w:szCs w:val="24"/>
          <w:u w:val="single"/>
        </w:rPr>
        <w:t xml:space="preserve">         </w:t>
      </w:r>
      <w:r>
        <w:rPr>
          <w:rFonts w:hint="eastAsia" w:ascii="宋体" w:hAnsi="宋体" w:eastAsia="宋体" w:cs="仿宋"/>
          <w:kern w:val="0"/>
          <w:sz w:val="24"/>
          <w:szCs w:val="24"/>
        </w:rPr>
        <w:t>性别：</w:t>
      </w:r>
      <w:r>
        <w:rPr>
          <w:rFonts w:hint="eastAsia" w:ascii="宋体" w:hAnsi="宋体" w:eastAsia="宋体" w:cs="仿宋"/>
          <w:kern w:val="0"/>
          <w:sz w:val="24"/>
          <w:szCs w:val="24"/>
          <w:u w:val="single"/>
        </w:rPr>
        <w:t xml:space="preserve">        </w:t>
      </w:r>
      <w:r>
        <w:rPr>
          <w:rFonts w:hint="eastAsia" w:ascii="宋体" w:hAnsi="宋体" w:eastAsia="宋体" w:cs="仿宋"/>
          <w:kern w:val="0"/>
          <w:sz w:val="24"/>
          <w:szCs w:val="24"/>
        </w:rPr>
        <w:t>年龄：</w:t>
      </w:r>
      <w:r>
        <w:rPr>
          <w:rFonts w:hint="eastAsia" w:ascii="宋体" w:hAnsi="宋体" w:eastAsia="宋体" w:cs="仿宋"/>
          <w:kern w:val="0"/>
          <w:sz w:val="24"/>
          <w:szCs w:val="24"/>
          <w:u w:val="single"/>
        </w:rPr>
        <w:t xml:space="preserve">         </w:t>
      </w:r>
      <w:r>
        <w:rPr>
          <w:rFonts w:hint="eastAsia" w:ascii="宋体" w:hAnsi="宋体" w:eastAsia="宋体" w:cs="仿宋"/>
          <w:kern w:val="0"/>
          <w:sz w:val="24"/>
          <w:szCs w:val="24"/>
        </w:rPr>
        <w:t>职务：</w:t>
      </w:r>
      <w:r>
        <w:rPr>
          <w:rFonts w:hint="eastAsia" w:ascii="宋体" w:hAnsi="宋体" w:eastAsia="宋体" w:cs="仿宋"/>
          <w:kern w:val="0"/>
          <w:sz w:val="24"/>
          <w:szCs w:val="24"/>
          <w:u w:val="single"/>
        </w:rPr>
        <w:t xml:space="preserve">          </w:t>
      </w:r>
      <w:r>
        <w:rPr>
          <w:rFonts w:hint="eastAsia" w:ascii="宋体" w:hAnsi="宋体" w:eastAsia="宋体" w:cs="仿宋"/>
          <w:kern w:val="0"/>
          <w:sz w:val="24"/>
          <w:szCs w:val="24"/>
        </w:rPr>
        <w:t>系</w:t>
      </w:r>
      <w:r>
        <w:rPr>
          <w:rFonts w:hint="eastAsia" w:ascii="宋体" w:hAnsi="宋体" w:eastAsia="宋体" w:cs="仿宋"/>
          <w:kern w:val="0"/>
          <w:sz w:val="24"/>
          <w:szCs w:val="24"/>
          <w:u w:val="single"/>
        </w:rPr>
        <w:t xml:space="preserve">                                           </w:t>
      </w:r>
      <w:r>
        <w:rPr>
          <w:rFonts w:hint="eastAsia" w:ascii="宋体" w:hAnsi="宋体" w:eastAsia="宋体" w:cs="仿宋"/>
          <w:kern w:val="0"/>
          <w:sz w:val="24"/>
          <w:szCs w:val="24"/>
        </w:rPr>
        <w:t>（投标人名称）的法定代表人。</w:t>
      </w:r>
    </w:p>
    <w:p w14:paraId="238BBBD0">
      <w:pPr>
        <w:widowControl/>
        <w:shd w:val="clear" w:color="auto" w:fill="FFFFFF"/>
        <w:snapToGrid w:val="0"/>
        <w:spacing w:line="384" w:lineRule="auto"/>
        <w:ind w:firstLine="480" w:firstLineChars="200"/>
        <w:jc w:val="left"/>
        <w:rPr>
          <w:rFonts w:ascii="宋体" w:hAnsi="宋体" w:eastAsia="宋体" w:cs="仿宋"/>
          <w:kern w:val="0"/>
          <w:sz w:val="24"/>
          <w:szCs w:val="24"/>
        </w:rPr>
      </w:pPr>
      <w:r>
        <w:rPr>
          <w:rFonts w:hint="eastAsia" w:ascii="宋体" w:hAnsi="宋体" w:eastAsia="宋体" w:cs="仿宋"/>
          <w:kern w:val="0"/>
          <w:sz w:val="24"/>
          <w:szCs w:val="24"/>
        </w:rPr>
        <w:t>特此证明。</w:t>
      </w:r>
    </w:p>
    <w:p w14:paraId="763606F3">
      <w:pPr>
        <w:widowControl/>
        <w:shd w:val="clear" w:color="auto" w:fill="FFFFFF"/>
        <w:snapToGrid w:val="0"/>
        <w:spacing w:line="384" w:lineRule="auto"/>
        <w:jc w:val="left"/>
        <w:rPr>
          <w:rFonts w:ascii="宋体" w:hAnsi="宋体" w:eastAsia="宋体" w:cs="仿宋"/>
          <w:kern w:val="0"/>
          <w:sz w:val="24"/>
          <w:szCs w:val="24"/>
        </w:rPr>
      </w:pPr>
    </w:p>
    <w:p w14:paraId="64462189">
      <w:pPr>
        <w:widowControl/>
        <w:shd w:val="clear" w:color="auto" w:fill="FFFFFF"/>
        <w:snapToGrid w:val="0"/>
        <w:spacing w:line="384" w:lineRule="auto"/>
        <w:ind w:firstLine="480" w:firstLineChars="200"/>
        <w:jc w:val="left"/>
        <w:rPr>
          <w:rFonts w:ascii="宋体" w:hAnsi="宋体" w:eastAsia="宋体" w:cs="仿宋"/>
          <w:kern w:val="0"/>
          <w:sz w:val="24"/>
          <w:szCs w:val="24"/>
        </w:rPr>
      </w:pPr>
      <w:r>
        <w:rPr>
          <w:rFonts w:hint="eastAsia" w:ascii="宋体" w:hAnsi="宋体" w:eastAsia="宋体" w:cs="仿宋"/>
          <w:kern w:val="0"/>
          <w:sz w:val="24"/>
          <w:szCs w:val="24"/>
        </w:rPr>
        <w:t>附：法定代表人身份证明</w:t>
      </w:r>
    </w:p>
    <w:p w14:paraId="3E3B0DE3">
      <w:pPr>
        <w:widowControl/>
        <w:shd w:val="clear" w:color="auto" w:fill="FFFFFF"/>
        <w:snapToGrid w:val="0"/>
        <w:spacing w:line="384" w:lineRule="auto"/>
        <w:jc w:val="left"/>
        <w:rPr>
          <w:rFonts w:ascii="宋体" w:hAnsi="宋体" w:eastAsia="宋体" w:cs="仿宋"/>
          <w:kern w:val="0"/>
          <w:sz w:val="24"/>
          <w:szCs w:val="24"/>
        </w:rPr>
      </w:pPr>
    </w:p>
    <w:tbl>
      <w:tblPr>
        <w:tblStyle w:val="3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1ABE4A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08718FC8">
            <w:pPr>
              <w:jc w:val="center"/>
              <w:rPr>
                <w:rFonts w:ascii="宋体" w:hAnsi="宋体" w:eastAsia="宋体" w:cs="仿宋"/>
                <w:kern w:val="0"/>
                <w:sz w:val="24"/>
                <w:szCs w:val="24"/>
              </w:rPr>
            </w:pPr>
            <w:r>
              <w:rPr>
                <w:rFonts w:hint="eastAsia" w:ascii="宋体" w:hAnsi="宋体" w:eastAsia="宋体" w:cs="仿宋"/>
                <w:kern w:val="0"/>
                <w:sz w:val="24"/>
                <w:szCs w:val="24"/>
              </w:rPr>
              <w:t>法定代表人身份证复印件（正面）</w:t>
            </w:r>
          </w:p>
        </w:tc>
      </w:tr>
    </w:tbl>
    <w:p w14:paraId="7872287E">
      <w:pPr>
        <w:rPr>
          <w:rFonts w:ascii="宋体" w:hAnsi="宋体" w:eastAsia="宋体" w:cs="仿宋"/>
          <w:vanish/>
        </w:rPr>
      </w:pPr>
    </w:p>
    <w:tbl>
      <w:tblPr>
        <w:tblStyle w:val="38"/>
        <w:tblpPr w:leftFromText="180" w:rightFromText="180" w:vertAnchor="text" w:horzAnchor="page" w:tblpX="5711" w:tblpY="-24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117F69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5F5CB761">
            <w:pPr>
              <w:jc w:val="center"/>
              <w:rPr>
                <w:rFonts w:ascii="宋体" w:hAnsi="宋体" w:eastAsia="宋体" w:cs="仿宋"/>
                <w:kern w:val="0"/>
                <w:sz w:val="24"/>
                <w:szCs w:val="24"/>
              </w:rPr>
            </w:pPr>
            <w:r>
              <w:rPr>
                <w:rFonts w:hint="eastAsia" w:ascii="宋体" w:hAnsi="宋体" w:eastAsia="宋体" w:cs="仿宋"/>
                <w:kern w:val="0"/>
                <w:sz w:val="24"/>
                <w:szCs w:val="24"/>
              </w:rPr>
              <w:t>法定代表人身份证复印件（反面）</w:t>
            </w:r>
          </w:p>
        </w:tc>
      </w:tr>
    </w:tbl>
    <w:p w14:paraId="12D6A778">
      <w:pPr>
        <w:widowControl/>
        <w:shd w:val="clear" w:color="auto" w:fill="FFFFFF"/>
        <w:snapToGrid w:val="0"/>
        <w:spacing w:line="384" w:lineRule="auto"/>
        <w:jc w:val="left"/>
        <w:rPr>
          <w:rFonts w:ascii="宋体" w:hAnsi="宋体" w:eastAsia="宋体" w:cs="仿宋"/>
          <w:kern w:val="0"/>
          <w:sz w:val="24"/>
          <w:szCs w:val="24"/>
        </w:rPr>
      </w:pPr>
    </w:p>
    <w:p w14:paraId="3AFE0C9E">
      <w:pPr>
        <w:widowControl/>
        <w:shd w:val="clear" w:color="auto" w:fill="FFFFFF"/>
        <w:snapToGrid w:val="0"/>
        <w:spacing w:line="384" w:lineRule="auto"/>
        <w:jc w:val="left"/>
        <w:rPr>
          <w:rFonts w:ascii="宋体" w:hAnsi="宋体" w:eastAsia="宋体" w:cs="仿宋"/>
          <w:kern w:val="0"/>
          <w:sz w:val="24"/>
          <w:szCs w:val="24"/>
        </w:rPr>
      </w:pPr>
    </w:p>
    <w:p w14:paraId="51D30E1D">
      <w:pPr>
        <w:widowControl/>
        <w:shd w:val="clear" w:color="auto" w:fill="FFFFFF"/>
        <w:snapToGrid w:val="0"/>
        <w:spacing w:line="384" w:lineRule="auto"/>
        <w:jc w:val="left"/>
        <w:rPr>
          <w:rFonts w:ascii="宋体" w:hAnsi="宋体" w:eastAsia="宋体" w:cs="仿宋"/>
          <w:kern w:val="0"/>
          <w:sz w:val="24"/>
          <w:szCs w:val="24"/>
        </w:rPr>
      </w:pPr>
    </w:p>
    <w:p w14:paraId="46CDABCF">
      <w:pPr>
        <w:widowControl/>
        <w:shd w:val="clear" w:color="auto" w:fill="FFFFFF"/>
        <w:snapToGrid w:val="0"/>
        <w:spacing w:line="384" w:lineRule="auto"/>
        <w:jc w:val="left"/>
        <w:rPr>
          <w:rFonts w:ascii="宋体" w:hAnsi="宋体" w:eastAsia="宋体" w:cs="仿宋"/>
          <w:kern w:val="0"/>
          <w:sz w:val="24"/>
          <w:szCs w:val="24"/>
        </w:rPr>
      </w:pPr>
      <w:r>
        <w:rPr>
          <w:rFonts w:hint="eastAsia" w:ascii="宋体" w:hAnsi="宋体" w:eastAsia="宋体" w:cs="仿宋"/>
          <w:kern w:val="0"/>
          <w:sz w:val="24"/>
          <w:szCs w:val="24"/>
        </w:rPr>
        <w:t>投标人：</w:t>
      </w:r>
      <w:r>
        <w:rPr>
          <w:rFonts w:hint="eastAsia" w:ascii="宋体" w:hAnsi="宋体" w:eastAsia="宋体" w:cs="仿宋"/>
          <w:kern w:val="0"/>
          <w:sz w:val="24"/>
          <w:szCs w:val="24"/>
          <w:u w:val="single"/>
        </w:rPr>
        <w:t xml:space="preserve">                      </w:t>
      </w:r>
      <w:r>
        <w:rPr>
          <w:rFonts w:hint="eastAsia" w:ascii="宋体" w:hAnsi="宋体" w:eastAsia="宋体" w:cs="仿宋"/>
          <w:kern w:val="0"/>
          <w:sz w:val="24"/>
          <w:szCs w:val="24"/>
        </w:rPr>
        <w:t>（盖章）</w:t>
      </w:r>
    </w:p>
    <w:p w14:paraId="2A350DBE">
      <w:pPr>
        <w:widowControl/>
        <w:shd w:val="clear" w:color="auto" w:fill="FFFFFF"/>
        <w:wordWrap w:val="0"/>
        <w:snapToGrid w:val="0"/>
        <w:jc w:val="right"/>
        <w:rPr>
          <w:rFonts w:ascii="宋体" w:hAnsi="宋体" w:eastAsia="宋体" w:cs="仿宋"/>
          <w:kern w:val="0"/>
          <w:sz w:val="24"/>
          <w:szCs w:val="24"/>
        </w:rPr>
      </w:pPr>
      <w:r>
        <w:rPr>
          <w:rFonts w:hint="eastAsia" w:ascii="宋体" w:hAnsi="宋体" w:eastAsia="宋体" w:cs="仿宋"/>
          <w:kern w:val="0"/>
          <w:sz w:val="24"/>
          <w:szCs w:val="24"/>
        </w:rPr>
        <w:t>日期：</w:t>
      </w:r>
      <w:r>
        <w:rPr>
          <w:rFonts w:hint="eastAsia" w:ascii="宋体" w:hAnsi="宋体" w:eastAsia="宋体" w:cs="仿宋"/>
          <w:kern w:val="0"/>
          <w:sz w:val="24"/>
          <w:szCs w:val="24"/>
          <w:u w:val="single"/>
        </w:rPr>
        <w:t xml:space="preserve">       </w:t>
      </w:r>
      <w:r>
        <w:rPr>
          <w:rFonts w:hint="eastAsia" w:ascii="宋体" w:hAnsi="宋体" w:eastAsia="宋体" w:cs="仿宋"/>
          <w:kern w:val="0"/>
          <w:sz w:val="24"/>
          <w:szCs w:val="24"/>
        </w:rPr>
        <w:t>年</w:t>
      </w:r>
      <w:r>
        <w:rPr>
          <w:rFonts w:hint="eastAsia" w:ascii="宋体" w:hAnsi="宋体" w:eastAsia="宋体" w:cs="仿宋"/>
          <w:kern w:val="0"/>
          <w:sz w:val="24"/>
          <w:szCs w:val="24"/>
          <w:u w:val="single"/>
        </w:rPr>
        <w:t xml:space="preserve">      </w:t>
      </w:r>
      <w:r>
        <w:rPr>
          <w:rFonts w:hint="eastAsia" w:ascii="宋体" w:hAnsi="宋体" w:eastAsia="宋体" w:cs="仿宋"/>
          <w:kern w:val="0"/>
          <w:sz w:val="24"/>
          <w:szCs w:val="24"/>
        </w:rPr>
        <w:t>月</w:t>
      </w:r>
      <w:r>
        <w:rPr>
          <w:rFonts w:hint="eastAsia" w:ascii="宋体" w:hAnsi="宋体" w:eastAsia="宋体" w:cs="仿宋"/>
          <w:kern w:val="0"/>
          <w:sz w:val="24"/>
          <w:szCs w:val="24"/>
          <w:u w:val="single"/>
        </w:rPr>
        <w:t xml:space="preserve">      </w:t>
      </w:r>
      <w:r>
        <w:rPr>
          <w:rFonts w:hint="eastAsia" w:ascii="宋体" w:hAnsi="宋体" w:eastAsia="宋体" w:cs="仿宋"/>
          <w:kern w:val="0"/>
          <w:sz w:val="24"/>
          <w:szCs w:val="24"/>
        </w:rPr>
        <w:t xml:space="preserve">日 </w:t>
      </w:r>
    </w:p>
    <w:p w14:paraId="3DBE9881">
      <w:pPr>
        <w:widowControl/>
        <w:shd w:val="clear" w:color="auto" w:fill="FFFFFF"/>
        <w:snapToGrid w:val="0"/>
        <w:jc w:val="right"/>
        <w:rPr>
          <w:rFonts w:ascii="宋体" w:hAnsi="宋体" w:eastAsia="宋体" w:cs="仿宋"/>
          <w:kern w:val="0"/>
          <w:sz w:val="24"/>
          <w:szCs w:val="24"/>
        </w:rPr>
      </w:pPr>
    </w:p>
    <w:p w14:paraId="5574CB85">
      <w:pPr>
        <w:widowControl/>
        <w:shd w:val="clear" w:color="auto" w:fill="FFFFFF"/>
        <w:snapToGrid w:val="0"/>
        <w:jc w:val="right"/>
        <w:rPr>
          <w:rFonts w:ascii="宋体" w:hAnsi="宋体" w:eastAsia="宋体" w:cs="仿宋"/>
          <w:kern w:val="0"/>
          <w:sz w:val="24"/>
          <w:szCs w:val="24"/>
        </w:rPr>
      </w:pPr>
    </w:p>
    <w:p w14:paraId="5B80FF1E">
      <w:pPr>
        <w:widowControl/>
        <w:shd w:val="clear" w:color="auto" w:fill="FFFFFF"/>
        <w:snapToGrid w:val="0"/>
        <w:jc w:val="right"/>
        <w:rPr>
          <w:rFonts w:ascii="宋体" w:hAnsi="宋体" w:eastAsia="宋体" w:cs="仿宋"/>
          <w:kern w:val="0"/>
          <w:sz w:val="24"/>
          <w:szCs w:val="24"/>
        </w:rPr>
      </w:pPr>
    </w:p>
    <w:p w14:paraId="160A9AAC">
      <w:pPr>
        <w:tabs>
          <w:tab w:val="center" w:pos="4832"/>
          <w:tab w:val="left" w:pos="7140"/>
        </w:tabs>
        <w:jc w:val="center"/>
        <w:outlineLvl w:val="1"/>
        <w:rPr>
          <w:rFonts w:ascii="宋体" w:hAnsi="宋体" w:eastAsia="宋体" w:cs="仿宋"/>
          <w:b/>
          <w:sz w:val="24"/>
          <w:szCs w:val="24"/>
        </w:rPr>
      </w:pPr>
      <w:r>
        <w:rPr>
          <w:rFonts w:hint="eastAsia" w:ascii="宋体" w:hAnsi="宋体" w:eastAsia="宋体" w:cs="仿宋"/>
          <w:b/>
          <w:bCs/>
          <w:kern w:val="0"/>
          <w:sz w:val="24"/>
          <w:szCs w:val="24"/>
        </w:rPr>
        <w:br w:type="page"/>
      </w:r>
      <w:bookmarkStart w:id="108" w:name="_Toc200016476"/>
      <w:bookmarkStart w:id="109" w:name="_Toc110707970"/>
      <w:bookmarkStart w:id="110" w:name="_Toc109921163"/>
      <w:bookmarkStart w:id="111" w:name="_Toc130252620"/>
      <w:bookmarkStart w:id="112" w:name="_Toc109941770"/>
      <w:r>
        <w:rPr>
          <w:rFonts w:hint="eastAsia" w:ascii="宋体" w:hAnsi="宋体" w:eastAsia="宋体" w:cs="仿宋"/>
          <w:b/>
          <w:bCs/>
          <w:kern w:val="0"/>
          <w:sz w:val="24"/>
          <w:szCs w:val="24"/>
        </w:rPr>
        <w:t>六</w:t>
      </w:r>
      <w:r>
        <w:rPr>
          <w:rFonts w:hint="eastAsia" w:ascii="宋体" w:hAnsi="宋体" w:eastAsia="宋体" w:cs="仿宋"/>
          <w:b/>
          <w:sz w:val="24"/>
          <w:szCs w:val="24"/>
        </w:rPr>
        <w:t>、法定代表人授权委托书</w:t>
      </w:r>
      <w:bookmarkEnd w:id="108"/>
      <w:bookmarkEnd w:id="109"/>
      <w:bookmarkEnd w:id="110"/>
      <w:bookmarkEnd w:id="111"/>
      <w:bookmarkEnd w:id="112"/>
    </w:p>
    <w:p w14:paraId="5F1E0D72">
      <w:pPr>
        <w:widowControl/>
        <w:shd w:val="clear" w:color="auto" w:fill="FFFFFF"/>
        <w:snapToGrid w:val="0"/>
        <w:spacing w:line="384" w:lineRule="auto"/>
        <w:jc w:val="left"/>
        <w:rPr>
          <w:rFonts w:ascii="宋体" w:hAnsi="宋体" w:eastAsia="宋体" w:cs="仿宋"/>
          <w:kern w:val="0"/>
          <w:sz w:val="24"/>
          <w:szCs w:val="24"/>
        </w:rPr>
      </w:pPr>
    </w:p>
    <w:p w14:paraId="27CC72E7">
      <w:pPr>
        <w:widowControl/>
        <w:shd w:val="clear" w:color="auto" w:fill="FFFFFF"/>
        <w:snapToGrid w:val="0"/>
        <w:spacing w:line="384" w:lineRule="auto"/>
        <w:ind w:firstLine="480" w:firstLineChars="200"/>
        <w:jc w:val="left"/>
        <w:rPr>
          <w:rFonts w:ascii="宋体" w:hAnsi="宋体" w:eastAsia="宋体" w:cs="仿宋"/>
          <w:kern w:val="0"/>
          <w:sz w:val="24"/>
          <w:szCs w:val="24"/>
        </w:rPr>
      </w:pPr>
      <w:r>
        <w:rPr>
          <w:rFonts w:hint="eastAsia" w:ascii="宋体" w:hAnsi="宋体" w:eastAsia="宋体" w:cs="仿宋"/>
          <w:kern w:val="0"/>
          <w:sz w:val="24"/>
          <w:szCs w:val="24"/>
        </w:rPr>
        <w:t>本人</w:t>
      </w:r>
      <w:r>
        <w:rPr>
          <w:rFonts w:hint="eastAsia" w:ascii="宋体" w:hAnsi="宋体" w:eastAsia="宋体" w:cs="仿宋"/>
          <w:kern w:val="0"/>
          <w:sz w:val="24"/>
          <w:szCs w:val="24"/>
          <w:u w:val="single"/>
        </w:rPr>
        <w:t xml:space="preserve">                </w:t>
      </w:r>
      <w:r>
        <w:rPr>
          <w:rFonts w:hint="eastAsia" w:ascii="宋体" w:hAnsi="宋体" w:eastAsia="宋体" w:cs="仿宋"/>
          <w:kern w:val="0"/>
          <w:sz w:val="24"/>
          <w:szCs w:val="24"/>
        </w:rPr>
        <w:t>（姓名）系</w:t>
      </w:r>
      <w:r>
        <w:rPr>
          <w:rFonts w:hint="eastAsia" w:ascii="宋体" w:hAnsi="宋体" w:eastAsia="宋体" w:cs="仿宋"/>
          <w:kern w:val="0"/>
          <w:sz w:val="24"/>
          <w:szCs w:val="24"/>
          <w:u w:val="single"/>
        </w:rPr>
        <w:t xml:space="preserve">                </w:t>
      </w:r>
      <w:r>
        <w:rPr>
          <w:rFonts w:hint="eastAsia" w:ascii="宋体" w:hAnsi="宋体" w:eastAsia="宋体" w:cs="仿宋"/>
          <w:kern w:val="0"/>
          <w:sz w:val="24"/>
          <w:szCs w:val="24"/>
        </w:rPr>
        <w:t xml:space="preserve"> （投标人名称）的法定代表人，现拟派我单位</w:t>
      </w:r>
      <w:r>
        <w:rPr>
          <w:rFonts w:hint="eastAsia" w:ascii="宋体" w:hAnsi="宋体" w:eastAsia="宋体" w:cs="仿宋"/>
          <w:kern w:val="0"/>
          <w:sz w:val="24"/>
          <w:szCs w:val="24"/>
          <w:u w:val="single"/>
        </w:rPr>
        <w:t xml:space="preserve">              </w:t>
      </w:r>
      <w:r>
        <w:rPr>
          <w:rFonts w:hint="eastAsia" w:ascii="宋体" w:hAnsi="宋体" w:eastAsia="宋体" w:cs="仿宋"/>
          <w:kern w:val="0"/>
          <w:sz w:val="24"/>
          <w:szCs w:val="24"/>
        </w:rPr>
        <w:t>（姓名）为我方委托代理人。委托代理人根据授权，就</w:t>
      </w:r>
      <w:r>
        <w:rPr>
          <w:rFonts w:hint="eastAsia" w:ascii="宋体" w:hAnsi="宋体" w:eastAsia="宋体" w:cs="仿宋"/>
          <w:kern w:val="0"/>
          <w:sz w:val="24"/>
          <w:szCs w:val="24"/>
          <w:u w:val="single"/>
        </w:rPr>
        <w:t xml:space="preserve">              </w:t>
      </w:r>
      <w:r>
        <w:rPr>
          <w:rFonts w:hint="eastAsia" w:ascii="宋体" w:hAnsi="宋体" w:eastAsia="宋体" w:cs="仿宋"/>
          <w:kern w:val="0"/>
          <w:sz w:val="24"/>
          <w:szCs w:val="24"/>
        </w:rPr>
        <w:t>（招标项目名称）的投标，以本公司名义处理一切与之有关的事务，其法律后果由我方承担。</w:t>
      </w:r>
    </w:p>
    <w:p w14:paraId="0964E3AC">
      <w:pPr>
        <w:widowControl/>
        <w:shd w:val="clear" w:color="auto" w:fill="FFFFFF"/>
        <w:snapToGrid w:val="0"/>
        <w:spacing w:line="384" w:lineRule="auto"/>
        <w:ind w:firstLine="480" w:firstLineChars="200"/>
        <w:jc w:val="left"/>
        <w:rPr>
          <w:rFonts w:ascii="宋体" w:hAnsi="宋体" w:eastAsia="宋体" w:cs="仿宋"/>
          <w:kern w:val="0"/>
          <w:sz w:val="24"/>
          <w:szCs w:val="24"/>
          <w:u w:val="single"/>
        </w:rPr>
      </w:pPr>
      <w:r>
        <w:rPr>
          <w:rFonts w:hint="eastAsia" w:ascii="宋体" w:hAnsi="宋体" w:eastAsia="宋体" w:cs="仿宋"/>
          <w:kern w:val="0"/>
          <w:sz w:val="24"/>
          <w:szCs w:val="24"/>
        </w:rPr>
        <w:t>代理人：</w:t>
      </w:r>
      <w:r>
        <w:rPr>
          <w:rFonts w:hint="eastAsia" w:ascii="宋体" w:hAnsi="宋体" w:eastAsia="宋体" w:cs="仿宋"/>
          <w:i/>
          <w:kern w:val="0"/>
          <w:sz w:val="24"/>
          <w:szCs w:val="24"/>
          <w:u w:val="single"/>
        </w:rPr>
        <w:t xml:space="preserve">                 </w:t>
      </w:r>
      <w:r>
        <w:rPr>
          <w:rFonts w:hint="eastAsia" w:ascii="宋体" w:hAnsi="宋体" w:eastAsia="宋体" w:cs="仿宋"/>
          <w:kern w:val="0"/>
          <w:sz w:val="24"/>
          <w:szCs w:val="24"/>
        </w:rPr>
        <w:t>性别：</w:t>
      </w:r>
      <w:r>
        <w:rPr>
          <w:rFonts w:hint="eastAsia" w:ascii="宋体" w:hAnsi="宋体" w:eastAsia="宋体" w:cs="仿宋"/>
          <w:kern w:val="0"/>
          <w:sz w:val="24"/>
          <w:szCs w:val="24"/>
          <w:u w:val="single"/>
        </w:rPr>
        <w:t xml:space="preserve">             </w:t>
      </w:r>
      <w:r>
        <w:rPr>
          <w:rFonts w:hint="eastAsia" w:ascii="宋体" w:hAnsi="宋体" w:eastAsia="宋体" w:cs="仿宋"/>
          <w:kern w:val="0"/>
          <w:sz w:val="24"/>
          <w:szCs w:val="24"/>
        </w:rPr>
        <w:t xml:space="preserve"> 年龄：</w:t>
      </w:r>
      <w:r>
        <w:rPr>
          <w:rFonts w:hint="eastAsia" w:ascii="宋体" w:hAnsi="宋体" w:eastAsia="宋体" w:cs="仿宋"/>
          <w:kern w:val="0"/>
          <w:sz w:val="24"/>
          <w:szCs w:val="24"/>
          <w:u w:val="single"/>
        </w:rPr>
        <w:t xml:space="preserve">                    </w:t>
      </w:r>
    </w:p>
    <w:p w14:paraId="48323B03">
      <w:pPr>
        <w:widowControl/>
        <w:shd w:val="clear" w:color="auto" w:fill="FFFFFF"/>
        <w:snapToGrid w:val="0"/>
        <w:spacing w:line="384" w:lineRule="auto"/>
        <w:ind w:firstLine="480" w:firstLineChars="200"/>
        <w:jc w:val="left"/>
        <w:rPr>
          <w:rFonts w:ascii="宋体" w:hAnsi="宋体" w:eastAsia="宋体" w:cs="仿宋"/>
          <w:kern w:val="0"/>
          <w:sz w:val="24"/>
          <w:szCs w:val="24"/>
        </w:rPr>
      </w:pPr>
      <w:r>
        <w:rPr>
          <w:rFonts w:hint="eastAsia" w:ascii="宋体" w:hAnsi="宋体" w:eastAsia="宋体" w:cs="仿宋"/>
          <w:kern w:val="0"/>
          <w:sz w:val="24"/>
          <w:szCs w:val="24"/>
        </w:rPr>
        <w:t>单  位：</w:t>
      </w:r>
      <w:r>
        <w:rPr>
          <w:rFonts w:hint="eastAsia" w:ascii="宋体" w:hAnsi="宋体" w:eastAsia="宋体" w:cs="仿宋"/>
          <w:kern w:val="0"/>
          <w:sz w:val="24"/>
          <w:szCs w:val="24"/>
          <w:u w:val="single"/>
        </w:rPr>
        <w:t xml:space="preserve">                 </w:t>
      </w:r>
      <w:r>
        <w:rPr>
          <w:rFonts w:hint="eastAsia" w:ascii="宋体" w:hAnsi="宋体" w:eastAsia="宋体" w:cs="仿宋"/>
          <w:kern w:val="0"/>
          <w:sz w:val="24"/>
          <w:szCs w:val="24"/>
        </w:rPr>
        <w:t>部门：</w:t>
      </w:r>
      <w:r>
        <w:rPr>
          <w:rFonts w:hint="eastAsia" w:ascii="宋体" w:hAnsi="宋体" w:eastAsia="宋体" w:cs="仿宋"/>
          <w:kern w:val="0"/>
          <w:sz w:val="24"/>
          <w:szCs w:val="24"/>
          <w:u w:val="single"/>
        </w:rPr>
        <w:t xml:space="preserve">             </w:t>
      </w:r>
      <w:r>
        <w:rPr>
          <w:rFonts w:hint="eastAsia" w:ascii="宋体" w:hAnsi="宋体" w:eastAsia="宋体" w:cs="仿宋"/>
          <w:kern w:val="0"/>
          <w:sz w:val="24"/>
          <w:szCs w:val="24"/>
        </w:rPr>
        <w:t xml:space="preserve"> 职务：</w:t>
      </w:r>
      <w:r>
        <w:rPr>
          <w:rFonts w:hint="eastAsia" w:ascii="宋体" w:hAnsi="宋体" w:eastAsia="宋体" w:cs="仿宋"/>
          <w:kern w:val="0"/>
          <w:sz w:val="24"/>
          <w:szCs w:val="24"/>
          <w:u w:val="single"/>
        </w:rPr>
        <w:t xml:space="preserve">                    </w:t>
      </w:r>
    </w:p>
    <w:p w14:paraId="63127457">
      <w:pPr>
        <w:widowControl/>
        <w:shd w:val="clear" w:color="auto" w:fill="FFFFFF"/>
        <w:snapToGrid w:val="0"/>
        <w:spacing w:line="384" w:lineRule="auto"/>
        <w:ind w:firstLine="480" w:firstLineChars="200"/>
        <w:jc w:val="left"/>
        <w:rPr>
          <w:rFonts w:ascii="宋体" w:hAnsi="宋体" w:eastAsia="宋体" w:cs="仿宋"/>
          <w:kern w:val="0"/>
          <w:sz w:val="24"/>
          <w:szCs w:val="24"/>
        </w:rPr>
      </w:pPr>
      <w:r>
        <w:rPr>
          <w:rFonts w:hint="eastAsia" w:ascii="宋体" w:hAnsi="宋体" w:eastAsia="宋体" w:cs="仿宋"/>
          <w:kern w:val="0"/>
          <w:sz w:val="24"/>
          <w:szCs w:val="24"/>
        </w:rPr>
        <w:t>代理人无转委权，特此申明。</w:t>
      </w:r>
    </w:p>
    <w:p w14:paraId="58D8EA63">
      <w:pPr>
        <w:widowControl/>
        <w:shd w:val="clear" w:color="auto" w:fill="FFFFFF"/>
        <w:snapToGrid w:val="0"/>
        <w:spacing w:line="384" w:lineRule="auto"/>
        <w:ind w:firstLine="480" w:firstLineChars="200"/>
        <w:jc w:val="left"/>
        <w:rPr>
          <w:rFonts w:ascii="宋体" w:hAnsi="宋体" w:eastAsia="宋体" w:cs="仿宋"/>
          <w:kern w:val="0"/>
          <w:sz w:val="24"/>
          <w:szCs w:val="24"/>
        </w:rPr>
      </w:pPr>
    </w:p>
    <w:p w14:paraId="063CFF0C">
      <w:pPr>
        <w:widowControl/>
        <w:shd w:val="clear" w:color="auto" w:fill="FFFFFF"/>
        <w:snapToGrid w:val="0"/>
        <w:spacing w:line="384" w:lineRule="auto"/>
        <w:rPr>
          <w:rFonts w:ascii="宋体" w:hAnsi="宋体" w:eastAsia="宋体" w:cs="仿宋"/>
          <w:kern w:val="0"/>
          <w:sz w:val="24"/>
          <w:szCs w:val="24"/>
        </w:rPr>
      </w:pPr>
      <w:r>
        <w:rPr>
          <w:rFonts w:hint="eastAsia" w:ascii="宋体" w:hAnsi="宋体" w:eastAsia="宋体" w:cs="仿宋"/>
          <w:kern w:val="0"/>
          <w:sz w:val="24"/>
          <w:szCs w:val="24"/>
        </w:rPr>
        <w:t>附：授权委托人身份证明。</w:t>
      </w:r>
    </w:p>
    <w:tbl>
      <w:tblPr>
        <w:tblStyle w:val="38"/>
        <w:tblW w:w="0" w:type="auto"/>
        <w:tblInd w:w="5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03FFC1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1C259902">
            <w:pPr>
              <w:jc w:val="center"/>
              <w:rPr>
                <w:rFonts w:ascii="宋体" w:hAnsi="宋体" w:eastAsia="宋体" w:cs="仿宋"/>
                <w:kern w:val="0"/>
                <w:sz w:val="24"/>
                <w:szCs w:val="24"/>
              </w:rPr>
            </w:pPr>
            <w:r>
              <w:rPr>
                <w:rFonts w:hint="eastAsia" w:ascii="宋体" w:hAnsi="宋体" w:eastAsia="宋体" w:cs="仿宋"/>
                <w:kern w:val="0"/>
                <w:sz w:val="24"/>
                <w:szCs w:val="24"/>
              </w:rPr>
              <w:t>代理人身份证复印件（正面）</w:t>
            </w:r>
          </w:p>
        </w:tc>
      </w:tr>
    </w:tbl>
    <w:p w14:paraId="7C55EC32">
      <w:pPr>
        <w:rPr>
          <w:rFonts w:ascii="宋体" w:hAnsi="宋体" w:eastAsia="宋体" w:cs="仿宋"/>
          <w:vanish/>
        </w:rPr>
      </w:pPr>
    </w:p>
    <w:tbl>
      <w:tblPr>
        <w:tblStyle w:val="38"/>
        <w:tblpPr w:leftFromText="180" w:rightFromText="180" w:vertAnchor="text" w:horzAnchor="margin" w:tblpXSpec="right" w:tblpY="-244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061EA9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0B71A85F">
            <w:pPr>
              <w:jc w:val="center"/>
              <w:rPr>
                <w:rFonts w:ascii="宋体" w:hAnsi="宋体" w:eastAsia="宋体" w:cs="仿宋"/>
                <w:kern w:val="0"/>
                <w:sz w:val="24"/>
                <w:szCs w:val="24"/>
              </w:rPr>
            </w:pPr>
            <w:r>
              <w:rPr>
                <w:rFonts w:hint="eastAsia" w:ascii="宋体" w:hAnsi="宋体" w:eastAsia="宋体" w:cs="仿宋"/>
                <w:kern w:val="0"/>
                <w:sz w:val="24"/>
                <w:szCs w:val="24"/>
              </w:rPr>
              <w:t>代理人身份证复印件（反面）</w:t>
            </w:r>
          </w:p>
        </w:tc>
      </w:tr>
    </w:tbl>
    <w:p w14:paraId="5F74DFCB">
      <w:pPr>
        <w:widowControl/>
        <w:shd w:val="clear" w:color="auto" w:fill="FFFFFF"/>
        <w:snapToGrid w:val="0"/>
        <w:spacing w:line="384" w:lineRule="auto"/>
        <w:jc w:val="left"/>
        <w:rPr>
          <w:rFonts w:ascii="宋体" w:hAnsi="宋体" w:eastAsia="宋体" w:cs="仿宋"/>
          <w:kern w:val="0"/>
          <w:sz w:val="24"/>
          <w:szCs w:val="24"/>
        </w:rPr>
      </w:pPr>
    </w:p>
    <w:p w14:paraId="63F612BD">
      <w:pPr>
        <w:widowControl/>
        <w:shd w:val="clear" w:color="auto" w:fill="FFFFFF"/>
        <w:snapToGrid w:val="0"/>
        <w:spacing w:line="384" w:lineRule="auto"/>
        <w:jc w:val="left"/>
        <w:rPr>
          <w:rFonts w:ascii="宋体" w:hAnsi="宋体" w:eastAsia="宋体" w:cs="仿宋"/>
          <w:kern w:val="0"/>
          <w:sz w:val="24"/>
          <w:szCs w:val="24"/>
        </w:rPr>
      </w:pPr>
    </w:p>
    <w:p w14:paraId="339DCAF8">
      <w:pPr>
        <w:widowControl/>
        <w:shd w:val="clear" w:color="auto" w:fill="FFFFFF"/>
        <w:snapToGrid w:val="0"/>
        <w:spacing w:line="384" w:lineRule="auto"/>
        <w:jc w:val="left"/>
        <w:rPr>
          <w:rFonts w:ascii="宋体" w:hAnsi="宋体" w:eastAsia="宋体" w:cs="仿宋"/>
          <w:kern w:val="0"/>
          <w:sz w:val="24"/>
          <w:szCs w:val="24"/>
        </w:rPr>
      </w:pPr>
    </w:p>
    <w:p w14:paraId="592A3D60">
      <w:pPr>
        <w:widowControl/>
        <w:shd w:val="clear" w:color="auto" w:fill="FFFFFF"/>
        <w:snapToGrid w:val="0"/>
        <w:spacing w:line="384" w:lineRule="auto"/>
        <w:jc w:val="left"/>
        <w:rPr>
          <w:rFonts w:ascii="宋体" w:hAnsi="宋体" w:eastAsia="宋体" w:cs="仿宋"/>
          <w:kern w:val="0"/>
          <w:sz w:val="24"/>
          <w:szCs w:val="24"/>
        </w:rPr>
      </w:pPr>
      <w:r>
        <w:rPr>
          <w:rFonts w:hint="eastAsia" w:ascii="宋体" w:hAnsi="宋体" w:eastAsia="宋体" w:cs="仿宋"/>
          <w:kern w:val="0"/>
          <w:sz w:val="24"/>
          <w:szCs w:val="24"/>
        </w:rPr>
        <w:t>投标人：</w:t>
      </w:r>
      <w:r>
        <w:rPr>
          <w:rFonts w:hint="eastAsia" w:ascii="宋体" w:hAnsi="宋体" w:eastAsia="宋体" w:cs="仿宋"/>
          <w:kern w:val="0"/>
          <w:sz w:val="24"/>
          <w:szCs w:val="24"/>
          <w:u w:val="single"/>
        </w:rPr>
        <w:t xml:space="preserve">                      </w:t>
      </w:r>
      <w:r>
        <w:rPr>
          <w:rFonts w:hint="eastAsia" w:ascii="宋体" w:hAnsi="宋体" w:eastAsia="宋体" w:cs="仿宋"/>
          <w:kern w:val="0"/>
          <w:sz w:val="24"/>
          <w:szCs w:val="24"/>
        </w:rPr>
        <w:t>（盖章）</w:t>
      </w:r>
    </w:p>
    <w:p w14:paraId="3B2A09E6">
      <w:pPr>
        <w:widowControl/>
        <w:shd w:val="clear" w:color="auto" w:fill="FFFFFF"/>
        <w:snapToGrid w:val="0"/>
        <w:spacing w:line="384" w:lineRule="auto"/>
        <w:jc w:val="left"/>
        <w:rPr>
          <w:rFonts w:ascii="宋体" w:hAnsi="宋体" w:eastAsia="宋体" w:cs="仿宋"/>
          <w:kern w:val="0"/>
          <w:sz w:val="24"/>
          <w:szCs w:val="24"/>
        </w:rPr>
      </w:pPr>
    </w:p>
    <w:p w14:paraId="4646DA5E">
      <w:pPr>
        <w:widowControl/>
        <w:shd w:val="clear" w:color="auto" w:fill="FFFFFF"/>
        <w:snapToGrid w:val="0"/>
        <w:spacing w:line="384" w:lineRule="auto"/>
        <w:jc w:val="left"/>
        <w:rPr>
          <w:rFonts w:ascii="宋体" w:hAnsi="宋体" w:eastAsia="宋体" w:cs="仿宋"/>
          <w:kern w:val="0"/>
          <w:sz w:val="24"/>
          <w:szCs w:val="24"/>
        </w:rPr>
      </w:pPr>
      <w:r>
        <w:rPr>
          <w:rFonts w:hint="eastAsia" w:ascii="宋体" w:hAnsi="宋体" w:eastAsia="宋体" w:cs="仿宋"/>
          <w:kern w:val="0"/>
          <w:sz w:val="24"/>
          <w:szCs w:val="24"/>
        </w:rPr>
        <w:t>法定代表人：</w:t>
      </w:r>
      <w:r>
        <w:rPr>
          <w:rFonts w:hint="eastAsia" w:ascii="宋体" w:hAnsi="宋体" w:eastAsia="宋体" w:cs="仿宋"/>
          <w:kern w:val="0"/>
          <w:sz w:val="24"/>
          <w:szCs w:val="24"/>
          <w:u w:val="single"/>
        </w:rPr>
        <w:t xml:space="preserve">                    </w:t>
      </w:r>
      <w:r>
        <w:rPr>
          <w:rFonts w:hint="eastAsia" w:ascii="宋体" w:hAnsi="宋体" w:eastAsia="宋体" w:cs="仿宋"/>
          <w:kern w:val="0"/>
          <w:sz w:val="24"/>
          <w:szCs w:val="24"/>
        </w:rPr>
        <w:t>（盖章）</w:t>
      </w:r>
    </w:p>
    <w:p w14:paraId="29090E17">
      <w:pPr>
        <w:widowControl/>
        <w:shd w:val="clear" w:color="auto" w:fill="FFFFFF"/>
        <w:wordWrap w:val="0"/>
        <w:snapToGrid w:val="0"/>
        <w:spacing w:line="384" w:lineRule="auto"/>
        <w:ind w:firstLine="420"/>
        <w:jc w:val="right"/>
        <w:rPr>
          <w:rFonts w:ascii="宋体" w:hAnsi="宋体" w:eastAsia="宋体" w:cs="仿宋"/>
          <w:kern w:val="0"/>
          <w:sz w:val="24"/>
          <w:szCs w:val="24"/>
        </w:rPr>
      </w:pPr>
      <w:r>
        <w:rPr>
          <w:rFonts w:hint="eastAsia" w:ascii="宋体" w:hAnsi="宋体" w:eastAsia="宋体" w:cs="仿宋"/>
          <w:kern w:val="0"/>
          <w:sz w:val="24"/>
          <w:szCs w:val="24"/>
        </w:rPr>
        <w:t>日期：     年   月   日</w:t>
      </w:r>
    </w:p>
    <w:p w14:paraId="3677F934">
      <w:pPr>
        <w:widowControl/>
        <w:shd w:val="clear" w:color="auto" w:fill="FFFFFF"/>
        <w:snapToGrid w:val="0"/>
        <w:spacing w:line="384" w:lineRule="auto"/>
        <w:jc w:val="left"/>
        <w:rPr>
          <w:rFonts w:ascii="宋体" w:hAnsi="宋体" w:eastAsia="宋体" w:cs="仿宋"/>
          <w:kern w:val="0"/>
          <w:sz w:val="24"/>
          <w:szCs w:val="24"/>
        </w:rPr>
      </w:pPr>
    </w:p>
    <w:p w14:paraId="60B3270E">
      <w:pPr>
        <w:widowControl/>
        <w:shd w:val="clear" w:color="auto" w:fill="FFFFFF"/>
        <w:snapToGrid w:val="0"/>
        <w:spacing w:line="384" w:lineRule="auto"/>
        <w:jc w:val="left"/>
        <w:rPr>
          <w:rFonts w:ascii="宋体" w:hAnsi="宋体" w:eastAsia="宋体" w:cs="仿宋"/>
          <w:kern w:val="0"/>
          <w:sz w:val="24"/>
          <w:szCs w:val="24"/>
        </w:rPr>
      </w:pPr>
    </w:p>
    <w:p w14:paraId="5BBE0FD1">
      <w:pPr>
        <w:tabs>
          <w:tab w:val="center" w:pos="4832"/>
          <w:tab w:val="left" w:pos="7140"/>
        </w:tabs>
        <w:jc w:val="center"/>
        <w:outlineLvl w:val="1"/>
        <w:rPr>
          <w:rFonts w:ascii="宋体" w:hAnsi="宋体" w:eastAsia="宋体" w:cs="仿宋"/>
          <w:b/>
          <w:sz w:val="24"/>
          <w:szCs w:val="24"/>
        </w:rPr>
      </w:pPr>
      <w:r>
        <w:rPr>
          <w:rFonts w:hint="eastAsia" w:ascii="宋体" w:hAnsi="宋体" w:eastAsia="宋体" w:cs="仿宋"/>
          <w:kern w:val="0"/>
          <w:sz w:val="24"/>
          <w:szCs w:val="24"/>
        </w:rPr>
        <w:br w:type="page"/>
      </w:r>
      <w:bookmarkStart w:id="113" w:name="_Toc110707971"/>
      <w:bookmarkStart w:id="114" w:name="_Toc109941771"/>
      <w:bookmarkStart w:id="115" w:name="_Toc109921164"/>
      <w:bookmarkStart w:id="116" w:name="_Toc130252621"/>
      <w:bookmarkStart w:id="117" w:name="_Toc200016477"/>
      <w:bookmarkStart w:id="118" w:name="_Toc358451723"/>
      <w:r>
        <w:rPr>
          <w:rFonts w:hint="eastAsia" w:ascii="宋体" w:hAnsi="宋体" w:eastAsia="宋体" w:cs="仿宋"/>
          <w:b/>
          <w:kern w:val="0"/>
          <w:sz w:val="24"/>
          <w:szCs w:val="24"/>
        </w:rPr>
        <w:t>七</w:t>
      </w:r>
      <w:r>
        <w:rPr>
          <w:rFonts w:hint="eastAsia" w:ascii="宋体" w:hAnsi="宋体" w:eastAsia="宋体" w:cs="仿宋"/>
          <w:b/>
          <w:sz w:val="24"/>
          <w:szCs w:val="24"/>
        </w:rPr>
        <w:t>、</w:t>
      </w:r>
      <w:bookmarkEnd w:id="113"/>
      <w:bookmarkEnd w:id="114"/>
      <w:bookmarkEnd w:id="115"/>
      <w:r>
        <w:rPr>
          <w:rFonts w:hint="eastAsia" w:ascii="宋体" w:hAnsi="宋体" w:eastAsia="宋体" w:cs="仿宋"/>
          <w:b/>
          <w:bCs/>
          <w:sz w:val="24"/>
          <w:szCs w:val="24"/>
        </w:rPr>
        <w:t>投标人资格条件证明材料</w:t>
      </w:r>
      <w:bookmarkEnd w:id="116"/>
      <w:bookmarkEnd w:id="117"/>
    </w:p>
    <w:p w14:paraId="7219B2BA">
      <w:pPr>
        <w:rPr>
          <w:rFonts w:ascii="宋体" w:hAnsi="宋体" w:eastAsia="宋体" w:cs="仿宋"/>
        </w:rPr>
      </w:pPr>
    </w:p>
    <w:tbl>
      <w:tblPr>
        <w:tblStyle w:val="38"/>
        <w:tblW w:w="0" w:type="auto"/>
        <w:jc w:val="center"/>
        <w:tblLayout w:type="fixed"/>
        <w:tblCellMar>
          <w:top w:w="0" w:type="dxa"/>
          <w:left w:w="0" w:type="dxa"/>
          <w:bottom w:w="0" w:type="dxa"/>
          <w:right w:w="0" w:type="dxa"/>
        </w:tblCellMar>
      </w:tblPr>
      <w:tblGrid>
        <w:gridCol w:w="1665"/>
        <w:gridCol w:w="1038"/>
        <w:gridCol w:w="552"/>
        <w:gridCol w:w="587"/>
        <w:gridCol w:w="988"/>
        <w:gridCol w:w="262"/>
        <w:gridCol w:w="1733"/>
        <w:gridCol w:w="2140"/>
      </w:tblGrid>
      <w:tr w14:paraId="3A755BA9">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vAlign w:val="center"/>
          </w:tcPr>
          <w:p w14:paraId="6F3EBF3E">
            <w:pPr>
              <w:autoSpaceDE w:val="0"/>
              <w:autoSpaceDN w:val="0"/>
              <w:adjustRightInd w:val="0"/>
              <w:snapToGrid w:val="0"/>
              <w:spacing w:line="520" w:lineRule="exact"/>
              <w:jc w:val="center"/>
              <w:rPr>
                <w:rFonts w:ascii="宋体" w:hAnsi="宋体" w:eastAsia="宋体" w:cs="仿宋"/>
                <w:kern w:val="0"/>
                <w:sz w:val="24"/>
                <w:szCs w:val="24"/>
              </w:rPr>
            </w:pPr>
            <w:r>
              <w:rPr>
                <w:rFonts w:hint="eastAsia" w:ascii="宋体" w:hAnsi="宋体" w:eastAsia="宋体" w:cs="仿宋"/>
                <w:kern w:val="0"/>
                <w:sz w:val="24"/>
                <w:szCs w:val="24"/>
              </w:rPr>
              <w:t>投标人名称</w:t>
            </w:r>
          </w:p>
        </w:tc>
        <w:tc>
          <w:tcPr>
            <w:tcW w:w="7300" w:type="dxa"/>
            <w:gridSpan w:val="7"/>
            <w:tcBorders>
              <w:top w:val="single" w:color="auto" w:sz="8" w:space="0"/>
              <w:left w:val="single" w:color="auto" w:sz="8" w:space="0"/>
              <w:bottom w:val="single" w:color="auto" w:sz="8" w:space="0"/>
              <w:right w:val="single" w:color="auto" w:sz="12" w:space="0"/>
            </w:tcBorders>
            <w:vAlign w:val="center"/>
          </w:tcPr>
          <w:p w14:paraId="5E728D17">
            <w:pPr>
              <w:autoSpaceDE w:val="0"/>
              <w:autoSpaceDN w:val="0"/>
              <w:adjustRightInd w:val="0"/>
              <w:snapToGrid w:val="0"/>
              <w:spacing w:line="520" w:lineRule="exact"/>
              <w:jc w:val="center"/>
              <w:rPr>
                <w:rFonts w:ascii="宋体" w:hAnsi="宋体" w:eastAsia="宋体" w:cs="仿宋"/>
                <w:kern w:val="0"/>
                <w:sz w:val="24"/>
                <w:szCs w:val="24"/>
              </w:rPr>
            </w:pPr>
          </w:p>
        </w:tc>
      </w:tr>
      <w:tr w14:paraId="45E28379">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vAlign w:val="center"/>
          </w:tcPr>
          <w:p w14:paraId="0926B3F1">
            <w:pPr>
              <w:autoSpaceDE w:val="0"/>
              <w:autoSpaceDN w:val="0"/>
              <w:adjustRightInd w:val="0"/>
              <w:snapToGrid w:val="0"/>
              <w:spacing w:line="520" w:lineRule="exact"/>
              <w:jc w:val="center"/>
              <w:rPr>
                <w:rFonts w:ascii="宋体" w:hAnsi="宋体" w:eastAsia="宋体" w:cs="仿宋"/>
                <w:kern w:val="0"/>
                <w:sz w:val="24"/>
                <w:szCs w:val="24"/>
              </w:rPr>
            </w:pPr>
            <w:r>
              <w:rPr>
                <w:rFonts w:hint="eastAsia" w:ascii="宋体" w:hAnsi="宋体" w:eastAsia="宋体" w:cs="仿宋"/>
                <w:kern w:val="0"/>
                <w:sz w:val="24"/>
                <w:szCs w:val="24"/>
              </w:rPr>
              <w:t>注册地址</w:t>
            </w:r>
          </w:p>
        </w:tc>
        <w:tc>
          <w:tcPr>
            <w:tcW w:w="7300" w:type="dxa"/>
            <w:gridSpan w:val="7"/>
            <w:tcBorders>
              <w:top w:val="single" w:color="auto" w:sz="8" w:space="0"/>
              <w:left w:val="single" w:color="auto" w:sz="8" w:space="0"/>
              <w:bottom w:val="single" w:color="auto" w:sz="8" w:space="0"/>
              <w:right w:val="single" w:color="auto" w:sz="12" w:space="0"/>
            </w:tcBorders>
            <w:vAlign w:val="center"/>
          </w:tcPr>
          <w:p w14:paraId="73FC78B5">
            <w:pPr>
              <w:autoSpaceDE w:val="0"/>
              <w:autoSpaceDN w:val="0"/>
              <w:adjustRightInd w:val="0"/>
              <w:snapToGrid w:val="0"/>
              <w:spacing w:line="520" w:lineRule="exact"/>
              <w:jc w:val="center"/>
              <w:rPr>
                <w:rFonts w:ascii="宋体" w:hAnsi="宋体" w:eastAsia="宋体" w:cs="仿宋"/>
                <w:kern w:val="0"/>
                <w:sz w:val="24"/>
                <w:szCs w:val="24"/>
              </w:rPr>
            </w:pPr>
          </w:p>
        </w:tc>
      </w:tr>
      <w:tr w14:paraId="3A847312">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vAlign w:val="center"/>
          </w:tcPr>
          <w:p w14:paraId="5D4FCF9C">
            <w:pPr>
              <w:autoSpaceDE w:val="0"/>
              <w:autoSpaceDN w:val="0"/>
              <w:adjustRightInd w:val="0"/>
              <w:snapToGrid w:val="0"/>
              <w:spacing w:line="520" w:lineRule="exact"/>
              <w:jc w:val="center"/>
              <w:rPr>
                <w:rFonts w:ascii="宋体" w:hAnsi="宋体" w:eastAsia="宋体" w:cs="仿宋"/>
                <w:kern w:val="0"/>
                <w:sz w:val="24"/>
                <w:szCs w:val="24"/>
              </w:rPr>
            </w:pPr>
            <w:r>
              <w:rPr>
                <w:rFonts w:hint="eastAsia" w:ascii="宋体" w:hAnsi="宋体" w:eastAsia="宋体" w:cs="仿宋"/>
                <w:kern w:val="0"/>
                <w:sz w:val="24"/>
                <w:szCs w:val="24"/>
              </w:rPr>
              <w:t>成立时间</w:t>
            </w:r>
          </w:p>
        </w:tc>
        <w:tc>
          <w:tcPr>
            <w:tcW w:w="3165" w:type="dxa"/>
            <w:gridSpan w:val="4"/>
            <w:tcBorders>
              <w:top w:val="single" w:color="auto" w:sz="8" w:space="0"/>
              <w:left w:val="single" w:color="auto" w:sz="8" w:space="0"/>
              <w:bottom w:val="single" w:color="auto" w:sz="8" w:space="0"/>
              <w:right w:val="single" w:color="auto" w:sz="8" w:space="0"/>
            </w:tcBorders>
            <w:vAlign w:val="center"/>
          </w:tcPr>
          <w:p w14:paraId="1062592D">
            <w:pPr>
              <w:autoSpaceDE w:val="0"/>
              <w:autoSpaceDN w:val="0"/>
              <w:adjustRightInd w:val="0"/>
              <w:snapToGrid w:val="0"/>
              <w:spacing w:line="520" w:lineRule="exact"/>
              <w:jc w:val="center"/>
              <w:rPr>
                <w:rFonts w:ascii="宋体" w:hAnsi="宋体" w:eastAsia="宋体" w:cs="仿宋"/>
                <w:kern w:val="0"/>
                <w:sz w:val="24"/>
                <w:szCs w:val="24"/>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69AD936A">
            <w:pPr>
              <w:autoSpaceDE w:val="0"/>
              <w:autoSpaceDN w:val="0"/>
              <w:adjustRightInd w:val="0"/>
              <w:snapToGrid w:val="0"/>
              <w:spacing w:line="520" w:lineRule="exact"/>
              <w:jc w:val="center"/>
              <w:rPr>
                <w:rFonts w:ascii="宋体" w:hAnsi="宋体" w:eastAsia="宋体" w:cs="仿宋"/>
                <w:kern w:val="0"/>
                <w:sz w:val="24"/>
                <w:szCs w:val="24"/>
              </w:rPr>
            </w:pPr>
            <w:r>
              <w:rPr>
                <w:rFonts w:hint="eastAsia" w:ascii="宋体" w:hAnsi="宋体" w:eastAsia="宋体" w:cs="仿宋"/>
                <w:kern w:val="0"/>
                <w:sz w:val="24"/>
                <w:szCs w:val="24"/>
              </w:rPr>
              <w:t>企业性质</w:t>
            </w:r>
          </w:p>
        </w:tc>
        <w:tc>
          <w:tcPr>
            <w:tcW w:w="2140" w:type="dxa"/>
            <w:tcBorders>
              <w:top w:val="single" w:color="auto" w:sz="8" w:space="0"/>
              <w:left w:val="single" w:color="auto" w:sz="8" w:space="0"/>
              <w:bottom w:val="single" w:color="auto" w:sz="8" w:space="0"/>
              <w:right w:val="single" w:color="auto" w:sz="12" w:space="0"/>
            </w:tcBorders>
            <w:vAlign w:val="center"/>
          </w:tcPr>
          <w:p w14:paraId="67BDB868">
            <w:pPr>
              <w:autoSpaceDE w:val="0"/>
              <w:autoSpaceDN w:val="0"/>
              <w:adjustRightInd w:val="0"/>
              <w:snapToGrid w:val="0"/>
              <w:spacing w:line="520" w:lineRule="exact"/>
              <w:jc w:val="center"/>
              <w:rPr>
                <w:rFonts w:ascii="宋体" w:hAnsi="宋体" w:eastAsia="宋体" w:cs="仿宋"/>
                <w:kern w:val="0"/>
                <w:sz w:val="24"/>
                <w:szCs w:val="24"/>
              </w:rPr>
            </w:pPr>
          </w:p>
        </w:tc>
      </w:tr>
      <w:tr w14:paraId="65B01C92">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vAlign w:val="center"/>
          </w:tcPr>
          <w:p w14:paraId="1A3A6A8F">
            <w:pPr>
              <w:autoSpaceDE w:val="0"/>
              <w:autoSpaceDN w:val="0"/>
              <w:adjustRightInd w:val="0"/>
              <w:snapToGrid w:val="0"/>
              <w:spacing w:line="520" w:lineRule="exact"/>
              <w:jc w:val="center"/>
              <w:rPr>
                <w:rFonts w:ascii="宋体" w:hAnsi="宋体" w:eastAsia="宋体" w:cs="仿宋"/>
                <w:kern w:val="0"/>
                <w:sz w:val="24"/>
                <w:szCs w:val="24"/>
              </w:rPr>
            </w:pPr>
            <w:r>
              <w:rPr>
                <w:rFonts w:hint="eastAsia" w:ascii="宋体" w:hAnsi="宋体" w:eastAsia="宋体" w:cs="仿宋"/>
                <w:kern w:val="0"/>
                <w:sz w:val="24"/>
                <w:szCs w:val="24"/>
              </w:rPr>
              <w:t>营业执照号</w:t>
            </w:r>
          </w:p>
        </w:tc>
        <w:tc>
          <w:tcPr>
            <w:tcW w:w="3165" w:type="dxa"/>
            <w:gridSpan w:val="4"/>
            <w:tcBorders>
              <w:top w:val="single" w:color="auto" w:sz="8" w:space="0"/>
              <w:left w:val="single" w:color="auto" w:sz="8" w:space="0"/>
              <w:bottom w:val="single" w:color="auto" w:sz="8" w:space="0"/>
              <w:right w:val="single" w:color="auto" w:sz="8" w:space="0"/>
            </w:tcBorders>
            <w:vAlign w:val="center"/>
          </w:tcPr>
          <w:p w14:paraId="411F6054">
            <w:pPr>
              <w:autoSpaceDE w:val="0"/>
              <w:autoSpaceDN w:val="0"/>
              <w:adjustRightInd w:val="0"/>
              <w:snapToGrid w:val="0"/>
              <w:spacing w:line="520" w:lineRule="exact"/>
              <w:jc w:val="center"/>
              <w:rPr>
                <w:rFonts w:ascii="宋体" w:hAnsi="宋体" w:eastAsia="宋体" w:cs="仿宋"/>
                <w:kern w:val="0"/>
                <w:sz w:val="24"/>
                <w:szCs w:val="24"/>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14F60D8D">
            <w:pPr>
              <w:autoSpaceDE w:val="0"/>
              <w:autoSpaceDN w:val="0"/>
              <w:adjustRightInd w:val="0"/>
              <w:snapToGrid w:val="0"/>
              <w:spacing w:line="520" w:lineRule="exact"/>
              <w:jc w:val="center"/>
              <w:rPr>
                <w:rFonts w:ascii="宋体" w:hAnsi="宋体" w:eastAsia="宋体" w:cs="仿宋"/>
                <w:kern w:val="0"/>
                <w:sz w:val="24"/>
                <w:szCs w:val="24"/>
              </w:rPr>
            </w:pPr>
            <w:r>
              <w:rPr>
                <w:rFonts w:hint="eastAsia" w:ascii="宋体" w:hAnsi="宋体" w:eastAsia="宋体" w:cs="仿宋"/>
                <w:kern w:val="0"/>
                <w:sz w:val="24"/>
                <w:szCs w:val="24"/>
              </w:rPr>
              <w:t>注册资金</w:t>
            </w:r>
          </w:p>
        </w:tc>
        <w:tc>
          <w:tcPr>
            <w:tcW w:w="2140" w:type="dxa"/>
            <w:tcBorders>
              <w:top w:val="single" w:color="auto" w:sz="8" w:space="0"/>
              <w:left w:val="single" w:color="auto" w:sz="8" w:space="0"/>
              <w:bottom w:val="single" w:color="auto" w:sz="8" w:space="0"/>
              <w:right w:val="single" w:color="auto" w:sz="12" w:space="0"/>
            </w:tcBorders>
            <w:vAlign w:val="center"/>
          </w:tcPr>
          <w:p w14:paraId="4B2E73BB">
            <w:pPr>
              <w:autoSpaceDE w:val="0"/>
              <w:autoSpaceDN w:val="0"/>
              <w:adjustRightInd w:val="0"/>
              <w:snapToGrid w:val="0"/>
              <w:spacing w:line="520" w:lineRule="exact"/>
              <w:jc w:val="center"/>
              <w:rPr>
                <w:rFonts w:ascii="宋体" w:hAnsi="宋体" w:eastAsia="宋体" w:cs="仿宋"/>
                <w:kern w:val="0"/>
                <w:sz w:val="24"/>
                <w:szCs w:val="24"/>
              </w:rPr>
            </w:pPr>
          </w:p>
        </w:tc>
      </w:tr>
      <w:tr w14:paraId="4289BC85">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vAlign w:val="center"/>
          </w:tcPr>
          <w:p w14:paraId="6D74D646">
            <w:pPr>
              <w:autoSpaceDE w:val="0"/>
              <w:autoSpaceDN w:val="0"/>
              <w:adjustRightInd w:val="0"/>
              <w:snapToGrid w:val="0"/>
              <w:spacing w:line="520" w:lineRule="exact"/>
              <w:jc w:val="center"/>
              <w:rPr>
                <w:rFonts w:ascii="宋体" w:hAnsi="宋体" w:eastAsia="宋体" w:cs="仿宋"/>
                <w:kern w:val="0"/>
                <w:sz w:val="24"/>
                <w:szCs w:val="24"/>
              </w:rPr>
            </w:pPr>
            <w:r>
              <w:rPr>
                <w:rFonts w:hint="eastAsia" w:ascii="宋体" w:hAnsi="宋体" w:eastAsia="宋体" w:cs="仿宋"/>
                <w:kern w:val="0"/>
                <w:sz w:val="24"/>
                <w:szCs w:val="24"/>
              </w:rPr>
              <w:t>法定代表人</w:t>
            </w:r>
          </w:p>
        </w:tc>
        <w:tc>
          <w:tcPr>
            <w:tcW w:w="3165" w:type="dxa"/>
            <w:gridSpan w:val="4"/>
            <w:tcBorders>
              <w:top w:val="single" w:color="auto" w:sz="8" w:space="0"/>
              <w:left w:val="single" w:color="auto" w:sz="8" w:space="0"/>
              <w:bottom w:val="single" w:color="auto" w:sz="8" w:space="0"/>
              <w:right w:val="single" w:color="auto" w:sz="8" w:space="0"/>
            </w:tcBorders>
            <w:vAlign w:val="center"/>
          </w:tcPr>
          <w:p w14:paraId="3A45B402">
            <w:pPr>
              <w:autoSpaceDE w:val="0"/>
              <w:autoSpaceDN w:val="0"/>
              <w:adjustRightInd w:val="0"/>
              <w:snapToGrid w:val="0"/>
              <w:spacing w:line="520" w:lineRule="exact"/>
              <w:jc w:val="center"/>
              <w:rPr>
                <w:rFonts w:ascii="宋体" w:hAnsi="宋体" w:eastAsia="宋体" w:cs="仿宋"/>
                <w:kern w:val="0"/>
                <w:sz w:val="24"/>
                <w:szCs w:val="24"/>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5A4C19F4">
            <w:pPr>
              <w:autoSpaceDE w:val="0"/>
              <w:autoSpaceDN w:val="0"/>
              <w:adjustRightInd w:val="0"/>
              <w:snapToGrid w:val="0"/>
              <w:spacing w:line="520" w:lineRule="exact"/>
              <w:jc w:val="center"/>
              <w:rPr>
                <w:rFonts w:ascii="宋体" w:hAnsi="宋体" w:eastAsia="宋体" w:cs="仿宋"/>
                <w:kern w:val="0"/>
                <w:sz w:val="24"/>
                <w:szCs w:val="24"/>
              </w:rPr>
            </w:pPr>
            <w:r>
              <w:rPr>
                <w:rFonts w:hint="eastAsia" w:ascii="宋体" w:hAnsi="宋体" w:eastAsia="宋体" w:cs="仿宋"/>
                <w:kern w:val="0"/>
                <w:sz w:val="24"/>
                <w:szCs w:val="24"/>
              </w:rPr>
              <w:t>电    话</w:t>
            </w:r>
          </w:p>
        </w:tc>
        <w:tc>
          <w:tcPr>
            <w:tcW w:w="2140" w:type="dxa"/>
            <w:tcBorders>
              <w:top w:val="single" w:color="auto" w:sz="8" w:space="0"/>
              <w:left w:val="single" w:color="auto" w:sz="8" w:space="0"/>
              <w:bottom w:val="single" w:color="auto" w:sz="8" w:space="0"/>
              <w:right w:val="single" w:color="auto" w:sz="12" w:space="0"/>
            </w:tcBorders>
            <w:vAlign w:val="center"/>
          </w:tcPr>
          <w:p w14:paraId="2CF7E54E">
            <w:pPr>
              <w:autoSpaceDE w:val="0"/>
              <w:autoSpaceDN w:val="0"/>
              <w:adjustRightInd w:val="0"/>
              <w:snapToGrid w:val="0"/>
              <w:spacing w:line="520" w:lineRule="exact"/>
              <w:jc w:val="center"/>
              <w:rPr>
                <w:rFonts w:ascii="宋体" w:hAnsi="宋体" w:eastAsia="宋体" w:cs="仿宋"/>
                <w:kern w:val="0"/>
                <w:sz w:val="24"/>
                <w:szCs w:val="24"/>
              </w:rPr>
            </w:pPr>
          </w:p>
        </w:tc>
      </w:tr>
      <w:tr w14:paraId="1A204D6A">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vAlign w:val="center"/>
          </w:tcPr>
          <w:p w14:paraId="5ECA71E5">
            <w:pPr>
              <w:autoSpaceDE w:val="0"/>
              <w:autoSpaceDN w:val="0"/>
              <w:adjustRightInd w:val="0"/>
              <w:snapToGrid w:val="0"/>
              <w:spacing w:line="520" w:lineRule="exact"/>
              <w:jc w:val="center"/>
              <w:rPr>
                <w:rFonts w:ascii="宋体" w:hAnsi="宋体" w:eastAsia="宋体" w:cs="仿宋"/>
                <w:kern w:val="0"/>
                <w:sz w:val="24"/>
                <w:szCs w:val="24"/>
              </w:rPr>
            </w:pPr>
            <w:r>
              <w:rPr>
                <w:rFonts w:hint="eastAsia" w:ascii="宋体" w:hAnsi="宋体" w:eastAsia="宋体" w:cs="仿宋"/>
                <w:kern w:val="0"/>
                <w:sz w:val="24"/>
                <w:szCs w:val="24"/>
              </w:rPr>
              <w:t>联 系 人</w:t>
            </w:r>
          </w:p>
        </w:tc>
        <w:tc>
          <w:tcPr>
            <w:tcW w:w="3165" w:type="dxa"/>
            <w:gridSpan w:val="4"/>
            <w:tcBorders>
              <w:top w:val="single" w:color="auto" w:sz="8" w:space="0"/>
              <w:left w:val="single" w:color="auto" w:sz="8" w:space="0"/>
              <w:bottom w:val="single" w:color="auto" w:sz="8" w:space="0"/>
              <w:right w:val="single" w:color="auto" w:sz="8" w:space="0"/>
            </w:tcBorders>
            <w:vAlign w:val="center"/>
          </w:tcPr>
          <w:p w14:paraId="22FE9173">
            <w:pPr>
              <w:autoSpaceDE w:val="0"/>
              <w:autoSpaceDN w:val="0"/>
              <w:adjustRightInd w:val="0"/>
              <w:snapToGrid w:val="0"/>
              <w:spacing w:line="520" w:lineRule="exact"/>
              <w:rPr>
                <w:rFonts w:ascii="宋体" w:hAnsi="宋体" w:eastAsia="宋体" w:cs="仿宋"/>
                <w:kern w:val="0"/>
                <w:sz w:val="24"/>
                <w:szCs w:val="24"/>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5AAE2A23">
            <w:pPr>
              <w:autoSpaceDE w:val="0"/>
              <w:autoSpaceDN w:val="0"/>
              <w:adjustRightInd w:val="0"/>
              <w:snapToGrid w:val="0"/>
              <w:spacing w:line="520" w:lineRule="exact"/>
              <w:jc w:val="center"/>
              <w:rPr>
                <w:rFonts w:ascii="宋体" w:hAnsi="宋体" w:eastAsia="宋体" w:cs="仿宋"/>
                <w:kern w:val="0"/>
                <w:sz w:val="24"/>
                <w:szCs w:val="24"/>
              </w:rPr>
            </w:pPr>
            <w:r>
              <w:rPr>
                <w:rFonts w:hint="eastAsia" w:ascii="宋体" w:hAnsi="宋体" w:eastAsia="宋体" w:cs="仿宋"/>
                <w:kern w:val="0"/>
                <w:sz w:val="24"/>
                <w:szCs w:val="24"/>
              </w:rPr>
              <w:t>电    话</w:t>
            </w:r>
          </w:p>
        </w:tc>
        <w:tc>
          <w:tcPr>
            <w:tcW w:w="2140" w:type="dxa"/>
            <w:tcBorders>
              <w:top w:val="single" w:color="auto" w:sz="8" w:space="0"/>
              <w:left w:val="single" w:color="auto" w:sz="8" w:space="0"/>
              <w:bottom w:val="single" w:color="auto" w:sz="8" w:space="0"/>
              <w:right w:val="single" w:color="auto" w:sz="12" w:space="0"/>
            </w:tcBorders>
            <w:vAlign w:val="center"/>
          </w:tcPr>
          <w:p w14:paraId="23425EE3">
            <w:pPr>
              <w:autoSpaceDE w:val="0"/>
              <w:autoSpaceDN w:val="0"/>
              <w:adjustRightInd w:val="0"/>
              <w:snapToGrid w:val="0"/>
              <w:spacing w:line="520" w:lineRule="exact"/>
              <w:jc w:val="center"/>
              <w:rPr>
                <w:rFonts w:ascii="宋体" w:hAnsi="宋体" w:eastAsia="宋体" w:cs="仿宋"/>
                <w:kern w:val="0"/>
                <w:sz w:val="24"/>
                <w:szCs w:val="24"/>
              </w:rPr>
            </w:pPr>
          </w:p>
        </w:tc>
      </w:tr>
      <w:tr w14:paraId="4A144F2C">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tcPr>
          <w:p w14:paraId="74E5189D">
            <w:pPr>
              <w:autoSpaceDE w:val="0"/>
              <w:autoSpaceDN w:val="0"/>
              <w:adjustRightInd w:val="0"/>
              <w:snapToGrid w:val="0"/>
              <w:spacing w:line="520" w:lineRule="exact"/>
              <w:jc w:val="center"/>
              <w:rPr>
                <w:rFonts w:ascii="宋体" w:hAnsi="宋体" w:eastAsia="宋体" w:cs="仿宋"/>
                <w:kern w:val="0"/>
                <w:sz w:val="24"/>
                <w:szCs w:val="24"/>
              </w:rPr>
            </w:pPr>
            <w:r>
              <w:rPr>
                <w:rFonts w:hint="eastAsia" w:ascii="宋体" w:hAnsi="宋体" w:eastAsia="宋体" w:cs="仿宋"/>
                <w:kern w:val="0"/>
                <w:sz w:val="24"/>
                <w:szCs w:val="24"/>
              </w:rPr>
              <w:t>传    真</w:t>
            </w:r>
          </w:p>
        </w:tc>
        <w:tc>
          <w:tcPr>
            <w:tcW w:w="3165" w:type="dxa"/>
            <w:gridSpan w:val="4"/>
            <w:tcBorders>
              <w:top w:val="single" w:color="auto" w:sz="8" w:space="0"/>
              <w:left w:val="single" w:color="auto" w:sz="8" w:space="0"/>
              <w:bottom w:val="single" w:color="auto" w:sz="8" w:space="0"/>
              <w:right w:val="single" w:color="auto" w:sz="8" w:space="0"/>
            </w:tcBorders>
          </w:tcPr>
          <w:p w14:paraId="2986113B">
            <w:pPr>
              <w:autoSpaceDE w:val="0"/>
              <w:autoSpaceDN w:val="0"/>
              <w:adjustRightInd w:val="0"/>
              <w:snapToGrid w:val="0"/>
              <w:spacing w:line="520" w:lineRule="exact"/>
              <w:rPr>
                <w:rFonts w:ascii="宋体" w:hAnsi="宋体" w:eastAsia="宋体" w:cs="仿宋"/>
                <w:kern w:val="0"/>
                <w:sz w:val="24"/>
                <w:szCs w:val="24"/>
              </w:rPr>
            </w:pPr>
          </w:p>
        </w:tc>
        <w:tc>
          <w:tcPr>
            <w:tcW w:w="1995" w:type="dxa"/>
            <w:gridSpan w:val="2"/>
            <w:tcBorders>
              <w:top w:val="single" w:color="auto" w:sz="8" w:space="0"/>
              <w:left w:val="single" w:color="auto" w:sz="8" w:space="0"/>
              <w:bottom w:val="single" w:color="auto" w:sz="8" w:space="0"/>
              <w:right w:val="single" w:color="auto" w:sz="8" w:space="0"/>
            </w:tcBorders>
          </w:tcPr>
          <w:p w14:paraId="056D90A5">
            <w:pPr>
              <w:autoSpaceDE w:val="0"/>
              <w:autoSpaceDN w:val="0"/>
              <w:adjustRightInd w:val="0"/>
              <w:snapToGrid w:val="0"/>
              <w:spacing w:line="520" w:lineRule="exact"/>
              <w:jc w:val="center"/>
              <w:rPr>
                <w:rFonts w:ascii="宋体" w:hAnsi="宋体" w:eastAsia="宋体" w:cs="仿宋"/>
                <w:kern w:val="0"/>
                <w:sz w:val="24"/>
                <w:szCs w:val="24"/>
              </w:rPr>
            </w:pPr>
            <w:r>
              <w:rPr>
                <w:rFonts w:hint="eastAsia" w:ascii="宋体" w:hAnsi="宋体" w:eastAsia="宋体" w:cs="仿宋"/>
                <w:kern w:val="0"/>
                <w:sz w:val="24"/>
                <w:szCs w:val="24"/>
              </w:rPr>
              <w:t>网    址</w:t>
            </w:r>
          </w:p>
        </w:tc>
        <w:tc>
          <w:tcPr>
            <w:tcW w:w="2140" w:type="dxa"/>
            <w:tcBorders>
              <w:top w:val="single" w:color="auto" w:sz="8" w:space="0"/>
              <w:left w:val="single" w:color="auto" w:sz="8" w:space="0"/>
              <w:bottom w:val="single" w:color="auto" w:sz="8" w:space="0"/>
              <w:right w:val="single" w:color="auto" w:sz="12" w:space="0"/>
            </w:tcBorders>
          </w:tcPr>
          <w:p w14:paraId="6BF578AE">
            <w:pPr>
              <w:autoSpaceDE w:val="0"/>
              <w:autoSpaceDN w:val="0"/>
              <w:adjustRightInd w:val="0"/>
              <w:snapToGrid w:val="0"/>
              <w:spacing w:line="520" w:lineRule="exact"/>
              <w:rPr>
                <w:rFonts w:ascii="宋体" w:hAnsi="宋体" w:eastAsia="宋体" w:cs="仿宋"/>
                <w:kern w:val="0"/>
                <w:sz w:val="24"/>
                <w:szCs w:val="24"/>
              </w:rPr>
            </w:pPr>
          </w:p>
        </w:tc>
      </w:tr>
      <w:tr w14:paraId="54C1AFE4">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vAlign w:val="center"/>
          </w:tcPr>
          <w:p w14:paraId="2FB7C263">
            <w:pPr>
              <w:autoSpaceDE w:val="0"/>
              <w:autoSpaceDN w:val="0"/>
              <w:adjustRightInd w:val="0"/>
              <w:snapToGrid w:val="0"/>
              <w:spacing w:line="520" w:lineRule="exact"/>
              <w:jc w:val="center"/>
              <w:rPr>
                <w:rFonts w:ascii="宋体" w:hAnsi="宋体" w:eastAsia="宋体" w:cs="仿宋"/>
                <w:kern w:val="0"/>
                <w:sz w:val="24"/>
                <w:szCs w:val="24"/>
              </w:rPr>
            </w:pPr>
            <w:r>
              <w:rPr>
                <w:rFonts w:hint="eastAsia" w:ascii="宋体" w:hAnsi="宋体" w:eastAsia="宋体" w:cs="仿宋"/>
                <w:kern w:val="0"/>
                <w:sz w:val="24"/>
                <w:szCs w:val="24"/>
              </w:rPr>
              <w:t>开户银行</w:t>
            </w:r>
          </w:p>
        </w:tc>
        <w:tc>
          <w:tcPr>
            <w:tcW w:w="3165" w:type="dxa"/>
            <w:gridSpan w:val="4"/>
            <w:tcBorders>
              <w:top w:val="single" w:color="auto" w:sz="8" w:space="0"/>
              <w:left w:val="single" w:color="auto" w:sz="8" w:space="0"/>
              <w:bottom w:val="single" w:color="auto" w:sz="8" w:space="0"/>
              <w:right w:val="single" w:color="auto" w:sz="8" w:space="0"/>
            </w:tcBorders>
            <w:vAlign w:val="center"/>
          </w:tcPr>
          <w:p w14:paraId="4671416E">
            <w:pPr>
              <w:autoSpaceDE w:val="0"/>
              <w:autoSpaceDN w:val="0"/>
              <w:adjustRightInd w:val="0"/>
              <w:snapToGrid w:val="0"/>
              <w:spacing w:line="520" w:lineRule="exact"/>
              <w:jc w:val="center"/>
              <w:rPr>
                <w:rFonts w:ascii="宋体" w:hAnsi="宋体" w:eastAsia="宋体" w:cs="仿宋"/>
                <w:kern w:val="0"/>
                <w:sz w:val="24"/>
                <w:szCs w:val="24"/>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7A8AB8DA">
            <w:pPr>
              <w:autoSpaceDE w:val="0"/>
              <w:autoSpaceDN w:val="0"/>
              <w:adjustRightInd w:val="0"/>
              <w:snapToGrid w:val="0"/>
              <w:spacing w:line="520" w:lineRule="exact"/>
              <w:jc w:val="center"/>
              <w:rPr>
                <w:rFonts w:ascii="宋体" w:hAnsi="宋体" w:eastAsia="宋体" w:cs="仿宋"/>
                <w:kern w:val="0"/>
                <w:sz w:val="24"/>
                <w:szCs w:val="24"/>
              </w:rPr>
            </w:pPr>
            <w:r>
              <w:rPr>
                <w:rFonts w:hint="eastAsia" w:ascii="宋体" w:hAnsi="宋体" w:eastAsia="宋体" w:cs="仿宋"/>
                <w:kern w:val="0"/>
                <w:sz w:val="24"/>
                <w:szCs w:val="24"/>
              </w:rPr>
              <w:t>银行帐号</w:t>
            </w:r>
          </w:p>
        </w:tc>
        <w:tc>
          <w:tcPr>
            <w:tcW w:w="2140" w:type="dxa"/>
            <w:tcBorders>
              <w:top w:val="single" w:color="auto" w:sz="8" w:space="0"/>
              <w:left w:val="single" w:color="auto" w:sz="8" w:space="0"/>
              <w:bottom w:val="single" w:color="auto" w:sz="8" w:space="0"/>
              <w:right w:val="single" w:color="auto" w:sz="12" w:space="0"/>
            </w:tcBorders>
            <w:vAlign w:val="center"/>
          </w:tcPr>
          <w:p w14:paraId="7D9CB29C">
            <w:pPr>
              <w:autoSpaceDE w:val="0"/>
              <w:autoSpaceDN w:val="0"/>
              <w:adjustRightInd w:val="0"/>
              <w:snapToGrid w:val="0"/>
              <w:spacing w:line="520" w:lineRule="exact"/>
              <w:jc w:val="center"/>
              <w:rPr>
                <w:rFonts w:ascii="宋体" w:hAnsi="宋体" w:eastAsia="宋体" w:cs="仿宋"/>
                <w:kern w:val="0"/>
                <w:sz w:val="24"/>
                <w:szCs w:val="24"/>
              </w:rPr>
            </w:pPr>
          </w:p>
        </w:tc>
      </w:tr>
      <w:tr w14:paraId="32F8EF15">
        <w:tblPrEx>
          <w:tblCellMar>
            <w:top w:w="0" w:type="dxa"/>
            <w:left w:w="0" w:type="dxa"/>
            <w:bottom w:w="0" w:type="dxa"/>
            <w:right w:w="0" w:type="dxa"/>
          </w:tblCellMar>
        </w:tblPrEx>
        <w:trPr>
          <w:cantSplit/>
          <w:jc w:val="center"/>
        </w:trPr>
        <w:tc>
          <w:tcPr>
            <w:tcW w:w="1665" w:type="dxa"/>
            <w:vMerge w:val="restart"/>
            <w:tcBorders>
              <w:top w:val="single" w:color="auto" w:sz="8" w:space="0"/>
              <w:left w:val="single" w:color="auto" w:sz="12" w:space="0"/>
              <w:bottom w:val="single" w:color="auto" w:sz="8" w:space="0"/>
              <w:right w:val="single" w:color="auto" w:sz="8" w:space="0"/>
            </w:tcBorders>
            <w:vAlign w:val="center"/>
          </w:tcPr>
          <w:p w14:paraId="7E420070">
            <w:pPr>
              <w:autoSpaceDE w:val="0"/>
              <w:autoSpaceDN w:val="0"/>
              <w:adjustRightInd w:val="0"/>
              <w:snapToGrid w:val="0"/>
              <w:spacing w:line="520" w:lineRule="exact"/>
              <w:jc w:val="center"/>
              <w:rPr>
                <w:rFonts w:ascii="宋体" w:hAnsi="宋体" w:eastAsia="宋体" w:cs="仿宋"/>
                <w:kern w:val="0"/>
                <w:sz w:val="24"/>
                <w:szCs w:val="24"/>
              </w:rPr>
            </w:pPr>
            <w:r>
              <w:rPr>
                <w:rFonts w:hint="eastAsia" w:ascii="宋体" w:hAnsi="宋体" w:eastAsia="宋体" w:cs="仿宋"/>
                <w:kern w:val="0"/>
                <w:sz w:val="24"/>
                <w:szCs w:val="24"/>
              </w:rPr>
              <w:t>职工概况</w:t>
            </w:r>
          </w:p>
        </w:tc>
        <w:tc>
          <w:tcPr>
            <w:tcW w:w="1038" w:type="dxa"/>
            <w:vMerge w:val="restart"/>
            <w:tcBorders>
              <w:top w:val="single" w:color="auto" w:sz="8" w:space="0"/>
              <w:left w:val="single" w:color="auto" w:sz="8" w:space="0"/>
              <w:right w:val="single" w:color="auto" w:sz="4" w:space="0"/>
            </w:tcBorders>
            <w:vAlign w:val="center"/>
          </w:tcPr>
          <w:p w14:paraId="05AA083C">
            <w:pPr>
              <w:autoSpaceDE w:val="0"/>
              <w:autoSpaceDN w:val="0"/>
              <w:adjustRightInd w:val="0"/>
              <w:snapToGrid w:val="0"/>
              <w:jc w:val="center"/>
              <w:rPr>
                <w:rFonts w:ascii="宋体" w:hAnsi="宋体" w:eastAsia="宋体" w:cs="仿宋"/>
                <w:kern w:val="0"/>
                <w:sz w:val="24"/>
                <w:szCs w:val="24"/>
              </w:rPr>
            </w:pPr>
            <w:r>
              <w:rPr>
                <w:rFonts w:hint="eastAsia" w:ascii="宋体" w:hAnsi="宋体" w:eastAsia="宋体" w:cs="仿宋"/>
                <w:kern w:val="0"/>
                <w:sz w:val="24"/>
                <w:szCs w:val="24"/>
              </w:rPr>
              <w:t>职工总数</w:t>
            </w:r>
          </w:p>
        </w:tc>
        <w:tc>
          <w:tcPr>
            <w:tcW w:w="1139" w:type="dxa"/>
            <w:gridSpan w:val="2"/>
            <w:vMerge w:val="restart"/>
            <w:tcBorders>
              <w:top w:val="single" w:color="auto" w:sz="8" w:space="0"/>
              <w:left w:val="single" w:color="auto" w:sz="4" w:space="0"/>
              <w:right w:val="single" w:color="auto" w:sz="4" w:space="0"/>
            </w:tcBorders>
            <w:vAlign w:val="center"/>
          </w:tcPr>
          <w:p w14:paraId="0A0ECF56">
            <w:pPr>
              <w:autoSpaceDE w:val="0"/>
              <w:autoSpaceDN w:val="0"/>
              <w:adjustRightInd w:val="0"/>
              <w:snapToGrid w:val="0"/>
              <w:spacing w:line="520" w:lineRule="exact"/>
              <w:jc w:val="center"/>
              <w:rPr>
                <w:rFonts w:ascii="宋体" w:hAnsi="宋体" w:eastAsia="宋体" w:cs="仿宋"/>
                <w:kern w:val="0"/>
                <w:sz w:val="24"/>
                <w:szCs w:val="24"/>
              </w:rPr>
            </w:pPr>
          </w:p>
        </w:tc>
        <w:tc>
          <w:tcPr>
            <w:tcW w:w="988" w:type="dxa"/>
            <w:vMerge w:val="restart"/>
            <w:tcBorders>
              <w:top w:val="single" w:color="auto" w:sz="8" w:space="0"/>
              <w:left w:val="single" w:color="auto" w:sz="4" w:space="0"/>
              <w:right w:val="single" w:color="auto" w:sz="8" w:space="0"/>
            </w:tcBorders>
            <w:vAlign w:val="center"/>
          </w:tcPr>
          <w:p w14:paraId="2E8B904F">
            <w:pPr>
              <w:autoSpaceDE w:val="0"/>
              <w:autoSpaceDN w:val="0"/>
              <w:adjustRightInd w:val="0"/>
              <w:snapToGrid w:val="0"/>
              <w:spacing w:line="520" w:lineRule="exact"/>
              <w:jc w:val="center"/>
              <w:rPr>
                <w:rFonts w:ascii="宋体" w:hAnsi="宋体" w:eastAsia="宋体" w:cs="仿宋"/>
                <w:kern w:val="0"/>
                <w:sz w:val="24"/>
                <w:szCs w:val="24"/>
              </w:rPr>
            </w:pPr>
            <w:r>
              <w:rPr>
                <w:rFonts w:hint="eastAsia" w:ascii="宋体" w:hAnsi="宋体" w:eastAsia="宋体" w:cs="仿宋"/>
                <w:kern w:val="0"/>
                <w:sz w:val="24"/>
                <w:szCs w:val="24"/>
              </w:rPr>
              <w:t>其</w:t>
            </w:r>
          </w:p>
          <w:p w14:paraId="0B9D8C81">
            <w:pPr>
              <w:autoSpaceDE w:val="0"/>
              <w:autoSpaceDN w:val="0"/>
              <w:adjustRightInd w:val="0"/>
              <w:snapToGrid w:val="0"/>
              <w:spacing w:line="520" w:lineRule="exact"/>
              <w:jc w:val="center"/>
              <w:rPr>
                <w:rFonts w:ascii="宋体" w:hAnsi="宋体" w:eastAsia="宋体" w:cs="仿宋"/>
                <w:kern w:val="0"/>
                <w:sz w:val="24"/>
                <w:szCs w:val="24"/>
              </w:rPr>
            </w:pPr>
            <w:r>
              <w:rPr>
                <w:rFonts w:hint="eastAsia" w:ascii="宋体" w:hAnsi="宋体" w:eastAsia="宋体" w:cs="仿宋"/>
                <w:kern w:val="0"/>
                <w:sz w:val="24"/>
                <w:szCs w:val="24"/>
              </w:rPr>
              <w:t>中</w:t>
            </w: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798F482E">
            <w:pPr>
              <w:autoSpaceDE w:val="0"/>
              <w:autoSpaceDN w:val="0"/>
              <w:adjustRightInd w:val="0"/>
              <w:snapToGrid w:val="0"/>
              <w:spacing w:line="520" w:lineRule="exact"/>
              <w:jc w:val="center"/>
              <w:rPr>
                <w:rFonts w:ascii="宋体" w:hAnsi="宋体" w:eastAsia="宋体" w:cs="仿宋"/>
                <w:kern w:val="0"/>
                <w:sz w:val="24"/>
                <w:szCs w:val="24"/>
              </w:rPr>
            </w:pPr>
            <w:r>
              <w:rPr>
                <w:rFonts w:hint="eastAsia" w:ascii="宋体" w:hAnsi="宋体" w:eastAsia="宋体" w:cs="仿宋"/>
                <w:kern w:val="0"/>
                <w:sz w:val="24"/>
                <w:szCs w:val="24"/>
              </w:rPr>
              <w:t>高级职称人员</w:t>
            </w:r>
          </w:p>
        </w:tc>
        <w:tc>
          <w:tcPr>
            <w:tcW w:w="2140" w:type="dxa"/>
            <w:tcBorders>
              <w:top w:val="single" w:color="auto" w:sz="8" w:space="0"/>
              <w:left w:val="single" w:color="auto" w:sz="8" w:space="0"/>
              <w:bottom w:val="single" w:color="auto" w:sz="8" w:space="0"/>
              <w:right w:val="single" w:color="auto" w:sz="12" w:space="0"/>
            </w:tcBorders>
            <w:vAlign w:val="center"/>
          </w:tcPr>
          <w:p w14:paraId="29C00BB2">
            <w:pPr>
              <w:autoSpaceDE w:val="0"/>
              <w:autoSpaceDN w:val="0"/>
              <w:adjustRightInd w:val="0"/>
              <w:snapToGrid w:val="0"/>
              <w:spacing w:line="520" w:lineRule="exact"/>
              <w:jc w:val="center"/>
              <w:rPr>
                <w:rFonts w:ascii="宋体" w:hAnsi="宋体" w:eastAsia="宋体" w:cs="仿宋"/>
                <w:kern w:val="0"/>
                <w:sz w:val="24"/>
                <w:szCs w:val="24"/>
              </w:rPr>
            </w:pPr>
          </w:p>
        </w:tc>
      </w:tr>
      <w:tr w14:paraId="184AD2F2">
        <w:tblPrEx>
          <w:tblCellMar>
            <w:top w:w="0" w:type="dxa"/>
            <w:left w:w="0" w:type="dxa"/>
            <w:bottom w:w="0" w:type="dxa"/>
            <w:right w:w="0" w:type="dxa"/>
          </w:tblCellMar>
        </w:tblPrEx>
        <w:trPr>
          <w:cantSplit/>
          <w:jc w:val="center"/>
        </w:trPr>
        <w:tc>
          <w:tcPr>
            <w:tcW w:w="1665" w:type="dxa"/>
            <w:vMerge w:val="continue"/>
            <w:tcBorders>
              <w:top w:val="single" w:color="auto" w:sz="8" w:space="0"/>
              <w:left w:val="single" w:color="auto" w:sz="12" w:space="0"/>
              <w:bottom w:val="single" w:color="auto" w:sz="8" w:space="0"/>
              <w:right w:val="single" w:color="auto" w:sz="8" w:space="0"/>
            </w:tcBorders>
            <w:vAlign w:val="center"/>
          </w:tcPr>
          <w:p w14:paraId="795059A5">
            <w:pPr>
              <w:widowControl/>
              <w:adjustRightInd w:val="0"/>
              <w:snapToGrid w:val="0"/>
              <w:spacing w:line="520" w:lineRule="exact"/>
              <w:jc w:val="left"/>
              <w:rPr>
                <w:rFonts w:ascii="宋体" w:hAnsi="宋体" w:eastAsia="宋体" w:cs="仿宋"/>
                <w:kern w:val="0"/>
                <w:sz w:val="24"/>
                <w:szCs w:val="24"/>
              </w:rPr>
            </w:pPr>
          </w:p>
        </w:tc>
        <w:tc>
          <w:tcPr>
            <w:tcW w:w="1038" w:type="dxa"/>
            <w:vMerge w:val="continue"/>
            <w:tcBorders>
              <w:left w:val="single" w:color="auto" w:sz="8" w:space="0"/>
              <w:right w:val="single" w:color="auto" w:sz="4" w:space="0"/>
            </w:tcBorders>
            <w:vAlign w:val="center"/>
          </w:tcPr>
          <w:p w14:paraId="284EDE12">
            <w:pPr>
              <w:autoSpaceDE w:val="0"/>
              <w:autoSpaceDN w:val="0"/>
              <w:adjustRightInd w:val="0"/>
              <w:snapToGrid w:val="0"/>
              <w:spacing w:line="520" w:lineRule="exact"/>
              <w:jc w:val="center"/>
              <w:rPr>
                <w:rFonts w:ascii="宋体" w:hAnsi="宋体" w:eastAsia="宋体" w:cs="仿宋"/>
                <w:kern w:val="0"/>
                <w:sz w:val="24"/>
                <w:szCs w:val="24"/>
              </w:rPr>
            </w:pPr>
          </w:p>
        </w:tc>
        <w:tc>
          <w:tcPr>
            <w:tcW w:w="1139" w:type="dxa"/>
            <w:gridSpan w:val="2"/>
            <w:vMerge w:val="continue"/>
            <w:tcBorders>
              <w:left w:val="single" w:color="auto" w:sz="4" w:space="0"/>
              <w:right w:val="single" w:color="auto" w:sz="4" w:space="0"/>
            </w:tcBorders>
            <w:vAlign w:val="center"/>
          </w:tcPr>
          <w:p w14:paraId="2E8F8F87">
            <w:pPr>
              <w:autoSpaceDE w:val="0"/>
              <w:autoSpaceDN w:val="0"/>
              <w:adjustRightInd w:val="0"/>
              <w:snapToGrid w:val="0"/>
              <w:spacing w:line="520" w:lineRule="exact"/>
              <w:jc w:val="center"/>
              <w:rPr>
                <w:rFonts w:ascii="宋体" w:hAnsi="宋体" w:eastAsia="宋体" w:cs="仿宋"/>
                <w:kern w:val="0"/>
                <w:sz w:val="24"/>
                <w:szCs w:val="24"/>
              </w:rPr>
            </w:pPr>
          </w:p>
        </w:tc>
        <w:tc>
          <w:tcPr>
            <w:tcW w:w="988" w:type="dxa"/>
            <w:vMerge w:val="continue"/>
            <w:tcBorders>
              <w:left w:val="single" w:color="auto" w:sz="4" w:space="0"/>
              <w:right w:val="single" w:color="auto" w:sz="8" w:space="0"/>
            </w:tcBorders>
            <w:vAlign w:val="center"/>
          </w:tcPr>
          <w:p w14:paraId="05319933">
            <w:pPr>
              <w:autoSpaceDE w:val="0"/>
              <w:autoSpaceDN w:val="0"/>
              <w:adjustRightInd w:val="0"/>
              <w:snapToGrid w:val="0"/>
              <w:spacing w:line="520" w:lineRule="exact"/>
              <w:jc w:val="center"/>
              <w:rPr>
                <w:rFonts w:ascii="宋体" w:hAnsi="宋体" w:eastAsia="宋体" w:cs="仿宋"/>
                <w:kern w:val="0"/>
                <w:sz w:val="24"/>
                <w:szCs w:val="24"/>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71669059">
            <w:pPr>
              <w:autoSpaceDE w:val="0"/>
              <w:autoSpaceDN w:val="0"/>
              <w:adjustRightInd w:val="0"/>
              <w:snapToGrid w:val="0"/>
              <w:spacing w:line="520" w:lineRule="exact"/>
              <w:jc w:val="center"/>
              <w:rPr>
                <w:rFonts w:ascii="宋体" w:hAnsi="宋体" w:eastAsia="宋体" w:cs="仿宋"/>
                <w:kern w:val="0"/>
                <w:sz w:val="24"/>
                <w:szCs w:val="24"/>
              </w:rPr>
            </w:pPr>
            <w:r>
              <w:rPr>
                <w:rFonts w:hint="eastAsia" w:ascii="宋体" w:hAnsi="宋体" w:eastAsia="宋体" w:cs="仿宋"/>
                <w:kern w:val="0"/>
                <w:sz w:val="24"/>
                <w:szCs w:val="24"/>
              </w:rPr>
              <w:t>中级职称人员</w:t>
            </w:r>
          </w:p>
        </w:tc>
        <w:tc>
          <w:tcPr>
            <w:tcW w:w="2140" w:type="dxa"/>
            <w:tcBorders>
              <w:top w:val="single" w:color="auto" w:sz="8" w:space="0"/>
              <w:left w:val="single" w:color="auto" w:sz="8" w:space="0"/>
              <w:bottom w:val="single" w:color="auto" w:sz="8" w:space="0"/>
              <w:right w:val="single" w:color="auto" w:sz="12" w:space="0"/>
            </w:tcBorders>
            <w:vAlign w:val="center"/>
          </w:tcPr>
          <w:p w14:paraId="5EFCE048">
            <w:pPr>
              <w:autoSpaceDE w:val="0"/>
              <w:autoSpaceDN w:val="0"/>
              <w:adjustRightInd w:val="0"/>
              <w:snapToGrid w:val="0"/>
              <w:spacing w:line="520" w:lineRule="exact"/>
              <w:jc w:val="center"/>
              <w:rPr>
                <w:rFonts w:ascii="宋体" w:hAnsi="宋体" w:eastAsia="宋体" w:cs="仿宋"/>
                <w:kern w:val="0"/>
                <w:sz w:val="24"/>
                <w:szCs w:val="24"/>
              </w:rPr>
            </w:pPr>
          </w:p>
        </w:tc>
      </w:tr>
      <w:tr w14:paraId="6D617AA3">
        <w:tblPrEx>
          <w:tblCellMar>
            <w:top w:w="0" w:type="dxa"/>
            <w:left w:w="0" w:type="dxa"/>
            <w:bottom w:w="0" w:type="dxa"/>
            <w:right w:w="0" w:type="dxa"/>
          </w:tblCellMar>
        </w:tblPrEx>
        <w:trPr>
          <w:cantSplit/>
          <w:jc w:val="center"/>
        </w:trPr>
        <w:tc>
          <w:tcPr>
            <w:tcW w:w="1665" w:type="dxa"/>
            <w:vMerge w:val="continue"/>
            <w:tcBorders>
              <w:top w:val="single" w:color="auto" w:sz="8" w:space="0"/>
              <w:left w:val="single" w:color="auto" w:sz="12" w:space="0"/>
              <w:bottom w:val="single" w:color="auto" w:sz="8" w:space="0"/>
              <w:right w:val="single" w:color="auto" w:sz="8" w:space="0"/>
            </w:tcBorders>
            <w:vAlign w:val="center"/>
          </w:tcPr>
          <w:p w14:paraId="47E0B23D">
            <w:pPr>
              <w:widowControl/>
              <w:adjustRightInd w:val="0"/>
              <w:snapToGrid w:val="0"/>
              <w:spacing w:line="520" w:lineRule="exact"/>
              <w:jc w:val="left"/>
              <w:rPr>
                <w:rFonts w:ascii="宋体" w:hAnsi="宋体" w:eastAsia="宋体" w:cs="仿宋"/>
                <w:kern w:val="0"/>
                <w:sz w:val="24"/>
                <w:szCs w:val="24"/>
              </w:rPr>
            </w:pPr>
          </w:p>
        </w:tc>
        <w:tc>
          <w:tcPr>
            <w:tcW w:w="1038" w:type="dxa"/>
            <w:vMerge w:val="continue"/>
            <w:tcBorders>
              <w:left w:val="single" w:color="auto" w:sz="8" w:space="0"/>
              <w:bottom w:val="single" w:color="auto" w:sz="8" w:space="0"/>
              <w:right w:val="single" w:color="auto" w:sz="4" w:space="0"/>
            </w:tcBorders>
            <w:vAlign w:val="center"/>
          </w:tcPr>
          <w:p w14:paraId="1CC6D0AF">
            <w:pPr>
              <w:autoSpaceDE w:val="0"/>
              <w:autoSpaceDN w:val="0"/>
              <w:adjustRightInd w:val="0"/>
              <w:snapToGrid w:val="0"/>
              <w:spacing w:line="520" w:lineRule="exact"/>
              <w:jc w:val="center"/>
              <w:rPr>
                <w:rFonts w:ascii="宋体" w:hAnsi="宋体" w:eastAsia="宋体" w:cs="仿宋"/>
                <w:kern w:val="0"/>
                <w:sz w:val="24"/>
                <w:szCs w:val="24"/>
              </w:rPr>
            </w:pPr>
          </w:p>
        </w:tc>
        <w:tc>
          <w:tcPr>
            <w:tcW w:w="1139" w:type="dxa"/>
            <w:gridSpan w:val="2"/>
            <w:vMerge w:val="continue"/>
            <w:tcBorders>
              <w:left w:val="single" w:color="auto" w:sz="4" w:space="0"/>
              <w:bottom w:val="single" w:color="auto" w:sz="8" w:space="0"/>
              <w:right w:val="single" w:color="auto" w:sz="4" w:space="0"/>
            </w:tcBorders>
            <w:vAlign w:val="center"/>
          </w:tcPr>
          <w:p w14:paraId="0EB9BCF0">
            <w:pPr>
              <w:autoSpaceDE w:val="0"/>
              <w:autoSpaceDN w:val="0"/>
              <w:adjustRightInd w:val="0"/>
              <w:snapToGrid w:val="0"/>
              <w:spacing w:line="520" w:lineRule="exact"/>
              <w:jc w:val="center"/>
              <w:rPr>
                <w:rFonts w:ascii="宋体" w:hAnsi="宋体" w:eastAsia="宋体" w:cs="仿宋"/>
                <w:kern w:val="0"/>
                <w:sz w:val="24"/>
                <w:szCs w:val="24"/>
              </w:rPr>
            </w:pPr>
          </w:p>
        </w:tc>
        <w:tc>
          <w:tcPr>
            <w:tcW w:w="988" w:type="dxa"/>
            <w:vMerge w:val="continue"/>
            <w:tcBorders>
              <w:left w:val="single" w:color="auto" w:sz="4" w:space="0"/>
              <w:bottom w:val="single" w:color="auto" w:sz="8" w:space="0"/>
              <w:right w:val="single" w:color="auto" w:sz="8" w:space="0"/>
            </w:tcBorders>
            <w:vAlign w:val="center"/>
          </w:tcPr>
          <w:p w14:paraId="2CD44E6E">
            <w:pPr>
              <w:autoSpaceDE w:val="0"/>
              <w:autoSpaceDN w:val="0"/>
              <w:adjustRightInd w:val="0"/>
              <w:snapToGrid w:val="0"/>
              <w:spacing w:line="520" w:lineRule="exact"/>
              <w:jc w:val="center"/>
              <w:rPr>
                <w:rFonts w:ascii="宋体" w:hAnsi="宋体" w:eastAsia="宋体" w:cs="仿宋"/>
                <w:kern w:val="0"/>
                <w:sz w:val="24"/>
                <w:szCs w:val="24"/>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65CAC203">
            <w:pPr>
              <w:autoSpaceDE w:val="0"/>
              <w:autoSpaceDN w:val="0"/>
              <w:adjustRightInd w:val="0"/>
              <w:snapToGrid w:val="0"/>
              <w:spacing w:line="520" w:lineRule="exact"/>
              <w:jc w:val="center"/>
              <w:rPr>
                <w:rFonts w:ascii="宋体" w:hAnsi="宋体" w:eastAsia="宋体" w:cs="仿宋"/>
                <w:kern w:val="0"/>
                <w:sz w:val="24"/>
                <w:szCs w:val="24"/>
              </w:rPr>
            </w:pPr>
            <w:r>
              <w:rPr>
                <w:rFonts w:hint="eastAsia" w:ascii="宋体" w:hAnsi="宋体" w:eastAsia="宋体" w:cs="仿宋"/>
                <w:kern w:val="0"/>
                <w:sz w:val="24"/>
                <w:szCs w:val="24"/>
              </w:rPr>
              <w:t>初级职称人员</w:t>
            </w:r>
          </w:p>
        </w:tc>
        <w:tc>
          <w:tcPr>
            <w:tcW w:w="2140" w:type="dxa"/>
            <w:tcBorders>
              <w:top w:val="single" w:color="auto" w:sz="8" w:space="0"/>
              <w:left w:val="single" w:color="auto" w:sz="8" w:space="0"/>
              <w:bottom w:val="single" w:color="auto" w:sz="8" w:space="0"/>
              <w:right w:val="single" w:color="auto" w:sz="12" w:space="0"/>
            </w:tcBorders>
            <w:vAlign w:val="center"/>
          </w:tcPr>
          <w:p w14:paraId="0CB53C25">
            <w:pPr>
              <w:autoSpaceDE w:val="0"/>
              <w:autoSpaceDN w:val="0"/>
              <w:adjustRightInd w:val="0"/>
              <w:snapToGrid w:val="0"/>
              <w:spacing w:line="520" w:lineRule="exact"/>
              <w:jc w:val="center"/>
              <w:rPr>
                <w:rFonts w:ascii="宋体" w:hAnsi="宋体" w:eastAsia="宋体" w:cs="仿宋"/>
                <w:kern w:val="0"/>
                <w:sz w:val="24"/>
                <w:szCs w:val="24"/>
              </w:rPr>
            </w:pPr>
          </w:p>
        </w:tc>
      </w:tr>
      <w:tr w14:paraId="72290259">
        <w:tblPrEx>
          <w:tblCellMar>
            <w:top w:w="0" w:type="dxa"/>
            <w:left w:w="0" w:type="dxa"/>
            <w:bottom w:w="0" w:type="dxa"/>
            <w:right w:w="0" w:type="dxa"/>
          </w:tblCellMar>
        </w:tblPrEx>
        <w:trPr>
          <w:cantSplit/>
          <w:jc w:val="center"/>
        </w:trPr>
        <w:tc>
          <w:tcPr>
            <w:tcW w:w="1665" w:type="dxa"/>
            <w:vMerge w:val="continue"/>
            <w:tcBorders>
              <w:top w:val="single" w:color="auto" w:sz="8" w:space="0"/>
              <w:left w:val="single" w:color="auto" w:sz="12" w:space="0"/>
              <w:bottom w:val="single" w:color="auto" w:sz="8" w:space="0"/>
              <w:right w:val="single" w:color="auto" w:sz="8" w:space="0"/>
            </w:tcBorders>
            <w:vAlign w:val="center"/>
          </w:tcPr>
          <w:p w14:paraId="58421263">
            <w:pPr>
              <w:widowControl/>
              <w:adjustRightInd w:val="0"/>
              <w:snapToGrid w:val="0"/>
              <w:spacing w:line="520" w:lineRule="exact"/>
              <w:jc w:val="left"/>
              <w:rPr>
                <w:rFonts w:ascii="宋体" w:hAnsi="宋体" w:eastAsia="宋体" w:cs="仿宋"/>
                <w:kern w:val="0"/>
                <w:sz w:val="24"/>
                <w:szCs w:val="24"/>
              </w:rPr>
            </w:pPr>
          </w:p>
        </w:tc>
        <w:tc>
          <w:tcPr>
            <w:tcW w:w="7300" w:type="dxa"/>
            <w:gridSpan w:val="7"/>
            <w:tcBorders>
              <w:top w:val="single" w:color="auto" w:sz="8" w:space="0"/>
              <w:left w:val="single" w:color="auto" w:sz="8" w:space="0"/>
              <w:bottom w:val="single" w:color="auto" w:sz="8" w:space="0"/>
              <w:right w:val="single" w:color="auto" w:sz="12" w:space="0"/>
            </w:tcBorders>
          </w:tcPr>
          <w:p w14:paraId="6C3FC8C3">
            <w:pPr>
              <w:autoSpaceDE w:val="0"/>
              <w:autoSpaceDN w:val="0"/>
              <w:adjustRightInd w:val="0"/>
              <w:snapToGrid w:val="0"/>
              <w:spacing w:line="520" w:lineRule="exact"/>
              <w:jc w:val="center"/>
              <w:rPr>
                <w:rFonts w:ascii="宋体" w:hAnsi="宋体" w:eastAsia="宋体" w:cs="仿宋"/>
                <w:kern w:val="0"/>
                <w:sz w:val="24"/>
                <w:szCs w:val="24"/>
              </w:rPr>
            </w:pPr>
            <w:r>
              <w:rPr>
                <w:rFonts w:hint="eastAsia" w:ascii="宋体" w:hAnsi="宋体" w:eastAsia="宋体" w:cs="仿宋"/>
                <w:kern w:val="0"/>
                <w:sz w:val="24"/>
                <w:szCs w:val="24"/>
              </w:rPr>
              <w:t>单位负责人</w:t>
            </w:r>
          </w:p>
        </w:tc>
      </w:tr>
      <w:tr w14:paraId="4BD3E4A1">
        <w:tblPrEx>
          <w:tblCellMar>
            <w:top w:w="0" w:type="dxa"/>
            <w:left w:w="0" w:type="dxa"/>
            <w:bottom w:w="0" w:type="dxa"/>
            <w:right w:w="0" w:type="dxa"/>
          </w:tblCellMar>
        </w:tblPrEx>
        <w:trPr>
          <w:cantSplit/>
          <w:jc w:val="center"/>
        </w:trPr>
        <w:tc>
          <w:tcPr>
            <w:tcW w:w="1665" w:type="dxa"/>
            <w:vMerge w:val="continue"/>
            <w:tcBorders>
              <w:top w:val="single" w:color="auto" w:sz="8" w:space="0"/>
              <w:left w:val="single" w:color="auto" w:sz="12" w:space="0"/>
              <w:bottom w:val="single" w:color="auto" w:sz="8" w:space="0"/>
              <w:right w:val="single" w:color="auto" w:sz="8" w:space="0"/>
            </w:tcBorders>
            <w:vAlign w:val="center"/>
          </w:tcPr>
          <w:p w14:paraId="5F7D2D3F">
            <w:pPr>
              <w:widowControl/>
              <w:adjustRightInd w:val="0"/>
              <w:snapToGrid w:val="0"/>
              <w:spacing w:line="520" w:lineRule="exact"/>
              <w:jc w:val="left"/>
              <w:rPr>
                <w:rFonts w:ascii="宋体" w:hAnsi="宋体" w:eastAsia="宋体" w:cs="仿宋"/>
                <w:kern w:val="0"/>
                <w:sz w:val="24"/>
                <w:szCs w:val="24"/>
              </w:rPr>
            </w:pPr>
          </w:p>
        </w:tc>
        <w:tc>
          <w:tcPr>
            <w:tcW w:w="1590" w:type="dxa"/>
            <w:gridSpan w:val="2"/>
            <w:tcBorders>
              <w:top w:val="single" w:color="auto" w:sz="8" w:space="0"/>
              <w:left w:val="single" w:color="auto" w:sz="8" w:space="0"/>
              <w:bottom w:val="single" w:color="auto" w:sz="8" w:space="0"/>
              <w:right w:val="single" w:color="auto" w:sz="8" w:space="0"/>
            </w:tcBorders>
          </w:tcPr>
          <w:p w14:paraId="525DAC45">
            <w:pPr>
              <w:autoSpaceDE w:val="0"/>
              <w:autoSpaceDN w:val="0"/>
              <w:adjustRightInd w:val="0"/>
              <w:snapToGrid w:val="0"/>
              <w:spacing w:line="520" w:lineRule="exact"/>
              <w:jc w:val="center"/>
              <w:rPr>
                <w:rFonts w:ascii="宋体" w:hAnsi="宋体" w:eastAsia="宋体" w:cs="仿宋"/>
                <w:kern w:val="0"/>
                <w:sz w:val="24"/>
                <w:szCs w:val="24"/>
              </w:rPr>
            </w:pPr>
            <w:r>
              <w:rPr>
                <w:rFonts w:hint="eastAsia" w:ascii="宋体" w:hAnsi="宋体" w:eastAsia="宋体" w:cs="仿宋"/>
                <w:kern w:val="0"/>
                <w:sz w:val="24"/>
                <w:szCs w:val="24"/>
              </w:rPr>
              <w:t>姓  名</w:t>
            </w:r>
          </w:p>
        </w:tc>
        <w:tc>
          <w:tcPr>
            <w:tcW w:w="1837" w:type="dxa"/>
            <w:gridSpan w:val="3"/>
            <w:tcBorders>
              <w:top w:val="single" w:color="auto" w:sz="8" w:space="0"/>
              <w:left w:val="single" w:color="auto" w:sz="8" w:space="0"/>
              <w:bottom w:val="single" w:color="auto" w:sz="8" w:space="0"/>
              <w:right w:val="single" w:color="auto" w:sz="8" w:space="0"/>
            </w:tcBorders>
          </w:tcPr>
          <w:p w14:paraId="2F63F1C9">
            <w:pPr>
              <w:autoSpaceDE w:val="0"/>
              <w:autoSpaceDN w:val="0"/>
              <w:adjustRightInd w:val="0"/>
              <w:snapToGrid w:val="0"/>
              <w:spacing w:line="520" w:lineRule="exact"/>
              <w:jc w:val="center"/>
              <w:rPr>
                <w:rFonts w:ascii="宋体" w:hAnsi="宋体" w:eastAsia="宋体" w:cs="仿宋"/>
                <w:kern w:val="0"/>
                <w:sz w:val="24"/>
                <w:szCs w:val="24"/>
              </w:rPr>
            </w:pPr>
            <w:r>
              <w:rPr>
                <w:rFonts w:hint="eastAsia" w:ascii="宋体" w:hAnsi="宋体" w:eastAsia="宋体" w:cs="仿宋"/>
                <w:kern w:val="0"/>
                <w:sz w:val="24"/>
                <w:szCs w:val="24"/>
              </w:rPr>
              <w:t>职务及职称</w:t>
            </w:r>
          </w:p>
        </w:tc>
        <w:tc>
          <w:tcPr>
            <w:tcW w:w="1733" w:type="dxa"/>
            <w:tcBorders>
              <w:top w:val="single" w:color="auto" w:sz="8" w:space="0"/>
              <w:left w:val="single" w:color="auto" w:sz="8" w:space="0"/>
              <w:bottom w:val="single" w:color="auto" w:sz="8" w:space="0"/>
              <w:right w:val="single" w:color="auto" w:sz="8" w:space="0"/>
            </w:tcBorders>
          </w:tcPr>
          <w:p w14:paraId="7F6D3313">
            <w:pPr>
              <w:autoSpaceDE w:val="0"/>
              <w:autoSpaceDN w:val="0"/>
              <w:adjustRightInd w:val="0"/>
              <w:snapToGrid w:val="0"/>
              <w:spacing w:line="520" w:lineRule="exact"/>
              <w:ind w:firstLine="480" w:firstLineChars="200"/>
              <w:rPr>
                <w:rFonts w:ascii="宋体" w:hAnsi="宋体" w:eastAsia="宋体" w:cs="仿宋"/>
                <w:kern w:val="0"/>
                <w:sz w:val="24"/>
                <w:szCs w:val="24"/>
              </w:rPr>
            </w:pPr>
            <w:r>
              <w:rPr>
                <w:rFonts w:hint="eastAsia" w:ascii="宋体" w:hAnsi="宋体" w:eastAsia="宋体" w:cs="仿宋"/>
                <w:kern w:val="0"/>
                <w:sz w:val="24"/>
                <w:szCs w:val="24"/>
              </w:rPr>
              <w:t>年  龄</w:t>
            </w:r>
          </w:p>
        </w:tc>
        <w:tc>
          <w:tcPr>
            <w:tcW w:w="2140" w:type="dxa"/>
            <w:tcBorders>
              <w:top w:val="single" w:color="auto" w:sz="8" w:space="0"/>
              <w:left w:val="single" w:color="auto" w:sz="8" w:space="0"/>
              <w:bottom w:val="single" w:color="auto" w:sz="8" w:space="0"/>
              <w:right w:val="single" w:color="auto" w:sz="12" w:space="0"/>
            </w:tcBorders>
          </w:tcPr>
          <w:p w14:paraId="51C567BF">
            <w:pPr>
              <w:autoSpaceDE w:val="0"/>
              <w:autoSpaceDN w:val="0"/>
              <w:adjustRightInd w:val="0"/>
              <w:snapToGrid w:val="0"/>
              <w:spacing w:line="520" w:lineRule="exact"/>
              <w:jc w:val="center"/>
              <w:rPr>
                <w:rFonts w:ascii="宋体" w:hAnsi="宋体" w:eastAsia="宋体" w:cs="仿宋"/>
                <w:kern w:val="0"/>
                <w:sz w:val="24"/>
                <w:szCs w:val="24"/>
              </w:rPr>
            </w:pPr>
            <w:r>
              <w:rPr>
                <w:rFonts w:hint="eastAsia" w:ascii="宋体" w:hAnsi="宋体" w:eastAsia="宋体" w:cs="仿宋"/>
                <w:kern w:val="0"/>
                <w:sz w:val="24"/>
                <w:szCs w:val="24"/>
              </w:rPr>
              <w:t>专   业</w:t>
            </w:r>
          </w:p>
        </w:tc>
      </w:tr>
      <w:tr w14:paraId="552756E1">
        <w:tblPrEx>
          <w:tblCellMar>
            <w:top w:w="0" w:type="dxa"/>
            <w:left w:w="0" w:type="dxa"/>
            <w:bottom w:w="0" w:type="dxa"/>
            <w:right w:w="0" w:type="dxa"/>
          </w:tblCellMar>
        </w:tblPrEx>
        <w:trPr>
          <w:cantSplit/>
          <w:jc w:val="center"/>
        </w:trPr>
        <w:tc>
          <w:tcPr>
            <w:tcW w:w="1665" w:type="dxa"/>
            <w:vMerge w:val="continue"/>
            <w:tcBorders>
              <w:top w:val="single" w:color="auto" w:sz="8" w:space="0"/>
              <w:left w:val="single" w:color="auto" w:sz="12" w:space="0"/>
              <w:bottom w:val="single" w:color="auto" w:sz="8" w:space="0"/>
              <w:right w:val="single" w:color="auto" w:sz="8" w:space="0"/>
            </w:tcBorders>
            <w:vAlign w:val="center"/>
          </w:tcPr>
          <w:p w14:paraId="1C8B85FE">
            <w:pPr>
              <w:widowControl/>
              <w:adjustRightInd w:val="0"/>
              <w:snapToGrid w:val="0"/>
              <w:spacing w:line="520" w:lineRule="exact"/>
              <w:jc w:val="left"/>
              <w:rPr>
                <w:rFonts w:ascii="宋体" w:hAnsi="宋体" w:eastAsia="宋体" w:cs="仿宋"/>
                <w:kern w:val="0"/>
                <w:sz w:val="24"/>
                <w:szCs w:val="24"/>
              </w:rPr>
            </w:pPr>
          </w:p>
        </w:tc>
        <w:tc>
          <w:tcPr>
            <w:tcW w:w="1590" w:type="dxa"/>
            <w:gridSpan w:val="2"/>
            <w:tcBorders>
              <w:top w:val="single" w:color="auto" w:sz="8" w:space="0"/>
              <w:left w:val="single" w:color="auto" w:sz="8" w:space="0"/>
              <w:bottom w:val="single" w:color="auto" w:sz="8" w:space="0"/>
              <w:right w:val="single" w:color="auto" w:sz="8" w:space="0"/>
            </w:tcBorders>
          </w:tcPr>
          <w:p w14:paraId="6C7469B6">
            <w:pPr>
              <w:autoSpaceDE w:val="0"/>
              <w:autoSpaceDN w:val="0"/>
              <w:adjustRightInd w:val="0"/>
              <w:snapToGrid w:val="0"/>
              <w:spacing w:line="520" w:lineRule="exact"/>
              <w:rPr>
                <w:rFonts w:ascii="宋体" w:hAnsi="宋体" w:eastAsia="宋体" w:cs="仿宋"/>
                <w:kern w:val="0"/>
                <w:sz w:val="24"/>
                <w:szCs w:val="24"/>
              </w:rPr>
            </w:pPr>
          </w:p>
        </w:tc>
        <w:tc>
          <w:tcPr>
            <w:tcW w:w="1837" w:type="dxa"/>
            <w:gridSpan w:val="3"/>
            <w:tcBorders>
              <w:top w:val="single" w:color="auto" w:sz="8" w:space="0"/>
              <w:left w:val="single" w:color="auto" w:sz="8" w:space="0"/>
              <w:bottom w:val="single" w:color="auto" w:sz="8" w:space="0"/>
              <w:right w:val="single" w:color="auto" w:sz="8" w:space="0"/>
            </w:tcBorders>
          </w:tcPr>
          <w:p w14:paraId="06A8EFE1">
            <w:pPr>
              <w:autoSpaceDE w:val="0"/>
              <w:autoSpaceDN w:val="0"/>
              <w:adjustRightInd w:val="0"/>
              <w:snapToGrid w:val="0"/>
              <w:spacing w:line="520" w:lineRule="exact"/>
              <w:rPr>
                <w:rFonts w:ascii="宋体" w:hAnsi="宋体" w:eastAsia="宋体" w:cs="仿宋"/>
                <w:kern w:val="0"/>
                <w:sz w:val="24"/>
                <w:szCs w:val="24"/>
              </w:rPr>
            </w:pPr>
          </w:p>
        </w:tc>
        <w:tc>
          <w:tcPr>
            <w:tcW w:w="1733" w:type="dxa"/>
            <w:tcBorders>
              <w:top w:val="single" w:color="auto" w:sz="8" w:space="0"/>
              <w:left w:val="single" w:color="auto" w:sz="8" w:space="0"/>
              <w:bottom w:val="single" w:color="auto" w:sz="8" w:space="0"/>
              <w:right w:val="single" w:color="auto" w:sz="8" w:space="0"/>
            </w:tcBorders>
          </w:tcPr>
          <w:p w14:paraId="30B56474">
            <w:pPr>
              <w:autoSpaceDE w:val="0"/>
              <w:autoSpaceDN w:val="0"/>
              <w:adjustRightInd w:val="0"/>
              <w:snapToGrid w:val="0"/>
              <w:spacing w:line="520" w:lineRule="exact"/>
              <w:rPr>
                <w:rFonts w:ascii="宋体" w:hAnsi="宋体" w:eastAsia="宋体" w:cs="仿宋"/>
                <w:kern w:val="0"/>
                <w:sz w:val="24"/>
                <w:szCs w:val="24"/>
              </w:rPr>
            </w:pPr>
          </w:p>
        </w:tc>
        <w:tc>
          <w:tcPr>
            <w:tcW w:w="2140" w:type="dxa"/>
            <w:tcBorders>
              <w:top w:val="single" w:color="auto" w:sz="8" w:space="0"/>
              <w:left w:val="single" w:color="auto" w:sz="8" w:space="0"/>
              <w:bottom w:val="single" w:color="auto" w:sz="8" w:space="0"/>
              <w:right w:val="single" w:color="auto" w:sz="12" w:space="0"/>
            </w:tcBorders>
          </w:tcPr>
          <w:p w14:paraId="16E1A836">
            <w:pPr>
              <w:autoSpaceDE w:val="0"/>
              <w:autoSpaceDN w:val="0"/>
              <w:adjustRightInd w:val="0"/>
              <w:snapToGrid w:val="0"/>
              <w:spacing w:line="520" w:lineRule="exact"/>
              <w:rPr>
                <w:rFonts w:ascii="宋体" w:hAnsi="宋体" w:eastAsia="宋体" w:cs="仿宋"/>
                <w:kern w:val="0"/>
                <w:sz w:val="24"/>
                <w:szCs w:val="24"/>
              </w:rPr>
            </w:pPr>
          </w:p>
        </w:tc>
      </w:tr>
      <w:tr w14:paraId="78F9927D">
        <w:tblPrEx>
          <w:tblCellMar>
            <w:top w:w="0" w:type="dxa"/>
            <w:left w:w="0" w:type="dxa"/>
            <w:bottom w:w="0" w:type="dxa"/>
            <w:right w:w="0" w:type="dxa"/>
          </w:tblCellMar>
        </w:tblPrEx>
        <w:trPr>
          <w:cantSplit/>
          <w:trHeight w:val="3043" w:hRule="atLeast"/>
          <w:jc w:val="center"/>
        </w:trPr>
        <w:tc>
          <w:tcPr>
            <w:tcW w:w="1665" w:type="dxa"/>
            <w:tcBorders>
              <w:top w:val="single" w:color="auto" w:sz="8" w:space="0"/>
              <w:left w:val="single" w:color="auto" w:sz="12" w:space="0"/>
              <w:bottom w:val="single" w:color="auto" w:sz="8" w:space="0"/>
              <w:right w:val="single" w:color="auto" w:sz="8" w:space="0"/>
            </w:tcBorders>
            <w:vAlign w:val="center"/>
          </w:tcPr>
          <w:p w14:paraId="2028CF46">
            <w:pPr>
              <w:widowControl/>
              <w:adjustRightInd w:val="0"/>
              <w:snapToGrid w:val="0"/>
              <w:spacing w:line="520" w:lineRule="exact"/>
              <w:jc w:val="center"/>
              <w:rPr>
                <w:rFonts w:ascii="宋体" w:hAnsi="宋体" w:eastAsia="宋体" w:cs="仿宋"/>
                <w:kern w:val="0"/>
                <w:sz w:val="24"/>
                <w:szCs w:val="24"/>
              </w:rPr>
            </w:pPr>
            <w:r>
              <w:rPr>
                <w:rFonts w:hint="eastAsia" w:ascii="宋体" w:hAnsi="宋体" w:eastAsia="宋体" w:cs="仿宋"/>
                <w:kern w:val="0"/>
                <w:sz w:val="24"/>
                <w:szCs w:val="24"/>
              </w:rPr>
              <w:t>经营范围</w:t>
            </w:r>
          </w:p>
        </w:tc>
        <w:tc>
          <w:tcPr>
            <w:tcW w:w="7300" w:type="dxa"/>
            <w:gridSpan w:val="7"/>
            <w:tcBorders>
              <w:top w:val="single" w:color="auto" w:sz="8" w:space="0"/>
              <w:left w:val="single" w:color="auto" w:sz="8" w:space="0"/>
              <w:bottom w:val="single" w:color="auto" w:sz="8" w:space="0"/>
              <w:right w:val="single" w:color="auto" w:sz="12" w:space="0"/>
            </w:tcBorders>
          </w:tcPr>
          <w:p w14:paraId="28297B53">
            <w:pPr>
              <w:autoSpaceDE w:val="0"/>
              <w:autoSpaceDN w:val="0"/>
              <w:adjustRightInd w:val="0"/>
              <w:snapToGrid w:val="0"/>
              <w:spacing w:line="520" w:lineRule="exact"/>
              <w:rPr>
                <w:rFonts w:ascii="宋体" w:hAnsi="宋体" w:eastAsia="宋体" w:cs="仿宋"/>
                <w:kern w:val="0"/>
                <w:sz w:val="24"/>
                <w:szCs w:val="24"/>
              </w:rPr>
            </w:pPr>
          </w:p>
        </w:tc>
      </w:tr>
    </w:tbl>
    <w:p w14:paraId="5BFF6320">
      <w:pPr>
        <w:spacing w:line="360" w:lineRule="auto"/>
        <w:jc w:val="left"/>
        <w:rPr>
          <w:rFonts w:ascii="宋体" w:hAnsi="宋体" w:eastAsia="宋体" w:cs="仿宋"/>
          <w:sz w:val="24"/>
          <w:szCs w:val="24"/>
        </w:rPr>
      </w:pPr>
    </w:p>
    <w:p w14:paraId="51D2F249">
      <w:pPr>
        <w:spacing w:line="360" w:lineRule="auto"/>
        <w:jc w:val="center"/>
        <w:outlineLvl w:val="2"/>
        <w:rPr>
          <w:rFonts w:ascii="宋体" w:hAnsi="宋体" w:eastAsia="宋体" w:cs="仿宋"/>
          <w:b/>
          <w:sz w:val="24"/>
          <w:szCs w:val="24"/>
        </w:rPr>
      </w:pPr>
      <w:r>
        <w:rPr>
          <w:rFonts w:hint="eastAsia" w:ascii="宋体" w:hAnsi="宋体" w:eastAsia="宋体" w:cs="仿宋"/>
          <w:sz w:val="24"/>
          <w:szCs w:val="24"/>
        </w:rPr>
        <w:br w:type="page"/>
      </w:r>
      <w:bookmarkStart w:id="119" w:name="_Toc128476878"/>
      <w:bookmarkStart w:id="120" w:name="_Toc200016478"/>
      <w:bookmarkStart w:id="121" w:name="_Toc12314"/>
      <w:bookmarkStart w:id="122" w:name="_Toc113901849"/>
      <w:bookmarkStart w:id="123" w:name="_Toc141050515"/>
      <w:bookmarkStart w:id="124" w:name="_Toc130252622"/>
      <w:r>
        <w:rPr>
          <w:rFonts w:hint="eastAsia" w:ascii="宋体" w:hAnsi="宋体" w:eastAsia="宋体" w:cs="仿宋"/>
          <w:b/>
          <w:sz w:val="24"/>
          <w:szCs w:val="24"/>
        </w:rPr>
        <w:t>7.1法人或者其他组织的营业执照等证明文件，自然人的身份证明</w:t>
      </w:r>
      <w:bookmarkEnd w:id="119"/>
      <w:bookmarkEnd w:id="120"/>
      <w:bookmarkEnd w:id="121"/>
      <w:bookmarkEnd w:id="122"/>
      <w:bookmarkEnd w:id="123"/>
      <w:bookmarkEnd w:id="124"/>
    </w:p>
    <w:p w14:paraId="467C07BC">
      <w:pPr>
        <w:spacing w:line="360" w:lineRule="auto"/>
        <w:rPr>
          <w:rFonts w:ascii="宋体" w:hAnsi="宋体" w:eastAsia="宋体" w:cs="仿宋"/>
          <w:sz w:val="24"/>
          <w:szCs w:val="24"/>
        </w:rPr>
      </w:pPr>
    </w:p>
    <w:p w14:paraId="4BCE44FC">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一、如投标人是企业（包括合伙企业)，应提供在工商部门注册的有效“企业法人营业执照”或“营业执照”;</w:t>
      </w:r>
    </w:p>
    <w:p w14:paraId="07D43ED6">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二、如投标人是事业单位，应提供有效的“事业单位法人证书”;</w:t>
      </w:r>
    </w:p>
    <w:p w14:paraId="4ECA83D8">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三、投标人是非企业专业服务机构的，应提供执业许可证等证明文件;</w:t>
      </w:r>
    </w:p>
    <w:p w14:paraId="34EC9E0D">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四、如投标人是个体工商户，应提供有效的“个体工商户营业执照”;</w:t>
      </w:r>
    </w:p>
    <w:p w14:paraId="242D4D6F">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五、如投标人是自然人，应提供有效的自然人身份证明。</w:t>
      </w:r>
    </w:p>
    <w:p w14:paraId="2DF8F550">
      <w:pPr>
        <w:spacing w:line="360" w:lineRule="auto"/>
        <w:rPr>
          <w:rFonts w:ascii="宋体" w:hAnsi="宋体" w:eastAsia="宋体" w:cs="仿宋"/>
          <w:sz w:val="24"/>
          <w:szCs w:val="24"/>
        </w:rPr>
      </w:pPr>
    </w:p>
    <w:p w14:paraId="021444DB">
      <w:pPr>
        <w:spacing w:line="360" w:lineRule="auto"/>
        <w:rPr>
          <w:rFonts w:ascii="宋体" w:hAnsi="宋体" w:eastAsia="宋体" w:cs="仿宋"/>
          <w:sz w:val="24"/>
          <w:szCs w:val="24"/>
        </w:rPr>
      </w:pPr>
    </w:p>
    <w:p w14:paraId="50E97DA7">
      <w:pPr>
        <w:widowControl/>
        <w:spacing w:line="360" w:lineRule="auto"/>
        <w:jc w:val="left"/>
        <w:rPr>
          <w:rFonts w:ascii="宋体" w:hAnsi="宋体" w:eastAsia="宋体" w:cs="仿宋"/>
        </w:rPr>
      </w:pPr>
      <w:r>
        <w:rPr>
          <w:rFonts w:hint="eastAsia" w:ascii="宋体" w:hAnsi="宋体" w:eastAsia="宋体" w:cs="仿宋"/>
          <w:b/>
          <w:sz w:val="24"/>
          <w:szCs w:val="24"/>
        </w:rPr>
        <w:br w:type="page"/>
      </w:r>
    </w:p>
    <w:p w14:paraId="18BECDF0">
      <w:pPr>
        <w:spacing w:line="360" w:lineRule="auto"/>
        <w:jc w:val="center"/>
        <w:outlineLvl w:val="2"/>
        <w:rPr>
          <w:rFonts w:ascii="宋体" w:hAnsi="宋体" w:eastAsia="宋体" w:cs="仿宋"/>
          <w:b/>
          <w:sz w:val="24"/>
          <w:szCs w:val="24"/>
        </w:rPr>
      </w:pPr>
      <w:bookmarkStart w:id="125" w:name="_Toc128476879"/>
      <w:bookmarkStart w:id="126" w:name="_Toc200016479"/>
      <w:bookmarkStart w:id="127" w:name="_Toc141050516"/>
      <w:bookmarkStart w:id="128" w:name="_Toc30231"/>
      <w:bookmarkStart w:id="129" w:name="_Toc113901850"/>
      <w:bookmarkStart w:id="130" w:name="_Toc130252623"/>
      <w:r>
        <w:rPr>
          <w:rFonts w:hint="eastAsia" w:ascii="宋体" w:hAnsi="宋体" w:eastAsia="宋体" w:cs="仿宋"/>
          <w:b/>
          <w:sz w:val="24"/>
          <w:szCs w:val="24"/>
        </w:rPr>
        <w:t>7.2财务状况报告，依法缴纳税收和社会保障资金的相关材料</w:t>
      </w:r>
      <w:bookmarkEnd w:id="125"/>
      <w:bookmarkEnd w:id="126"/>
      <w:bookmarkEnd w:id="127"/>
      <w:bookmarkEnd w:id="128"/>
      <w:bookmarkEnd w:id="129"/>
      <w:bookmarkEnd w:id="130"/>
    </w:p>
    <w:p w14:paraId="2272EA98">
      <w:pPr>
        <w:spacing w:after="120" w:line="360" w:lineRule="auto"/>
        <w:rPr>
          <w:rFonts w:ascii="宋体" w:hAnsi="宋体" w:eastAsia="宋体" w:cs="仿宋"/>
          <w:spacing w:val="10"/>
          <w:kern w:val="0"/>
          <w:sz w:val="24"/>
          <w:szCs w:val="24"/>
        </w:rPr>
      </w:pPr>
    </w:p>
    <w:p w14:paraId="19BE1F2F">
      <w:pPr>
        <w:spacing w:after="120" w:line="360" w:lineRule="auto"/>
        <w:ind w:firstLine="520" w:firstLineChars="200"/>
        <w:rPr>
          <w:rFonts w:ascii="宋体" w:hAnsi="宋体" w:eastAsia="宋体" w:cs="仿宋"/>
          <w:spacing w:val="10"/>
          <w:kern w:val="0"/>
          <w:sz w:val="24"/>
          <w:szCs w:val="24"/>
        </w:rPr>
      </w:pPr>
      <w:r>
        <w:rPr>
          <w:rFonts w:hint="eastAsia" w:ascii="宋体" w:hAnsi="宋体" w:eastAsia="宋体" w:cs="仿宋"/>
          <w:spacing w:val="10"/>
          <w:kern w:val="0"/>
          <w:sz w:val="24"/>
          <w:szCs w:val="24"/>
        </w:rPr>
        <w:t>一、财务状况报告（</w:t>
      </w:r>
      <w:r>
        <w:rPr>
          <w:rFonts w:hint="eastAsia" w:ascii="宋体" w:hAnsi="宋体" w:eastAsia="宋体" w:cs="仿宋"/>
          <w:kern w:val="0"/>
          <w:sz w:val="24"/>
          <w:szCs w:val="24"/>
        </w:rPr>
        <w:t>满足下述一条要求即可</w:t>
      </w:r>
      <w:r>
        <w:rPr>
          <w:rFonts w:hint="eastAsia" w:ascii="宋体" w:hAnsi="宋体" w:eastAsia="宋体" w:cs="仿宋"/>
          <w:spacing w:val="10"/>
          <w:kern w:val="0"/>
          <w:sz w:val="24"/>
          <w:szCs w:val="24"/>
        </w:rPr>
        <w:t>）：</w:t>
      </w:r>
    </w:p>
    <w:p w14:paraId="7652EE38">
      <w:pPr>
        <w:spacing w:after="120" w:line="360" w:lineRule="auto"/>
        <w:ind w:firstLine="480" w:firstLineChars="200"/>
        <w:rPr>
          <w:rFonts w:ascii="宋体" w:hAnsi="宋体" w:eastAsia="宋体" w:cs="仿宋"/>
          <w:spacing w:val="10"/>
          <w:kern w:val="0"/>
          <w:sz w:val="24"/>
          <w:szCs w:val="24"/>
        </w:rPr>
      </w:pPr>
      <w:r>
        <w:rPr>
          <w:rFonts w:hint="eastAsia" w:ascii="宋体" w:hAnsi="宋体" w:eastAsia="宋体" w:cs="仿宋"/>
          <w:kern w:val="0"/>
          <w:sz w:val="24"/>
          <w:szCs w:val="24"/>
        </w:rPr>
        <w:t>要求1、经审计的财务报告（2023年度或2024年度，包括“四表-注”，即资产负债表、利润表、现金流量表、所有者权益变动表及其附注）或银行出具的资信证明。</w:t>
      </w:r>
    </w:p>
    <w:p w14:paraId="792D4B56">
      <w:pPr>
        <w:spacing w:after="120" w:line="360" w:lineRule="auto"/>
        <w:ind w:firstLine="480" w:firstLineChars="200"/>
        <w:rPr>
          <w:rFonts w:ascii="宋体" w:hAnsi="宋体" w:eastAsia="宋体" w:cs="仿宋"/>
          <w:spacing w:val="10"/>
          <w:kern w:val="0"/>
          <w:sz w:val="24"/>
          <w:szCs w:val="24"/>
        </w:rPr>
      </w:pPr>
      <w:r>
        <w:rPr>
          <w:rFonts w:hint="eastAsia" w:ascii="宋体" w:hAnsi="宋体" w:eastAsia="宋体" w:cs="仿宋"/>
          <w:kern w:val="0"/>
          <w:sz w:val="24"/>
          <w:szCs w:val="24"/>
        </w:rPr>
        <w:t>要求2</w:t>
      </w:r>
      <w:r>
        <w:rPr>
          <w:rFonts w:hint="eastAsia" w:ascii="宋体" w:hAnsi="宋体" w:eastAsia="宋体" w:cs="仿宋"/>
          <w:spacing w:val="10"/>
          <w:kern w:val="0"/>
          <w:sz w:val="24"/>
          <w:szCs w:val="24"/>
        </w:rPr>
        <w:t>、财政部门认可的政府采购专业担保机构出具的有效期内的投标担保函。</w:t>
      </w:r>
    </w:p>
    <w:p w14:paraId="65FF83A5">
      <w:pPr>
        <w:spacing w:after="120" w:line="360" w:lineRule="auto"/>
        <w:ind w:firstLine="480" w:firstLineChars="200"/>
        <w:rPr>
          <w:rFonts w:ascii="宋体" w:hAnsi="宋体" w:eastAsia="宋体" w:cs="仿宋"/>
          <w:spacing w:val="10"/>
          <w:kern w:val="0"/>
          <w:sz w:val="24"/>
          <w:szCs w:val="24"/>
        </w:rPr>
      </w:pPr>
      <w:r>
        <w:rPr>
          <w:rFonts w:hint="eastAsia" w:ascii="宋体" w:hAnsi="宋体" w:eastAsia="宋体" w:cs="仿宋"/>
          <w:kern w:val="0"/>
          <w:sz w:val="24"/>
          <w:szCs w:val="24"/>
        </w:rPr>
        <w:t>要求3</w:t>
      </w:r>
      <w:r>
        <w:rPr>
          <w:rFonts w:hint="eastAsia" w:ascii="宋体" w:hAnsi="宋体" w:eastAsia="宋体" w:cs="仿宋"/>
          <w:spacing w:val="10"/>
          <w:kern w:val="0"/>
          <w:sz w:val="24"/>
          <w:szCs w:val="24"/>
        </w:rPr>
        <w:t>、</w:t>
      </w:r>
      <w:r>
        <w:rPr>
          <w:rFonts w:hint="eastAsia" w:ascii="宋体" w:hAnsi="宋体" w:eastAsia="宋体" w:cs="仿宋"/>
          <w:kern w:val="0"/>
          <w:sz w:val="24"/>
          <w:szCs w:val="24"/>
        </w:rPr>
        <w:t>成立不足一个月（</w:t>
      </w:r>
      <w:r>
        <w:rPr>
          <w:rFonts w:hint="eastAsia" w:ascii="宋体" w:hAnsi="宋体" w:eastAsia="宋体" w:cs="仿宋"/>
          <w:spacing w:val="10"/>
          <w:kern w:val="0"/>
          <w:sz w:val="24"/>
          <w:szCs w:val="24"/>
        </w:rPr>
        <w:t>以投标文件递交截止之日为期限</w:t>
      </w:r>
      <w:r>
        <w:rPr>
          <w:rFonts w:hint="eastAsia" w:ascii="宋体" w:hAnsi="宋体" w:eastAsia="宋体" w:cs="仿宋"/>
          <w:kern w:val="0"/>
          <w:sz w:val="24"/>
          <w:szCs w:val="24"/>
        </w:rPr>
        <w:t>）的投标人无需提供。</w:t>
      </w:r>
    </w:p>
    <w:p w14:paraId="0D956F01">
      <w:pPr>
        <w:spacing w:after="120" w:line="360" w:lineRule="auto"/>
        <w:ind w:firstLine="520" w:firstLineChars="200"/>
        <w:rPr>
          <w:rFonts w:ascii="宋体" w:hAnsi="宋体" w:eastAsia="宋体" w:cs="仿宋"/>
          <w:spacing w:val="10"/>
          <w:kern w:val="0"/>
          <w:sz w:val="24"/>
          <w:szCs w:val="24"/>
        </w:rPr>
      </w:pPr>
      <w:r>
        <w:rPr>
          <w:rFonts w:hint="eastAsia" w:ascii="宋体" w:hAnsi="宋体" w:eastAsia="宋体" w:cs="仿宋"/>
          <w:spacing w:val="10"/>
          <w:kern w:val="0"/>
          <w:sz w:val="24"/>
          <w:szCs w:val="24"/>
        </w:rPr>
        <w:t>二、依法缴纳税收和社会保障资金的相关材料</w:t>
      </w:r>
    </w:p>
    <w:p w14:paraId="62D17B7D">
      <w:pPr>
        <w:spacing w:after="120" w:line="360" w:lineRule="auto"/>
        <w:ind w:firstLine="520" w:firstLineChars="200"/>
        <w:rPr>
          <w:rFonts w:ascii="宋体" w:hAnsi="宋体" w:eastAsia="宋体" w:cs="仿宋"/>
          <w:spacing w:val="10"/>
          <w:kern w:val="0"/>
          <w:sz w:val="24"/>
          <w:szCs w:val="24"/>
        </w:rPr>
      </w:pPr>
      <w:r>
        <w:rPr>
          <w:rFonts w:hint="eastAsia" w:ascii="宋体" w:hAnsi="宋体" w:eastAsia="宋体" w:cs="仿宋"/>
          <w:spacing w:val="10"/>
          <w:kern w:val="0"/>
          <w:sz w:val="24"/>
          <w:szCs w:val="24"/>
        </w:rPr>
        <w:t>2.1、依法缴纳税收的证明材料：</w:t>
      </w:r>
    </w:p>
    <w:p w14:paraId="042FD224">
      <w:pPr>
        <w:spacing w:after="120" w:line="360" w:lineRule="auto"/>
        <w:ind w:firstLine="480" w:firstLineChars="200"/>
        <w:rPr>
          <w:rFonts w:ascii="宋体" w:hAnsi="宋体" w:eastAsia="宋体" w:cs="仿宋"/>
          <w:spacing w:val="10"/>
          <w:kern w:val="0"/>
          <w:sz w:val="24"/>
          <w:szCs w:val="24"/>
        </w:rPr>
      </w:pPr>
      <w:r>
        <w:rPr>
          <w:rFonts w:hint="eastAsia" w:ascii="宋体" w:hAnsi="宋体" w:eastAsia="宋体" w:cs="仿宋"/>
          <w:kern w:val="0"/>
          <w:sz w:val="24"/>
          <w:szCs w:val="24"/>
        </w:rPr>
        <w:t>投标人参加政府采购活动前一段时间（投标文件递交截止之日前六个月内任一个月）内缴纳税收的完税凭证（指各种完税证、缴款书、印花税票、扣（收）税凭证以及其他完税证明）。</w:t>
      </w:r>
    </w:p>
    <w:p w14:paraId="4BE51160">
      <w:pPr>
        <w:spacing w:after="120" w:line="360" w:lineRule="auto"/>
        <w:ind w:right="516" w:firstLine="520" w:firstLineChars="200"/>
        <w:rPr>
          <w:rFonts w:ascii="宋体" w:hAnsi="宋体" w:eastAsia="宋体" w:cs="仿宋"/>
          <w:spacing w:val="10"/>
          <w:kern w:val="0"/>
          <w:sz w:val="24"/>
          <w:szCs w:val="24"/>
        </w:rPr>
      </w:pPr>
      <w:r>
        <w:rPr>
          <w:rFonts w:hint="eastAsia" w:ascii="宋体" w:hAnsi="宋体" w:eastAsia="宋体" w:cs="仿宋"/>
          <w:spacing w:val="10"/>
          <w:kern w:val="0"/>
          <w:sz w:val="24"/>
          <w:szCs w:val="24"/>
        </w:rPr>
        <w:t>2.2、依法缴纳社会保障资金的证明材料：</w:t>
      </w:r>
    </w:p>
    <w:p w14:paraId="2CF4E48B">
      <w:pPr>
        <w:spacing w:after="120" w:line="360" w:lineRule="auto"/>
        <w:ind w:right="516" w:firstLine="480" w:firstLineChars="200"/>
        <w:rPr>
          <w:rFonts w:ascii="宋体" w:hAnsi="宋体" w:eastAsia="宋体" w:cs="仿宋"/>
          <w:spacing w:val="10"/>
          <w:kern w:val="0"/>
          <w:sz w:val="24"/>
          <w:szCs w:val="24"/>
        </w:rPr>
      </w:pPr>
      <w:r>
        <w:rPr>
          <w:rFonts w:hint="eastAsia" w:ascii="宋体" w:hAnsi="宋体" w:eastAsia="宋体" w:cs="仿宋"/>
          <w:kern w:val="0"/>
          <w:sz w:val="24"/>
          <w:szCs w:val="24"/>
        </w:rPr>
        <w:t>投标人参加政府采购活动前一段时间（投标文件递交截止之日前六个月内任一个月）内缴纳社会保险的凭据，其他组织和自然人也需要提供缴纳税收的凭据和缴纳社会保险的凭据。</w:t>
      </w:r>
    </w:p>
    <w:p w14:paraId="38DC2888">
      <w:pPr>
        <w:spacing w:after="120" w:line="360" w:lineRule="auto"/>
        <w:ind w:right="516" w:firstLine="520" w:firstLineChars="200"/>
        <w:rPr>
          <w:rFonts w:ascii="宋体" w:hAnsi="宋体" w:eastAsia="宋体" w:cs="仿宋"/>
          <w:spacing w:val="10"/>
          <w:kern w:val="0"/>
          <w:sz w:val="24"/>
          <w:szCs w:val="24"/>
        </w:rPr>
      </w:pPr>
      <w:r>
        <w:rPr>
          <w:rFonts w:hint="eastAsia" w:ascii="宋体" w:hAnsi="宋体" w:eastAsia="宋体" w:cs="仿宋"/>
          <w:spacing w:val="10"/>
          <w:kern w:val="0"/>
          <w:sz w:val="24"/>
          <w:szCs w:val="24"/>
        </w:rPr>
        <w:t>2.3、依法免税或不需要缴纳社会保障资金的投标人，应提供相应文件证明其依法免税或不需要缴纳社会保障资金。</w:t>
      </w:r>
    </w:p>
    <w:p w14:paraId="51EA1E33">
      <w:pPr>
        <w:spacing w:after="120" w:line="360" w:lineRule="auto"/>
        <w:ind w:right="516" w:firstLine="520" w:firstLineChars="200"/>
        <w:rPr>
          <w:rFonts w:ascii="宋体" w:hAnsi="宋体" w:eastAsia="宋体" w:cs="仿宋"/>
          <w:spacing w:val="10"/>
          <w:kern w:val="0"/>
          <w:sz w:val="24"/>
          <w:szCs w:val="24"/>
        </w:rPr>
      </w:pPr>
      <w:r>
        <w:rPr>
          <w:rFonts w:hint="eastAsia" w:ascii="宋体" w:hAnsi="宋体" w:eastAsia="宋体" w:cs="仿宋"/>
          <w:spacing w:val="10"/>
          <w:kern w:val="0"/>
          <w:sz w:val="24"/>
          <w:szCs w:val="24"/>
        </w:rPr>
        <w:t>三、注：</w:t>
      </w:r>
    </w:p>
    <w:p w14:paraId="415D84C5">
      <w:pPr>
        <w:spacing w:after="120" w:line="360" w:lineRule="auto"/>
        <w:ind w:right="516" w:firstLine="520" w:firstLineChars="200"/>
        <w:rPr>
          <w:rFonts w:ascii="宋体" w:hAnsi="宋体" w:eastAsia="宋体" w:cs="仿宋"/>
          <w:spacing w:val="10"/>
          <w:kern w:val="0"/>
          <w:sz w:val="24"/>
          <w:szCs w:val="24"/>
        </w:rPr>
      </w:pPr>
      <w:r>
        <w:rPr>
          <w:rFonts w:hint="eastAsia" w:ascii="宋体" w:hAnsi="宋体" w:eastAsia="宋体" w:cs="仿宋"/>
          <w:spacing w:val="10"/>
          <w:kern w:val="0"/>
          <w:sz w:val="24"/>
          <w:szCs w:val="24"/>
        </w:rPr>
        <w:t>3.1、如因有关主管部门政策调整，部分证明材料有所增减，以最新政策要求为准；</w:t>
      </w:r>
    </w:p>
    <w:p w14:paraId="5DC3AFA0">
      <w:pPr>
        <w:spacing w:after="120" w:line="360" w:lineRule="auto"/>
        <w:ind w:right="516" w:firstLine="520" w:firstLineChars="200"/>
        <w:rPr>
          <w:rFonts w:ascii="宋体" w:hAnsi="宋体" w:eastAsia="宋体" w:cs="仿宋"/>
          <w:spacing w:val="10"/>
          <w:kern w:val="0"/>
          <w:sz w:val="24"/>
          <w:szCs w:val="24"/>
        </w:rPr>
      </w:pPr>
      <w:r>
        <w:rPr>
          <w:rFonts w:hint="eastAsia" w:ascii="宋体" w:hAnsi="宋体" w:eastAsia="宋体" w:cs="仿宋"/>
          <w:spacing w:val="10"/>
          <w:kern w:val="0"/>
          <w:sz w:val="24"/>
          <w:szCs w:val="24"/>
        </w:rPr>
        <w:t>3.2、如投标人所在地有关主管部门反馈的证明材料与本文中要求不一致时，以当地要求为准，但须投标人提供文字说明。</w:t>
      </w:r>
    </w:p>
    <w:p w14:paraId="0E2E0B8F">
      <w:pPr>
        <w:tabs>
          <w:tab w:val="center" w:pos="4832"/>
          <w:tab w:val="left" w:pos="7140"/>
        </w:tabs>
        <w:spacing w:line="360" w:lineRule="auto"/>
        <w:jc w:val="center"/>
        <w:outlineLvl w:val="2"/>
        <w:rPr>
          <w:rFonts w:ascii="宋体" w:hAnsi="宋体" w:eastAsia="宋体" w:cs="仿宋"/>
          <w:b/>
          <w:sz w:val="24"/>
          <w:szCs w:val="24"/>
        </w:rPr>
      </w:pPr>
      <w:bookmarkStart w:id="131" w:name="_Toc113901851"/>
      <w:bookmarkStart w:id="132" w:name="_Toc128476880"/>
      <w:bookmarkStart w:id="133" w:name="_Toc111556488"/>
      <w:r>
        <w:rPr>
          <w:rFonts w:hint="eastAsia" w:ascii="宋体" w:hAnsi="宋体" w:eastAsia="宋体" w:cs="仿宋"/>
          <w:b/>
          <w:sz w:val="24"/>
          <w:szCs w:val="24"/>
        </w:rPr>
        <w:br w:type="page"/>
      </w:r>
      <w:bookmarkStart w:id="134" w:name="_Toc21374"/>
      <w:bookmarkStart w:id="135" w:name="_Toc130252624"/>
      <w:bookmarkStart w:id="136" w:name="_Toc200016480"/>
      <w:bookmarkStart w:id="137" w:name="_Toc141050517"/>
      <w:r>
        <w:rPr>
          <w:rFonts w:hint="eastAsia" w:ascii="宋体" w:hAnsi="宋体" w:eastAsia="宋体" w:cs="仿宋"/>
          <w:b/>
          <w:sz w:val="24"/>
          <w:szCs w:val="24"/>
        </w:rPr>
        <w:t>7.3具备履行合同所必需的设备和专业技术能力的证明材料</w:t>
      </w:r>
      <w:bookmarkEnd w:id="131"/>
      <w:bookmarkEnd w:id="132"/>
      <w:bookmarkEnd w:id="134"/>
      <w:bookmarkEnd w:id="135"/>
      <w:bookmarkEnd w:id="136"/>
      <w:bookmarkEnd w:id="137"/>
    </w:p>
    <w:p w14:paraId="2E143784">
      <w:pPr>
        <w:spacing w:line="360" w:lineRule="auto"/>
        <w:jc w:val="center"/>
        <w:rPr>
          <w:rFonts w:ascii="宋体" w:hAnsi="宋体" w:eastAsia="宋体" w:cs="仿宋"/>
          <w:b/>
          <w:sz w:val="24"/>
          <w:szCs w:val="24"/>
        </w:rPr>
      </w:pPr>
    </w:p>
    <w:p w14:paraId="5F1E3CFD">
      <w:pPr>
        <w:spacing w:line="360" w:lineRule="auto"/>
        <w:jc w:val="center"/>
        <w:rPr>
          <w:rFonts w:ascii="宋体" w:hAnsi="宋体" w:eastAsia="宋体" w:cs="仿宋"/>
          <w:b/>
          <w:sz w:val="24"/>
          <w:szCs w:val="24"/>
        </w:rPr>
      </w:pPr>
    </w:p>
    <w:p w14:paraId="352F30C0">
      <w:pPr>
        <w:spacing w:line="360" w:lineRule="auto"/>
        <w:jc w:val="center"/>
        <w:rPr>
          <w:rFonts w:ascii="宋体" w:hAnsi="宋体" w:eastAsia="宋体" w:cs="仿宋"/>
          <w:b/>
          <w:sz w:val="24"/>
          <w:szCs w:val="24"/>
        </w:rPr>
      </w:pPr>
    </w:p>
    <w:p w14:paraId="3506E882">
      <w:pPr>
        <w:spacing w:line="360" w:lineRule="auto"/>
        <w:jc w:val="center"/>
        <w:rPr>
          <w:rFonts w:ascii="宋体" w:hAnsi="宋体" w:eastAsia="宋体" w:cs="仿宋"/>
          <w:b/>
          <w:sz w:val="24"/>
          <w:szCs w:val="24"/>
        </w:rPr>
      </w:pPr>
      <w:r>
        <w:rPr>
          <w:rFonts w:hint="eastAsia" w:ascii="宋体" w:hAnsi="宋体" w:eastAsia="宋体" w:cs="仿宋"/>
          <w:b/>
          <w:sz w:val="24"/>
          <w:szCs w:val="24"/>
        </w:rPr>
        <w:t>具有履行合同所必需的设备和专业技术能力的承诺</w:t>
      </w:r>
      <w:bookmarkEnd w:id="133"/>
      <w:r>
        <w:rPr>
          <w:rFonts w:hint="eastAsia" w:ascii="宋体" w:hAnsi="宋体" w:eastAsia="宋体" w:cs="仿宋"/>
          <w:b/>
          <w:sz w:val="24"/>
          <w:szCs w:val="24"/>
        </w:rPr>
        <w:t>函</w:t>
      </w:r>
    </w:p>
    <w:p w14:paraId="7778340A">
      <w:pPr>
        <w:adjustRightInd w:val="0"/>
        <w:snapToGrid w:val="0"/>
        <w:spacing w:line="360" w:lineRule="auto"/>
        <w:ind w:firstLine="480" w:firstLineChars="200"/>
        <w:jc w:val="center"/>
        <w:rPr>
          <w:rFonts w:ascii="宋体" w:hAnsi="宋体" w:eastAsia="宋体" w:cs="仿宋"/>
          <w:sz w:val="24"/>
          <w:szCs w:val="24"/>
        </w:rPr>
      </w:pPr>
    </w:p>
    <w:p w14:paraId="1A8C7E15">
      <w:pPr>
        <w:autoSpaceDE w:val="0"/>
        <w:autoSpaceDN w:val="0"/>
        <w:adjustRightInd w:val="0"/>
        <w:spacing w:line="360" w:lineRule="auto"/>
        <w:ind w:firstLine="480" w:firstLineChars="200"/>
        <w:jc w:val="left"/>
        <w:rPr>
          <w:rFonts w:ascii="宋体" w:hAnsi="宋体" w:eastAsia="宋体" w:cs="仿宋"/>
          <w:kern w:val="0"/>
          <w:sz w:val="24"/>
          <w:szCs w:val="24"/>
        </w:rPr>
      </w:pPr>
      <w:r>
        <w:rPr>
          <w:rFonts w:hint="eastAsia" w:ascii="宋体" w:hAnsi="宋体" w:eastAsia="宋体" w:cs="仿宋"/>
          <w:kern w:val="0"/>
          <w:sz w:val="24"/>
          <w:szCs w:val="24"/>
        </w:rPr>
        <w:t>致：</w:t>
      </w:r>
      <w:r>
        <w:rPr>
          <w:rFonts w:hint="eastAsia" w:ascii="宋体" w:hAnsi="宋体" w:eastAsia="宋体" w:cs="仿宋"/>
          <w:kern w:val="0"/>
          <w:sz w:val="24"/>
          <w:szCs w:val="24"/>
          <w:u w:val="single"/>
        </w:rPr>
        <w:t xml:space="preserve">              </w:t>
      </w:r>
      <w:r>
        <w:rPr>
          <w:rFonts w:hint="eastAsia" w:ascii="宋体" w:hAnsi="宋体" w:eastAsia="宋体" w:cs="仿宋"/>
          <w:kern w:val="0"/>
          <w:sz w:val="24"/>
          <w:szCs w:val="24"/>
        </w:rPr>
        <w:t>（采购人名称）</w:t>
      </w:r>
    </w:p>
    <w:p w14:paraId="146FA494">
      <w:pPr>
        <w:autoSpaceDE w:val="0"/>
        <w:autoSpaceDN w:val="0"/>
        <w:adjustRightInd w:val="0"/>
        <w:spacing w:line="360" w:lineRule="auto"/>
        <w:ind w:firstLine="480" w:firstLineChars="200"/>
        <w:jc w:val="left"/>
        <w:rPr>
          <w:rFonts w:ascii="宋体" w:hAnsi="宋体" w:eastAsia="宋体" w:cs="仿宋"/>
          <w:kern w:val="0"/>
          <w:sz w:val="24"/>
          <w:szCs w:val="24"/>
        </w:rPr>
      </w:pPr>
    </w:p>
    <w:p w14:paraId="67B472C1">
      <w:pPr>
        <w:autoSpaceDE w:val="0"/>
        <w:autoSpaceDN w:val="0"/>
        <w:adjustRightInd w:val="0"/>
        <w:spacing w:line="360" w:lineRule="auto"/>
        <w:ind w:firstLine="480" w:firstLineChars="200"/>
        <w:jc w:val="left"/>
        <w:rPr>
          <w:rFonts w:ascii="宋体" w:hAnsi="宋体" w:eastAsia="宋体" w:cs="仿宋"/>
          <w:kern w:val="0"/>
          <w:sz w:val="24"/>
          <w:szCs w:val="24"/>
        </w:rPr>
      </w:pPr>
      <w:r>
        <w:rPr>
          <w:rFonts w:hint="eastAsia" w:ascii="宋体" w:hAnsi="宋体" w:eastAsia="宋体" w:cs="仿宋"/>
          <w:kern w:val="0"/>
          <w:sz w:val="24"/>
          <w:szCs w:val="24"/>
        </w:rPr>
        <w:t xml:space="preserve">我单位郑重承诺： </w:t>
      </w:r>
    </w:p>
    <w:p w14:paraId="381EBC05">
      <w:pPr>
        <w:autoSpaceDE w:val="0"/>
        <w:autoSpaceDN w:val="0"/>
        <w:adjustRightInd w:val="0"/>
        <w:spacing w:line="360" w:lineRule="auto"/>
        <w:ind w:firstLine="480" w:firstLineChars="200"/>
        <w:jc w:val="left"/>
        <w:rPr>
          <w:rFonts w:ascii="宋体" w:hAnsi="宋体" w:eastAsia="宋体" w:cs="仿宋"/>
          <w:kern w:val="0"/>
          <w:sz w:val="24"/>
          <w:szCs w:val="24"/>
        </w:rPr>
      </w:pPr>
      <w:r>
        <w:rPr>
          <w:rFonts w:hint="eastAsia" w:ascii="宋体" w:hAnsi="宋体" w:eastAsia="宋体" w:cs="仿宋"/>
          <w:kern w:val="0"/>
          <w:sz w:val="24"/>
          <w:szCs w:val="24"/>
        </w:rPr>
        <w:t>我单位具备履行</w:t>
      </w:r>
      <w:r>
        <w:rPr>
          <w:rFonts w:hint="eastAsia" w:ascii="宋体" w:hAnsi="宋体" w:eastAsia="宋体" w:cs="仿宋"/>
          <w:kern w:val="0"/>
          <w:sz w:val="24"/>
          <w:szCs w:val="24"/>
          <w:u w:val="single"/>
        </w:rPr>
        <w:t xml:space="preserve">                        </w:t>
      </w:r>
      <w:r>
        <w:rPr>
          <w:rFonts w:hint="eastAsia" w:ascii="宋体" w:hAnsi="宋体" w:eastAsia="宋体" w:cs="仿宋"/>
          <w:kern w:val="0"/>
          <w:sz w:val="24"/>
          <w:szCs w:val="24"/>
        </w:rPr>
        <w:t>（项目名称）合同所必需的设备和专业技术能力；</w:t>
      </w:r>
    </w:p>
    <w:p w14:paraId="710D3214">
      <w:pPr>
        <w:autoSpaceDE w:val="0"/>
        <w:autoSpaceDN w:val="0"/>
        <w:adjustRightInd w:val="0"/>
        <w:spacing w:line="360" w:lineRule="auto"/>
        <w:ind w:firstLine="480" w:firstLineChars="200"/>
        <w:jc w:val="left"/>
        <w:rPr>
          <w:rFonts w:ascii="宋体" w:hAnsi="宋体" w:eastAsia="宋体" w:cs="仿宋"/>
          <w:kern w:val="0"/>
          <w:sz w:val="24"/>
          <w:szCs w:val="24"/>
        </w:rPr>
      </w:pPr>
      <w:r>
        <w:rPr>
          <w:rFonts w:hint="eastAsia" w:ascii="宋体" w:hAnsi="宋体" w:eastAsia="宋体" w:cs="仿宋"/>
          <w:kern w:val="0"/>
          <w:sz w:val="24"/>
          <w:szCs w:val="24"/>
        </w:rPr>
        <w:t xml:space="preserve">特此承诺。 </w:t>
      </w:r>
    </w:p>
    <w:p w14:paraId="4CE30778">
      <w:pPr>
        <w:autoSpaceDE w:val="0"/>
        <w:autoSpaceDN w:val="0"/>
        <w:adjustRightInd w:val="0"/>
        <w:spacing w:line="360" w:lineRule="auto"/>
        <w:jc w:val="left"/>
        <w:rPr>
          <w:rFonts w:ascii="宋体" w:hAnsi="宋体" w:eastAsia="宋体" w:cs="仿宋"/>
          <w:kern w:val="0"/>
          <w:sz w:val="24"/>
          <w:szCs w:val="24"/>
        </w:rPr>
      </w:pPr>
    </w:p>
    <w:p w14:paraId="17AABE3E">
      <w:pPr>
        <w:autoSpaceDE w:val="0"/>
        <w:autoSpaceDN w:val="0"/>
        <w:adjustRightInd w:val="0"/>
        <w:spacing w:line="360" w:lineRule="auto"/>
        <w:jc w:val="left"/>
        <w:rPr>
          <w:rFonts w:ascii="宋体" w:hAnsi="宋体" w:eastAsia="宋体" w:cs="仿宋"/>
          <w:kern w:val="0"/>
          <w:sz w:val="24"/>
          <w:szCs w:val="24"/>
        </w:rPr>
      </w:pPr>
    </w:p>
    <w:p w14:paraId="19516282">
      <w:pPr>
        <w:autoSpaceDE w:val="0"/>
        <w:autoSpaceDN w:val="0"/>
        <w:adjustRightInd w:val="0"/>
        <w:spacing w:line="360" w:lineRule="auto"/>
        <w:jc w:val="left"/>
        <w:rPr>
          <w:rFonts w:ascii="宋体" w:hAnsi="宋体" w:eastAsia="宋体" w:cs="仿宋"/>
          <w:kern w:val="0"/>
          <w:sz w:val="24"/>
          <w:szCs w:val="24"/>
        </w:rPr>
      </w:pPr>
    </w:p>
    <w:p w14:paraId="1190EF3E">
      <w:pPr>
        <w:autoSpaceDE w:val="0"/>
        <w:autoSpaceDN w:val="0"/>
        <w:adjustRightInd w:val="0"/>
        <w:spacing w:line="360" w:lineRule="auto"/>
        <w:jc w:val="left"/>
        <w:rPr>
          <w:rFonts w:ascii="宋体" w:hAnsi="宋体" w:eastAsia="宋体" w:cs="仿宋"/>
          <w:kern w:val="0"/>
          <w:sz w:val="24"/>
          <w:szCs w:val="24"/>
        </w:rPr>
      </w:pPr>
    </w:p>
    <w:p w14:paraId="6965CF50">
      <w:pPr>
        <w:widowControl/>
        <w:shd w:val="clear" w:color="auto" w:fill="FFFFFF"/>
        <w:snapToGrid w:val="0"/>
        <w:spacing w:line="360" w:lineRule="auto"/>
        <w:jc w:val="left"/>
        <w:rPr>
          <w:rFonts w:ascii="宋体" w:hAnsi="宋体" w:eastAsia="宋体" w:cs="仿宋"/>
          <w:kern w:val="0"/>
          <w:sz w:val="24"/>
          <w:szCs w:val="24"/>
        </w:rPr>
      </w:pPr>
      <w:r>
        <w:rPr>
          <w:rFonts w:hint="eastAsia" w:ascii="宋体" w:hAnsi="宋体" w:eastAsia="宋体" w:cs="仿宋"/>
          <w:kern w:val="0"/>
          <w:sz w:val="24"/>
          <w:szCs w:val="24"/>
        </w:rPr>
        <w:t>投标人：</w:t>
      </w:r>
      <w:r>
        <w:rPr>
          <w:rFonts w:hint="eastAsia" w:ascii="宋体" w:hAnsi="宋体" w:eastAsia="宋体" w:cs="仿宋"/>
          <w:kern w:val="0"/>
          <w:sz w:val="24"/>
          <w:szCs w:val="24"/>
          <w:u w:val="single"/>
        </w:rPr>
        <w:t xml:space="preserve">               </w:t>
      </w:r>
      <w:r>
        <w:rPr>
          <w:rFonts w:hint="eastAsia" w:ascii="宋体" w:hAnsi="宋体" w:eastAsia="宋体" w:cs="仿宋"/>
          <w:kern w:val="0"/>
          <w:sz w:val="24"/>
          <w:szCs w:val="24"/>
        </w:rPr>
        <w:t>（盖章）</w:t>
      </w:r>
    </w:p>
    <w:p w14:paraId="7F651D6B">
      <w:pPr>
        <w:widowControl/>
        <w:shd w:val="clear" w:color="auto" w:fill="FFFFFF"/>
        <w:snapToGrid w:val="0"/>
        <w:spacing w:line="360" w:lineRule="auto"/>
        <w:jc w:val="left"/>
        <w:rPr>
          <w:rFonts w:ascii="宋体" w:hAnsi="宋体" w:eastAsia="宋体" w:cs="仿宋"/>
          <w:kern w:val="0"/>
          <w:sz w:val="24"/>
          <w:szCs w:val="24"/>
        </w:rPr>
      </w:pPr>
    </w:p>
    <w:p w14:paraId="59C46A32">
      <w:pPr>
        <w:widowControl/>
        <w:shd w:val="clear" w:color="auto" w:fill="FFFFFF"/>
        <w:snapToGrid w:val="0"/>
        <w:spacing w:line="360" w:lineRule="auto"/>
        <w:jc w:val="left"/>
        <w:rPr>
          <w:rFonts w:ascii="宋体" w:hAnsi="宋体" w:eastAsia="宋体" w:cs="仿宋"/>
          <w:kern w:val="0"/>
          <w:sz w:val="24"/>
          <w:szCs w:val="24"/>
        </w:rPr>
      </w:pPr>
    </w:p>
    <w:p w14:paraId="667372A2">
      <w:pPr>
        <w:widowControl/>
        <w:shd w:val="clear" w:color="auto" w:fill="FFFFFF"/>
        <w:snapToGrid w:val="0"/>
        <w:spacing w:line="360" w:lineRule="auto"/>
        <w:ind w:firstLine="420"/>
        <w:jc w:val="center"/>
        <w:rPr>
          <w:rFonts w:ascii="宋体" w:hAnsi="宋体" w:eastAsia="宋体" w:cs="仿宋"/>
          <w:kern w:val="0"/>
          <w:sz w:val="24"/>
          <w:szCs w:val="24"/>
        </w:rPr>
      </w:pPr>
      <w:r>
        <w:rPr>
          <w:rFonts w:hint="eastAsia" w:ascii="宋体" w:hAnsi="宋体" w:eastAsia="宋体" w:cs="仿宋"/>
          <w:kern w:val="0"/>
          <w:sz w:val="24"/>
          <w:szCs w:val="24"/>
        </w:rPr>
        <w:t xml:space="preserve">                                               日期： 年  月  日</w:t>
      </w:r>
    </w:p>
    <w:p w14:paraId="04789052">
      <w:pPr>
        <w:adjustRightInd w:val="0"/>
        <w:snapToGrid w:val="0"/>
        <w:spacing w:line="360" w:lineRule="auto"/>
        <w:rPr>
          <w:rFonts w:ascii="宋体" w:hAnsi="宋体" w:eastAsia="宋体" w:cs="仿宋"/>
          <w:bCs/>
          <w:sz w:val="24"/>
          <w:szCs w:val="24"/>
        </w:rPr>
      </w:pPr>
    </w:p>
    <w:p w14:paraId="2098E8C2">
      <w:pPr>
        <w:spacing w:line="360" w:lineRule="auto"/>
        <w:rPr>
          <w:rFonts w:ascii="宋体" w:hAnsi="宋体" w:eastAsia="宋体" w:cs="仿宋"/>
          <w:sz w:val="24"/>
          <w:szCs w:val="24"/>
        </w:rPr>
      </w:pPr>
    </w:p>
    <w:p w14:paraId="0C083321">
      <w:pPr>
        <w:spacing w:line="360" w:lineRule="auto"/>
        <w:rPr>
          <w:rFonts w:ascii="宋体" w:hAnsi="宋体" w:eastAsia="宋体" w:cs="仿宋"/>
          <w:sz w:val="24"/>
          <w:szCs w:val="24"/>
        </w:rPr>
      </w:pPr>
    </w:p>
    <w:p w14:paraId="43D265AA">
      <w:pPr>
        <w:spacing w:line="360" w:lineRule="auto"/>
        <w:rPr>
          <w:rFonts w:ascii="宋体" w:hAnsi="宋体" w:eastAsia="宋体" w:cs="仿宋"/>
          <w:sz w:val="24"/>
          <w:szCs w:val="24"/>
        </w:rPr>
      </w:pPr>
    </w:p>
    <w:p w14:paraId="6FDE46A7">
      <w:pPr>
        <w:spacing w:line="360" w:lineRule="auto"/>
        <w:rPr>
          <w:rFonts w:ascii="宋体" w:hAnsi="宋体" w:eastAsia="宋体" w:cs="仿宋"/>
          <w:sz w:val="24"/>
          <w:szCs w:val="24"/>
        </w:rPr>
      </w:pPr>
    </w:p>
    <w:p w14:paraId="0784EAED">
      <w:pPr>
        <w:spacing w:line="360" w:lineRule="auto"/>
        <w:rPr>
          <w:rFonts w:ascii="宋体" w:hAnsi="宋体" w:eastAsia="宋体" w:cs="仿宋"/>
          <w:sz w:val="24"/>
          <w:szCs w:val="24"/>
        </w:rPr>
      </w:pPr>
    </w:p>
    <w:p w14:paraId="6F8EFE8A">
      <w:pPr>
        <w:spacing w:line="360" w:lineRule="auto"/>
        <w:rPr>
          <w:rFonts w:ascii="宋体" w:hAnsi="宋体" w:eastAsia="宋体" w:cs="仿宋"/>
          <w:sz w:val="24"/>
          <w:szCs w:val="24"/>
        </w:rPr>
      </w:pPr>
    </w:p>
    <w:p w14:paraId="3E2F9DF1">
      <w:pPr>
        <w:tabs>
          <w:tab w:val="center" w:pos="4832"/>
          <w:tab w:val="left" w:pos="7140"/>
        </w:tabs>
        <w:spacing w:line="360" w:lineRule="auto"/>
        <w:jc w:val="center"/>
        <w:outlineLvl w:val="2"/>
        <w:rPr>
          <w:rFonts w:ascii="宋体" w:hAnsi="宋体" w:eastAsia="宋体" w:cs="仿宋"/>
          <w:b/>
          <w:sz w:val="24"/>
          <w:szCs w:val="24"/>
        </w:rPr>
      </w:pPr>
      <w:r>
        <w:rPr>
          <w:rFonts w:hint="eastAsia" w:ascii="宋体" w:hAnsi="宋体" w:eastAsia="宋体" w:cs="仿宋"/>
          <w:sz w:val="24"/>
          <w:szCs w:val="24"/>
        </w:rPr>
        <w:br w:type="page"/>
      </w:r>
      <w:bookmarkStart w:id="138" w:name="_Toc141050518"/>
      <w:bookmarkStart w:id="139" w:name="_Toc113901852"/>
      <w:bookmarkStart w:id="140" w:name="_Toc200016481"/>
      <w:bookmarkStart w:id="141" w:name="_Toc130252625"/>
      <w:bookmarkStart w:id="142" w:name="_Toc128476881"/>
      <w:bookmarkStart w:id="143" w:name="_Toc12193"/>
      <w:bookmarkStart w:id="144" w:name="_Toc111556490"/>
      <w:r>
        <w:rPr>
          <w:rFonts w:hint="eastAsia" w:ascii="宋体" w:hAnsi="宋体" w:eastAsia="宋体" w:cs="仿宋"/>
          <w:b/>
          <w:sz w:val="24"/>
          <w:szCs w:val="24"/>
        </w:rPr>
        <w:t>7.4参加政府采购活动前3年内在经营活动中没有重大违法记录的书面声明</w:t>
      </w:r>
      <w:bookmarkEnd w:id="138"/>
      <w:bookmarkEnd w:id="139"/>
      <w:bookmarkEnd w:id="140"/>
      <w:bookmarkEnd w:id="141"/>
      <w:bookmarkEnd w:id="142"/>
      <w:bookmarkEnd w:id="143"/>
    </w:p>
    <w:bookmarkEnd w:id="144"/>
    <w:p w14:paraId="25FAFC78">
      <w:pPr>
        <w:widowControl/>
        <w:adjustRightInd w:val="0"/>
        <w:snapToGrid w:val="0"/>
        <w:spacing w:line="360" w:lineRule="auto"/>
        <w:rPr>
          <w:rFonts w:ascii="宋体" w:hAnsi="宋体" w:eastAsia="宋体" w:cs="仿宋"/>
          <w:sz w:val="24"/>
          <w:szCs w:val="24"/>
        </w:rPr>
      </w:pPr>
    </w:p>
    <w:p w14:paraId="49F7587A">
      <w:pPr>
        <w:widowControl/>
        <w:adjustRightInd w:val="0"/>
        <w:snapToGrid w:val="0"/>
        <w:spacing w:line="360" w:lineRule="auto"/>
        <w:rPr>
          <w:rFonts w:ascii="宋体" w:hAnsi="宋体" w:eastAsia="宋体" w:cs="仿宋"/>
          <w:sz w:val="24"/>
          <w:szCs w:val="24"/>
        </w:rPr>
      </w:pPr>
    </w:p>
    <w:p w14:paraId="1AC74B10">
      <w:pPr>
        <w:autoSpaceDE w:val="0"/>
        <w:autoSpaceDN w:val="0"/>
        <w:adjustRightInd w:val="0"/>
        <w:spacing w:line="360" w:lineRule="auto"/>
        <w:ind w:firstLine="480" w:firstLineChars="200"/>
        <w:jc w:val="left"/>
        <w:rPr>
          <w:rFonts w:ascii="宋体" w:hAnsi="宋体" w:eastAsia="宋体" w:cs="仿宋"/>
          <w:kern w:val="0"/>
          <w:sz w:val="24"/>
          <w:szCs w:val="24"/>
        </w:rPr>
      </w:pPr>
      <w:r>
        <w:rPr>
          <w:rFonts w:hint="eastAsia" w:ascii="宋体" w:hAnsi="宋体" w:eastAsia="宋体" w:cs="仿宋"/>
          <w:kern w:val="0"/>
          <w:sz w:val="24"/>
          <w:szCs w:val="24"/>
        </w:rPr>
        <w:t>致：</w:t>
      </w:r>
      <w:r>
        <w:rPr>
          <w:rFonts w:hint="eastAsia" w:ascii="宋体" w:hAnsi="宋体" w:eastAsia="宋体" w:cs="仿宋"/>
          <w:kern w:val="0"/>
          <w:sz w:val="24"/>
          <w:szCs w:val="24"/>
          <w:u w:val="single"/>
        </w:rPr>
        <w:t xml:space="preserve">              </w:t>
      </w:r>
      <w:r>
        <w:rPr>
          <w:rFonts w:hint="eastAsia" w:ascii="宋体" w:hAnsi="宋体" w:eastAsia="宋体" w:cs="仿宋"/>
          <w:kern w:val="0"/>
          <w:sz w:val="24"/>
          <w:szCs w:val="24"/>
        </w:rPr>
        <w:t>（采购人名称）</w:t>
      </w:r>
    </w:p>
    <w:p w14:paraId="3E17F52D">
      <w:pPr>
        <w:adjustRightInd w:val="0"/>
        <w:snapToGrid w:val="0"/>
        <w:spacing w:line="360" w:lineRule="auto"/>
        <w:ind w:firstLine="480" w:firstLineChars="200"/>
        <w:rPr>
          <w:rFonts w:ascii="宋体" w:hAnsi="宋体" w:eastAsia="宋体" w:cs="仿宋"/>
          <w:sz w:val="24"/>
          <w:szCs w:val="24"/>
        </w:rPr>
      </w:pPr>
    </w:p>
    <w:p w14:paraId="0B5035C6">
      <w:pPr>
        <w:adjustRightInd w:val="0"/>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我单位在参与</w:t>
      </w:r>
      <w:r>
        <w:rPr>
          <w:rFonts w:hint="eastAsia" w:ascii="宋体" w:hAnsi="宋体" w:eastAsia="宋体" w:cs="仿宋"/>
          <w:kern w:val="0"/>
          <w:sz w:val="24"/>
          <w:szCs w:val="24"/>
          <w:u w:val="single"/>
        </w:rPr>
        <w:t xml:space="preserve">            </w:t>
      </w:r>
      <w:r>
        <w:rPr>
          <w:rFonts w:hint="eastAsia" w:ascii="宋体" w:hAnsi="宋体" w:eastAsia="宋体" w:cs="仿宋"/>
          <w:sz w:val="24"/>
          <w:szCs w:val="24"/>
        </w:rPr>
        <w:t>（项目名称）</w:t>
      </w:r>
      <w:r>
        <w:rPr>
          <w:rFonts w:hint="eastAsia" w:ascii="宋体" w:hAnsi="宋体" w:eastAsia="宋体" w:cs="仿宋"/>
          <w:kern w:val="0"/>
          <w:sz w:val="24"/>
          <w:szCs w:val="24"/>
        </w:rPr>
        <w:t>前三年内（以</w:t>
      </w:r>
      <w:r>
        <w:rPr>
          <w:rFonts w:hint="eastAsia" w:ascii="宋体" w:hAnsi="宋体" w:eastAsia="宋体" w:cs="仿宋"/>
          <w:sz w:val="24"/>
          <w:szCs w:val="24"/>
        </w:rPr>
        <w:t>投标文件递交截止之日为期限</w:t>
      </w:r>
      <w:r>
        <w:rPr>
          <w:rFonts w:hint="eastAsia" w:ascii="宋体" w:hAnsi="宋体" w:eastAsia="宋体" w:cs="仿宋"/>
          <w:kern w:val="0"/>
          <w:sz w:val="24"/>
          <w:szCs w:val="24"/>
        </w:rPr>
        <w:t>）在经营活动中没有重大违法记录。</w:t>
      </w:r>
    </w:p>
    <w:p w14:paraId="0C579FBD">
      <w:pPr>
        <w:adjustRightInd w:val="0"/>
        <w:snapToGrid w:val="0"/>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若贵方在本项目采购过程中发现我方参加政府采购活动前三年内有重大违法记录；</w:t>
      </w:r>
      <w:r>
        <w:rPr>
          <w:rFonts w:hint="eastAsia" w:ascii="宋体" w:hAnsi="宋体" w:eastAsia="宋体" w:cs="仿宋"/>
          <w:kern w:val="0"/>
          <w:sz w:val="24"/>
          <w:szCs w:val="24"/>
        </w:rPr>
        <w:t>我单位</w:t>
      </w:r>
      <w:r>
        <w:rPr>
          <w:rFonts w:hint="eastAsia" w:ascii="宋体" w:hAnsi="宋体" w:eastAsia="宋体" w:cs="仿宋"/>
          <w:sz w:val="24"/>
          <w:szCs w:val="24"/>
        </w:rPr>
        <w:t>将无条件退出本项目的投标，并承担因此引起的一切后果。我方对此声明负全部法律责任。</w:t>
      </w:r>
    </w:p>
    <w:p w14:paraId="452115F5">
      <w:pPr>
        <w:adjustRightInd w:val="0"/>
        <w:snapToGrid w:val="0"/>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特此声明！</w:t>
      </w:r>
    </w:p>
    <w:p w14:paraId="34FFC9B4">
      <w:pPr>
        <w:adjustRightInd w:val="0"/>
        <w:snapToGrid w:val="0"/>
        <w:spacing w:line="360" w:lineRule="auto"/>
        <w:ind w:firstLine="480" w:firstLineChars="200"/>
        <w:rPr>
          <w:rFonts w:ascii="宋体" w:hAnsi="宋体" w:eastAsia="宋体" w:cs="仿宋"/>
          <w:sz w:val="24"/>
          <w:szCs w:val="24"/>
        </w:rPr>
      </w:pPr>
    </w:p>
    <w:p w14:paraId="46C94CE6">
      <w:pPr>
        <w:adjustRightInd w:val="0"/>
        <w:snapToGrid w:val="0"/>
        <w:spacing w:line="360" w:lineRule="auto"/>
        <w:ind w:firstLine="480" w:firstLineChars="200"/>
        <w:rPr>
          <w:rFonts w:ascii="宋体" w:hAnsi="宋体" w:eastAsia="宋体" w:cs="仿宋"/>
          <w:sz w:val="24"/>
          <w:szCs w:val="24"/>
        </w:rPr>
      </w:pPr>
    </w:p>
    <w:p w14:paraId="159275C3">
      <w:pPr>
        <w:adjustRightInd w:val="0"/>
        <w:snapToGrid w:val="0"/>
        <w:spacing w:line="360" w:lineRule="auto"/>
        <w:ind w:firstLine="420" w:firstLineChars="200"/>
        <w:rPr>
          <w:rFonts w:ascii="宋体" w:hAnsi="宋体" w:eastAsia="宋体" w:cs="仿宋"/>
          <w:szCs w:val="24"/>
        </w:rPr>
      </w:pPr>
      <w:r>
        <w:rPr>
          <w:rFonts w:hint="eastAsia" w:ascii="宋体" w:hAnsi="宋体" w:eastAsia="宋体" w:cs="仿宋"/>
          <w:szCs w:val="24"/>
        </w:rPr>
        <w:t>备注：</w:t>
      </w:r>
    </w:p>
    <w:p w14:paraId="6E664F10">
      <w:pPr>
        <w:adjustRightInd w:val="0"/>
        <w:snapToGrid w:val="0"/>
        <w:spacing w:line="360" w:lineRule="auto"/>
        <w:ind w:firstLine="420" w:firstLineChars="200"/>
        <w:rPr>
          <w:rFonts w:ascii="宋体" w:hAnsi="宋体" w:eastAsia="宋体" w:cs="仿宋"/>
          <w:sz w:val="24"/>
          <w:szCs w:val="24"/>
        </w:rPr>
      </w:pPr>
      <w:r>
        <w:rPr>
          <w:rFonts w:hint="eastAsia" w:ascii="宋体" w:hAnsi="宋体" w:eastAsia="宋体" w:cs="仿宋"/>
          <w:szCs w:val="24"/>
        </w:rPr>
        <w:t>若投标人在投标文件递交截止之日成立时间不足三年，以自成立以来的时间计取。</w:t>
      </w:r>
    </w:p>
    <w:p w14:paraId="6C382734">
      <w:pPr>
        <w:adjustRightInd w:val="0"/>
        <w:snapToGrid w:val="0"/>
        <w:spacing w:line="360" w:lineRule="auto"/>
        <w:ind w:firstLine="480" w:firstLineChars="200"/>
        <w:rPr>
          <w:rFonts w:ascii="宋体" w:hAnsi="宋体" w:eastAsia="宋体" w:cs="仿宋"/>
          <w:kern w:val="0"/>
          <w:sz w:val="24"/>
          <w:szCs w:val="24"/>
        </w:rPr>
      </w:pPr>
    </w:p>
    <w:p w14:paraId="28A31010">
      <w:pPr>
        <w:adjustRightInd w:val="0"/>
        <w:snapToGrid w:val="0"/>
        <w:spacing w:line="360" w:lineRule="auto"/>
        <w:ind w:firstLine="3112" w:firstLineChars="1297"/>
        <w:rPr>
          <w:rFonts w:ascii="宋体" w:hAnsi="宋体" w:eastAsia="宋体" w:cs="仿宋"/>
          <w:sz w:val="24"/>
          <w:szCs w:val="24"/>
        </w:rPr>
      </w:pPr>
    </w:p>
    <w:p w14:paraId="7FD2C3B3">
      <w:pPr>
        <w:widowControl/>
        <w:shd w:val="clear" w:color="auto" w:fill="FFFFFF"/>
        <w:snapToGrid w:val="0"/>
        <w:spacing w:line="360" w:lineRule="auto"/>
        <w:jc w:val="left"/>
        <w:rPr>
          <w:rFonts w:ascii="宋体" w:hAnsi="宋体" w:eastAsia="宋体" w:cs="仿宋"/>
          <w:kern w:val="0"/>
          <w:sz w:val="24"/>
          <w:szCs w:val="24"/>
        </w:rPr>
      </w:pPr>
      <w:r>
        <w:rPr>
          <w:rFonts w:hint="eastAsia" w:ascii="宋体" w:hAnsi="宋体" w:eastAsia="宋体" w:cs="仿宋"/>
          <w:kern w:val="0"/>
          <w:sz w:val="24"/>
          <w:szCs w:val="24"/>
        </w:rPr>
        <w:t>投标人：</w:t>
      </w:r>
      <w:r>
        <w:rPr>
          <w:rFonts w:hint="eastAsia" w:ascii="宋体" w:hAnsi="宋体" w:eastAsia="宋体" w:cs="仿宋"/>
          <w:kern w:val="0"/>
          <w:sz w:val="24"/>
          <w:szCs w:val="24"/>
          <w:u w:val="single"/>
        </w:rPr>
        <w:t xml:space="preserve">               </w:t>
      </w:r>
      <w:r>
        <w:rPr>
          <w:rFonts w:hint="eastAsia" w:ascii="宋体" w:hAnsi="宋体" w:eastAsia="宋体" w:cs="仿宋"/>
          <w:kern w:val="0"/>
          <w:sz w:val="24"/>
          <w:szCs w:val="24"/>
        </w:rPr>
        <w:t>（盖章）</w:t>
      </w:r>
    </w:p>
    <w:p w14:paraId="077150E7">
      <w:pPr>
        <w:widowControl/>
        <w:shd w:val="clear" w:color="auto" w:fill="FFFFFF"/>
        <w:snapToGrid w:val="0"/>
        <w:spacing w:line="360" w:lineRule="auto"/>
        <w:ind w:firstLine="420"/>
        <w:jc w:val="center"/>
        <w:rPr>
          <w:rFonts w:ascii="宋体" w:hAnsi="宋体" w:eastAsia="宋体" w:cs="仿宋"/>
          <w:kern w:val="0"/>
          <w:sz w:val="24"/>
          <w:szCs w:val="24"/>
        </w:rPr>
      </w:pPr>
    </w:p>
    <w:p w14:paraId="0BF6A1D6">
      <w:pPr>
        <w:widowControl/>
        <w:shd w:val="clear" w:color="auto" w:fill="FFFFFF"/>
        <w:snapToGrid w:val="0"/>
        <w:spacing w:line="360" w:lineRule="auto"/>
        <w:ind w:firstLine="420"/>
        <w:jc w:val="center"/>
        <w:rPr>
          <w:rFonts w:ascii="宋体" w:hAnsi="宋体" w:eastAsia="宋体" w:cs="仿宋"/>
          <w:kern w:val="0"/>
          <w:sz w:val="24"/>
          <w:szCs w:val="24"/>
        </w:rPr>
      </w:pPr>
    </w:p>
    <w:p w14:paraId="0BAFD771">
      <w:pPr>
        <w:widowControl/>
        <w:shd w:val="clear" w:color="auto" w:fill="FFFFFF"/>
        <w:snapToGrid w:val="0"/>
        <w:spacing w:line="360" w:lineRule="auto"/>
        <w:ind w:firstLine="420"/>
        <w:jc w:val="center"/>
        <w:rPr>
          <w:rFonts w:ascii="宋体" w:hAnsi="宋体" w:eastAsia="宋体" w:cs="仿宋"/>
          <w:kern w:val="0"/>
          <w:sz w:val="24"/>
          <w:szCs w:val="24"/>
        </w:rPr>
      </w:pPr>
      <w:r>
        <w:rPr>
          <w:rFonts w:hint="eastAsia" w:ascii="宋体" w:hAnsi="宋体" w:eastAsia="宋体" w:cs="仿宋"/>
          <w:kern w:val="0"/>
          <w:sz w:val="24"/>
          <w:szCs w:val="24"/>
        </w:rPr>
        <w:t xml:space="preserve">                                               日期： 年  月  日</w:t>
      </w:r>
    </w:p>
    <w:p w14:paraId="22928274">
      <w:pPr>
        <w:widowControl/>
        <w:shd w:val="clear" w:color="auto" w:fill="FFFFFF"/>
        <w:snapToGrid w:val="0"/>
        <w:spacing w:line="360" w:lineRule="auto"/>
        <w:ind w:firstLine="420"/>
        <w:rPr>
          <w:rFonts w:ascii="宋体" w:hAnsi="宋体" w:eastAsia="宋体" w:cs="仿宋"/>
          <w:kern w:val="0"/>
          <w:sz w:val="24"/>
          <w:szCs w:val="24"/>
        </w:rPr>
      </w:pPr>
    </w:p>
    <w:p w14:paraId="66F95B1C">
      <w:pPr>
        <w:tabs>
          <w:tab w:val="center" w:pos="4832"/>
          <w:tab w:val="left" w:pos="7140"/>
        </w:tabs>
        <w:spacing w:line="360" w:lineRule="auto"/>
        <w:jc w:val="center"/>
        <w:outlineLvl w:val="2"/>
        <w:rPr>
          <w:rFonts w:ascii="宋体" w:hAnsi="宋体" w:eastAsia="宋体" w:cs="仿宋"/>
          <w:b/>
          <w:sz w:val="24"/>
          <w:szCs w:val="24"/>
        </w:rPr>
      </w:pPr>
      <w:r>
        <w:rPr>
          <w:rFonts w:hint="eastAsia" w:ascii="宋体" w:hAnsi="宋体" w:eastAsia="宋体" w:cs="仿宋"/>
          <w:kern w:val="0"/>
          <w:sz w:val="24"/>
          <w:szCs w:val="24"/>
        </w:rPr>
        <w:br w:type="page"/>
      </w:r>
      <w:bookmarkStart w:id="145" w:name="_Toc113901853"/>
      <w:bookmarkStart w:id="146" w:name="_Toc128476882"/>
      <w:bookmarkStart w:id="147" w:name="_Toc141050519"/>
      <w:bookmarkStart w:id="148" w:name="_Toc200016482"/>
      <w:bookmarkStart w:id="149" w:name="_Toc30436"/>
      <w:bookmarkStart w:id="150" w:name="_Toc130252626"/>
      <w:r>
        <w:rPr>
          <w:rFonts w:hint="eastAsia" w:ascii="宋体" w:hAnsi="宋体" w:eastAsia="宋体" w:cs="仿宋"/>
          <w:b/>
          <w:sz w:val="24"/>
          <w:szCs w:val="24"/>
        </w:rPr>
        <w:t>7.5具备法律、行政法规规定的其他条件的证明材料</w:t>
      </w:r>
      <w:bookmarkEnd w:id="145"/>
      <w:bookmarkEnd w:id="146"/>
      <w:bookmarkEnd w:id="147"/>
      <w:bookmarkEnd w:id="148"/>
      <w:bookmarkEnd w:id="149"/>
      <w:bookmarkEnd w:id="150"/>
    </w:p>
    <w:p w14:paraId="0AE45406">
      <w:pPr>
        <w:widowControl/>
        <w:adjustRightInd w:val="0"/>
        <w:snapToGrid w:val="0"/>
        <w:spacing w:line="360" w:lineRule="auto"/>
        <w:rPr>
          <w:rFonts w:ascii="宋体" w:hAnsi="宋体" w:eastAsia="宋体" w:cs="仿宋"/>
          <w:sz w:val="24"/>
          <w:szCs w:val="24"/>
        </w:rPr>
      </w:pPr>
    </w:p>
    <w:p w14:paraId="019D423C">
      <w:pPr>
        <w:widowControl/>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1、国家有关主管部门的行政许可（如有时）。</w:t>
      </w:r>
    </w:p>
    <w:p w14:paraId="0C8E5E75">
      <w:pPr>
        <w:widowControl/>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2、中小企业声明函/残疾人福利性单位声明函/监狱企业证明文件（如有时）。</w:t>
      </w:r>
    </w:p>
    <w:p w14:paraId="2130DF35">
      <w:pPr>
        <w:widowControl/>
        <w:spacing w:line="360" w:lineRule="auto"/>
        <w:ind w:firstLine="480" w:firstLineChars="200"/>
        <w:jc w:val="left"/>
        <w:rPr>
          <w:rFonts w:ascii="宋体" w:hAnsi="宋体" w:eastAsia="宋体" w:cs="仿宋"/>
          <w:b/>
          <w:kern w:val="0"/>
          <w:sz w:val="24"/>
          <w:szCs w:val="24"/>
        </w:rPr>
      </w:pPr>
      <w:r>
        <w:rPr>
          <w:rFonts w:hint="eastAsia" w:ascii="宋体" w:hAnsi="宋体" w:eastAsia="宋体" w:cs="仿宋"/>
          <w:sz w:val="24"/>
          <w:szCs w:val="24"/>
        </w:rPr>
        <w:br w:type="page"/>
      </w:r>
      <w:r>
        <w:rPr>
          <w:rFonts w:hint="eastAsia" w:ascii="宋体" w:hAnsi="宋体" w:eastAsia="宋体" w:cs="仿宋"/>
          <w:kern w:val="0"/>
          <w:sz w:val="24"/>
          <w:szCs w:val="24"/>
        </w:rPr>
        <w:t xml:space="preserve"> </w:t>
      </w:r>
      <w:r>
        <w:rPr>
          <w:rFonts w:hint="eastAsia" w:ascii="宋体" w:hAnsi="宋体" w:eastAsia="宋体" w:cs="仿宋"/>
          <w:b/>
          <w:kern w:val="0"/>
          <w:sz w:val="24"/>
          <w:szCs w:val="24"/>
        </w:rPr>
        <w:t xml:space="preserve">附表一、                  </w:t>
      </w:r>
    </w:p>
    <w:p w14:paraId="0AF305E5">
      <w:pPr>
        <w:spacing w:line="588" w:lineRule="exact"/>
        <w:jc w:val="center"/>
        <w:rPr>
          <w:rFonts w:ascii="宋体" w:hAnsi="宋体" w:eastAsia="宋体" w:cs="仿宋"/>
          <w:b/>
          <w:spacing w:val="6"/>
          <w:sz w:val="24"/>
          <w:szCs w:val="24"/>
        </w:rPr>
      </w:pPr>
      <w:r>
        <w:rPr>
          <w:rFonts w:hint="eastAsia" w:ascii="宋体" w:hAnsi="宋体" w:eastAsia="宋体" w:cs="仿宋"/>
          <w:b/>
          <w:spacing w:val="6"/>
          <w:sz w:val="24"/>
          <w:szCs w:val="24"/>
        </w:rPr>
        <w:t>中小企业声明函（货物）</w:t>
      </w:r>
    </w:p>
    <w:p w14:paraId="3AFA6699">
      <w:pPr>
        <w:spacing w:line="588" w:lineRule="exact"/>
        <w:jc w:val="center"/>
        <w:rPr>
          <w:rFonts w:ascii="宋体" w:hAnsi="宋体" w:eastAsia="宋体" w:cs="仿宋"/>
          <w:b/>
          <w:spacing w:val="6"/>
          <w:sz w:val="24"/>
          <w:szCs w:val="24"/>
        </w:rPr>
      </w:pPr>
    </w:p>
    <w:p w14:paraId="6F34630B">
      <w:pPr>
        <w:spacing w:line="588" w:lineRule="exact"/>
        <w:ind w:firstLine="480" w:firstLineChars="200"/>
        <w:rPr>
          <w:rFonts w:ascii="宋体" w:hAnsi="宋体" w:eastAsia="宋体" w:cs="仿宋"/>
          <w:kern w:val="0"/>
          <w:sz w:val="24"/>
          <w:szCs w:val="24"/>
        </w:rPr>
      </w:pPr>
      <w:r>
        <w:rPr>
          <w:rFonts w:hint="eastAsia" w:ascii="宋体" w:hAnsi="宋体" w:eastAsia="宋体" w:cs="仿宋"/>
          <w:kern w:val="0"/>
          <w:sz w:val="24"/>
          <w:szCs w:val="24"/>
        </w:rPr>
        <w:t>本公司（联合体）郑重声明，根据《政府采购促进中小企业发展管理办法》（财库﹝2020﹞46 号）的规定，本公司</w:t>
      </w:r>
      <w:r>
        <w:rPr>
          <w:rFonts w:hint="eastAsia" w:ascii="宋体" w:hAnsi="宋体" w:eastAsia="宋体" w:cs="仿宋"/>
          <w:kern w:val="0"/>
          <w:sz w:val="24"/>
          <w:szCs w:val="24"/>
          <w:u w:val="single"/>
        </w:rPr>
        <w:t>（联合体）</w:t>
      </w:r>
      <w:r>
        <w:rPr>
          <w:rFonts w:hint="eastAsia" w:ascii="宋体" w:hAnsi="宋体" w:eastAsia="宋体" w:cs="仿宋"/>
          <w:kern w:val="0"/>
          <w:sz w:val="24"/>
          <w:szCs w:val="24"/>
        </w:rPr>
        <w:t>参加</w:t>
      </w:r>
      <w:r>
        <w:rPr>
          <w:rFonts w:hint="eastAsia" w:ascii="宋体" w:hAnsi="宋体" w:eastAsia="宋体" w:cs="仿宋"/>
          <w:kern w:val="0"/>
          <w:sz w:val="24"/>
          <w:szCs w:val="24"/>
          <w:u w:val="single"/>
        </w:rPr>
        <w:t>（单位名称）</w:t>
      </w:r>
      <w:r>
        <w:rPr>
          <w:rFonts w:hint="eastAsia" w:ascii="宋体" w:hAnsi="宋体" w:eastAsia="宋体" w:cs="仿宋"/>
          <w:kern w:val="0"/>
          <w:sz w:val="24"/>
          <w:szCs w:val="24"/>
        </w:rPr>
        <w:t>的</w:t>
      </w:r>
      <w:r>
        <w:rPr>
          <w:rFonts w:hint="eastAsia" w:ascii="宋体" w:hAnsi="宋体" w:eastAsia="宋体" w:cs="仿宋"/>
          <w:kern w:val="0"/>
          <w:sz w:val="24"/>
          <w:szCs w:val="24"/>
          <w:u w:val="single"/>
        </w:rPr>
        <w:t>（项目名称）</w:t>
      </w:r>
      <w:r>
        <w:rPr>
          <w:rFonts w:hint="eastAsia" w:ascii="宋体" w:hAnsi="宋体" w:eastAsia="宋体" w:cs="仿宋"/>
          <w:kern w:val="0"/>
          <w:sz w:val="24"/>
          <w:szCs w:val="24"/>
        </w:rPr>
        <w:t>采购活动，提供的货物全部由符合政策要求的中小企业制造。相关企业（含联合体中的中小企业、签订分包意向协议的中小企业）的具体情况如下：</w:t>
      </w:r>
    </w:p>
    <w:p w14:paraId="57C62A58">
      <w:pPr>
        <w:spacing w:line="588" w:lineRule="exact"/>
        <w:ind w:firstLine="480" w:firstLineChars="200"/>
        <w:rPr>
          <w:rFonts w:ascii="宋体" w:hAnsi="宋体" w:eastAsia="宋体" w:cs="仿宋"/>
          <w:kern w:val="0"/>
          <w:sz w:val="24"/>
          <w:szCs w:val="24"/>
        </w:rPr>
      </w:pPr>
      <w:r>
        <w:rPr>
          <w:rFonts w:hint="eastAsia" w:ascii="宋体" w:hAnsi="宋体" w:eastAsia="宋体" w:cs="仿宋"/>
          <w:kern w:val="0"/>
          <w:sz w:val="24"/>
          <w:szCs w:val="24"/>
        </w:rPr>
        <w:t xml:space="preserve">1. </w:t>
      </w:r>
      <w:r>
        <w:rPr>
          <w:rFonts w:hint="eastAsia" w:ascii="宋体" w:hAnsi="宋体" w:eastAsia="宋体" w:cs="仿宋"/>
          <w:kern w:val="0"/>
          <w:sz w:val="24"/>
          <w:szCs w:val="24"/>
          <w:u w:val="single"/>
        </w:rPr>
        <w:t xml:space="preserve">（标的名称） </w:t>
      </w:r>
      <w:r>
        <w:rPr>
          <w:rFonts w:hint="eastAsia" w:ascii="宋体" w:hAnsi="宋体" w:eastAsia="宋体" w:cs="仿宋"/>
          <w:kern w:val="0"/>
          <w:sz w:val="24"/>
          <w:szCs w:val="24"/>
        </w:rPr>
        <w:t>，属于</w:t>
      </w:r>
      <w:r>
        <w:rPr>
          <w:rFonts w:hint="eastAsia" w:ascii="宋体" w:hAnsi="宋体" w:eastAsia="宋体" w:cs="仿宋"/>
          <w:kern w:val="0"/>
          <w:sz w:val="24"/>
          <w:szCs w:val="24"/>
          <w:u w:val="single"/>
        </w:rPr>
        <w:t>（采购文件中明确的所属行业）</w:t>
      </w:r>
      <w:r>
        <w:rPr>
          <w:rFonts w:hint="eastAsia" w:ascii="宋体" w:hAnsi="宋体" w:eastAsia="宋体" w:cs="仿宋"/>
          <w:kern w:val="0"/>
          <w:sz w:val="24"/>
          <w:szCs w:val="24"/>
        </w:rPr>
        <w:t>行业；制造商为</w:t>
      </w:r>
      <w:r>
        <w:rPr>
          <w:rFonts w:hint="eastAsia" w:ascii="宋体" w:hAnsi="宋体" w:eastAsia="宋体" w:cs="仿宋"/>
          <w:kern w:val="0"/>
          <w:sz w:val="24"/>
          <w:szCs w:val="24"/>
          <w:u w:val="single"/>
        </w:rPr>
        <w:t>（企业名称）</w:t>
      </w:r>
      <w:r>
        <w:rPr>
          <w:rFonts w:hint="eastAsia" w:ascii="宋体" w:hAnsi="宋体" w:eastAsia="宋体" w:cs="仿宋"/>
          <w:kern w:val="0"/>
          <w:sz w:val="24"/>
          <w:szCs w:val="24"/>
        </w:rPr>
        <w:t>，从业人员</w:t>
      </w:r>
      <w:r>
        <w:rPr>
          <w:rFonts w:hint="eastAsia" w:ascii="宋体" w:hAnsi="宋体" w:eastAsia="宋体" w:cs="仿宋"/>
          <w:kern w:val="0"/>
          <w:sz w:val="24"/>
          <w:szCs w:val="24"/>
          <w:u w:val="single"/>
        </w:rPr>
        <w:t xml:space="preserve">  /  </w:t>
      </w:r>
      <w:r>
        <w:rPr>
          <w:rFonts w:hint="eastAsia" w:ascii="宋体" w:hAnsi="宋体" w:eastAsia="宋体" w:cs="仿宋"/>
          <w:kern w:val="0"/>
          <w:sz w:val="24"/>
          <w:szCs w:val="24"/>
        </w:rPr>
        <w:t xml:space="preserve"> 人，营业收入为</w:t>
      </w:r>
      <w:r>
        <w:rPr>
          <w:rFonts w:hint="eastAsia" w:ascii="宋体" w:hAnsi="宋体" w:eastAsia="宋体" w:cs="仿宋"/>
          <w:kern w:val="0"/>
          <w:sz w:val="24"/>
          <w:szCs w:val="24"/>
          <w:u w:val="single"/>
        </w:rPr>
        <w:t xml:space="preserve">  /  </w:t>
      </w:r>
      <w:r>
        <w:rPr>
          <w:rFonts w:hint="eastAsia" w:ascii="宋体" w:hAnsi="宋体" w:eastAsia="宋体" w:cs="仿宋"/>
          <w:kern w:val="0"/>
          <w:sz w:val="24"/>
          <w:szCs w:val="24"/>
        </w:rPr>
        <w:t>万元，资产总额为</w:t>
      </w:r>
      <w:r>
        <w:rPr>
          <w:rFonts w:hint="eastAsia" w:ascii="宋体" w:hAnsi="宋体" w:eastAsia="宋体" w:cs="仿宋"/>
          <w:kern w:val="0"/>
          <w:sz w:val="24"/>
          <w:szCs w:val="24"/>
          <w:u w:val="single"/>
        </w:rPr>
        <w:t xml:space="preserve">  /  </w:t>
      </w:r>
      <w:r>
        <w:rPr>
          <w:rFonts w:hint="eastAsia" w:ascii="宋体" w:hAnsi="宋体" w:eastAsia="宋体" w:cs="仿宋"/>
          <w:kern w:val="0"/>
          <w:sz w:val="24"/>
          <w:szCs w:val="24"/>
        </w:rPr>
        <w:t>万元，属于</w:t>
      </w:r>
      <w:r>
        <w:rPr>
          <w:rFonts w:hint="eastAsia" w:ascii="宋体" w:hAnsi="宋体" w:eastAsia="宋体" w:cs="仿宋"/>
          <w:kern w:val="0"/>
          <w:sz w:val="24"/>
          <w:szCs w:val="24"/>
          <w:u w:val="single"/>
        </w:rPr>
        <w:t>（中型企业、小型企业、微型企业）</w:t>
      </w:r>
      <w:r>
        <w:rPr>
          <w:rFonts w:hint="eastAsia" w:ascii="宋体" w:hAnsi="宋体" w:eastAsia="宋体" w:cs="仿宋"/>
          <w:kern w:val="0"/>
          <w:sz w:val="24"/>
          <w:szCs w:val="24"/>
        </w:rPr>
        <w:t>；</w:t>
      </w:r>
    </w:p>
    <w:p w14:paraId="10A6DCA1">
      <w:pPr>
        <w:spacing w:line="588" w:lineRule="exact"/>
        <w:ind w:firstLine="480" w:firstLineChars="200"/>
        <w:rPr>
          <w:rFonts w:ascii="宋体" w:hAnsi="宋体" w:eastAsia="宋体" w:cs="仿宋"/>
          <w:kern w:val="0"/>
          <w:sz w:val="24"/>
          <w:szCs w:val="24"/>
        </w:rPr>
      </w:pPr>
      <w:r>
        <w:rPr>
          <w:rFonts w:hint="eastAsia" w:ascii="宋体" w:hAnsi="宋体" w:eastAsia="宋体" w:cs="仿宋"/>
          <w:kern w:val="0"/>
          <w:sz w:val="24"/>
          <w:szCs w:val="24"/>
        </w:rPr>
        <w:t xml:space="preserve">2. </w:t>
      </w:r>
      <w:r>
        <w:rPr>
          <w:rFonts w:hint="eastAsia" w:ascii="宋体" w:hAnsi="宋体" w:eastAsia="宋体" w:cs="仿宋"/>
          <w:kern w:val="0"/>
          <w:sz w:val="24"/>
          <w:szCs w:val="24"/>
          <w:u w:val="single"/>
        </w:rPr>
        <w:t xml:space="preserve">（标的名称） </w:t>
      </w:r>
      <w:r>
        <w:rPr>
          <w:rFonts w:hint="eastAsia" w:ascii="宋体" w:hAnsi="宋体" w:eastAsia="宋体" w:cs="仿宋"/>
          <w:kern w:val="0"/>
          <w:sz w:val="24"/>
          <w:szCs w:val="24"/>
        </w:rPr>
        <w:t>，属于</w:t>
      </w:r>
      <w:r>
        <w:rPr>
          <w:rFonts w:hint="eastAsia" w:ascii="宋体" w:hAnsi="宋体" w:eastAsia="宋体" w:cs="仿宋"/>
          <w:kern w:val="0"/>
          <w:sz w:val="24"/>
          <w:szCs w:val="24"/>
          <w:u w:val="single"/>
        </w:rPr>
        <w:t>（采购文件中明确的所属行业）</w:t>
      </w:r>
      <w:r>
        <w:rPr>
          <w:rFonts w:hint="eastAsia" w:ascii="宋体" w:hAnsi="宋体" w:eastAsia="宋体" w:cs="仿宋"/>
          <w:kern w:val="0"/>
          <w:sz w:val="24"/>
          <w:szCs w:val="24"/>
        </w:rPr>
        <w:t>行业；制造商为</w:t>
      </w:r>
      <w:r>
        <w:rPr>
          <w:rFonts w:hint="eastAsia" w:ascii="宋体" w:hAnsi="宋体" w:eastAsia="宋体" w:cs="仿宋"/>
          <w:kern w:val="0"/>
          <w:sz w:val="24"/>
          <w:szCs w:val="24"/>
          <w:u w:val="single"/>
        </w:rPr>
        <w:t>（企业名称）</w:t>
      </w:r>
      <w:r>
        <w:rPr>
          <w:rFonts w:hint="eastAsia" w:ascii="宋体" w:hAnsi="宋体" w:eastAsia="宋体" w:cs="仿宋"/>
          <w:kern w:val="0"/>
          <w:sz w:val="24"/>
          <w:szCs w:val="24"/>
        </w:rPr>
        <w:t>，从业人员</w:t>
      </w:r>
      <w:r>
        <w:rPr>
          <w:rFonts w:hint="eastAsia" w:ascii="宋体" w:hAnsi="宋体" w:eastAsia="宋体" w:cs="仿宋"/>
          <w:kern w:val="0"/>
          <w:sz w:val="24"/>
          <w:szCs w:val="24"/>
          <w:u w:val="single"/>
        </w:rPr>
        <w:t xml:space="preserve">  /  </w:t>
      </w:r>
      <w:r>
        <w:rPr>
          <w:rFonts w:hint="eastAsia" w:ascii="宋体" w:hAnsi="宋体" w:eastAsia="宋体" w:cs="仿宋"/>
          <w:kern w:val="0"/>
          <w:sz w:val="24"/>
          <w:szCs w:val="24"/>
        </w:rPr>
        <w:t xml:space="preserve"> 人，营业收入为</w:t>
      </w:r>
      <w:r>
        <w:rPr>
          <w:rFonts w:hint="eastAsia" w:ascii="宋体" w:hAnsi="宋体" w:eastAsia="宋体" w:cs="仿宋"/>
          <w:kern w:val="0"/>
          <w:sz w:val="24"/>
          <w:szCs w:val="24"/>
          <w:u w:val="single"/>
        </w:rPr>
        <w:t xml:space="preserve">  /  </w:t>
      </w:r>
      <w:r>
        <w:rPr>
          <w:rFonts w:hint="eastAsia" w:ascii="宋体" w:hAnsi="宋体" w:eastAsia="宋体" w:cs="仿宋"/>
          <w:kern w:val="0"/>
          <w:sz w:val="24"/>
          <w:szCs w:val="24"/>
        </w:rPr>
        <w:t>万元，资产总额为</w:t>
      </w:r>
      <w:r>
        <w:rPr>
          <w:rFonts w:hint="eastAsia" w:ascii="宋体" w:hAnsi="宋体" w:eastAsia="宋体" w:cs="仿宋"/>
          <w:kern w:val="0"/>
          <w:sz w:val="24"/>
          <w:szCs w:val="24"/>
          <w:u w:val="single"/>
        </w:rPr>
        <w:t xml:space="preserve">   / </w:t>
      </w:r>
      <w:r>
        <w:rPr>
          <w:rFonts w:hint="eastAsia" w:ascii="宋体" w:hAnsi="宋体" w:eastAsia="宋体" w:cs="仿宋"/>
          <w:kern w:val="0"/>
          <w:sz w:val="24"/>
          <w:szCs w:val="24"/>
        </w:rPr>
        <w:t>万元，属于</w:t>
      </w:r>
      <w:r>
        <w:rPr>
          <w:rFonts w:hint="eastAsia" w:ascii="宋体" w:hAnsi="宋体" w:eastAsia="宋体" w:cs="仿宋"/>
          <w:kern w:val="0"/>
          <w:sz w:val="24"/>
          <w:szCs w:val="24"/>
          <w:u w:val="single"/>
        </w:rPr>
        <w:t>（中型企业、小型企业、微型企业）</w:t>
      </w:r>
      <w:r>
        <w:rPr>
          <w:rFonts w:hint="eastAsia" w:ascii="宋体" w:hAnsi="宋体" w:eastAsia="宋体" w:cs="仿宋"/>
          <w:kern w:val="0"/>
          <w:sz w:val="24"/>
          <w:szCs w:val="24"/>
        </w:rPr>
        <w:t>；</w:t>
      </w:r>
    </w:p>
    <w:p w14:paraId="0A6A04B3">
      <w:pPr>
        <w:spacing w:line="588" w:lineRule="exact"/>
        <w:rPr>
          <w:rFonts w:ascii="宋体" w:hAnsi="宋体" w:eastAsia="宋体" w:cs="仿宋"/>
          <w:kern w:val="0"/>
          <w:sz w:val="24"/>
          <w:szCs w:val="24"/>
        </w:rPr>
      </w:pPr>
    </w:p>
    <w:p w14:paraId="36F99AE3">
      <w:pPr>
        <w:spacing w:line="588" w:lineRule="exact"/>
        <w:rPr>
          <w:rFonts w:ascii="宋体" w:hAnsi="宋体" w:eastAsia="宋体" w:cs="仿宋"/>
          <w:kern w:val="0"/>
          <w:sz w:val="24"/>
          <w:szCs w:val="24"/>
        </w:rPr>
      </w:pPr>
      <w:r>
        <w:rPr>
          <w:rFonts w:hint="eastAsia" w:ascii="宋体" w:hAnsi="宋体" w:eastAsia="宋体" w:cs="仿宋"/>
          <w:kern w:val="0"/>
          <w:sz w:val="24"/>
          <w:szCs w:val="24"/>
        </w:rPr>
        <w:t>……</w:t>
      </w:r>
    </w:p>
    <w:p w14:paraId="669E2242">
      <w:pPr>
        <w:spacing w:line="588" w:lineRule="exact"/>
        <w:ind w:firstLine="480" w:firstLineChars="200"/>
        <w:rPr>
          <w:rFonts w:ascii="宋体" w:hAnsi="宋体" w:eastAsia="宋体" w:cs="仿宋"/>
          <w:kern w:val="0"/>
          <w:sz w:val="24"/>
          <w:szCs w:val="24"/>
        </w:rPr>
      </w:pPr>
      <w:r>
        <w:rPr>
          <w:rFonts w:hint="eastAsia" w:ascii="宋体" w:hAnsi="宋体" w:eastAsia="宋体" w:cs="仿宋"/>
          <w:kern w:val="0"/>
          <w:sz w:val="24"/>
          <w:szCs w:val="24"/>
        </w:rPr>
        <w:t>以上企业，不属于大企业的分支机构，不存在控股股东为大企业的情形，也不存在与大企业的负责人为同一人的情形。</w:t>
      </w:r>
    </w:p>
    <w:p w14:paraId="32BC32DB">
      <w:pPr>
        <w:spacing w:line="588" w:lineRule="exact"/>
        <w:ind w:firstLine="480" w:firstLineChars="200"/>
        <w:rPr>
          <w:rFonts w:ascii="宋体" w:hAnsi="宋体" w:eastAsia="宋体" w:cs="仿宋"/>
          <w:kern w:val="0"/>
          <w:sz w:val="24"/>
          <w:szCs w:val="24"/>
        </w:rPr>
      </w:pPr>
      <w:r>
        <w:rPr>
          <w:rFonts w:hint="eastAsia" w:ascii="宋体" w:hAnsi="宋体" w:eastAsia="宋体" w:cs="仿宋"/>
          <w:kern w:val="0"/>
          <w:sz w:val="24"/>
          <w:szCs w:val="24"/>
        </w:rPr>
        <w:t>本企业对上述声明内容的真实性负责。如有虚假，将依法承担相应责任。</w:t>
      </w:r>
    </w:p>
    <w:p w14:paraId="074F95B6">
      <w:pPr>
        <w:spacing w:line="588" w:lineRule="exact"/>
        <w:ind w:firstLine="480" w:firstLineChars="200"/>
        <w:rPr>
          <w:rFonts w:ascii="宋体" w:hAnsi="宋体" w:eastAsia="宋体" w:cs="仿宋"/>
          <w:kern w:val="0"/>
          <w:sz w:val="24"/>
          <w:szCs w:val="24"/>
        </w:rPr>
      </w:pPr>
    </w:p>
    <w:p w14:paraId="575F1844">
      <w:pPr>
        <w:spacing w:line="588" w:lineRule="exact"/>
        <w:ind w:right="480"/>
        <w:jc w:val="center"/>
        <w:rPr>
          <w:rFonts w:ascii="宋体" w:hAnsi="宋体" w:eastAsia="宋体" w:cs="仿宋"/>
          <w:kern w:val="0"/>
          <w:sz w:val="24"/>
          <w:szCs w:val="24"/>
        </w:rPr>
      </w:pPr>
      <w:r>
        <w:rPr>
          <w:rFonts w:hint="eastAsia" w:ascii="宋体" w:hAnsi="宋体" w:eastAsia="宋体" w:cs="仿宋"/>
          <w:kern w:val="0"/>
          <w:sz w:val="24"/>
          <w:szCs w:val="24"/>
        </w:rPr>
        <w:t xml:space="preserve">                                         企业名称（盖章）：</w:t>
      </w:r>
    </w:p>
    <w:p w14:paraId="3EC3B3C3">
      <w:pPr>
        <w:spacing w:line="588" w:lineRule="exact"/>
        <w:ind w:right="480" w:firstLine="6240" w:firstLineChars="2600"/>
        <w:rPr>
          <w:rFonts w:ascii="宋体" w:hAnsi="宋体" w:eastAsia="宋体" w:cs="仿宋"/>
          <w:kern w:val="0"/>
          <w:sz w:val="24"/>
          <w:szCs w:val="24"/>
        </w:rPr>
      </w:pPr>
      <w:r>
        <w:rPr>
          <w:rFonts w:hint="eastAsia" w:ascii="宋体" w:hAnsi="宋体" w:eastAsia="宋体" w:cs="仿宋"/>
          <w:kern w:val="0"/>
          <w:sz w:val="24"/>
          <w:szCs w:val="24"/>
        </w:rPr>
        <w:t>日期：</w:t>
      </w:r>
    </w:p>
    <w:p w14:paraId="7E2D4ECC">
      <w:pPr>
        <w:spacing w:line="588" w:lineRule="exact"/>
        <w:ind w:right="480" w:firstLine="6240" w:firstLineChars="2600"/>
        <w:rPr>
          <w:rFonts w:ascii="宋体" w:hAnsi="宋体" w:eastAsia="宋体" w:cs="仿宋"/>
          <w:kern w:val="0"/>
          <w:sz w:val="24"/>
          <w:szCs w:val="24"/>
        </w:rPr>
      </w:pPr>
    </w:p>
    <w:p w14:paraId="2DC214CE">
      <w:pPr>
        <w:spacing w:line="588" w:lineRule="exact"/>
        <w:rPr>
          <w:rFonts w:ascii="宋体" w:hAnsi="宋体" w:eastAsia="宋体" w:cs="仿宋"/>
          <w:kern w:val="0"/>
          <w:szCs w:val="21"/>
        </w:rPr>
      </w:pPr>
      <w:r>
        <w:rPr>
          <w:rFonts w:hint="eastAsia" w:ascii="宋体" w:hAnsi="宋体" w:eastAsia="宋体" w:cs="仿宋"/>
          <w:kern w:val="0"/>
          <w:szCs w:val="21"/>
        </w:rPr>
        <w:t>注：人员、营业收入、资产总额填报上一年度数据，无上一年度数据的新成立企业可不填报。</w:t>
      </w:r>
    </w:p>
    <w:p w14:paraId="710830C4">
      <w:pPr>
        <w:spacing w:line="588" w:lineRule="exact"/>
        <w:rPr>
          <w:rFonts w:ascii="宋体" w:hAnsi="宋体" w:eastAsia="宋体" w:cs="仿宋"/>
          <w:spacing w:val="6"/>
          <w:sz w:val="24"/>
          <w:szCs w:val="24"/>
        </w:rPr>
      </w:pPr>
      <w:r>
        <w:rPr>
          <w:rStyle w:val="41"/>
          <w:rFonts w:hint="eastAsia" w:ascii="宋体" w:hAnsi="宋体" w:eastAsia="宋体" w:cs="仿宋"/>
          <w:kern w:val="0"/>
          <w:sz w:val="24"/>
          <w:szCs w:val="24"/>
        </w:rPr>
        <w:br w:type="page"/>
      </w:r>
      <w:r>
        <w:rPr>
          <w:rFonts w:hint="eastAsia" w:ascii="宋体" w:hAnsi="宋体" w:eastAsia="宋体" w:cs="仿宋"/>
          <w:b/>
          <w:kern w:val="0"/>
          <w:sz w:val="24"/>
          <w:szCs w:val="24"/>
        </w:rPr>
        <w:t>附表二、</w:t>
      </w:r>
    </w:p>
    <w:p w14:paraId="65832ECF">
      <w:pPr>
        <w:spacing w:line="360" w:lineRule="auto"/>
        <w:jc w:val="center"/>
        <w:rPr>
          <w:rFonts w:ascii="宋体" w:hAnsi="宋体" w:eastAsia="宋体" w:cs="仿宋"/>
          <w:b/>
          <w:spacing w:val="6"/>
          <w:sz w:val="24"/>
          <w:szCs w:val="24"/>
        </w:rPr>
      </w:pPr>
      <w:r>
        <w:rPr>
          <w:rFonts w:hint="eastAsia" w:ascii="宋体" w:hAnsi="宋体" w:eastAsia="宋体" w:cs="仿宋"/>
          <w:b/>
          <w:spacing w:val="6"/>
          <w:sz w:val="24"/>
          <w:szCs w:val="24"/>
        </w:rPr>
        <w:t>残疾人福利性单位声明函</w:t>
      </w:r>
    </w:p>
    <w:p w14:paraId="759D0C37">
      <w:pPr>
        <w:spacing w:line="360" w:lineRule="auto"/>
        <w:rPr>
          <w:rFonts w:ascii="宋体" w:hAnsi="宋体" w:eastAsia="宋体" w:cs="仿宋"/>
          <w:b/>
          <w:spacing w:val="6"/>
          <w:sz w:val="24"/>
          <w:szCs w:val="24"/>
        </w:rPr>
      </w:pPr>
    </w:p>
    <w:p w14:paraId="2AC604C1">
      <w:pPr>
        <w:spacing w:line="360" w:lineRule="auto"/>
        <w:ind w:firstLine="504" w:firstLineChars="200"/>
        <w:rPr>
          <w:rFonts w:ascii="宋体" w:hAnsi="宋体" w:eastAsia="宋体" w:cs="仿宋"/>
          <w:spacing w:val="6"/>
          <w:sz w:val="24"/>
          <w:szCs w:val="24"/>
        </w:rPr>
      </w:pPr>
      <w:r>
        <w:rPr>
          <w:rFonts w:hint="eastAsia" w:ascii="宋体" w:hAnsi="宋体" w:eastAsia="宋体" w:cs="仿宋"/>
          <w:spacing w:val="6"/>
          <w:sz w:val="24"/>
          <w:szCs w:val="24"/>
        </w:rPr>
        <w:t>本单位郑重声明，根据《财政部 民政部 中国残疾人联合会关于促进残疾人就业政府采购政策的通知》（财库</w:t>
      </w:r>
      <w:r>
        <w:rPr>
          <w:rFonts w:hint="eastAsia" w:ascii="宋体" w:hAnsi="宋体" w:eastAsia="宋体" w:cs="仿宋"/>
          <w:sz w:val="24"/>
          <w:szCs w:val="24"/>
        </w:rPr>
        <w:t>〔2017〕 141</w:t>
      </w:r>
      <w:r>
        <w:rPr>
          <w:rFonts w:hint="eastAsia" w:ascii="宋体" w:hAnsi="宋体" w:eastAsia="宋体" w:cs="仿宋"/>
          <w:spacing w:val="6"/>
          <w:sz w:val="24"/>
          <w:szCs w:val="24"/>
        </w:rPr>
        <w:t>号）的规定，本单位为符合条件的残疾人福利性单位，且本单位参加</w:t>
      </w:r>
      <w:r>
        <w:rPr>
          <w:rFonts w:hint="eastAsia" w:ascii="宋体" w:hAnsi="宋体" w:eastAsia="宋体" w:cs="仿宋"/>
          <w:spacing w:val="6"/>
          <w:sz w:val="24"/>
          <w:szCs w:val="24"/>
          <w:u w:val="single"/>
        </w:rPr>
        <w:t>___/___</w:t>
      </w:r>
      <w:r>
        <w:rPr>
          <w:rFonts w:hint="eastAsia" w:ascii="宋体" w:hAnsi="宋体" w:eastAsia="宋体" w:cs="仿宋"/>
          <w:spacing w:val="6"/>
          <w:sz w:val="24"/>
          <w:szCs w:val="24"/>
        </w:rPr>
        <w:t>单位的</w:t>
      </w:r>
      <w:r>
        <w:rPr>
          <w:rFonts w:hint="eastAsia" w:ascii="宋体" w:hAnsi="宋体" w:eastAsia="宋体" w:cs="仿宋"/>
          <w:spacing w:val="6"/>
          <w:sz w:val="24"/>
          <w:szCs w:val="24"/>
          <w:u w:val="single"/>
        </w:rPr>
        <w:t>___/___</w:t>
      </w:r>
      <w:r>
        <w:rPr>
          <w:rFonts w:hint="eastAsia" w:ascii="宋体" w:hAnsi="宋体" w:eastAsia="宋体" w:cs="仿宋"/>
          <w:spacing w:val="6"/>
          <w:sz w:val="24"/>
          <w:szCs w:val="24"/>
        </w:rPr>
        <w:t>项目采购活动提供本单位制造的货物（由本单位承担工程/提供服务），或者提供其他残疾人福利性单位制造的货物（不包括使用非残疾人福利性单位注册商标的货物）。</w:t>
      </w:r>
    </w:p>
    <w:p w14:paraId="144C42A9">
      <w:pPr>
        <w:spacing w:line="360" w:lineRule="auto"/>
        <w:ind w:firstLine="504" w:firstLineChars="200"/>
        <w:rPr>
          <w:rFonts w:ascii="宋体" w:hAnsi="宋体" w:eastAsia="宋体" w:cs="仿宋"/>
          <w:spacing w:val="6"/>
          <w:sz w:val="24"/>
          <w:szCs w:val="24"/>
        </w:rPr>
      </w:pPr>
      <w:r>
        <w:rPr>
          <w:rFonts w:hint="eastAsia" w:ascii="宋体" w:hAnsi="宋体" w:eastAsia="宋体" w:cs="仿宋"/>
          <w:spacing w:val="6"/>
          <w:sz w:val="24"/>
          <w:szCs w:val="24"/>
        </w:rPr>
        <w:t>本单位对上述声明的真实性负责。如有虚假，将依法承担相应责任。</w:t>
      </w:r>
    </w:p>
    <w:p w14:paraId="7EBE1D53">
      <w:pPr>
        <w:spacing w:line="360" w:lineRule="auto"/>
        <w:ind w:firstLine="504" w:firstLineChars="200"/>
        <w:rPr>
          <w:rFonts w:ascii="宋体" w:hAnsi="宋体" w:eastAsia="宋体" w:cs="仿宋"/>
          <w:spacing w:val="6"/>
          <w:sz w:val="24"/>
          <w:szCs w:val="24"/>
        </w:rPr>
      </w:pPr>
    </w:p>
    <w:p w14:paraId="704C6CA0">
      <w:pPr>
        <w:spacing w:line="360" w:lineRule="auto"/>
        <w:ind w:firstLine="504" w:firstLineChars="200"/>
        <w:rPr>
          <w:rFonts w:ascii="宋体" w:hAnsi="宋体" w:eastAsia="宋体" w:cs="仿宋"/>
          <w:spacing w:val="6"/>
          <w:sz w:val="24"/>
          <w:szCs w:val="24"/>
        </w:rPr>
      </w:pPr>
    </w:p>
    <w:p w14:paraId="0640E8A5">
      <w:pPr>
        <w:tabs>
          <w:tab w:val="left" w:pos="4860"/>
        </w:tabs>
        <w:spacing w:line="360" w:lineRule="auto"/>
        <w:ind w:right="1560" w:firstLine="504" w:firstLineChars="200"/>
        <w:rPr>
          <w:rFonts w:ascii="宋体" w:hAnsi="宋体" w:eastAsia="宋体" w:cs="仿宋"/>
          <w:spacing w:val="6"/>
          <w:sz w:val="24"/>
          <w:szCs w:val="24"/>
        </w:rPr>
      </w:pPr>
      <w:r>
        <w:rPr>
          <w:rFonts w:hint="eastAsia" w:ascii="宋体" w:hAnsi="宋体" w:eastAsia="宋体" w:cs="仿宋"/>
          <w:spacing w:val="6"/>
          <w:sz w:val="24"/>
          <w:szCs w:val="24"/>
        </w:rPr>
        <w:t>单位名称（盖章）：</w:t>
      </w:r>
    </w:p>
    <w:p w14:paraId="313B7E3C">
      <w:pPr>
        <w:tabs>
          <w:tab w:val="left" w:pos="4860"/>
        </w:tabs>
        <w:spacing w:line="360" w:lineRule="auto"/>
        <w:ind w:right="1560" w:firstLine="504" w:firstLineChars="200"/>
        <w:jc w:val="center"/>
        <w:rPr>
          <w:rFonts w:ascii="宋体" w:hAnsi="宋体" w:eastAsia="宋体" w:cs="仿宋"/>
          <w:spacing w:val="6"/>
          <w:sz w:val="24"/>
          <w:szCs w:val="24"/>
        </w:rPr>
      </w:pPr>
      <w:r>
        <w:rPr>
          <w:rFonts w:hint="eastAsia" w:ascii="宋体" w:hAnsi="宋体" w:eastAsia="宋体" w:cs="仿宋"/>
          <w:spacing w:val="6"/>
          <w:sz w:val="24"/>
          <w:szCs w:val="24"/>
        </w:rPr>
        <w:t xml:space="preserve">                                           日  期：</w:t>
      </w:r>
    </w:p>
    <w:p w14:paraId="29007E06">
      <w:pPr>
        <w:spacing w:line="360" w:lineRule="auto"/>
        <w:rPr>
          <w:rFonts w:ascii="宋体" w:hAnsi="宋体" w:eastAsia="宋体" w:cs="仿宋"/>
          <w:sz w:val="24"/>
          <w:szCs w:val="24"/>
        </w:rPr>
      </w:pPr>
    </w:p>
    <w:p w14:paraId="3CA10C13">
      <w:pPr>
        <w:spacing w:line="360" w:lineRule="auto"/>
        <w:rPr>
          <w:rFonts w:ascii="宋体" w:hAnsi="宋体" w:eastAsia="宋体" w:cs="仿宋"/>
          <w:sz w:val="24"/>
          <w:szCs w:val="24"/>
        </w:rPr>
      </w:pPr>
    </w:p>
    <w:p w14:paraId="3DE3A5E5">
      <w:pPr>
        <w:spacing w:line="360" w:lineRule="auto"/>
        <w:rPr>
          <w:rFonts w:ascii="宋体" w:hAnsi="宋体" w:eastAsia="宋体" w:cs="仿宋"/>
          <w:sz w:val="24"/>
          <w:szCs w:val="24"/>
        </w:rPr>
      </w:pPr>
    </w:p>
    <w:p w14:paraId="0429F2F0">
      <w:pPr>
        <w:widowControl/>
        <w:spacing w:line="360" w:lineRule="auto"/>
        <w:jc w:val="left"/>
        <w:rPr>
          <w:rFonts w:ascii="宋体" w:hAnsi="宋体" w:eastAsia="宋体" w:cs="仿宋"/>
          <w:sz w:val="24"/>
          <w:szCs w:val="24"/>
        </w:rPr>
      </w:pPr>
      <w:r>
        <w:rPr>
          <w:rFonts w:hint="eastAsia" w:ascii="宋体" w:hAnsi="宋体" w:eastAsia="宋体" w:cs="仿宋"/>
          <w:b/>
          <w:kern w:val="0"/>
          <w:sz w:val="24"/>
          <w:szCs w:val="24"/>
        </w:rPr>
        <w:t>附表三、</w:t>
      </w:r>
    </w:p>
    <w:p w14:paraId="37A80597">
      <w:pPr>
        <w:spacing w:line="360" w:lineRule="auto"/>
        <w:jc w:val="center"/>
        <w:rPr>
          <w:rFonts w:ascii="宋体" w:hAnsi="宋体" w:eastAsia="宋体" w:cs="仿宋"/>
          <w:kern w:val="0"/>
          <w:sz w:val="24"/>
          <w:szCs w:val="24"/>
        </w:rPr>
      </w:pPr>
      <w:r>
        <w:rPr>
          <w:rFonts w:hint="eastAsia" w:ascii="宋体" w:hAnsi="宋体" w:eastAsia="宋体" w:cs="仿宋"/>
          <w:b/>
          <w:kern w:val="0"/>
          <w:sz w:val="24"/>
          <w:szCs w:val="24"/>
        </w:rPr>
        <w:t>监狱企业证明文件</w:t>
      </w:r>
    </w:p>
    <w:p w14:paraId="43036632">
      <w:pPr>
        <w:spacing w:line="360" w:lineRule="auto"/>
        <w:ind w:firstLine="504" w:firstLineChars="200"/>
        <w:rPr>
          <w:rFonts w:ascii="宋体" w:hAnsi="宋体" w:eastAsia="宋体" w:cs="仿宋"/>
          <w:spacing w:val="6"/>
          <w:sz w:val="24"/>
          <w:szCs w:val="24"/>
        </w:rPr>
      </w:pPr>
      <w:r>
        <w:rPr>
          <w:rFonts w:hint="eastAsia" w:ascii="宋体" w:hAnsi="宋体" w:eastAsia="宋体" w:cs="仿宋"/>
          <w:spacing w:val="6"/>
          <w:sz w:val="24"/>
          <w:szCs w:val="24"/>
        </w:rPr>
        <w:t>监狱企业参加政府采购活动时，应当提供由省级以上监狱管理局、戒毒管理局（含新疆生产建设兵团）出具的属于监狱企业的证明文件。</w:t>
      </w:r>
    </w:p>
    <w:p w14:paraId="18F25A45">
      <w:pPr>
        <w:widowControl/>
        <w:adjustRightInd w:val="0"/>
        <w:snapToGrid w:val="0"/>
        <w:spacing w:line="360" w:lineRule="auto"/>
        <w:rPr>
          <w:rFonts w:ascii="宋体" w:hAnsi="宋体" w:eastAsia="宋体" w:cs="仿宋"/>
          <w:sz w:val="24"/>
          <w:szCs w:val="24"/>
        </w:rPr>
      </w:pPr>
    </w:p>
    <w:p w14:paraId="16B64D7F">
      <w:pPr>
        <w:tabs>
          <w:tab w:val="center" w:pos="4832"/>
          <w:tab w:val="left" w:pos="7140"/>
        </w:tabs>
        <w:jc w:val="center"/>
        <w:outlineLvl w:val="1"/>
        <w:rPr>
          <w:rFonts w:ascii="宋体" w:hAnsi="宋体" w:eastAsia="宋体" w:cs="仿宋"/>
          <w:b/>
          <w:sz w:val="24"/>
          <w:szCs w:val="24"/>
        </w:rPr>
      </w:pPr>
      <w:r>
        <w:rPr>
          <w:rFonts w:hint="eastAsia" w:ascii="宋体" w:hAnsi="宋体" w:eastAsia="宋体" w:cs="仿宋"/>
          <w:b/>
          <w:sz w:val="24"/>
          <w:szCs w:val="24"/>
        </w:rPr>
        <w:br w:type="page"/>
      </w:r>
      <w:bookmarkStart w:id="151" w:name="_Toc110707972"/>
      <w:bookmarkStart w:id="152" w:name="_Toc130252627"/>
      <w:bookmarkStart w:id="153" w:name="_Toc200016483"/>
      <w:bookmarkStart w:id="154" w:name="_Toc109921165"/>
      <w:bookmarkStart w:id="155" w:name="_Toc109941772"/>
      <w:r>
        <w:rPr>
          <w:rFonts w:hint="eastAsia" w:ascii="宋体" w:hAnsi="宋体" w:eastAsia="宋体" w:cs="仿宋"/>
          <w:b/>
          <w:sz w:val="24"/>
          <w:szCs w:val="24"/>
        </w:rPr>
        <w:t>八、投标人近年类似项目情况表</w:t>
      </w:r>
      <w:bookmarkEnd w:id="151"/>
      <w:bookmarkEnd w:id="152"/>
      <w:bookmarkEnd w:id="153"/>
      <w:bookmarkEnd w:id="154"/>
      <w:bookmarkEnd w:id="155"/>
    </w:p>
    <w:p w14:paraId="686ABD72">
      <w:pPr>
        <w:spacing w:line="360" w:lineRule="auto"/>
        <w:jc w:val="left"/>
        <w:rPr>
          <w:rFonts w:ascii="宋体" w:hAnsi="宋体" w:eastAsia="宋体" w:cs="仿宋"/>
          <w:sz w:val="24"/>
          <w:szCs w:val="24"/>
        </w:rPr>
      </w:pPr>
    </w:p>
    <w:tbl>
      <w:tblPr>
        <w:tblStyle w:val="3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97"/>
        <w:gridCol w:w="1233"/>
        <w:gridCol w:w="963"/>
        <w:gridCol w:w="1922"/>
        <w:gridCol w:w="1212"/>
        <w:gridCol w:w="1232"/>
        <w:gridCol w:w="1232"/>
        <w:gridCol w:w="795"/>
      </w:tblGrid>
      <w:tr w14:paraId="1E82F4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182CE326">
            <w:pPr>
              <w:rPr>
                <w:rFonts w:ascii="宋体" w:hAnsi="宋体" w:eastAsia="宋体" w:cs="仿宋"/>
                <w:kern w:val="0"/>
                <w:szCs w:val="21"/>
              </w:rPr>
            </w:pPr>
            <w:r>
              <w:rPr>
                <w:rFonts w:hint="eastAsia" w:ascii="宋体" w:hAnsi="宋体" w:eastAsia="宋体" w:cs="仿宋"/>
                <w:kern w:val="0"/>
                <w:szCs w:val="21"/>
              </w:rPr>
              <w:t>序号</w:t>
            </w:r>
          </w:p>
        </w:tc>
        <w:tc>
          <w:tcPr>
            <w:tcW w:w="1233" w:type="dxa"/>
            <w:shd w:val="clear" w:color="auto" w:fill="auto"/>
          </w:tcPr>
          <w:p w14:paraId="2623AFAB">
            <w:pPr>
              <w:rPr>
                <w:rFonts w:ascii="宋体" w:hAnsi="宋体" w:eastAsia="宋体" w:cs="仿宋"/>
                <w:kern w:val="0"/>
                <w:szCs w:val="21"/>
              </w:rPr>
            </w:pPr>
            <w:r>
              <w:rPr>
                <w:rFonts w:hint="eastAsia" w:ascii="宋体" w:hAnsi="宋体" w:eastAsia="宋体" w:cs="仿宋"/>
                <w:kern w:val="0"/>
                <w:szCs w:val="21"/>
              </w:rPr>
              <w:t>项目名称</w:t>
            </w:r>
          </w:p>
        </w:tc>
        <w:tc>
          <w:tcPr>
            <w:tcW w:w="963" w:type="dxa"/>
            <w:shd w:val="clear" w:color="auto" w:fill="auto"/>
          </w:tcPr>
          <w:p w14:paraId="7542F9A9">
            <w:pPr>
              <w:rPr>
                <w:rFonts w:ascii="宋体" w:hAnsi="宋体" w:eastAsia="宋体" w:cs="仿宋"/>
                <w:kern w:val="0"/>
                <w:szCs w:val="21"/>
              </w:rPr>
            </w:pPr>
            <w:r>
              <w:rPr>
                <w:rFonts w:hint="eastAsia" w:ascii="宋体" w:hAnsi="宋体" w:eastAsia="宋体" w:cs="仿宋"/>
                <w:kern w:val="0"/>
                <w:szCs w:val="21"/>
              </w:rPr>
              <w:t>采购人</w:t>
            </w:r>
          </w:p>
        </w:tc>
        <w:tc>
          <w:tcPr>
            <w:tcW w:w="1922" w:type="dxa"/>
            <w:shd w:val="clear" w:color="auto" w:fill="auto"/>
          </w:tcPr>
          <w:p w14:paraId="3C45981A">
            <w:pPr>
              <w:rPr>
                <w:rFonts w:ascii="宋体" w:hAnsi="宋体" w:eastAsia="宋体" w:cs="仿宋"/>
                <w:kern w:val="0"/>
                <w:szCs w:val="21"/>
              </w:rPr>
            </w:pPr>
            <w:r>
              <w:rPr>
                <w:rFonts w:hint="eastAsia" w:ascii="宋体" w:hAnsi="宋体" w:eastAsia="宋体" w:cs="仿宋"/>
                <w:kern w:val="0"/>
                <w:szCs w:val="21"/>
              </w:rPr>
              <w:t>采购人联系方式</w:t>
            </w:r>
          </w:p>
        </w:tc>
        <w:tc>
          <w:tcPr>
            <w:tcW w:w="1212" w:type="dxa"/>
            <w:shd w:val="clear" w:color="auto" w:fill="auto"/>
          </w:tcPr>
          <w:p w14:paraId="058EF4E0">
            <w:pPr>
              <w:rPr>
                <w:rFonts w:ascii="宋体" w:hAnsi="宋体" w:eastAsia="宋体" w:cs="仿宋"/>
                <w:kern w:val="0"/>
                <w:szCs w:val="21"/>
              </w:rPr>
            </w:pPr>
            <w:r>
              <w:rPr>
                <w:rFonts w:hint="eastAsia" w:ascii="宋体" w:hAnsi="宋体" w:eastAsia="宋体" w:cs="仿宋"/>
                <w:kern w:val="0"/>
                <w:szCs w:val="21"/>
              </w:rPr>
              <w:t>合同内容</w:t>
            </w:r>
          </w:p>
        </w:tc>
        <w:tc>
          <w:tcPr>
            <w:tcW w:w="1232" w:type="dxa"/>
            <w:shd w:val="clear" w:color="auto" w:fill="auto"/>
          </w:tcPr>
          <w:p w14:paraId="79123785">
            <w:pPr>
              <w:rPr>
                <w:rFonts w:ascii="宋体" w:hAnsi="宋体" w:eastAsia="宋体" w:cs="仿宋"/>
                <w:kern w:val="0"/>
                <w:szCs w:val="21"/>
              </w:rPr>
            </w:pPr>
            <w:r>
              <w:rPr>
                <w:rFonts w:hint="eastAsia" w:ascii="宋体" w:hAnsi="宋体" w:eastAsia="宋体" w:cs="仿宋"/>
                <w:kern w:val="0"/>
                <w:szCs w:val="21"/>
              </w:rPr>
              <w:t>合同价格</w:t>
            </w:r>
          </w:p>
        </w:tc>
        <w:tc>
          <w:tcPr>
            <w:tcW w:w="1232" w:type="dxa"/>
            <w:shd w:val="clear" w:color="auto" w:fill="auto"/>
          </w:tcPr>
          <w:p w14:paraId="2B256156">
            <w:pPr>
              <w:rPr>
                <w:rFonts w:ascii="宋体" w:hAnsi="宋体" w:eastAsia="宋体" w:cs="仿宋"/>
                <w:kern w:val="0"/>
                <w:szCs w:val="21"/>
              </w:rPr>
            </w:pPr>
            <w:r>
              <w:rPr>
                <w:rFonts w:hint="eastAsia" w:ascii="宋体" w:hAnsi="宋体" w:eastAsia="宋体" w:cs="仿宋"/>
                <w:kern w:val="0"/>
                <w:szCs w:val="21"/>
              </w:rPr>
              <w:t>签约日期</w:t>
            </w:r>
          </w:p>
        </w:tc>
        <w:tc>
          <w:tcPr>
            <w:tcW w:w="795" w:type="dxa"/>
            <w:shd w:val="clear" w:color="auto" w:fill="auto"/>
          </w:tcPr>
          <w:p w14:paraId="133F95B5">
            <w:pPr>
              <w:rPr>
                <w:rFonts w:ascii="宋体" w:hAnsi="宋体" w:eastAsia="宋体" w:cs="仿宋"/>
                <w:kern w:val="0"/>
                <w:szCs w:val="21"/>
              </w:rPr>
            </w:pPr>
            <w:r>
              <w:rPr>
                <w:rFonts w:hint="eastAsia" w:ascii="宋体" w:hAnsi="宋体" w:eastAsia="宋体" w:cs="仿宋"/>
                <w:kern w:val="0"/>
                <w:szCs w:val="21"/>
              </w:rPr>
              <w:t>备注</w:t>
            </w:r>
          </w:p>
        </w:tc>
      </w:tr>
      <w:tr w14:paraId="7919C6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4AB451C7">
            <w:pPr>
              <w:rPr>
                <w:rFonts w:ascii="宋体" w:hAnsi="宋体" w:eastAsia="宋体" w:cs="仿宋"/>
                <w:kern w:val="0"/>
                <w:szCs w:val="21"/>
              </w:rPr>
            </w:pPr>
          </w:p>
        </w:tc>
        <w:tc>
          <w:tcPr>
            <w:tcW w:w="1233" w:type="dxa"/>
            <w:shd w:val="clear" w:color="auto" w:fill="auto"/>
          </w:tcPr>
          <w:p w14:paraId="15734D67">
            <w:pPr>
              <w:rPr>
                <w:rFonts w:ascii="宋体" w:hAnsi="宋体" w:eastAsia="宋体" w:cs="仿宋"/>
                <w:kern w:val="0"/>
                <w:szCs w:val="21"/>
              </w:rPr>
            </w:pPr>
          </w:p>
        </w:tc>
        <w:tc>
          <w:tcPr>
            <w:tcW w:w="963" w:type="dxa"/>
            <w:shd w:val="clear" w:color="auto" w:fill="auto"/>
          </w:tcPr>
          <w:p w14:paraId="7FFF7C96">
            <w:pPr>
              <w:rPr>
                <w:rFonts w:ascii="宋体" w:hAnsi="宋体" w:eastAsia="宋体" w:cs="仿宋"/>
                <w:kern w:val="0"/>
                <w:szCs w:val="21"/>
              </w:rPr>
            </w:pPr>
          </w:p>
        </w:tc>
        <w:tc>
          <w:tcPr>
            <w:tcW w:w="1922" w:type="dxa"/>
            <w:shd w:val="clear" w:color="auto" w:fill="auto"/>
          </w:tcPr>
          <w:p w14:paraId="0698E627">
            <w:pPr>
              <w:rPr>
                <w:rFonts w:ascii="宋体" w:hAnsi="宋体" w:eastAsia="宋体" w:cs="仿宋"/>
                <w:kern w:val="0"/>
                <w:szCs w:val="21"/>
              </w:rPr>
            </w:pPr>
          </w:p>
        </w:tc>
        <w:tc>
          <w:tcPr>
            <w:tcW w:w="1212" w:type="dxa"/>
            <w:shd w:val="clear" w:color="auto" w:fill="auto"/>
          </w:tcPr>
          <w:p w14:paraId="3B69C491">
            <w:pPr>
              <w:rPr>
                <w:rFonts w:ascii="宋体" w:hAnsi="宋体" w:eastAsia="宋体" w:cs="仿宋"/>
                <w:kern w:val="0"/>
                <w:szCs w:val="21"/>
              </w:rPr>
            </w:pPr>
          </w:p>
        </w:tc>
        <w:tc>
          <w:tcPr>
            <w:tcW w:w="1232" w:type="dxa"/>
            <w:shd w:val="clear" w:color="auto" w:fill="auto"/>
          </w:tcPr>
          <w:p w14:paraId="026C60F3">
            <w:pPr>
              <w:rPr>
                <w:rFonts w:ascii="宋体" w:hAnsi="宋体" w:eastAsia="宋体" w:cs="仿宋"/>
                <w:kern w:val="0"/>
                <w:szCs w:val="21"/>
              </w:rPr>
            </w:pPr>
          </w:p>
        </w:tc>
        <w:tc>
          <w:tcPr>
            <w:tcW w:w="1232" w:type="dxa"/>
            <w:shd w:val="clear" w:color="auto" w:fill="auto"/>
          </w:tcPr>
          <w:p w14:paraId="1FF8424A">
            <w:pPr>
              <w:rPr>
                <w:rFonts w:ascii="宋体" w:hAnsi="宋体" w:eastAsia="宋体" w:cs="仿宋"/>
                <w:kern w:val="0"/>
                <w:szCs w:val="21"/>
              </w:rPr>
            </w:pPr>
          </w:p>
        </w:tc>
        <w:tc>
          <w:tcPr>
            <w:tcW w:w="795" w:type="dxa"/>
            <w:shd w:val="clear" w:color="auto" w:fill="auto"/>
          </w:tcPr>
          <w:p w14:paraId="121217B2">
            <w:pPr>
              <w:rPr>
                <w:rFonts w:ascii="宋体" w:hAnsi="宋体" w:eastAsia="宋体" w:cs="仿宋"/>
                <w:kern w:val="0"/>
                <w:szCs w:val="21"/>
              </w:rPr>
            </w:pPr>
          </w:p>
        </w:tc>
      </w:tr>
      <w:tr w14:paraId="706548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48655CA9">
            <w:pPr>
              <w:rPr>
                <w:rFonts w:ascii="宋体" w:hAnsi="宋体" w:eastAsia="宋体" w:cs="仿宋"/>
                <w:kern w:val="0"/>
                <w:szCs w:val="21"/>
              </w:rPr>
            </w:pPr>
          </w:p>
        </w:tc>
        <w:tc>
          <w:tcPr>
            <w:tcW w:w="1233" w:type="dxa"/>
            <w:shd w:val="clear" w:color="auto" w:fill="auto"/>
          </w:tcPr>
          <w:p w14:paraId="184BCB3E">
            <w:pPr>
              <w:rPr>
                <w:rFonts w:ascii="宋体" w:hAnsi="宋体" w:eastAsia="宋体" w:cs="仿宋"/>
                <w:kern w:val="0"/>
                <w:szCs w:val="21"/>
              </w:rPr>
            </w:pPr>
          </w:p>
        </w:tc>
        <w:tc>
          <w:tcPr>
            <w:tcW w:w="963" w:type="dxa"/>
            <w:shd w:val="clear" w:color="auto" w:fill="auto"/>
          </w:tcPr>
          <w:p w14:paraId="0052E895">
            <w:pPr>
              <w:rPr>
                <w:rFonts w:ascii="宋体" w:hAnsi="宋体" w:eastAsia="宋体" w:cs="仿宋"/>
                <w:kern w:val="0"/>
                <w:szCs w:val="21"/>
              </w:rPr>
            </w:pPr>
          </w:p>
        </w:tc>
        <w:tc>
          <w:tcPr>
            <w:tcW w:w="1922" w:type="dxa"/>
            <w:shd w:val="clear" w:color="auto" w:fill="auto"/>
          </w:tcPr>
          <w:p w14:paraId="32529B03">
            <w:pPr>
              <w:rPr>
                <w:rFonts w:ascii="宋体" w:hAnsi="宋体" w:eastAsia="宋体" w:cs="仿宋"/>
                <w:kern w:val="0"/>
                <w:szCs w:val="21"/>
              </w:rPr>
            </w:pPr>
          </w:p>
        </w:tc>
        <w:tc>
          <w:tcPr>
            <w:tcW w:w="1212" w:type="dxa"/>
            <w:shd w:val="clear" w:color="auto" w:fill="auto"/>
          </w:tcPr>
          <w:p w14:paraId="47E5169F">
            <w:pPr>
              <w:rPr>
                <w:rFonts w:ascii="宋体" w:hAnsi="宋体" w:eastAsia="宋体" w:cs="仿宋"/>
                <w:kern w:val="0"/>
                <w:szCs w:val="21"/>
              </w:rPr>
            </w:pPr>
          </w:p>
        </w:tc>
        <w:tc>
          <w:tcPr>
            <w:tcW w:w="1232" w:type="dxa"/>
            <w:shd w:val="clear" w:color="auto" w:fill="auto"/>
          </w:tcPr>
          <w:p w14:paraId="2DBB65EC">
            <w:pPr>
              <w:rPr>
                <w:rFonts w:ascii="宋体" w:hAnsi="宋体" w:eastAsia="宋体" w:cs="仿宋"/>
                <w:kern w:val="0"/>
                <w:szCs w:val="21"/>
              </w:rPr>
            </w:pPr>
          </w:p>
        </w:tc>
        <w:tc>
          <w:tcPr>
            <w:tcW w:w="1232" w:type="dxa"/>
            <w:shd w:val="clear" w:color="auto" w:fill="auto"/>
          </w:tcPr>
          <w:p w14:paraId="6BE6917B">
            <w:pPr>
              <w:rPr>
                <w:rFonts w:ascii="宋体" w:hAnsi="宋体" w:eastAsia="宋体" w:cs="仿宋"/>
                <w:kern w:val="0"/>
                <w:szCs w:val="21"/>
              </w:rPr>
            </w:pPr>
          </w:p>
        </w:tc>
        <w:tc>
          <w:tcPr>
            <w:tcW w:w="795" w:type="dxa"/>
            <w:shd w:val="clear" w:color="auto" w:fill="auto"/>
          </w:tcPr>
          <w:p w14:paraId="3DA4763A">
            <w:pPr>
              <w:rPr>
                <w:rFonts w:ascii="宋体" w:hAnsi="宋体" w:eastAsia="宋体" w:cs="仿宋"/>
                <w:kern w:val="0"/>
                <w:szCs w:val="21"/>
              </w:rPr>
            </w:pPr>
          </w:p>
        </w:tc>
      </w:tr>
      <w:tr w14:paraId="0CCB03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3237D33B">
            <w:pPr>
              <w:rPr>
                <w:rFonts w:ascii="宋体" w:hAnsi="宋体" w:eastAsia="宋体" w:cs="仿宋"/>
                <w:kern w:val="0"/>
                <w:szCs w:val="21"/>
              </w:rPr>
            </w:pPr>
          </w:p>
        </w:tc>
        <w:tc>
          <w:tcPr>
            <w:tcW w:w="1233" w:type="dxa"/>
            <w:shd w:val="clear" w:color="auto" w:fill="auto"/>
          </w:tcPr>
          <w:p w14:paraId="027D3947">
            <w:pPr>
              <w:rPr>
                <w:rFonts w:ascii="宋体" w:hAnsi="宋体" w:eastAsia="宋体" w:cs="仿宋"/>
                <w:kern w:val="0"/>
                <w:szCs w:val="21"/>
              </w:rPr>
            </w:pPr>
          </w:p>
        </w:tc>
        <w:tc>
          <w:tcPr>
            <w:tcW w:w="963" w:type="dxa"/>
            <w:shd w:val="clear" w:color="auto" w:fill="auto"/>
          </w:tcPr>
          <w:p w14:paraId="322F7A87">
            <w:pPr>
              <w:rPr>
                <w:rFonts w:ascii="宋体" w:hAnsi="宋体" w:eastAsia="宋体" w:cs="仿宋"/>
                <w:kern w:val="0"/>
                <w:szCs w:val="21"/>
              </w:rPr>
            </w:pPr>
          </w:p>
        </w:tc>
        <w:tc>
          <w:tcPr>
            <w:tcW w:w="1922" w:type="dxa"/>
            <w:shd w:val="clear" w:color="auto" w:fill="auto"/>
          </w:tcPr>
          <w:p w14:paraId="4D7EA013">
            <w:pPr>
              <w:rPr>
                <w:rFonts w:ascii="宋体" w:hAnsi="宋体" w:eastAsia="宋体" w:cs="仿宋"/>
                <w:kern w:val="0"/>
                <w:szCs w:val="21"/>
              </w:rPr>
            </w:pPr>
          </w:p>
        </w:tc>
        <w:tc>
          <w:tcPr>
            <w:tcW w:w="1212" w:type="dxa"/>
            <w:shd w:val="clear" w:color="auto" w:fill="auto"/>
          </w:tcPr>
          <w:p w14:paraId="3E56067F">
            <w:pPr>
              <w:rPr>
                <w:rFonts w:ascii="宋体" w:hAnsi="宋体" w:eastAsia="宋体" w:cs="仿宋"/>
                <w:kern w:val="0"/>
                <w:szCs w:val="21"/>
              </w:rPr>
            </w:pPr>
          </w:p>
        </w:tc>
        <w:tc>
          <w:tcPr>
            <w:tcW w:w="1232" w:type="dxa"/>
            <w:shd w:val="clear" w:color="auto" w:fill="auto"/>
          </w:tcPr>
          <w:p w14:paraId="52E06218">
            <w:pPr>
              <w:rPr>
                <w:rFonts w:ascii="宋体" w:hAnsi="宋体" w:eastAsia="宋体" w:cs="仿宋"/>
                <w:kern w:val="0"/>
                <w:szCs w:val="21"/>
              </w:rPr>
            </w:pPr>
          </w:p>
        </w:tc>
        <w:tc>
          <w:tcPr>
            <w:tcW w:w="1232" w:type="dxa"/>
            <w:shd w:val="clear" w:color="auto" w:fill="auto"/>
          </w:tcPr>
          <w:p w14:paraId="0A024EC5">
            <w:pPr>
              <w:rPr>
                <w:rFonts w:ascii="宋体" w:hAnsi="宋体" w:eastAsia="宋体" w:cs="仿宋"/>
                <w:kern w:val="0"/>
                <w:szCs w:val="21"/>
              </w:rPr>
            </w:pPr>
          </w:p>
        </w:tc>
        <w:tc>
          <w:tcPr>
            <w:tcW w:w="795" w:type="dxa"/>
            <w:shd w:val="clear" w:color="auto" w:fill="auto"/>
          </w:tcPr>
          <w:p w14:paraId="7F5876F0">
            <w:pPr>
              <w:rPr>
                <w:rFonts w:ascii="宋体" w:hAnsi="宋体" w:eastAsia="宋体" w:cs="仿宋"/>
                <w:kern w:val="0"/>
                <w:szCs w:val="21"/>
              </w:rPr>
            </w:pPr>
          </w:p>
        </w:tc>
      </w:tr>
      <w:tr w14:paraId="0B3D74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2D5AE9E3">
            <w:pPr>
              <w:rPr>
                <w:rFonts w:ascii="宋体" w:hAnsi="宋体" w:eastAsia="宋体" w:cs="仿宋"/>
                <w:kern w:val="0"/>
                <w:szCs w:val="21"/>
              </w:rPr>
            </w:pPr>
          </w:p>
        </w:tc>
        <w:tc>
          <w:tcPr>
            <w:tcW w:w="1233" w:type="dxa"/>
            <w:shd w:val="clear" w:color="auto" w:fill="auto"/>
          </w:tcPr>
          <w:p w14:paraId="5F78FC47">
            <w:pPr>
              <w:rPr>
                <w:rFonts w:ascii="宋体" w:hAnsi="宋体" w:eastAsia="宋体" w:cs="仿宋"/>
                <w:kern w:val="0"/>
                <w:szCs w:val="21"/>
              </w:rPr>
            </w:pPr>
          </w:p>
        </w:tc>
        <w:tc>
          <w:tcPr>
            <w:tcW w:w="963" w:type="dxa"/>
            <w:shd w:val="clear" w:color="auto" w:fill="auto"/>
          </w:tcPr>
          <w:p w14:paraId="45CE054B">
            <w:pPr>
              <w:rPr>
                <w:rFonts w:ascii="宋体" w:hAnsi="宋体" w:eastAsia="宋体" w:cs="仿宋"/>
                <w:kern w:val="0"/>
                <w:szCs w:val="21"/>
              </w:rPr>
            </w:pPr>
          </w:p>
        </w:tc>
        <w:tc>
          <w:tcPr>
            <w:tcW w:w="1922" w:type="dxa"/>
            <w:shd w:val="clear" w:color="auto" w:fill="auto"/>
          </w:tcPr>
          <w:p w14:paraId="27B1F30B">
            <w:pPr>
              <w:rPr>
                <w:rFonts w:ascii="宋体" w:hAnsi="宋体" w:eastAsia="宋体" w:cs="仿宋"/>
                <w:kern w:val="0"/>
                <w:szCs w:val="21"/>
              </w:rPr>
            </w:pPr>
          </w:p>
        </w:tc>
        <w:tc>
          <w:tcPr>
            <w:tcW w:w="1212" w:type="dxa"/>
            <w:shd w:val="clear" w:color="auto" w:fill="auto"/>
          </w:tcPr>
          <w:p w14:paraId="1A3BC679">
            <w:pPr>
              <w:rPr>
                <w:rFonts w:ascii="宋体" w:hAnsi="宋体" w:eastAsia="宋体" w:cs="仿宋"/>
                <w:kern w:val="0"/>
                <w:szCs w:val="21"/>
              </w:rPr>
            </w:pPr>
          </w:p>
        </w:tc>
        <w:tc>
          <w:tcPr>
            <w:tcW w:w="1232" w:type="dxa"/>
            <w:shd w:val="clear" w:color="auto" w:fill="auto"/>
          </w:tcPr>
          <w:p w14:paraId="6A4F7238">
            <w:pPr>
              <w:rPr>
                <w:rFonts w:ascii="宋体" w:hAnsi="宋体" w:eastAsia="宋体" w:cs="仿宋"/>
                <w:kern w:val="0"/>
                <w:szCs w:val="21"/>
              </w:rPr>
            </w:pPr>
          </w:p>
        </w:tc>
        <w:tc>
          <w:tcPr>
            <w:tcW w:w="1232" w:type="dxa"/>
            <w:shd w:val="clear" w:color="auto" w:fill="auto"/>
          </w:tcPr>
          <w:p w14:paraId="4B3FB1D9">
            <w:pPr>
              <w:rPr>
                <w:rFonts w:ascii="宋体" w:hAnsi="宋体" w:eastAsia="宋体" w:cs="仿宋"/>
                <w:kern w:val="0"/>
                <w:szCs w:val="21"/>
              </w:rPr>
            </w:pPr>
          </w:p>
        </w:tc>
        <w:tc>
          <w:tcPr>
            <w:tcW w:w="795" w:type="dxa"/>
            <w:shd w:val="clear" w:color="auto" w:fill="auto"/>
          </w:tcPr>
          <w:p w14:paraId="745B1712">
            <w:pPr>
              <w:rPr>
                <w:rFonts w:ascii="宋体" w:hAnsi="宋体" w:eastAsia="宋体" w:cs="仿宋"/>
                <w:kern w:val="0"/>
                <w:szCs w:val="21"/>
              </w:rPr>
            </w:pPr>
          </w:p>
        </w:tc>
      </w:tr>
      <w:tr w14:paraId="08F5E0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2D415684">
            <w:pPr>
              <w:rPr>
                <w:rFonts w:ascii="宋体" w:hAnsi="宋体" w:eastAsia="宋体" w:cs="仿宋"/>
                <w:kern w:val="0"/>
                <w:szCs w:val="21"/>
              </w:rPr>
            </w:pPr>
          </w:p>
        </w:tc>
        <w:tc>
          <w:tcPr>
            <w:tcW w:w="1233" w:type="dxa"/>
            <w:shd w:val="clear" w:color="auto" w:fill="auto"/>
          </w:tcPr>
          <w:p w14:paraId="270E6B4D">
            <w:pPr>
              <w:rPr>
                <w:rFonts w:ascii="宋体" w:hAnsi="宋体" w:eastAsia="宋体" w:cs="仿宋"/>
                <w:kern w:val="0"/>
                <w:szCs w:val="21"/>
              </w:rPr>
            </w:pPr>
          </w:p>
        </w:tc>
        <w:tc>
          <w:tcPr>
            <w:tcW w:w="963" w:type="dxa"/>
            <w:shd w:val="clear" w:color="auto" w:fill="auto"/>
          </w:tcPr>
          <w:p w14:paraId="42B201D3">
            <w:pPr>
              <w:rPr>
                <w:rFonts w:ascii="宋体" w:hAnsi="宋体" w:eastAsia="宋体" w:cs="仿宋"/>
                <w:kern w:val="0"/>
                <w:szCs w:val="21"/>
              </w:rPr>
            </w:pPr>
          </w:p>
        </w:tc>
        <w:tc>
          <w:tcPr>
            <w:tcW w:w="1922" w:type="dxa"/>
            <w:shd w:val="clear" w:color="auto" w:fill="auto"/>
          </w:tcPr>
          <w:p w14:paraId="2CFC7DB7">
            <w:pPr>
              <w:rPr>
                <w:rFonts w:ascii="宋体" w:hAnsi="宋体" w:eastAsia="宋体" w:cs="仿宋"/>
                <w:kern w:val="0"/>
                <w:szCs w:val="21"/>
              </w:rPr>
            </w:pPr>
          </w:p>
        </w:tc>
        <w:tc>
          <w:tcPr>
            <w:tcW w:w="1212" w:type="dxa"/>
            <w:shd w:val="clear" w:color="auto" w:fill="auto"/>
          </w:tcPr>
          <w:p w14:paraId="5C18734C">
            <w:pPr>
              <w:rPr>
                <w:rFonts w:ascii="宋体" w:hAnsi="宋体" w:eastAsia="宋体" w:cs="仿宋"/>
                <w:kern w:val="0"/>
                <w:szCs w:val="21"/>
              </w:rPr>
            </w:pPr>
          </w:p>
        </w:tc>
        <w:tc>
          <w:tcPr>
            <w:tcW w:w="1232" w:type="dxa"/>
            <w:shd w:val="clear" w:color="auto" w:fill="auto"/>
          </w:tcPr>
          <w:p w14:paraId="768657DD">
            <w:pPr>
              <w:rPr>
                <w:rFonts w:ascii="宋体" w:hAnsi="宋体" w:eastAsia="宋体" w:cs="仿宋"/>
                <w:kern w:val="0"/>
                <w:szCs w:val="21"/>
              </w:rPr>
            </w:pPr>
          </w:p>
        </w:tc>
        <w:tc>
          <w:tcPr>
            <w:tcW w:w="1232" w:type="dxa"/>
            <w:shd w:val="clear" w:color="auto" w:fill="auto"/>
          </w:tcPr>
          <w:p w14:paraId="5AB04C58">
            <w:pPr>
              <w:rPr>
                <w:rFonts w:ascii="宋体" w:hAnsi="宋体" w:eastAsia="宋体" w:cs="仿宋"/>
                <w:kern w:val="0"/>
                <w:szCs w:val="21"/>
              </w:rPr>
            </w:pPr>
          </w:p>
        </w:tc>
        <w:tc>
          <w:tcPr>
            <w:tcW w:w="795" w:type="dxa"/>
            <w:shd w:val="clear" w:color="auto" w:fill="auto"/>
          </w:tcPr>
          <w:p w14:paraId="0120CC68">
            <w:pPr>
              <w:rPr>
                <w:rFonts w:ascii="宋体" w:hAnsi="宋体" w:eastAsia="宋体" w:cs="仿宋"/>
                <w:kern w:val="0"/>
                <w:szCs w:val="21"/>
              </w:rPr>
            </w:pPr>
          </w:p>
        </w:tc>
      </w:tr>
    </w:tbl>
    <w:p w14:paraId="6EF5F850">
      <w:pPr>
        <w:tabs>
          <w:tab w:val="center" w:pos="4832"/>
          <w:tab w:val="left" w:pos="7140"/>
        </w:tabs>
        <w:jc w:val="left"/>
        <w:rPr>
          <w:rFonts w:ascii="宋体" w:hAnsi="宋体" w:eastAsia="宋体" w:cs="仿宋"/>
          <w:sz w:val="24"/>
          <w:szCs w:val="24"/>
        </w:rPr>
      </w:pPr>
    </w:p>
    <w:p w14:paraId="6AA5F3A7">
      <w:pPr>
        <w:tabs>
          <w:tab w:val="center" w:pos="4832"/>
          <w:tab w:val="left" w:pos="7140"/>
        </w:tabs>
        <w:spacing w:line="360" w:lineRule="auto"/>
        <w:jc w:val="left"/>
        <w:rPr>
          <w:rFonts w:ascii="宋体" w:hAnsi="宋体" w:eastAsia="宋体" w:cs="仿宋"/>
          <w:sz w:val="24"/>
          <w:szCs w:val="24"/>
        </w:rPr>
      </w:pPr>
      <w:r>
        <w:rPr>
          <w:rFonts w:hint="eastAsia" w:ascii="宋体" w:hAnsi="宋体" w:eastAsia="宋体" w:cs="仿宋"/>
          <w:sz w:val="24"/>
          <w:szCs w:val="24"/>
        </w:rPr>
        <w:t>备注：</w:t>
      </w:r>
    </w:p>
    <w:p w14:paraId="3EC53876">
      <w:pPr>
        <w:tabs>
          <w:tab w:val="center" w:pos="4832"/>
          <w:tab w:val="left" w:pos="7140"/>
        </w:tabs>
        <w:spacing w:line="360" w:lineRule="auto"/>
        <w:jc w:val="left"/>
        <w:rPr>
          <w:rFonts w:ascii="宋体" w:hAnsi="宋体" w:eastAsia="宋体" w:cs="仿宋"/>
          <w:sz w:val="24"/>
          <w:szCs w:val="24"/>
        </w:rPr>
      </w:pPr>
      <w:r>
        <w:rPr>
          <w:rFonts w:hint="eastAsia" w:ascii="宋体" w:hAnsi="宋体" w:eastAsia="宋体" w:cs="仿宋"/>
          <w:sz w:val="24"/>
          <w:szCs w:val="24"/>
        </w:rPr>
        <w:t>1、本表后须附类似业绩的证明资料（须提供中标通知书或合同）。</w:t>
      </w:r>
    </w:p>
    <w:p w14:paraId="4DC1305B">
      <w:pPr>
        <w:tabs>
          <w:tab w:val="center" w:pos="4832"/>
          <w:tab w:val="left" w:pos="7140"/>
        </w:tabs>
        <w:spacing w:line="360" w:lineRule="auto"/>
        <w:jc w:val="left"/>
        <w:rPr>
          <w:rFonts w:ascii="宋体" w:hAnsi="宋体" w:eastAsia="宋体" w:cs="仿宋"/>
          <w:sz w:val="24"/>
          <w:szCs w:val="24"/>
        </w:rPr>
      </w:pPr>
      <w:r>
        <w:rPr>
          <w:rFonts w:hint="eastAsia" w:ascii="宋体" w:hAnsi="宋体" w:eastAsia="宋体" w:cs="仿宋"/>
          <w:sz w:val="24"/>
          <w:szCs w:val="24"/>
        </w:rPr>
        <w:t>2、具体年份要求：2022年01月01日---至今 。</w:t>
      </w:r>
      <w:r>
        <w:rPr>
          <w:rFonts w:hint="eastAsia" w:ascii="宋体" w:hAnsi="宋体" w:eastAsia="宋体" w:cs="仿宋"/>
          <w:sz w:val="24"/>
          <w:szCs w:val="24"/>
        </w:rPr>
        <w:br w:type="page"/>
      </w:r>
      <w:bookmarkStart w:id="156" w:name="_Toc109921166"/>
      <w:bookmarkStart w:id="157" w:name="_Toc110707973"/>
      <w:bookmarkStart w:id="158" w:name="_Toc109941773"/>
      <w:bookmarkStart w:id="159" w:name="_Toc130252628"/>
    </w:p>
    <w:p w14:paraId="616E0884">
      <w:pPr>
        <w:tabs>
          <w:tab w:val="center" w:pos="4832"/>
          <w:tab w:val="left" w:pos="7140"/>
        </w:tabs>
        <w:jc w:val="left"/>
        <w:rPr>
          <w:rFonts w:ascii="宋体" w:hAnsi="宋体" w:eastAsia="宋体" w:cs="仿宋"/>
          <w:sz w:val="24"/>
          <w:szCs w:val="24"/>
        </w:rPr>
      </w:pPr>
    </w:p>
    <w:bookmarkEnd w:id="118"/>
    <w:bookmarkEnd w:id="156"/>
    <w:bookmarkEnd w:id="157"/>
    <w:bookmarkEnd w:id="158"/>
    <w:bookmarkEnd w:id="159"/>
    <w:p w14:paraId="7F5FB760">
      <w:pPr>
        <w:tabs>
          <w:tab w:val="center" w:pos="4832"/>
          <w:tab w:val="left" w:pos="7140"/>
        </w:tabs>
        <w:jc w:val="center"/>
        <w:outlineLvl w:val="1"/>
        <w:rPr>
          <w:rFonts w:ascii="宋体" w:hAnsi="宋体" w:eastAsia="宋体" w:cs="仿宋"/>
          <w:b/>
          <w:sz w:val="24"/>
          <w:szCs w:val="24"/>
        </w:rPr>
      </w:pPr>
      <w:bookmarkStart w:id="160" w:name="_Toc109941774"/>
      <w:bookmarkStart w:id="161" w:name="_Toc109921167"/>
      <w:bookmarkStart w:id="162" w:name="_Toc110707974"/>
      <w:bookmarkStart w:id="163" w:name="_Toc200016484"/>
      <w:bookmarkStart w:id="164" w:name="_Toc130252629"/>
      <w:r>
        <w:rPr>
          <w:rFonts w:hint="eastAsia" w:ascii="宋体" w:hAnsi="宋体" w:eastAsia="宋体" w:cs="仿宋"/>
          <w:b/>
          <w:sz w:val="24"/>
          <w:szCs w:val="24"/>
        </w:rPr>
        <w:t>九、技术方案</w:t>
      </w:r>
      <w:bookmarkEnd w:id="160"/>
      <w:bookmarkEnd w:id="161"/>
      <w:bookmarkEnd w:id="162"/>
      <w:bookmarkEnd w:id="163"/>
      <w:bookmarkEnd w:id="164"/>
    </w:p>
    <w:p w14:paraId="7AFAEB3A">
      <w:pPr>
        <w:spacing w:line="360" w:lineRule="auto"/>
        <w:ind w:firstLine="480" w:firstLineChars="200"/>
        <w:rPr>
          <w:rFonts w:ascii="宋体" w:hAnsi="宋体" w:eastAsia="宋体" w:cs="仿宋"/>
          <w:bCs/>
          <w:sz w:val="24"/>
          <w:szCs w:val="24"/>
        </w:rPr>
      </w:pPr>
      <w:bookmarkStart w:id="165" w:name="_Toc375218897"/>
    </w:p>
    <w:p w14:paraId="202ABE51">
      <w:pPr>
        <w:spacing w:line="360" w:lineRule="auto"/>
        <w:jc w:val="center"/>
        <w:rPr>
          <w:rFonts w:ascii="宋体" w:hAnsi="宋体" w:eastAsia="宋体" w:cs="仿宋"/>
          <w:sz w:val="24"/>
          <w:szCs w:val="24"/>
        </w:rPr>
      </w:pPr>
      <w:r>
        <w:rPr>
          <w:rFonts w:hint="eastAsia" w:ascii="宋体" w:hAnsi="宋体" w:eastAsia="宋体" w:cs="仿宋"/>
          <w:bCs/>
          <w:sz w:val="24"/>
          <w:szCs w:val="24"/>
        </w:rPr>
        <w:t>格式和内容</w:t>
      </w:r>
      <w:r>
        <w:rPr>
          <w:rFonts w:hint="eastAsia" w:ascii="宋体" w:hAnsi="宋体" w:eastAsia="宋体" w:cs="仿宋"/>
          <w:sz w:val="24"/>
          <w:szCs w:val="24"/>
        </w:rPr>
        <w:t>自行拟定</w:t>
      </w:r>
      <w:bookmarkStart w:id="166" w:name="_Toc375218899"/>
    </w:p>
    <w:p w14:paraId="4B7D9F83">
      <w:pPr>
        <w:spacing w:line="360" w:lineRule="auto"/>
        <w:ind w:firstLine="480" w:firstLineChars="200"/>
        <w:rPr>
          <w:rFonts w:ascii="宋体" w:hAnsi="宋体" w:eastAsia="宋体" w:cs="仿宋"/>
          <w:sz w:val="24"/>
          <w:szCs w:val="24"/>
        </w:rPr>
      </w:pPr>
    </w:p>
    <w:bookmarkEnd w:id="165"/>
    <w:bookmarkEnd w:id="166"/>
    <w:p w14:paraId="7A4DCD43">
      <w:pPr>
        <w:spacing w:line="360" w:lineRule="auto"/>
        <w:ind w:firstLine="480" w:firstLineChars="200"/>
        <w:rPr>
          <w:rFonts w:ascii="宋体" w:hAnsi="宋体" w:eastAsia="宋体" w:cs="仿宋"/>
          <w:sz w:val="24"/>
          <w:szCs w:val="24"/>
        </w:rPr>
      </w:pPr>
    </w:p>
    <w:p w14:paraId="15673F1E">
      <w:pPr>
        <w:spacing w:line="360" w:lineRule="auto"/>
        <w:ind w:firstLine="480" w:firstLineChars="200"/>
        <w:rPr>
          <w:rFonts w:ascii="宋体" w:hAnsi="宋体" w:eastAsia="宋体" w:cs="仿宋"/>
          <w:sz w:val="24"/>
          <w:szCs w:val="24"/>
        </w:rPr>
      </w:pPr>
    </w:p>
    <w:p w14:paraId="4CD2B04E">
      <w:pPr>
        <w:spacing w:line="360" w:lineRule="auto"/>
        <w:ind w:firstLine="480" w:firstLineChars="200"/>
        <w:rPr>
          <w:rFonts w:ascii="宋体" w:hAnsi="宋体" w:eastAsia="宋体" w:cs="仿宋"/>
          <w:sz w:val="24"/>
          <w:szCs w:val="24"/>
        </w:rPr>
      </w:pPr>
    </w:p>
    <w:p w14:paraId="1EA8F60A">
      <w:pPr>
        <w:tabs>
          <w:tab w:val="center" w:pos="4832"/>
          <w:tab w:val="left" w:pos="7140"/>
        </w:tabs>
        <w:jc w:val="center"/>
        <w:outlineLvl w:val="1"/>
        <w:rPr>
          <w:rFonts w:ascii="宋体" w:hAnsi="宋体" w:eastAsia="宋体" w:cs="仿宋"/>
          <w:b/>
          <w:sz w:val="24"/>
          <w:szCs w:val="24"/>
        </w:rPr>
      </w:pPr>
      <w:bookmarkStart w:id="167" w:name="_Toc130252630"/>
      <w:bookmarkStart w:id="168" w:name="_Toc109921168"/>
      <w:bookmarkStart w:id="169" w:name="_Toc110707975"/>
      <w:bookmarkStart w:id="170" w:name="_Toc200016485"/>
      <w:bookmarkStart w:id="171" w:name="_Toc109941775"/>
      <w:r>
        <w:rPr>
          <w:rFonts w:hint="eastAsia" w:ascii="宋体" w:hAnsi="宋体" w:eastAsia="宋体" w:cs="仿宋"/>
          <w:b/>
          <w:sz w:val="24"/>
          <w:szCs w:val="24"/>
        </w:rPr>
        <w:t>十、其它需要提交的资料</w:t>
      </w:r>
      <w:bookmarkEnd w:id="167"/>
      <w:bookmarkEnd w:id="168"/>
      <w:bookmarkEnd w:id="169"/>
      <w:bookmarkEnd w:id="170"/>
      <w:bookmarkEnd w:id="171"/>
    </w:p>
    <w:p w14:paraId="7EEF85C5">
      <w:pPr>
        <w:spacing w:line="360" w:lineRule="auto"/>
        <w:ind w:firstLine="480" w:firstLineChars="200"/>
        <w:rPr>
          <w:rFonts w:ascii="宋体" w:hAnsi="宋体" w:eastAsia="宋体" w:cs="仿宋"/>
          <w:sz w:val="24"/>
          <w:szCs w:val="24"/>
        </w:rPr>
      </w:pPr>
    </w:p>
    <w:p w14:paraId="28190CD8">
      <w:pPr>
        <w:spacing w:line="360" w:lineRule="auto"/>
        <w:ind w:firstLine="480" w:firstLineChars="200"/>
        <w:rPr>
          <w:rFonts w:ascii="宋体" w:hAnsi="宋体" w:eastAsia="宋体" w:cs="仿宋"/>
          <w:kern w:val="0"/>
          <w:sz w:val="24"/>
          <w:szCs w:val="24"/>
        </w:rPr>
      </w:pPr>
      <w:r>
        <w:rPr>
          <w:rFonts w:hint="eastAsia" w:ascii="宋体" w:hAnsi="宋体" w:eastAsia="宋体" w:cs="仿宋"/>
          <w:sz w:val="24"/>
          <w:szCs w:val="24"/>
        </w:rPr>
        <w:t>根据招标文件的要求和投标人认为需要提供的资料。</w:t>
      </w:r>
    </w:p>
    <w:p w14:paraId="6FFAA2C2">
      <w:pPr>
        <w:spacing w:line="360" w:lineRule="auto"/>
        <w:jc w:val="center"/>
        <w:outlineLvl w:val="0"/>
        <w:rPr>
          <w:rFonts w:ascii="宋体" w:hAnsi="宋体" w:eastAsia="宋体" w:cs="仿宋"/>
          <w:b/>
          <w:sz w:val="28"/>
          <w:szCs w:val="24"/>
        </w:rPr>
      </w:pPr>
      <w:r>
        <w:rPr>
          <w:rFonts w:hint="eastAsia" w:ascii="宋体" w:hAnsi="宋体" w:eastAsia="宋体" w:cs="仿宋"/>
        </w:rPr>
        <w:br w:type="page"/>
      </w:r>
      <w:bookmarkStart w:id="172" w:name="_Toc130252631"/>
      <w:bookmarkStart w:id="173" w:name="_Toc200016486"/>
      <w:bookmarkStart w:id="174" w:name="_Toc60925660"/>
      <w:r>
        <w:rPr>
          <w:rFonts w:hint="eastAsia" w:ascii="宋体" w:hAnsi="宋体" w:eastAsia="宋体" w:cs="仿宋"/>
          <w:b/>
          <w:sz w:val="28"/>
          <w:szCs w:val="24"/>
        </w:rPr>
        <w:t>第六章 补充条款</w:t>
      </w:r>
      <w:bookmarkEnd w:id="172"/>
      <w:bookmarkEnd w:id="173"/>
      <w:bookmarkEnd w:id="174"/>
    </w:p>
    <w:p w14:paraId="23811CAB">
      <w:pPr>
        <w:spacing w:line="360" w:lineRule="auto"/>
        <w:jc w:val="center"/>
        <w:outlineLvl w:val="1"/>
        <w:rPr>
          <w:rFonts w:ascii="宋体" w:hAnsi="宋体" w:eastAsia="宋体" w:cs="仿宋"/>
          <w:b/>
          <w:bCs/>
          <w:sz w:val="28"/>
          <w:szCs w:val="24"/>
        </w:rPr>
      </w:pPr>
      <w:bookmarkStart w:id="175" w:name="_Toc195271098"/>
      <w:bookmarkStart w:id="176" w:name="_Toc197514580"/>
      <w:bookmarkStart w:id="177" w:name="_Toc200016487"/>
      <w:r>
        <w:rPr>
          <w:rFonts w:hint="eastAsia" w:ascii="宋体" w:hAnsi="宋体" w:eastAsia="宋体" w:cs="仿宋"/>
          <w:b/>
          <w:bCs/>
          <w:sz w:val="28"/>
          <w:szCs w:val="24"/>
        </w:rPr>
        <w:t>质疑函范本</w:t>
      </w:r>
      <w:bookmarkEnd w:id="175"/>
      <w:bookmarkEnd w:id="176"/>
      <w:bookmarkEnd w:id="177"/>
    </w:p>
    <w:p w14:paraId="1B2531CF">
      <w:pPr>
        <w:adjustRightInd w:val="0"/>
        <w:snapToGrid w:val="0"/>
        <w:spacing w:before="240" w:beforeLines="100" w:line="360" w:lineRule="auto"/>
        <w:rPr>
          <w:rFonts w:ascii="黑体" w:hAnsi="黑体" w:eastAsia="黑体" w:cs="仿宋"/>
          <w:bCs/>
          <w:sz w:val="24"/>
          <w:szCs w:val="24"/>
        </w:rPr>
      </w:pPr>
      <w:r>
        <w:rPr>
          <w:rFonts w:hint="eastAsia" w:ascii="黑体" w:hAnsi="黑体" w:eastAsia="黑体" w:cs="仿宋"/>
          <w:bCs/>
          <w:sz w:val="24"/>
          <w:szCs w:val="24"/>
        </w:rPr>
        <w:t>一、质疑供应商基本信息</w:t>
      </w:r>
    </w:p>
    <w:p w14:paraId="77CFF620">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质疑供应商：</w:t>
      </w:r>
      <w:r>
        <w:rPr>
          <w:rFonts w:hint="eastAsia" w:ascii="仿宋" w:hAnsi="仿宋" w:eastAsia="仿宋" w:cs="仿宋"/>
          <w:sz w:val="24"/>
          <w:szCs w:val="24"/>
          <w:u w:val="dotted"/>
        </w:rPr>
        <w:t xml:space="preserve">                                        </w:t>
      </w:r>
    </w:p>
    <w:p w14:paraId="69E68B33">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dotted"/>
        </w:rPr>
        <w:t xml:space="preserve">                          </w:t>
      </w:r>
      <w:r>
        <w:rPr>
          <w:rFonts w:hint="eastAsia" w:ascii="仿宋" w:hAnsi="仿宋" w:eastAsia="仿宋" w:cs="仿宋"/>
          <w:sz w:val="24"/>
          <w:szCs w:val="24"/>
        </w:rPr>
        <w:t>邮编：</w:t>
      </w:r>
      <w:r>
        <w:rPr>
          <w:rFonts w:hint="eastAsia" w:ascii="仿宋" w:hAnsi="仿宋" w:eastAsia="仿宋" w:cs="仿宋"/>
          <w:sz w:val="24"/>
          <w:szCs w:val="24"/>
          <w:u w:val="dotted"/>
        </w:rPr>
        <w:t xml:space="preserve">                         </w:t>
      </w:r>
    </w:p>
    <w:p w14:paraId="3738B1B2">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联系人：</w:t>
      </w:r>
      <w:r>
        <w:rPr>
          <w:rFonts w:hint="eastAsia" w:ascii="仿宋" w:hAnsi="仿宋" w:eastAsia="仿宋" w:cs="仿宋"/>
          <w:sz w:val="24"/>
          <w:szCs w:val="24"/>
          <w:u w:val="dotted"/>
        </w:rPr>
        <w:t xml:space="preserve">                      </w:t>
      </w:r>
      <w:r>
        <w:rPr>
          <w:rFonts w:hint="eastAsia" w:ascii="仿宋" w:hAnsi="仿宋" w:eastAsia="仿宋" w:cs="仿宋"/>
          <w:sz w:val="24"/>
          <w:szCs w:val="24"/>
        </w:rPr>
        <w:t>联系电话：</w:t>
      </w:r>
      <w:r>
        <w:rPr>
          <w:rFonts w:hint="eastAsia" w:ascii="仿宋" w:hAnsi="仿宋" w:eastAsia="仿宋" w:cs="仿宋"/>
          <w:sz w:val="24"/>
          <w:szCs w:val="24"/>
          <w:u w:val="dotted"/>
        </w:rPr>
        <w:t xml:space="preserve">                       </w:t>
      </w:r>
    </w:p>
    <w:p w14:paraId="2D30BE27">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授权代表：</w:t>
      </w:r>
      <w:r>
        <w:rPr>
          <w:rFonts w:hint="eastAsia" w:ascii="仿宋" w:hAnsi="仿宋" w:eastAsia="仿宋" w:cs="仿宋"/>
          <w:sz w:val="24"/>
          <w:szCs w:val="24"/>
          <w:u w:val="dotted"/>
        </w:rPr>
        <w:t xml:space="preserve">                                          </w:t>
      </w:r>
    </w:p>
    <w:p w14:paraId="55BBF641">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联系电话：</w:t>
      </w:r>
      <w:r>
        <w:rPr>
          <w:rFonts w:hint="eastAsia" w:ascii="仿宋" w:hAnsi="仿宋" w:eastAsia="仿宋" w:cs="仿宋"/>
          <w:sz w:val="24"/>
          <w:szCs w:val="24"/>
          <w:u w:val="dotted"/>
        </w:rPr>
        <w:t xml:space="preserve">                                           </w:t>
      </w:r>
      <w:r>
        <w:rPr>
          <w:rFonts w:ascii="仿宋" w:hAnsi="仿宋" w:eastAsia="仿宋" w:cs="仿宋"/>
          <w:sz w:val="24"/>
          <w:szCs w:val="24"/>
        </w:rPr>
        <w:t xml:space="preserve"> </w:t>
      </w:r>
    </w:p>
    <w:p w14:paraId="404FB725">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地址：</w:t>
      </w:r>
      <w:r>
        <w:rPr>
          <w:rFonts w:ascii="仿宋" w:hAnsi="仿宋" w:eastAsia="仿宋" w:cs="仿宋"/>
          <w:sz w:val="24"/>
          <w:szCs w:val="24"/>
        </w:rPr>
        <w:t xml:space="preserve"> </w:t>
      </w:r>
      <w:r>
        <w:rPr>
          <w:rFonts w:hint="eastAsia" w:ascii="仿宋" w:hAnsi="仿宋" w:eastAsia="仿宋" w:cs="仿宋"/>
          <w:sz w:val="24"/>
          <w:szCs w:val="24"/>
          <w:u w:val="dotted"/>
        </w:rPr>
        <w:t xml:space="preserve">                        </w:t>
      </w:r>
      <w:r>
        <w:rPr>
          <w:rFonts w:hint="eastAsia" w:ascii="仿宋" w:hAnsi="仿宋" w:eastAsia="仿宋" w:cs="仿宋"/>
          <w:sz w:val="24"/>
          <w:szCs w:val="24"/>
        </w:rPr>
        <w:t>邮编：</w:t>
      </w:r>
      <w:r>
        <w:rPr>
          <w:rFonts w:hint="eastAsia" w:ascii="仿宋" w:hAnsi="仿宋" w:eastAsia="仿宋" w:cs="仿宋"/>
          <w:sz w:val="24"/>
          <w:szCs w:val="24"/>
          <w:u w:val="dotted"/>
        </w:rPr>
        <w:t xml:space="preserve">                          </w:t>
      </w:r>
    </w:p>
    <w:p w14:paraId="01C4FE5A">
      <w:pPr>
        <w:adjustRightInd w:val="0"/>
        <w:snapToGrid w:val="0"/>
        <w:spacing w:line="360" w:lineRule="auto"/>
        <w:rPr>
          <w:rFonts w:ascii="黑体" w:hAnsi="黑体" w:eastAsia="黑体" w:cs="仿宋"/>
          <w:bCs/>
          <w:sz w:val="24"/>
          <w:szCs w:val="24"/>
        </w:rPr>
      </w:pPr>
      <w:r>
        <w:rPr>
          <w:rFonts w:hint="eastAsia" w:ascii="黑体" w:hAnsi="黑体" w:eastAsia="黑体" w:cs="仿宋"/>
          <w:bCs/>
          <w:sz w:val="24"/>
          <w:szCs w:val="24"/>
        </w:rPr>
        <w:t>二、质疑项目基本情况</w:t>
      </w:r>
    </w:p>
    <w:p w14:paraId="605E3F5D">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质疑项目的名称：</w:t>
      </w:r>
      <w:r>
        <w:rPr>
          <w:rFonts w:hint="eastAsia" w:ascii="仿宋" w:hAnsi="仿宋" w:eastAsia="仿宋" w:cs="仿宋"/>
          <w:sz w:val="24"/>
          <w:szCs w:val="24"/>
          <w:u w:val="dotted"/>
        </w:rPr>
        <w:t xml:space="preserve">                                      </w:t>
      </w:r>
    </w:p>
    <w:p w14:paraId="0E9E1BB3">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质疑项目的编号：</w:t>
      </w:r>
      <w:r>
        <w:rPr>
          <w:rFonts w:hint="eastAsia" w:ascii="仿宋" w:hAnsi="仿宋" w:eastAsia="仿宋" w:cs="仿宋"/>
          <w:sz w:val="24"/>
          <w:szCs w:val="24"/>
          <w:u w:val="dotted"/>
        </w:rPr>
        <w:t xml:space="preserve">               </w:t>
      </w:r>
      <w:r>
        <w:rPr>
          <w:rFonts w:hint="eastAsia" w:ascii="仿宋" w:hAnsi="仿宋" w:eastAsia="仿宋" w:cs="仿宋"/>
          <w:sz w:val="24"/>
          <w:szCs w:val="24"/>
        </w:rPr>
        <w:t>包号：</w:t>
      </w:r>
      <w:r>
        <w:rPr>
          <w:rFonts w:hint="eastAsia" w:ascii="仿宋" w:hAnsi="仿宋" w:eastAsia="仿宋" w:cs="仿宋"/>
          <w:sz w:val="24"/>
          <w:szCs w:val="24"/>
          <w:u w:val="dotted"/>
        </w:rPr>
        <w:t xml:space="preserve">                 </w:t>
      </w:r>
    </w:p>
    <w:p w14:paraId="6B51E4D7">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采购人名称：</w:t>
      </w:r>
      <w:r>
        <w:rPr>
          <w:rFonts w:hint="eastAsia" w:ascii="仿宋" w:hAnsi="仿宋" w:eastAsia="仿宋" w:cs="仿宋"/>
          <w:sz w:val="24"/>
          <w:szCs w:val="24"/>
          <w:u w:val="dotted"/>
        </w:rPr>
        <w:t xml:space="preserve">                                         </w:t>
      </w:r>
    </w:p>
    <w:p w14:paraId="7AEAD8FC">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采购文件获取日期：</w:t>
      </w:r>
      <w:r>
        <w:rPr>
          <w:rFonts w:hint="eastAsia" w:ascii="仿宋" w:hAnsi="仿宋" w:eastAsia="仿宋" w:cs="仿宋"/>
          <w:sz w:val="24"/>
          <w:szCs w:val="24"/>
          <w:u w:val="dotted"/>
        </w:rPr>
        <w:t xml:space="preserve">                                           </w:t>
      </w:r>
    </w:p>
    <w:p w14:paraId="36A50D03">
      <w:pPr>
        <w:adjustRightInd w:val="0"/>
        <w:snapToGrid w:val="0"/>
        <w:spacing w:line="360" w:lineRule="auto"/>
        <w:rPr>
          <w:rFonts w:ascii="黑体" w:hAnsi="黑体" w:eastAsia="黑体" w:cs="仿宋"/>
          <w:bCs/>
          <w:sz w:val="24"/>
          <w:szCs w:val="24"/>
        </w:rPr>
      </w:pPr>
      <w:r>
        <w:rPr>
          <w:rFonts w:hint="eastAsia" w:ascii="黑体" w:hAnsi="黑体" w:eastAsia="黑体" w:cs="仿宋"/>
          <w:bCs/>
          <w:sz w:val="24"/>
          <w:szCs w:val="24"/>
        </w:rPr>
        <w:t>三、质疑事项具体内容</w:t>
      </w:r>
    </w:p>
    <w:p w14:paraId="1F8FEFE5">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质疑事项1：</w:t>
      </w:r>
      <w:r>
        <w:rPr>
          <w:rFonts w:hint="eastAsia" w:ascii="仿宋" w:hAnsi="仿宋" w:eastAsia="仿宋" w:cs="仿宋"/>
          <w:sz w:val="24"/>
          <w:szCs w:val="24"/>
          <w:u w:val="dotted"/>
        </w:rPr>
        <w:t xml:space="preserve">                                         </w:t>
      </w:r>
    </w:p>
    <w:p w14:paraId="3F644026">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事实依据：</w:t>
      </w:r>
      <w:r>
        <w:rPr>
          <w:rFonts w:hint="eastAsia" w:ascii="仿宋" w:hAnsi="仿宋" w:eastAsia="仿宋" w:cs="仿宋"/>
          <w:sz w:val="24"/>
          <w:szCs w:val="24"/>
          <w:u w:val="dotted"/>
        </w:rPr>
        <w:t xml:space="preserve">                                          </w:t>
      </w:r>
    </w:p>
    <w:p w14:paraId="25A1C07C">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u w:val="dotted"/>
        </w:rPr>
        <w:t xml:space="preserve">                                                       </w:t>
      </w:r>
    </w:p>
    <w:p w14:paraId="487A786A">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法律依据：</w:t>
      </w:r>
      <w:r>
        <w:rPr>
          <w:rFonts w:hint="eastAsia" w:ascii="仿宋" w:hAnsi="仿宋" w:eastAsia="仿宋" w:cs="仿宋"/>
          <w:sz w:val="24"/>
          <w:szCs w:val="24"/>
          <w:u w:val="dotted"/>
        </w:rPr>
        <w:t xml:space="preserve">                                          </w:t>
      </w:r>
    </w:p>
    <w:p w14:paraId="7C4056A8">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u w:val="dotted"/>
        </w:rPr>
        <w:t xml:space="preserve">                                                     </w:t>
      </w:r>
    </w:p>
    <w:p w14:paraId="031E67B8">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质疑事项2</w:t>
      </w:r>
    </w:p>
    <w:p w14:paraId="5AD0BD68">
      <w:pPr>
        <w:adjustRightInd w:val="0"/>
        <w:snapToGrid w:val="0"/>
        <w:spacing w:line="360" w:lineRule="auto"/>
        <w:rPr>
          <w:rFonts w:ascii="黑体" w:hAnsi="黑体" w:eastAsia="黑体" w:cs="仿宋"/>
          <w:bCs/>
          <w:sz w:val="24"/>
          <w:szCs w:val="24"/>
        </w:rPr>
      </w:pPr>
      <w:r>
        <w:rPr>
          <w:rFonts w:hint="eastAsia" w:ascii="黑体" w:hAnsi="黑体" w:eastAsia="黑体" w:cs="仿宋"/>
          <w:bCs/>
          <w:sz w:val="24"/>
          <w:szCs w:val="24"/>
        </w:rPr>
        <w:t>四、与质疑事项相关的质疑请求</w:t>
      </w:r>
    </w:p>
    <w:p w14:paraId="30EEF5E3">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请求：</w:t>
      </w:r>
      <w:r>
        <w:rPr>
          <w:rFonts w:hint="eastAsia" w:ascii="仿宋" w:hAnsi="仿宋" w:eastAsia="仿宋" w:cs="仿宋"/>
          <w:sz w:val="24"/>
          <w:szCs w:val="24"/>
          <w:u w:val="dotted"/>
        </w:rPr>
        <w:t xml:space="preserve">                                               </w:t>
      </w:r>
    </w:p>
    <w:p w14:paraId="07B3829A">
      <w:pPr>
        <w:spacing w:line="360" w:lineRule="auto"/>
        <w:rPr>
          <w:rFonts w:ascii="仿宋_GB2312" w:hAnsi="Calibri" w:eastAsia="仿宋_GB2312" w:cs="Times New Roman"/>
          <w:sz w:val="24"/>
          <w:szCs w:val="24"/>
        </w:rPr>
      </w:pPr>
      <w:r>
        <w:rPr>
          <w:rFonts w:hint="eastAsia" w:ascii="仿宋_GB2312" w:hAnsi="Calibri" w:eastAsia="仿宋_GB2312" w:cs="Times New Roman"/>
          <w:sz w:val="24"/>
          <w:szCs w:val="24"/>
        </w:rPr>
        <w:t xml:space="preserve">签字(签章)：                   公章： </w:t>
      </w:r>
    </w:p>
    <w:p w14:paraId="03D37FAA">
      <w:pPr>
        <w:spacing w:line="360" w:lineRule="auto"/>
        <w:rPr>
          <w:rFonts w:ascii="仿宋_GB2312" w:hAnsi="Calibri" w:eastAsia="仿宋_GB2312" w:cs="Times New Roman"/>
          <w:sz w:val="24"/>
          <w:szCs w:val="24"/>
        </w:rPr>
      </w:pPr>
      <w:r>
        <w:rPr>
          <w:rFonts w:hint="eastAsia" w:ascii="仿宋_GB2312" w:hAnsi="Calibri" w:eastAsia="仿宋_GB2312" w:cs="Times New Roman"/>
          <w:sz w:val="24"/>
          <w:szCs w:val="24"/>
        </w:rPr>
        <w:t>日期：</w:t>
      </w:r>
    </w:p>
    <w:p w14:paraId="432EFE52">
      <w:pPr>
        <w:widowControl/>
        <w:jc w:val="left"/>
        <w:rPr>
          <w:rFonts w:ascii="黑体" w:hAnsi="黑体" w:eastAsia="黑体" w:cs="Times New Roman"/>
          <w:sz w:val="24"/>
          <w:szCs w:val="24"/>
        </w:rPr>
      </w:pPr>
      <w:r>
        <w:rPr>
          <w:rFonts w:ascii="黑体" w:hAnsi="黑体" w:eastAsia="黑体" w:cs="Times New Roman"/>
          <w:sz w:val="24"/>
          <w:szCs w:val="24"/>
        </w:rPr>
        <w:br w:type="page"/>
      </w:r>
    </w:p>
    <w:p w14:paraId="5A39AA50">
      <w:pPr>
        <w:spacing w:line="360" w:lineRule="auto"/>
        <w:jc w:val="center"/>
        <w:outlineLvl w:val="1"/>
        <w:rPr>
          <w:rFonts w:ascii="宋体" w:hAnsi="宋体" w:eastAsia="宋体" w:cs="Times New Roman"/>
          <w:b/>
          <w:sz w:val="28"/>
          <w:szCs w:val="28"/>
        </w:rPr>
      </w:pPr>
      <w:bookmarkStart w:id="178" w:name="_Toc197514581"/>
      <w:bookmarkStart w:id="179" w:name="_Toc200016488"/>
      <w:r>
        <w:rPr>
          <w:rFonts w:hint="eastAsia" w:ascii="宋体" w:hAnsi="宋体" w:eastAsia="宋体" w:cs="Times New Roman"/>
          <w:b/>
          <w:sz w:val="28"/>
          <w:szCs w:val="28"/>
        </w:rPr>
        <w:t>质疑函制作说明：</w:t>
      </w:r>
      <w:bookmarkEnd w:id="178"/>
      <w:bookmarkEnd w:id="179"/>
    </w:p>
    <w:p w14:paraId="7753D199">
      <w:pPr>
        <w:widowControl/>
        <w:spacing w:line="360" w:lineRule="auto"/>
        <w:ind w:firstLine="480" w:firstLineChars="200"/>
        <w:jc w:val="left"/>
        <w:rPr>
          <w:rFonts w:ascii="仿宋" w:hAnsi="仿宋" w:eastAsia="仿宋" w:cs="Times New Roman"/>
          <w:sz w:val="24"/>
          <w:szCs w:val="24"/>
        </w:rPr>
      </w:pPr>
      <w:r>
        <w:rPr>
          <w:rFonts w:hint="eastAsia" w:ascii="仿宋" w:hAnsi="仿宋" w:eastAsia="仿宋" w:cs="Times New Roman"/>
          <w:sz w:val="24"/>
          <w:szCs w:val="24"/>
        </w:rPr>
        <w:t>1.供应商提出质疑时，应提交质疑函和必要的证明材料。</w:t>
      </w:r>
    </w:p>
    <w:p w14:paraId="08D10740">
      <w:pPr>
        <w:widowControl/>
        <w:spacing w:line="360" w:lineRule="auto"/>
        <w:ind w:firstLine="480" w:firstLineChars="200"/>
        <w:jc w:val="left"/>
        <w:rPr>
          <w:rFonts w:ascii="仿宋" w:hAnsi="仿宋" w:eastAsia="仿宋" w:cs="Times New Roman"/>
          <w:sz w:val="24"/>
          <w:szCs w:val="24"/>
        </w:rPr>
      </w:pPr>
      <w:r>
        <w:rPr>
          <w:rFonts w:hint="eastAsia" w:ascii="仿宋" w:hAnsi="仿宋" w:eastAsia="仿宋" w:cs="Times New Roman"/>
          <w:sz w:val="24"/>
          <w:szCs w:val="24"/>
        </w:rPr>
        <w:t>2.质疑供应商若委托代理人进行质疑的，质疑函应按要求列明“授权代表”的有关内容，并在附件中提交由质疑</w:t>
      </w:r>
      <w:r>
        <w:rPr>
          <w:rFonts w:hint="eastAsia" w:ascii="仿宋" w:hAnsi="仿宋" w:eastAsia="仿宋" w:cs="宋体"/>
          <w:kern w:val="0"/>
          <w:sz w:val="24"/>
          <w:szCs w:val="24"/>
        </w:rPr>
        <w:t>供应商签署的授权委托书。授权委托书应载明代理人的姓名或者名称、代理事项、具体权限、期限和相关事项。</w:t>
      </w:r>
    </w:p>
    <w:p w14:paraId="1B9BE8BC">
      <w:pPr>
        <w:widowControl/>
        <w:spacing w:line="360" w:lineRule="auto"/>
        <w:ind w:firstLine="480" w:firstLineChars="200"/>
        <w:jc w:val="left"/>
        <w:rPr>
          <w:rFonts w:ascii="仿宋" w:hAnsi="仿宋" w:eastAsia="仿宋" w:cs="Times New Roman"/>
          <w:sz w:val="24"/>
          <w:szCs w:val="24"/>
        </w:rPr>
      </w:pPr>
      <w:r>
        <w:rPr>
          <w:rFonts w:hint="eastAsia" w:ascii="仿宋" w:hAnsi="仿宋" w:eastAsia="仿宋" w:cs="Times New Roman"/>
          <w:sz w:val="24"/>
          <w:szCs w:val="24"/>
        </w:rPr>
        <w:t>3.质疑供应商若对项目的某一分包进行质疑，质疑函中应列明具体分包号。</w:t>
      </w:r>
    </w:p>
    <w:p w14:paraId="2621A541">
      <w:pPr>
        <w:widowControl/>
        <w:spacing w:line="360" w:lineRule="auto"/>
        <w:ind w:firstLine="480" w:firstLineChars="200"/>
        <w:jc w:val="left"/>
        <w:rPr>
          <w:rFonts w:ascii="仿宋" w:hAnsi="仿宋" w:eastAsia="仿宋" w:cs="Times New Roman"/>
          <w:sz w:val="24"/>
          <w:szCs w:val="24"/>
        </w:rPr>
      </w:pPr>
      <w:r>
        <w:rPr>
          <w:rFonts w:hint="eastAsia" w:ascii="仿宋" w:hAnsi="仿宋" w:eastAsia="仿宋" w:cs="Times New Roman"/>
          <w:sz w:val="24"/>
          <w:szCs w:val="24"/>
        </w:rPr>
        <w:t>4.质疑函的质疑事项应具体、明确，并有必要的事实依据和法律依据。</w:t>
      </w:r>
    </w:p>
    <w:p w14:paraId="30D16158">
      <w:pPr>
        <w:widowControl/>
        <w:spacing w:line="360" w:lineRule="auto"/>
        <w:ind w:firstLine="480" w:firstLineChars="200"/>
        <w:jc w:val="left"/>
        <w:rPr>
          <w:rFonts w:ascii="仿宋" w:hAnsi="仿宋" w:eastAsia="仿宋" w:cs="Times New Roman"/>
          <w:sz w:val="24"/>
          <w:szCs w:val="24"/>
        </w:rPr>
      </w:pPr>
      <w:r>
        <w:rPr>
          <w:rFonts w:hint="eastAsia" w:ascii="仿宋" w:hAnsi="仿宋" w:eastAsia="仿宋" w:cs="Times New Roman"/>
          <w:sz w:val="24"/>
          <w:szCs w:val="24"/>
        </w:rPr>
        <w:t>5.质疑函的质疑请求应与质疑事项相关。</w:t>
      </w:r>
    </w:p>
    <w:p w14:paraId="1C902E17">
      <w:pPr>
        <w:widowControl/>
        <w:spacing w:line="360" w:lineRule="auto"/>
        <w:ind w:firstLine="480" w:firstLineChars="200"/>
        <w:jc w:val="left"/>
        <w:rPr>
          <w:rFonts w:ascii="仿宋_GB2312" w:hAnsi="Calibri" w:eastAsia="仿宋_GB2312" w:cs="Times New Roman"/>
          <w:sz w:val="32"/>
          <w:szCs w:val="32"/>
        </w:rPr>
      </w:pPr>
      <w:r>
        <w:rPr>
          <w:rFonts w:hint="eastAsia" w:ascii="仿宋" w:hAnsi="仿宋" w:eastAsia="仿宋" w:cs="Times New Roman"/>
          <w:sz w:val="24"/>
          <w:szCs w:val="24"/>
        </w:rPr>
        <w:t>6.质疑供应商为自然人的，质疑函应由本人签字；质疑供应商为法人或者其他组织的，质疑函应由法定代表人、主要负责人，或者其授权代表签字或者盖章，并加盖公章。</w:t>
      </w:r>
    </w:p>
    <w:sectPr>
      <w:headerReference r:id="rId5" w:type="default"/>
      <w:footerReference r:id="rId6" w:type="default"/>
      <w:pgSz w:w="11906" w:h="16838"/>
      <w:pgMar w:top="1134" w:right="1418" w:bottom="1134"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Times New Roman"/>
    <w:panose1 w:val="00000000000000000000"/>
    <w:charset w:val="00"/>
    <w:family w:val="auto"/>
    <w:pitch w:val="default"/>
    <w:sig w:usb0="00000000" w:usb1="00000000" w:usb2="00000000" w:usb3="00000000" w:csb0="00000001" w:csb1="00000000"/>
  </w:font>
  <w:font w:name="??">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Courier New"/>
    <w:panose1 w:val="00000000000000000000"/>
    <w:charset w:val="00"/>
    <w:family w:val="auto"/>
    <w:pitch w:val="default"/>
    <w:sig w:usb0="00000000" w:usb1="00000000" w:usb2="00000000" w:usb3="00000000" w:csb0="00000001" w:csb1="00000000"/>
  </w:font>
  <w:font w:name="Trebuchet MS">
    <w:panose1 w:val="020B0603020202020204"/>
    <w:charset w:val="00"/>
    <w:family w:val="swiss"/>
    <w:pitch w:val="default"/>
    <w:sig w:usb0="00000687" w:usb1="00000000" w:usb2="00000000" w:usb3="00000000" w:csb0="2000009F" w:csb1="00000000"/>
  </w:font>
  <w:font w:name="方正仿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auto"/>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C638C">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89418706"/>
    </w:sdtPr>
    <w:sdtContent>
      <w:p w14:paraId="61A249E8">
        <w:pPr>
          <w:pStyle w:val="22"/>
          <w:jc w:val="center"/>
        </w:pPr>
        <w:r>
          <w:fldChar w:fldCharType="begin"/>
        </w:r>
        <w:r>
          <w:instrText xml:space="preserve">PAGE   \* MERGEFORMAT</w:instrText>
        </w:r>
        <w:r>
          <w:fldChar w:fldCharType="separate"/>
        </w:r>
        <w:r>
          <w:rPr>
            <w:lang w:val="zh-CN"/>
          </w:rPr>
          <w:t>2</w:t>
        </w:r>
        <w:r>
          <w:fldChar w:fldCharType="end"/>
        </w:r>
      </w:p>
    </w:sdtContent>
  </w:sdt>
  <w:p w14:paraId="148E38E4">
    <w:pPr>
      <w:pStyle w:val="22"/>
      <w:tabs>
        <w:tab w:val="center" w:pos="4677"/>
        <w:tab w:val="clear" w:pos="4153"/>
      </w:tabs>
      <w:ind w:right="9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90A54">
    <w:pPr>
      <w:pStyle w:val="22"/>
      <w:ind w:right="360"/>
      <w:jc w:val="both"/>
      <w:rPr>
        <w:rFonts w:asciiTheme="minorEastAsia" w:hAnsiTheme="minorEastAsia" w:eastAsiaTheme="minorEastAsia"/>
        <w:sz w:val="30"/>
        <w:szCs w:val="30"/>
      </w:rPr>
    </w:pPr>
    <w:r>
      <w:rPr>
        <w:sz w:val="3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E09F42">
                          <w:pPr>
                            <w:pStyle w:val="22"/>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10E09F42">
                    <w:pPr>
                      <w:pStyle w:val="22"/>
                    </w:pPr>
                    <w:r>
                      <w:fldChar w:fldCharType="begin"/>
                    </w:r>
                    <w:r>
                      <w:instrText xml:space="preserve"> PAGE  \* MERGEFORMAT </w:instrText>
                    </w:r>
                    <w:r>
                      <w:fldChar w:fldCharType="separate"/>
                    </w:r>
                    <w:r>
                      <w:t>38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615D1">
    <w:pPr>
      <w:pStyle w:val="23"/>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4E5166"/>
    <w:multiLevelType w:val="multilevel"/>
    <w:tmpl w:val="644E5166"/>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zODQxZmFhZTc2ZjI5ZDU0NGRjNzRiMjUzOWJkMTYifQ=="/>
  </w:docVars>
  <w:rsids>
    <w:rsidRoot w:val="00101AA4"/>
    <w:rsid w:val="000002B4"/>
    <w:rsid w:val="00001340"/>
    <w:rsid w:val="00002143"/>
    <w:rsid w:val="00004DAA"/>
    <w:rsid w:val="00005C75"/>
    <w:rsid w:val="00006BD9"/>
    <w:rsid w:val="00007BA8"/>
    <w:rsid w:val="000104D6"/>
    <w:rsid w:val="00010CE2"/>
    <w:rsid w:val="00012108"/>
    <w:rsid w:val="00012E01"/>
    <w:rsid w:val="00014F7D"/>
    <w:rsid w:val="000162FE"/>
    <w:rsid w:val="00020411"/>
    <w:rsid w:val="0002386B"/>
    <w:rsid w:val="0002405E"/>
    <w:rsid w:val="000244CA"/>
    <w:rsid w:val="0002545E"/>
    <w:rsid w:val="00027B5D"/>
    <w:rsid w:val="00030171"/>
    <w:rsid w:val="00033566"/>
    <w:rsid w:val="00033852"/>
    <w:rsid w:val="000343A0"/>
    <w:rsid w:val="000347EB"/>
    <w:rsid w:val="00036B12"/>
    <w:rsid w:val="000400E8"/>
    <w:rsid w:val="00044B32"/>
    <w:rsid w:val="00046152"/>
    <w:rsid w:val="0005003E"/>
    <w:rsid w:val="00051397"/>
    <w:rsid w:val="00054F47"/>
    <w:rsid w:val="0005551C"/>
    <w:rsid w:val="0005685F"/>
    <w:rsid w:val="000604DE"/>
    <w:rsid w:val="0006199F"/>
    <w:rsid w:val="000641A9"/>
    <w:rsid w:val="000653CD"/>
    <w:rsid w:val="000661C0"/>
    <w:rsid w:val="00070AF5"/>
    <w:rsid w:val="00070BFE"/>
    <w:rsid w:val="0007362D"/>
    <w:rsid w:val="00073846"/>
    <w:rsid w:val="00073D96"/>
    <w:rsid w:val="000762D4"/>
    <w:rsid w:val="00077BB3"/>
    <w:rsid w:val="00077DB3"/>
    <w:rsid w:val="0008025F"/>
    <w:rsid w:val="00080E16"/>
    <w:rsid w:val="000829F2"/>
    <w:rsid w:val="00082FC4"/>
    <w:rsid w:val="00085ED3"/>
    <w:rsid w:val="000904A3"/>
    <w:rsid w:val="00090F37"/>
    <w:rsid w:val="000916AB"/>
    <w:rsid w:val="000923E8"/>
    <w:rsid w:val="00092AC3"/>
    <w:rsid w:val="000946D4"/>
    <w:rsid w:val="00094989"/>
    <w:rsid w:val="000A0272"/>
    <w:rsid w:val="000A02F9"/>
    <w:rsid w:val="000A1ECD"/>
    <w:rsid w:val="000A32B9"/>
    <w:rsid w:val="000A3552"/>
    <w:rsid w:val="000A43C4"/>
    <w:rsid w:val="000A452A"/>
    <w:rsid w:val="000B210F"/>
    <w:rsid w:val="000B318F"/>
    <w:rsid w:val="000B331B"/>
    <w:rsid w:val="000B4C6A"/>
    <w:rsid w:val="000B7C76"/>
    <w:rsid w:val="000C364C"/>
    <w:rsid w:val="000C3FDE"/>
    <w:rsid w:val="000D0F39"/>
    <w:rsid w:val="000D171A"/>
    <w:rsid w:val="000D3334"/>
    <w:rsid w:val="000D5DA0"/>
    <w:rsid w:val="000D7CE7"/>
    <w:rsid w:val="000E2D54"/>
    <w:rsid w:val="000E40A6"/>
    <w:rsid w:val="000E5B9C"/>
    <w:rsid w:val="000E674D"/>
    <w:rsid w:val="000E7461"/>
    <w:rsid w:val="000F0C57"/>
    <w:rsid w:val="000F186E"/>
    <w:rsid w:val="000F56EE"/>
    <w:rsid w:val="00100D44"/>
    <w:rsid w:val="00101AA4"/>
    <w:rsid w:val="00101B17"/>
    <w:rsid w:val="00102AB6"/>
    <w:rsid w:val="00104F86"/>
    <w:rsid w:val="00105D3A"/>
    <w:rsid w:val="001063D0"/>
    <w:rsid w:val="0010650C"/>
    <w:rsid w:val="00106BA4"/>
    <w:rsid w:val="00107C6E"/>
    <w:rsid w:val="00111383"/>
    <w:rsid w:val="001145B2"/>
    <w:rsid w:val="00115901"/>
    <w:rsid w:val="00115A4B"/>
    <w:rsid w:val="0011725D"/>
    <w:rsid w:val="00121DF5"/>
    <w:rsid w:val="001248E7"/>
    <w:rsid w:val="00127B38"/>
    <w:rsid w:val="00127C9A"/>
    <w:rsid w:val="00130846"/>
    <w:rsid w:val="0013312B"/>
    <w:rsid w:val="00134210"/>
    <w:rsid w:val="00134F82"/>
    <w:rsid w:val="001357C8"/>
    <w:rsid w:val="00142BB8"/>
    <w:rsid w:val="00143169"/>
    <w:rsid w:val="0014554F"/>
    <w:rsid w:val="00146E26"/>
    <w:rsid w:val="001470F5"/>
    <w:rsid w:val="00151587"/>
    <w:rsid w:val="001543A3"/>
    <w:rsid w:val="001575BE"/>
    <w:rsid w:val="00157673"/>
    <w:rsid w:val="0015794E"/>
    <w:rsid w:val="00160159"/>
    <w:rsid w:val="00160311"/>
    <w:rsid w:val="00161961"/>
    <w:rsid w:val="00162DD4"/>
    <w:rsid w:val="001652C6"/>
    <w:rsid w:val="0016644B"/>
    <w:rsid w:val="00170A17"/>
    <w:rsid w:val="00171110"/>
    <w:rsid w:val="00172166"/>
    <w:rsid w:val="00172AA0"/>
    <w:rsid w:val="001733AF"/>
    <w:rsid w:val="00176FAD"/>
    <w:rsid w:val="0017733A"/>
    <w:rsid w:val="00181200"/>
    <w:rsid w:val="001901CA"/>
    <w:rsid w:val="001930FC"/>
    <w:rsid w:val="00193402"/>
    <w:rsid w:val="00194DD8"/>
    <w:rsid w:val="00197628"/>
    <w:rsid w:val="00197EAC"/>
    <w:rsid w:val="001A08C6"/>
    <w:rsid w:val="001A1D16"/>
    <w:rsid w:val="001A2117"/>
    <w:rsid w:val="001A45DD"/>
    <w:rsid w:val="001A4E5A"/>
    <w:rsid w:val="001A4E90"/>
    <w:rsid w:val="001A71AF"/>
    <w:rsid w:val="001B1372"/>
    <w:rsid w:val="001B1748"/>
    <w:rsid w:val="001B2651"/>
    <w:rsid w:val="001B5A4C"/>
    <w:rsid w:val="001C15DD"/>
    <w:rsid w:val="001C4134"/>
    <w:rsid w:val="001D029C"/>
    <w:rsid w:val="001D4B73"/>
    <w:rsid w:val="001D50A5"/>
    <w:rsid w:val="001E288B"/>
    <w:rsid w:val="001E33A7"/>
    <w:rsid w:val="001E3D69"/>
    <w:rsid w:val="001E4755"/>
    <w:rsid w:val="001E6E8F"/>
    <w:rsid w:val="001E75B5"/>
    <w:rsid w:val="001E794E"/>
    <w:rsid w:val="001F0CDE"/>
    <w:rsid w:val="001F292C"/>
    <w:rsid w:val="001F3A08"/>
    <w:rsid w:val="001F610A"/>
    <w:rsid w:val="001F79E8"/>
    <w:rsid w:val="00200BA8"/>
    <w:rsid w:val="0020240F"/>
    <w:rsid w:val="002055DD"/>
    <w:rsid w:val="00205968"/>
    <w:rsid w:val="00205DF6"/>
    <w:rsid w:val="00205F22"/>
    <w:rsid w:val="002103DC"/>
    <w:rsid w:val="0021147C"/>
    <w:rsid w:val="00214257"/>
    <w:rsid w:val="002142D3"/>
    <w:rsid w:val="00214392"/>
    <w:rsid w:val="00215BA5"/>
    <w:rsid w:val="00215F58"/>
    <w:rsid w:val="00217E00"/>
    <w:rsid w:val="0022016C"/>
    <w:rsid w:val="0022177D"/>
    <w:rsid w:val="002224AE"/>
    <w:rsid w:val="00222767"/>
    <w:rsid w:val="00223931"/>
    <w:rsid w:val="002246D6"/>
    <w:rsid w:val="00226DEC"/>
    <w:rsid w:val="0022747A"/>
    <w:rsid w:val="0023151C"/>
    <w:rsid w:val="0023323E"/>
    <w:rsid w:val="00236A48"/>
    <w:rsid w:val="00236D43"/>
    <w:rsid w:val="00240D63"/>
    <w:rsid w:val="00243861"/>
    <w:rsid w:val="002472C0"/>
    <w:rsid w:val="00250496"/>
    <w:rsid w:val="002508FA"/>
    <w:rsid w:val="00253DC3"/>
    <w:rsid w:val="002541CE"/>
    <w:rsid w:val="00255C6B"/>
    <w:rsid w:val="0025723D"/>
    <w:rsid w:val="00257F22"/>
    <w:rsid w:val="002604A7"/>
    <w:rsid w:val="00260910"/>
    <w:rsid w:val="00262A6E"/>
    <w:rsid w:val="00263141"/>
    <w:rsid w:val="00266F04"/>
    <w:rsid w:val="002749FF"/>
    <w:rsid w:val="00280F38"/>
    <w:rsid w:val="00281E42"/>
    <w:rsid w:val="002825C0"/>
    <w:rsid w:val="00283C54"/>
    <w:rsid w:val="002856C4"/>
    <w:rsid w:val="00285885"/>
    <w:rsid w:val="00285ABC"/>
    <w:rsid w:val="00295313"/>
    <w:rsid w:val="002967DA"/>
    <w:rsid w:val="002A4EBE"/>
    <w:rsid w:val="002A6197"/>
    <w:rsid w:val="002A7CE2"/>
    <w:rsid w:val="002B0041"/>
    <w:rsid w:val="002B01D0"/>
    <w:rsid w:val="002B38BE"/>
    <w:rsid w:val="002B3DBF"/>
    <w:rsid w:val="002B77E1"/>
    <w:rsid w:val="002C02A1"/>
    <w:rsid w:val="002C2DD2"/>
    <w:rsid w:val="002C7FCF"/>
    <w:rsid w:val="002D280B"/>
    <w:rsid w:val="002D3439"/>
    <w:rsid w:val="002D4976"/>
    <w:rsid w:val="002D635D"/>
    <w:rsid w:val="002D6CF2"/>
    <w:rsid w:val="002E1B79"/>
    <w:rsid w:val="002E2353"/>
    <w:rsid w:val="002E25BC"/>
    <w:rsid w:val="002E29B4"/>
    <w:rsid w:val="002E2CDF"/>
    <w:rsid w:val="002E5AAD"/>
    <w:rsid w:val="002F10F5"/>
    <w:rsid w:val="002F2283"/>
    <w:rsid w:val="002F640F"/>
    <w:rsid w:val="002F7FD1"/>
    <w:rsid w:val="00300C92"/>
    <w:rsid w:val="003017E3"/>
    <w:rsid w:val="00301FBF"/>
    <w:rsid w:val="00304A1A"/>
    <w:rsid w:val="00304D2D"/>
    <w:rsid w:val="00305A34"/>
    <w:rsid w:val="00305EE3"/>
    <w:rsid w:val="0030677F"/>
    <w:rsid w:val="0030747A"/>
    <w:rsid w:val="003117CE"/>
    <w:rsid w:val="003121AD"/>
    <w:rsid w:val="00313F13"/>
    <w:rsid w:val="00315623"/>
    <w:rsid w:val="00315D4B"/>
    <w:rsid w:val="00315D59"/>
    <w:rsid w:val="003160D4"/>
    <w:rsid w:val="00316DBA"/>
    <w:rsid w:val="00317D34"/>
    <w:rsid w:val="00321036"/>
    <w:rsid w:val="0032250E"/>
    <w:rsid w:val="00323AFC"/>
    <w:rsid w:val="0032592F"/>
    <w:rsid w:val="00326152"/>
    <w:rsid w:val="003268FF"/>
    <w:rsid w:val="00331C14"/>
    <w:rsid w:val="0033231B"/>
    <w:rsid w:val="00332D2E"/>
    <w:rsid w:val="00333E01"/>
    <w:rsid w:val="00336EED"/>
    <w:rsid w:val="003437D0"/>
    <w:rsid w:val="00344BCD"/>
    <w:rsid w:val="00347E66"/>
    <w:rsid w:val="00347EFB"/>
    <w:rsid w:val="0035118C"/>
    <w:rsid w:val="003521C5"/>
    <w:rsid w:val="003537E4"/>
    <w:rsid w:val="0035581F"/>
    <w:rsid w:val="00357E91"/>
    <w:rsid w:val="00360D30"/>
    <w:rsid w:val="00361C9D"/>
    <w:rsid w:val="00363991"/>
    <w:rsid w:val="00364473"/>
    <w:rsid w:val="003646E5"/>
    <w:rsid w:val="00366F29"/>
    <w:rsid w:val="00367BA8"/>
    <w:rsid w:val="00370F25"/>
    <w:rsid w:val="00373602"/>
    <w:rsid w:val="00373826"/>
    <w:rsid w:val="00373AD1"/>
    <w:rsid w:val="00376E83"/>
    <w:rsid w:val="00382869"/>
    <w:rsid w:val="00390A3C"/>
    <w:rsid w:val="00392652"/>
    <w:rsid w:val="003A265F"/>
    <w:rsid w:val="003A28C5"/>
    <w:rsid w:val="003A5B50"/>
    <w:rsid w:val="003A6107"/>
    <w:rsid w:val="003A7427"/>
    <w:rsid w:val="003B0D63"/>
    <w:rsid w:val="003B572C"/>
    <w:rsid w:val="003B70AD"/>
    <w:rsid w:val="003B7226"/>
    <w:rsid w:val="003C0B9E"/>
    <w:rsid w:val="003C179F"/>
    <w:rsid w:val="003C21E8"/>
    <w:rsid w:val="003C558B"/>
    <w:rsid w:val="003D01BB"/>
    <w:rsid w:val="003D04B9"/>
    <w:rsid w:val="003D05EA"/>
    <w:rsid w:val="003D2C56"/>
    <w:rsid w:val="003D3CCB"/>
    <w:rsid w:val="003D4211"/>
    <w:rsid w:val="003E11F4"/>
    <w:rsid w:val="003E4A7A"/>
    <w:rsid w:val="003F08DC"/>
    <w:rsid w:val="003F3816"/>
    <w:rsid w:val="003F3849"/>
    <w:rsid w:val="003F4611"/>
    <w:rsid w:val="003F59D7"/>
    <w:rsid w:val="003F5A03"/>
    <w:rsid w:val="003F759D"/>
    <w:rsid w:val="004021AC"/>
    <w:rsid w:val="0040310D"/>
    <w:rsid w:val="00404253"/>
    <w:rsid w:val="00407128"/>
    <w:rsid w:val="004079CE"/>
    <w:rsid w:val="004143A5"/>
    <w:rsid w:val="00417972"/>
    <w:rsid w:val="004220B6"/>
    <w:rsid w:val="00423980"/>
    <w:rsid w:val="0042662D"/>
    <w:rsid w:val="004270EF"/>
    <w:rsid w:val="00427533"/>
    <w:rsid w:val="00432C0C"/>
    <w:rsid w:val="00433EED"/>
    <w:rsid w:val="0044198C"/>
    <w:rsid w:val="0044280B"/>
    <w:rsid w:val="00443888"/>
    <w:rsid w:val="004449F3"/>
    <w:rsid w:val="00444EE1"/>
    <w:rsid w:val="00445872"/>
    <w:rsid w:val="0044799D"/>
    <w:rsid w:val="0045091A"/>
    <w:rsid w:val="00451F71"/>
    <w:rsid w:val="00452BB8"/>
    <w:rsid w:val="00455196"/>
    <w:rsid w:val="0045602F"/>
    <w:rsid w:val="00457A37"/>
    <w:rsid w:val="004639BC"/>
    <w:rsid w:val="004640C1"/>
    <w:rsid w:val="00464725"/>
    <w:rsid w:val="00464BAE"/>
    <w:rsid w:val="004660B0"/>
    <w:rsid w:val="00467CED"/>
    <w:rsid w:val="004704FB"/>
    <w:rsid w:val="0048512D"/>
    <w:rsid w:val="004867FF"/>
    <w:rsid w:val="00493776"/>
    <w:rsid w:val="004940DA"/>
    <w:rsid w:val="004A010F"/>
    <w:rsid w:val="004A01F6"/>
    <w:rsid w:val="004A1F5D"/>
    <w:rsid w:val="004A3D6D"/>
    <w:rsid w:val="004A4981"/>
    <w:rsid w:val="004A5190"/>
    <w:rsid w:val="004A5376"/>
    <w:rsid w:val="004A6517"/>
    <w:rsid w:val="004A67FA"/>
    <w:rsid w:val="004A68AF"/>
    <w:rsid w:val="004A7D7E"/>
    <w:rsid w:val="004B029E"/>
    <w:rsid w:val="004B0537"/>
    <w:rsid w:val="004B7DE5"/>
    <w:rsid w:val="004C164D"/>
    <w:rsid w:val="004C1AE6"/>
    <w:rsid w:val="004C6BAD"/>
    <w:rsid w:val="004D0A4A"/>
    <w:rsid w:val="004D0E18"/>
    <w:rsid w:val="004D11B3"/>
    <w:rsid w:val="004D3C30"/>
    <w:rsid w:val="004D5AE9"/>
    <w:rsid w:val="004D5C23"/>
    <w:rsid w:val="004D5F63"/>
    <w:rsid w:val="004D75D5"/>
    <w:rsid w:val="004E0230"/>
    <w:rsid w:val="004E2088"/>
    <w:rsid w:val="004E419C"/>
    <w:rsid w:val="004E56D8"/>
    <w:rsid w:val="004E5B18"/>
    <w:rsid w:val="004E606C"/>
    <w:rsid w:val="004E76F6"/>
    <w:rsid w:val="004E7786"/>
    <w:rsid w:val="004F0D23"/>
    <w:rsid w:val="004F592D"/>
    <w:rsid w:val="00501303"/>
    <w:rsid w:val="0050507E"/>
    <w:rsid w:val="00506141"/>
    <w:rsid w:val="00507DCF"/>
    <w:rsid w:val="00511664"/>
    <w:rsid w:val="005158A5"/>
    <w:rsid w:val="005170D9"/>
    <w:rsid w:val="00517A24"/>
    <w:rsid w:val="00520FE8"/>
    <w:rsid w:val="00523111"/>
    <w:rsid w:val="0052394D"/>
    <w:rsid w:val="00524F86"/>
    <w:rsid w:val="00526F0E"/>
    <w:rsid w:val="005271EF"/>
    <w:rsid w:val="00527A46"/>
    <w:rsid w:val="005307A5"/>
    <w:rsid w:val="0053132A"/>
    <w:rsid w:val="00533717"/>
    <w:rsid w:val="00533C60"/>
    <w:rsid w:val="00536952"/>
    <w:rsid w:val="005369FB"/>
    <w:rsid w:val="00537638"/>
    <w:rsid w:val="0054181E"/>
    <w:rsid w:val="00541AC4"/>
    <w:rsid w:val="00541FB5"/>
    <w:rsid w:val="0055435D"/>
    <w:rsid w:val="005574D7"/>
    <w:rsid w:val="00560740"/>
    <w:rsid w:val="005627EE"/>
    <w:rsid w:val="00562B2E"/>
    <w:rsid w:val="00566F28"/>
    <w:rsid w:val="00570015"/>
    <w:rsid w:val="00571115"/>
    <w:rsid w:val="00573EAA"/>
    <w:rsid w:val="00576ADE"/>
    <w:rsid w:val="00577ECB"/>
    <w:rsid w:val="00577FFA"/>
    <w:rsid w:val="0058012A"/>
    <w:rsid w:val="00582F95"/>
    <w:rsid w:val="00586658"/>
    <w:rsid w:val="00587816"/>
    <w:rsid w:val="005879D1"/>
    <w:rsid w:val="0059145C"/>
    <w:rsid w:val="00594BE3"/>
    <w:rsid w:val="00595304"/>
    <w:rsid w:val="00595F0C"/>
    <w:rsid w:val="00596BA7"/>
    <w:rsid w:val="005A1B87"/>
    <w:rsid w:val="005A215C"/>
    <w:rsid w:val="005A6326"/>
    <w:rsid w:val="005A69CA"/>
    <w:rsid w:val="005A770A"/>
    <w:rsid w:val="005B2340"/>
    <w:rsid w:val="005C2350"/>
    <w:rsid w:val="005C53A8"/>
    <w:rsid w:val="005D2A28"/>
    <w:rsid w:val="005D3846"/>
    <w:rsid w:val="005D4F15"/>
    <w:rsid w:val="005D5695"/>
    <w:rsid w:val="005D6334"/>
    <w:rsid w:val="005D651D"/>
    <w:rsid w:val="005D6F56"/>
    <w:rsid w:val="005E22B8"/>
    <w:rsid w:val="005E28BD"/>
    <w:rsid w:val="005E2E60"/>
    <w:rsid w:val="005E3C18"/>
    <w:rsid w:val="005E55B8"/>
    <w:rsid w:val="005E617A"/>
    <w:rsid w:val="005F3159"/>
    <w:rsid w:val="005F3701"/>
    <w:rsid w:val="005F37A6"/>
    <w:rsid w:val="005F437E"/>
    <w:rsid w:val="005F4DCF"/>
    <w:rsid w:val="005F63E7"/>
    <w:rsid w:val="005F6E37"/>
    <w:rsid w:val="005F7CCF"/>
    <w:rsid w:val="0060072E"/>
    <w:rsid w:val="0060086F"/>
    <w:rsid w:val="00600C9C"/>
    <w:rsid w:val="00601507"/>
    <w:rsid w:val="00603BA0"/>
    <w:rsid w:val="006053D2"/>
    <w:rsid w:val="006065B8"/>
    <w:rsid w:val="00606716"/>
    <w:rsid w:val="00607BD4"/>
    <w:rsid w:val="0061147C"/>
    <w:rsid w:val="00614490"/>
    <w:rsid w:val="00616068"/>
    <w:rsid w:val="0061632F"/>
    <w:rsid w:val="00616341"/>
    <w:rsid w:val="00617E79"/>
    <w:rsid w:val="00617EC4"/>
    <w:rsid w:val="00622699"/>
    <w:rsid w:val="00624E16"/>
    <w:rsid w:val="00630AAC"/>
    <w:rsid w:val="006314C2"/>
    <w:rsid w:val="00631C5A"/>
    <w:rsid w:val="0063569B"/>
    <w:rsid w:val="00635CE4"/>
    <w:rsid w:val="0063610A"/>
    <w:rsid w:val="006367D4"/>
    <w:rsid w:val="00636D45"/>
    <w:rsid w:val="00644CAA"/>
    <w:rsid w:val="00646460"/>
    <w:rsid w:val="0064722F"/>
    <w:rsid w:val="00647D58"/>
    <w:rsid w:val="0065082F"/>
    <w:rsid w:val="00650F27"/>
    <w:rsid w:val="00651977"/>
    <w:rsid w:val="006523BD"/>
    <w:rsid w:val="00652A1B"/>
    <w:rsid w:val="00652A7E"/>
    <w:rsid w:val="00652A9D"/>
    <w:rsid w:val="00653B67"/>
    <w:rsid w:val="006546EA"/>
    <w:rsid w:val="00654D73"/>
    <w:rsid w:val="00655FCC"/>
    <w:rsid w:val="006568E0"/>
    <w:rsid w:val="00656C08"/>
    <w:rsid w:val="00657AD0"/>
    <w:rsid w:val="0066102E"/>
    <w:rsid w:val="00661E10"/>
    <w:rsid w:val="00664BD0"/>
    <w:rsid w:val="0066520F"/>
    <w:rsid w:val="006654E8"/>
    <w:rsid w:val="0066681E"/>
    <w:rsid w:val="00666A31"/>
    <w:rsid w:val="00670008"/>
    <w:rsid w:val="00670790"/>
    <w:rsid w:val="0067272A"/>
    <w:rsid w:val="006728AB"/>
    <w:rsid w:val="00672F73"/>
    <w:rsid w:val="00673798"/>
    <w:rsid w:val="00674559"/>
    <w:rsid w:val="00674A1B"/>
    <w:rsid w:val="006804BB"/>
    <w:rsid w:val="00680E28"/>
    <w:rsid w:val="006840CF"/>
    <w:rsid w:val="00687B29"/>
    <w:rsid w:val="00691232"/>
    <w:rsid w:val="006932B7"/>
    <w:rsid w:val="00693DA7"/>
    <w:rsid w:val="00694538"/>
    <w:rsid w:val="006956A0"/>
    <w:rsid w:val="0069732C"/>
    <w:rsid w:val="00697458"/>
    <w:rsid w:val="0069791E"/>
    <w:rsid w:val="006A2562"/>
    <w:rsid w:val="006A4AC4"/>
    <w:rsid w:val="006A72C3"/>
    <w:rsid w:val="006A7A78"/>
    <w:rsid w:val="006B014A"/>
    <w:rsid w:val="006B14EC"/>
    <w:rsid w:val="006B2DDD"/>
    <w:rsid w:val="006B3342"/>
    <w:rsid w:val="006B4FD7"/>
    <w:rsid w:val="006B6739"/>
    <w:rsid w:val="006B72B0"/>
    <w:rsid w:val="006B72D9"/>
    <w:rsid w:val="006B7760"/>
    <w:rsid w:val="006C06C9"/>
    <w:rsid w:val="006C08F0"/>
    <w:rsid w:val="006C14E6"/>
    <w:rsid w:val="006C214D"/>
    <w:rsid w:val="006C2490"/>
    <w:rsid w:val="006C3250"/>
    <w:rsid w:val="006C551A"/>
    <w:rsid w:val="006C5A93"/>
    <w:rsid w:val="006D0395"/>
    <w:rsid w:val="006D21CC"/>
    <w:rsid w:val="006D2631"/>
    <w:rsid w:val="006D3A4C"/>
    <w:rsid w:val="006D3A5D"/>
    <w:rsid w:val="006D5419"/>
    <w:rsid w:val="006D541A"/>
    <w:rsid w:val="006D54D4"/>
    <w:rsid w:val="006D706B"/>
    <w:rsid w:val="006D72DF"/>
    <w:rsid w:val="006D747B"/>
    <w:rsid w:val="006E249F"/>
    <w:rsid w:val="006E344D"/>
    <w:rsid w:val="006E51CF"/>
    <w:rsid w:val="006F07AB"/>
    <w:rsid w:val="006F2A4E"/>
    <w:rsid w:val="006F3AF3"/>
    <w:rsid w:val="006F5509"/>
    <w:rsid w:val="006F65D5"/>
    <w:rsid w:val="006F6DB0"/>
    <w:rsid w:val="006F7BBE"/>
    <w:rsid w:val="00700939"/>
    <w:rsid w:val="00700BC7"/>
    <w:rsid w:val="00703743"/>
    <w:rsid w:val="00704AEC"/>
    <w:rsid w:val="00704C14"/>
    <w:rsid w:val="007059AA"/>
    <w:rsid w:val="00705A54"/>
    <w:rsid w:val="00707DD7"/>
    <w:rsid w:val="007104B7"/>
    <w:rsid w:val="00711806"/>
    <w:rsid w:val="00711DFE"/>
    <w:rsid w:val="007127BA"/>
    <w:rsid w:val="00712834"/>
    <w:rsid w:val="007128C2"/>
    <w:rsid w:val="007137F1"/>
    <w:rsid w:val="007138D7"/>
    <w:rsid w:val="007156D2"/>
    <w:rsid w:val="007171D2"/>
    <w:rsid w:val="0072037A"/>
    <w:rsid w:val="00722803"/>
    <w:rsid w:val="007237A0"/>
    <w:rsid w:val="00731CAD"/>
    <w:rsid w:val="00733ADB"/>
    <w:rsid w:val="00737F44"/>
    <w:rsid w:val="00742828"/>
    <w:rsid w:val="007428BC"/>
    <w:rsid w:val="00747623"/>
    <w:rsid w:val="007509C9"/>
    <w:rsid w:val="00750F56"/>
    <w:rsid w:val="0075151D"/>
    <w:rsid w:val="0075182A"/>
    <w:rsid w:val="00751E8B"/>
    <w:rsid w:val="00752409"/>
    <w:rsid w:val="00753501"/>
    <w:rsid w:val="007555F9"/>
    <w:rsid w:val="00756935"/>
    <w:rsid w:val="00756E59"/>
    <w:rsid w:val="0075781F"/>
    <w:rsid w:val="0076194F"/>
    <w:rsid w:val="00762299"/>
    <w:rsid w:val="00763032"/>
    <w:rsid w:val="00763A38"/>
    <w:rsid w:val="00767044"/>
    <w:rsid w:val="00767A9C"/>
    <w:rsid w:val="007706A6"/>
    <w:rsid w:val="00775831"/>
    <w:rsid w:val="007758AC"/>
    <w:rsid w:val="00775DEA"/>
    <w:rsid w:val="00775E04"/>
    <w:rsid w:val="00777B6C"/>
    <w:rsid w:val="0078033B"/>
    <w:rsid w:val="00781F52"/>
    <w:rsid w:val="00782548"/>
    <w:rsid w:val="00782584"/>
    <w:rsid w:val="00784173"/>
    <w:rsid w:val="00786AAF"/>
    <w:rsid w:val="00787D19"/>
    <w:rsid w:val="007952C7"/>
    <w:rsid w:val="00796034"/>
    <w:rsid w:val="007A0C42"/>
    <w:rsid w:val="007A0E43"/>
    <w:rsid w:val="007A1947"/>
    <w:rsid w:val="007A237A"/>
    <w:rsid w:val="007A3B2A"/>
    <w:rsid w:val="007A5319"/>
    <w:rsid w:val="007A7C18"/>
    <w:rsid w:val="007A7EF1"/>
    <w:rsid w:val="007B0570"/>
    <w:rsid w:val="007B2A84"/>
    <w:rsid w:val="007B32E9"/>
    <w:rsid w:val="007B4AD3"/>
    <w:rsid w:val="007C4912"/>
    <w:rsid w:val="007C66D2"/>
    <w:rsid w:val="007C6BBF"/>
    <w:rsid w:val="007D1C55"/>
    <w:rsid w:val="007D3CF4"/>
    <w:rsid w:val="007D3DC6"/>
    <w:rsid w:val="007D4455"/>
    <w:rsid w:val="007D62D7"/>
    <w:rsid w:val="007D68A5"/>
    <w:rsid w:val="007D74A5"/>
    <w:rsid w:val="007E4629"/>
    <w:rsid w:val="007E7421"/>
    <w:rsid w:val="007F314D"/>
    <w:rsid w:val="007F6C55"/>
    <w:rsid w:val="008012FC"/>
    <w:rsid w:val="00801FFA"/>
    <w:rsid w:val="008036B7"/>
    <w:rsid w:val="00804D5D"/>
    <w:rsid w:val="0080672E"/>
    <w:rsid w:val="008067AA"/>
    <w:rsid w:val="008068DA"/>
    <w:rsid w:val="008068EC"/>
    <w:rsid w:val="00807795"/>
    <w:rsid w:val="00810459"/>
    <w:rsid w:val="00813D04"/>
    <w:rsid w:val="0081414C"/>
    <w:rsid w:val="00816A53"/>
    <w:rsid w:val="00820914"/>
    <w:rsid w:val="008216C5"/>
    <w:rsid w:val="00822EBD"/>
    <w:rsid w:val="008247D9"/>
    <w:rsid w:val="00825A15"/>
    <w:rsid w:val="00825F46"/>
    <w:rsid w:val="00825FAA"/>
    <w:rsid w:val="00826C3A"/>
    <w:rsid w:val="00826DA1"/>
    <w:rsid w:val="00830296"/>
    <w:rsid w:val="0083223D"/>
    <w:rsid w:val="008330C9"/>
    <w:rsid w:val="0083311B"/>
    <w:rsid w:val="00835F52"/>
    <w:rsid w:val="00840117"/>
    <w:rsid w:val="00840EE5"/>
    <w:rsid w:val="00843C8F"/>
    <w:rsid w:val="00844290"/>
    <w:rsid w:val="008443B1"/>
    <w:rsid w:val="00844507"/>
    <w:rsid w:val="0084490D"/>
    <w:rsid w:val="00844A00"/>
    <w:rsid w:val="00846F1B"/>
    <w:rsid w:val="008526D9"/>
    <w:rsid w:val="00854E30"/>
    <w:rsid w:val="00857654"/>
    <w:rsid w:val="00857B62"/>
    <w:rsid w:val="008618C1"/>
    <w:rsid w:val="00862EBB"/>
    <w:rsid w:val="008631DD"/>
    <w:rsid w:val="00864330"/>
    <w:rsid w:val="008703DB"/>
    <w:rsid w:val="00872CE4"/>
    <w:rsid w:val="0087459C"/>
    <w:rsid w:val="00877E4D"/>
    <w:rsid w:val="00880D74"/>
    <w:rsid w:val="00880ED3"/>
    <w:rsid w:val="00881BAB"/>
    <w:rsid w:val="00881D84"/>
    <w:rsid w:val="00883470"/>
    <w:rsid w:val="00884BA6"/>
    <w:rsid w:val="008858F6"/>
    <w:rsid w:val="0089029D"/>
    <w:rsid w:val="00890712"/>
    <w:rsid w:val="00890B69"/>
    <w:rsid w:val="00892BDA"/>
    <w:rsid w:val="00892C60"/>
    <w:rsid w:val="00892DE8"/>
    <w:rsid w:val="00896608"/>
    <w:rsid w:val="008A072E"/>
    <w:rsid w:val="008A2656"/>
    <w:rsid w:val="008A3A9E"/>
    <w:rsid w:val="008A4942"/>
    <w:rsid w:val="008A4B8E"/>
    <w:rsid w:val="008A53DE"/>
    <w:rsid w:val="008A561B"/>
    <w:rsid w:val="008A6628"/>
    <w:rsid w:val="008B01C2"/>
    <w:rsid w:val="008B029B"/>
    <w:rsid w:val="008B0B18"/>
    <w:rsid w:val="008B1D39"/>
    <w:rsid w:val="008B5573"/>
    <w:rsid w:val="008C24AF"/>
    <w:rsid w:val="008C5641"/>
    <w:rsid w:val="008C6135"/>
    <w:rsid w:val="008D0766"/>
    <w:rsid w:val="008D4521"/>
    <w:rsid w:val="008D4BDD"/>
    <w:rsid w:val="008D5387"/>
    <w:rsid w:val="008D60F8"/>
    <w:rsid w:val="008D72CB"/>
    <w:rsid w:val="008D7591"/>
    <w:rsid w:val="008D7960"/>
    <w:rsid w:val="008E1EA1"/>
    <w:rsid w:val="008E26AB"/>
    <w:rsid w:val="008E337E"/>
    <w:rsid w:val="008E47C0"/>
    <w:rsid w:val="008E57EA"/>
    <w:rsid w:val="008E6003"/>
    <w:rsid w:val="008E69FC"/>
    <w:rsid w:val="008E6AAE"/>
    <w:rsid w:val="008E7C4F"/>
    <w:rsid w:val="008F1D6D"/>
    <w:rsid w:val="008F3ED1"/>
    <w:rsid w:val="008F52D0"/>
    <w:rsid w:val="008F6AA2"/>
    <w:rsid w:val="00900116"/>
    <w:rsid w:val="009055EE"/>
    <w:rsid w:val="00905A28"/>
    <w:rsid w:val="00910B36"/>
    <w:rsid w:val="00910FF9"/>
    <w:rsid w:val="00911ECD"/>
    <w:rsid w:val="00913858"/>
    <w:rsid w:val="00914849"/>
    <w:rsid w:val="009166AD"/>
    <w:rsid w:val="00916751"/>
    <w:rsid w:val="0091776B"/>
    <w:rsid w:val="00917C51"/>
    <w:rsid w:val="009209E8"/>
    <w:rsid w:val="009211B4"/>
    <w:rsid w:val="00922373"/>
    <w:rsid w:val="00922592"/>
    <w:rsid w:val="00922EA2"/>
    <w:rsid w:val="00923C4A"/>
    <w:rsid w:val="009259D5"/>
    <w:rsid w:val="00925B9C"/>
    <w:rsid w:val="00926CDD"/>
    <w:rsid w:val="00926EE7"/>
    <w:rsid w:val="009278C5"/>
    <w:rsid w:val="0093107D"/>
    <w:rsid w:val="009324FE"/>
    <w:rsid w:val="00933150"/>
    <w:rsid w:val="00933165"/>
    <w:rsid w:val="0093334D"/>
    <w:rsid w:val="00934B57"/>
    <w:rsid w:val="00935307"/>
    <w:rsid w:val="00935B77"/>
    <w:rsid w:val="009366DD"/>
    <w:rsid w:val="00937AFE"/>
    <w:rsid w:val="0094041C"/>
    <w:rsid w:val="0094055B"/>
    <w:rsid w:val="00941545"/>
    <w:rsid w:val="009435A6"/>
    <w:rsid w:val="009437A7"/>
    <w:rsid w:val="00946789"/>
    <w:rsid w:val="00950163"/>
    <w:rsid w:val="0095139A"/>
    <w:rsid w:val="009546B7"/>
    <w:rsid w:val="00955047"/>
    <w:rsid w:val="00955238"/>
    <w:rsid w:val="009558DD"/>
    <w:rsid w:val="009613A3"/>
    <w:rsid w:val="0096147D"/>
    <w:rsid w:val="0096479F"/>
    <w:rsid w:val="00965552"/>
    <w:rsid w:val="0096574A"/>
    <w:rsid w:val="0096617A"/>
    <w:rsid w:val="00967429"/>
    <w:rsid w:val="009700E7"/>
    <w:rsid w:val="009701A2"/>
    <w:rsid w:val="00971FF1"/>
    <w:rsid w:val="009726A4"/>
    <w:rsid w:val="00973C41"/>
    <w:rsid w:val="00975775"/>
    <w:rsid w:val="00976261"/>
    <w:rsid w:val="00977D99"/>
    <w:rsid w:val="0098099B"/>
    <w:rsid w:val="00981749"/>
    <w:rsid w:val="00982857"/>
    <w:rsid w:val="00983E4E"/>
    <w:rsid w:val="009840B0"/>
    <w:rsid w:val="00984531"/>
    <w:rsid w:val="0098659E"/>
    <w:rsid w:val="009869E5"/>
    <w:rsid w:val="00991F92"/>
    <w:rsid w:val="0099239A"/>
    <w:rsid w:val="00992683"/>
    <w:rsid w:val="009930AE"/>
    <w:rsid w:val="00994368"/>
    <w:rsid w:val="009960AD"/>
    <w:rsid w:val="00997017"/>
    <w:rsid w:val="009A089A"/>
    <w:rsid w:val="009A1AA9"/>
    <w:rsid w:val="009A1ABA"/>
    <w:rsid w:val="009A35D1"/>
    <w:rsid w:val="009A456E"/>
    <w:rsid w:val="009A6799"/>
    <w:rsid w:val="009A693B"/>
    <w:rsid w:val="009A7284"/>
    <w:rsid w:val="009A75CB"/>
    <w:rsid w:val="009B074B"/>
    <w:rsid w:val="009B0A3E"/>
    <w:rsid w:val="009B129D"/>
    <w:rsid w:val="009B3CCD"/>
    <w:rsid w:val="009B72EB"/>
    <w:rsid w:val="009B792F"/>
    <w:rsid w:val="009C4155"/>
    <w:rsid w:val="009C4BB9"/>
    <w:rsid w:val="009C4C50"/>
    <w:rsid w:val="009C7D0A"/>
    <w:rsid w:val="009C7FD8"/>
    <w:rsid w:val="009D05BF"/>
    <w:rsid w:val="009D2432"/>
    <w:rsid w:val="009D245C"/>
    <w:rsid w:val="009D6AFE"/>
    <w:rsid w:val="009E0EA7"/>
    <w:rsid w:val="009E36F0"/>
    <w:rsid w:val="009E3A6A"/>
    <w:rsid w:val="009F064F"/>
    <w:rsid w:val="009F11C8"/>
    <w:rsid w:val="009F15EF"/>
    <w:rsid w:val="009F24D1"/>
    <w:rsid w:val="009F3D47"/>
    <w:rsid w:val="009F4563"/>
    <w:rsid w:val="009F487E"/>
    <w:rsid w:val="009F5E39"/>
    <w:rsid w:val="009F6C40"/>
    <w:rsid w:val="009F7CF8"/>
    <w:rsid w:val="00A01EFD"/>
    <w:rsid w:val="00A039D2"/>
    <w:rsid w:val="00A04B51"/>
    <w:rsid w:val="00A04D05"/>
    <w:rsid w:val="00A05781"/>
    <w:rsid w:val="00A068B7"/>
    <w:rsid w:val="00A069FC"/>
    <w:rsid w:val="00A0749F"/>
    <w:rsid w:val="00A12894"/>
    <w:rsid w:val="00A17158"/>
    <w:rsid w:val="00A2031C"/>
    <w:rsid w:val="00A20856"/>
    <w:rsid w:val="00A2140F"/>
    <w:rsid w:val="00A24145"/>
    <w:rsid w:val="00A24411"/>
    <w:rsid w:val="00A252A2"/>
    <w:rsid w:val="00A25ADF"/>
    <w:rsid w:val="00A319A4"/>
    <w:rsid w:val="00A320D2"/>
    <w:rsid w:val="00A32455"/>
    <w:rsid w:val="00A32D75"/>
    <w:rsid w:val="00A33EC9"/>
    <w:rsid w:val="00A36113"/>
    <w:rsid w:val="00A377F1"/>
    <w:rsid w:val="00A40087"/>
    <w:rsid w:val="00A41CA5"/>
    <w:rsid w:val="00A426D2"/>
    <w:rsid w:val="00A46BC3"/>
    <w:rsid w:val="00A51A47"/>
    <w:rsid w:val="00A5296E"/>
    <w:rsid w:val="00A5323E"/>
    <w:rsid w:val="00A5538A"/>
    <w:rsid w:val="00A5692F"/>
    <w:rsid w:val="00A57C84"/>
    <w:rsid w:val="00A6358C"/>
    <w:rsid w:val="00A63DE3"/>
    <w:rsid w:val="00A648D2"/>
    <w:rsid w:val="00A648FB"/>
    <w:rsid w:val="00A65FFB"/>
    <w:rsid w:val="00A665B8"/>
    <w:rsid w:val="00A67621"/>
    <w:rsid w:val="00A67B9B"/>
    <w:rsid w:val="00A709D1"/>
    <w:rsid w:val="00A70DE0"/>
    <w:rsid w:val="00A71E73"/>
    <w:rsid w:val="00A81B56"/>
    <w:rsid w:val="00A82E49"/>
    <w:rsid w:val="00A83F70"/>
    <w:rsid w:val="00A841E3"/>
    <w:rsid w:val="00A86E53"/>
    <w:rsid w:val="00A920ED"/>
    <w:rsid w:val="00A92497"/>
    <w:rsid w:val="00A94A5C"/>
    <w:rsid w:val="00A94B95"/>
    <w:rsid w:val="00A95164"/>
    <w:rsid w:val="00A96056"/>
    <w:rsid w:val="00A969C3"/>
    <w:rsid w:val="00A97447"/>
    <w:rsid w:val="00AA0C7F"/>
    <w:rsid w:val="00AA1E25"/>
    <w:rsid w:val="00AA34B5"/>
    <w:rsid w:val="00AA65EF"/>
    <w:rsid w:val="00AA6837"/>
    <w:rsid w:val="00AB07FC"/>
    <w:rsid w:val="00AB0BCB"/>
    <w:rsid w:val="00AB1B7A"/>
    <w:rsid w:val="00AB234F"/>
    <w:rsid w:val="00AB490B"/>
    <w:rsid w:val="00AB50A1"/>
    <w:rsid w:val="00AB63EC"/>
    <w:rsid w:val="00AB706C"/>
    <w:rsid w:val="00AB7635"/>
    <w:rsid w:val="00AB7D40"/>
    <w:rsid w:val="00AC0195"/>
    <w:rsid w:val="00AC169A"/>
    <w:rsid w:val="00AC17BD"/>
    <w:rsid w:val="00AC627A"/>
    <w:rsid w:val="00AC7076"/>
    <w:rsid w:val="00AD0219"/>
    <w:rsid w:val="00AD0858"/>
    <w:rsid w:val="00AD159E"/>
    <w:rsid w:val="00AD25AF"/>
    <w:rsid w:val="00AD377E"/>
    <w:rsid w:val="00AD3FA3"/>
    <w:rsid w:val="00AD5B00"/>
    <w:rsid w:val="00AE0905"/>
    <w:rsid w:val="00AE2F7F"/>
    <w:rsid w:val="00AF35AE"/>
    <w:rsid w:val="00AF394B"/>
    <w:rsid w:val="00AF6C87"/>
    <w:rsid w:val="00AF7196"/>
    <w:rsid w:val="00AF799B"/>
    <w:rsid w:val="00B001EA"/>
    <w:rsid w:val="00B006E0"/>
    <w:rsid w:val="00B0365E"/>
    <w:rsid w:val="00B03D5C"/>
    <w:rsid w:val="00B11E1C"/>
    <w:rsid w:val="00B12CAE"/>
    <w:rsid w:val="00B12DA9"/>
    <w:rsid w:val="00B1771E"/>
    <w:rsid w:val="00B20979"/>
    <w:rsid w:val="00B20B9D"/>
    <w:rsid w:val="00B20CA6"/>
    <w:rsid w:val="00B2179E"/>
    <w:rsid w:val="00B21830"/>
    <w:rsid w:val="00B24130"/>
    <w:rsid w:val="00B24BED"/>
    <w:rsid w:val="00B259B3"/>
    <w:rsid w:val="00B3066F"/>
    <w:rsid w:val="00B31572"/>
    <w:rsid w:val="00B32FDE"/>
    <w:rsid w:val="00B3485C"/>
    <w:rsid w:val="00B3551C"/>
    <w:rsid w:val="00B41CC5"/>
    <w:rsid w:val="00B426AE"/>
    <w:rsid w:val="00B43DC0"/>
    <w:rsid w:val="00B4456E"/>
    <w:rsid w:val="00B455A2"/>
    <w:rsid w:val="00B5121C"/>
    <w:rsid w:val="00B51C0E"/>
    <w:rsid w:val="00B55DD4"/>
    <w:rsid w:val="00B562EE"/>
    <w:rsid w:val="00B56D15"/>
    <w:rsid w:val="00B601DE"/>
    <w:rsid w:val="00B60D21"/>
    <w:rsid w:val="00B61DB0"/>
    <w:rsid w:val="00B628A3"/>
    <w:rsid w:val="00B635C3"/>
    <w:rsid w:val="00B63DDA"/>
    <w:rsid w:val="00B64059"/>
    <w:rsid w:val="00B6499F"/>
    <w:rsid w:val="00B64E0D"/>
    <w:rsid w:val="00B65DD7"/>
    <w:rsid w:val="00B66B82"/>
    <w:rsid w:val="00B67C8D"/>
    <w:rsid w:val="00B708AA"/>
    <w:rsid w:val="00B71A77"/>
    <w:rsid w:val="00B746DE"/>
    <w:rsid w:val="00B761D0"/>
    <w:rsid w:val="00B76B5B"/>
    <w:rsid w:val="00B76E0A"/>
    <w:rsid w:val="00B770A1"/>
    <w:rsid w:val="00B80355"/>
    <w:rsid w:val="00B826E5"/>
    <w:rsid w:val="00B836E8"/>
    <w:rsid w:val="00B83FBC"/>
    <w:rsid w:val="00B841A4"/>
    <w:rsid w:val="00B871DD"/>
    <w:rsid w:val="00B87B57"/>
    <w:rsid w:val="00B93135"/>
    <w:rsid w:val="00B9774B"/>
    <w:rsid w:val="00B9776C"/>
    <w:rsid w:val="00BA12FF"/>
    <w:rsid w:val="00BA1954"/>
    <w:rsid w:val="00BA2177"/>
    <w:rsid w:val="00BA376F"/>
    <w:rsid w:val="00BA5F64"/>
    <w:rsid w:val="00BA61A9"/>
    <w:rsid w:val="00BA7235"/>
    <w:rsid w:val="00BB0A71"/>
    <w:rsid w:val="00BB11E2"/>
    <w:rsid w:val="00BB33FD"/>
    <w:rsid w:val="00BB33FE"/>
    <w:rsid w:val="00BB5C5F"/>
    <w:rsid w:val="00BB612A"/>
    <w:rsid w:val="00BB627A"/>
    <w:rsid w:val="00BC193E"/>
    <w:rsid w:val="00BC4F1B"/>
    <w:rsid w:val="00BC6F1B"/>
    <w:rsid w:val="00BC753E"/>
    <w:rsid w:val="00BC7668"/>
    <w:rsid w:val="00BC7E29"/>
    <w:rsid w:val="00BD1D60"/>
    <w:rsid w:val="00BD1FA5"/>
    <w:rsid w:val="00BD2812"/>
    <w:rsid w:val="00BD3A3F"/>
    <w:rsid w:val="00BD6949"/>
    <w:rsid w:val="00BE37FC"/>
    <w:rsid w:val="00BE4B8D"/>
    <w:rsid w:val="00BE5EB9"/>
    <w:rsid w:val="00BE73E9"/>
    <w:rsid w:val="00BF0B2C"/>
    <w:rsid w:val="00BF0C97"/>
    <w:rsid w:val="00BF28EC"/>
    <w:rsid w:val="00BF51F6"/>
    <w:rsid w:val="00BF682C"/>
    <w:rsid w:val="00BF7476"/>
    <w:rsid w:val="00C02D9A"/>
    <w:rsid w:val="00C06808"/>
    <w:rsid w:val="00C10DEC"/>
    <w:rsid w:val="00C10EEC"/>
    <w:rsid w:val="00C12240"/>
    <w:rsid w:val="00C138B2"/>
    <w:rsid w:val="00C13F57"/>
    <w:rsid w:val="00C17074"/>
    <w:rsid w:val="00C1758E"/>
    <w:rsid w:val="00C21672"/>
    <w:rsid w:val="00C21ACC"/>
    <w:rsid w:val="00C21C3D"/>
    <w:rsid w:val="00C22755"/>
    <w:rsid w:val="00C23AF8"/>
    <w:rsid w:val="00C31F14"/>
    <w:rsid w:val="00C345C5"/>
    <w:rsid w:val="00C34E9B"/>
    <w:rsid w:val="00C34FE2"/>
    <w:rsid w:val="00C36041"/>
    <w:rsid w:val="00C36B8D"/>
    <w:rsid w:val="00C402C9"/>
    <w:rsid w:val="00C406A0"/>
    <w:rsid w:val="00C40A0F"/>
    <w:rsid w:val="00C41C1D"/>
    <w:rsid w:val="00C421A0"/>
    <w:rsid w:val="00C439B2"/>
    <w:rsid w:val="00C44001"/>
    <w:rsid w:val="00C4439D"/>
    <w:rsid w:val="00C45F5C"/>
    <w:rsid w:val="00C466A2"/>
    <w:rsid w:val="00C46AF0"/>
    <w:rsid w:val="00C479FE"/>
    <w:rsid w:val="00C47EB3"/>
    <w:rsid w:val="00C50B1D"/>
    <w:rsid w:val="00C530B3"/>
    <w:rsid w:val="00C53ADD"/>
    <w:rsid w:val="00C5473D"/>
    <w:rsid w:val="00C56178"/>
    <w:rsid w:val="00C562B0"/>
    <w:rsid w:val="00C56DD1"/>
    <w:rsid w:val="00C57D52"/>
    <w:rsid w:val="00C603C1"/>
    <w:rsid w:val="00C6061D"/>
    <w:rsid w:val="00C62E07"/>
    <w:rsid w:val="00C63C53"/>
    <w:rsid w:val="00C66DCA"/>
    <w:rsid w:val="00C70B15"/>
    <w:rsid w:val="00C70F4F"/>
    <w:rsid w:val="00C71326"/>
    <w:rsid w:val="00C726E0"/>
    <w:rsid w:val="00C73703"/>
    <w:rsid w:val="00C75AD7"/>
    <w:rsid w:val="00C7603F"/>
    <w:rsid w:val="00C80ECD"/>
    <w:rsid w:val="00C8206E"/>
    <w:rsid w:val="00C82962"/>
    <w:rsid w:val="00C83BA2"/>
    <w:rsid w:val="00C840F2"/>
    <w:rsid w:val="00C8538F"/>
    <w:rsid w:val="00C9122B"/>
    <w:rsid w:val="00C93D82"/>
    <w:rsid w:val="00C94904"/>
    <w:rsid w:val="00C960DA"/>
    <w:rsid w:val="00C9683B"/>
    <w:rsid w:val="00C9700A"/>
    <w:rsid w:val="00CA0EF6"/>
    <w:rsid w:val="00CA2072"/>
    <w:rsid w:val="00CA31DB"/>
    <w:rsid w:val="00CA4361"/>
    <w:rsid w:val="00CB21A0"/>
    <w:rsid w:val="00CB26B0"/>
    <w:rsid w:val="00CB2ACC"/>
    <w:rsid w:val="00CC0A81"/>
    <w:rsid w:val="00CC2EA3"/>
    <w:rsid w:val="00CC41D4"/>
    <w:rsid w:val="00CC6DE9"/>
    <w:rsid w:val="00CD2724"/>
    <w:rsid w:val="00CD33AB"/>
    <w:rsid w:val="00CD4A09"/>
    <w:rsid w:val="00CD5E71"/>
    <w:rsid w:val="00CD6B61"/>
    <w:rsid w:val="00CE1870"/>
    <w:rsid w:val="00CF08A4"/>
    <w:rsid w:val="00CF0C7B"/>
    <w:rsid w:val="00CF1C70"/>
    <w:rsid w:val="00CF291C"/>
    <w:rsid w:val="00CF4B54"/>
    <w:rsid w:val="00D02613"/>
    <w:rsid w:val="00D060F5"/>
    <w:rsid w:val="00D06613"/>
    <w:rsid w:val="00D114B4"/>
    <w:rsid w:val="00D119E0"/>
    <w:rsid w:val="00D1210A"/>
    <w:rsid w:val="00D12679"/>
    <w:rsid w:val="00D13574"/>
    <w:rsid w:val="00D13FCC"/>
    <w:rsid w:val="00D149B3"/>
    <w:rsid w:val="00D14ABC"/>
    <w:rsid w:val="00D14E0D"/>
    <w:rsid w:val="00D15B9A"/>
    <w:rsid w:val="00D15D80"/>
    <w:rsid w:val="00D1666A"/>
    <w:rsid w:val="00D17D8C"/>
    <w:rsid w:val="00D21BE7"/>
    <w:rsid w:val="00D26793"/>
    <w:rsid w:val="00D26E99"/>
    <w:rsid w:val="00D27953"/>
    <w:rsid w:val="00D33441"/>
    <w:rsid w:val="00D334C0"/>
    <w:rsid w:val="00D36619"/>
    <w:rsid w:val="00D3707C"/>
    <w:rsid w:val="00D411AD"/>
    <w:rsid w:val="00D450F4"/>
    <w:rsid w:val="00D45431"/>
    <w:rsid w:val="00D505AC"/>
    <w:rsid w:val="00D50730"/>
    <w:rsid w:val="00D50E55"/>
    <w:rsid w:val="00D50E97"/>
    <w:rsid w:val="00D53723"/>
    <w:rsid w:val="00D539DF"/>
    <w:rsid w:val="00D53B3B"/>
    <w:rsid w:val="00D542EE"/>
    <w:rsid w:val="00D545D3"/>
    <w:rsid w:val="00D54F3E"/>
    <w:rsid w:val="00D577AF"/>
    <w:rsid w:val="00D57932"/>
    <w:rsid w:val="00D65F39"/>
    <w:rsid w:val="00D664CF"/>
    <w:rsid w:val="00D67757"/>
    <w:rsid w:val="00D72D71"/>
    <w:rsid w:val="00D751F3"/>
    <w:rsid w:val="00D7654E"/>
    <w:rsid w:val="00D76D8D"/>
    <w:rsid w:val="00D77D2E"/>
    <w:rsid w:val="00D83166"/>
    <w:rsid w:val="00D8329A"/>
    <w:rsid w:val="00D85475"/>
    <w:rsid w:val="00D86304"/>
    <w:rsid w:val="00D87DC8"/>
    <w:rsid w:val="00D9044D"/>
    <w:rsid w:val="00D90F3B"/>
    <w:rsid w:val="00D94EB2"/>
    <w:rsid w:val="00D95F04"/>
    <w:rsid w:val="00D96521"/>
    <w:rsid w:val="00DA2563"/>
    <w:rsid w:val="00DA318F"/>
    <w:rsid w:val="00DA380B"/>
    <w:rsid w:val="00DA5364"/>
    <w:rsid w:val="00DB160F"/>
    <w:rsid w:val="00DB1768"/>
    <w:rsid w:val="00DB2F65"/>
    <w:rsid w:val="00DB4270"/>
    <w:rsid w:val="00DB50E6"/>
    <w:rsid w:val="00DB5B28"/>
    <w:rsid w:val="00DB7459"/>
    <w:rsid w:val="00DC2111"/>
    <w:rsid w:val="00DC2BD1"/>
    <w:rsid w:val="00DC32BC"/>
    <w:rsid w:val="00DC3C54"/>
    <w:rsid w:val="00DC3C9B"/>
    <w:rsid w:val="00DC499D"/>
    <w:rsid w:val="00DC7034"/>
    <w:rsid w:val="00DC770C"/>
    <w:rsid w:val="00DD3685"/>
    <w:rsid w:val="00DD55E9"/>
    <w:rsid w:val="00DD5A57"/>
    <w:rsid w:val="00DD5B1D"/>
    <w:rsid w:val="00DE664E"/>
    <w:rsid w:val="00DE6FEA"/>
    <w:rsid w:val="00DF29E0"/>
    <w:rsid w:val="00E00DF4"/>
    <w:rsid w:val="00E0178C"/>
    <w:rsid w:val="00E0297A"/>
    <w:rsid w:val="00E0354C"/>
    <w:rsid w:val="00E05CD7"/>
    <w:rsid w:val="00E121FC"/>
    <w:rsid w:val="00E126EF"/>
    <w:rsid w:val="00E1292B"/>
    <w:rsid w:val="00E14149"/>
    <w:rsid w:val="00E155EB"/>
    <w:rsid w:val="00E17B8A"/>
    <w:rsid w:val="00E21C9F"/>
    <w:rsid w:val="00E23817"/>
    <w:rsid w:val="00E27F9E"/>
    <w:rsid w:val="00E311A1"/>
    <w:rsid w:val="00E34833"/>
    <w:rsid w:val="00E34FF9"/>
    <w:rsid w:val="00E3576F"/>
    <w:rsid w:val="00E36033"/>
    <w:rsid w:val="00E36E35"/>
    <w:rsid w:val="00E40272"/>
    <w:rsid w:val="00E413FB"/>
    <w:rsid w:val="00E41690"/>
    <w:rsid w:val="00E41A56"/>
    <w:rsid w:val="00E41F24"/>
    <w:rsid w:val="00E4229F"/>
    <w:rsid w:val="00E42A20"/>
    <w:rsid w:val="00E4570B"/>
    <w:rsid w:val="00E45AB6"/>
    <w:rsid w:val="00E50150"/>
    <w:rsid w:val="00E501D3"/>
    <w:rsid w:val="00E53FDA"/>
    <w:rsid w:val="00E56EAE"/>
    <w:rsid w:val="00E62EE1"/>
    <w:rsid w:val="00E656AA"/>
    <w:rsid w:val="00E6785B"/>
    <w:rsid w:val="00E67BB4"/>
    <w:rsid w:val="00E702E4"/>
    <w:rsid w:val="00E705A5"/>
    <w:rsid w:val="00E71356"/>
    <w:rsid w:val="00E713BE"/>
    <w:rsid w:val="00E715AA"/>
    <w:rsid w:val="00E718FA"/>
    <w:rsid w:val="00E73C64"/>
    <w:rsid w:val="00E761CC"/>
    <w:rsid w:val="00E76A25"/>
    <w:rsid w:val="00E82AFE"/>
    <w:rsid w:val="00E8351B"/>
    <w:rsid w:val="00E8434D"/>
    <w:rsid w:val="00E847F7"/>
    <w:rsid w:val="00E84BDF"/>
    <w:rsid w:val="00E86E6A"/>
    <w:rsid w:val="00E87230"/>
    <w:rsid w:val="00E872AD"/>
    <w:rsid w:val="00E87666"/>
    <w:rsid w:val="00E9078D"/>
    <w:rsid w:val="00E90F88"/>
    <w:rsid w:val="00E912E2"/>
    <w:rsid w:val="00E92B97"/>
    <w:rsid w:val="00E92E6C"/>
    <w:rsid w:val="00E94407"/>
    <w:rsid w:val="00E964E5"/>
    <w:rsid w:val="00E96D5C"/>
    <w:rsid w:val="00EA076E"/>
    <w:rsid w:val="00EA75E3"/>
    <w:rsid w:val="00EB19B3"/>
    <w:rsid w:val="00EB312C"/>
    <w:rsid w:val="00EC012F"/>
    <w:rsid w:val="00EC22AB"/>
    <w:rsid w:val="00EC2B98"/>
    <w:rsid w:val="00EC767D"/>
    <w:rsid w:val="00ED1CD5"/>
    <w:rsid w:val="00ED4D77"/>
    <w:rsid w:val="00ED7DB6"/>
    <w:rsid w:val="00EE00FD"/>
    <w:rsid w:val="00EE1040"/>
    <w:rsid w:val="00EE2F7B"/>
    <w:rsid w:val="00EE35B9"/>
    <w:rsid w:val="00EE4888"/>
    <w:rsid w:val="00EE7991"/>
    <w:rsid w:val="00EF0DD2"/>
    <w:rsid w:val="00EF1757"/>
    <w:rsid w:val="00EF3196"/>
    <w:rsid w:val="00EF3352"/>
    <w:rsid w:val="00EF4BD4"/>
    <w:rsid w:val="00EF6989"/>
    <w:rsid w:val="00F00A1D"/>
    <w:rsid w:val="00F00D73"/>
    <w:rsid w:val="00F011EE"/>
    <w:rsid w:val="00F0325A"/>
    <w:rsid w:val="00F04F43"/>
    <w:rsid w:val="00F077F5"/>
    <w:rsid w:val="00F078E8"/>
    <w:rsid w:val="00F101CF"/>
    <w:rsid w:val="00F10359"/>
    <w:rsid w:val="00F11AEB"/>
    <w:rsid w:val="00F141A0"/>
    <w:rsid w:val="00F1438C"/>
    <w:rsid w:val="00F1465C"/>
    <w:rsid w:val="00F21F0C"/>
    <w:rsid w:val="00F22CC8"/>
    <w:rsid w:val="00F2452B"/>
    <w:rsid w:val="00F26479"/>
    <w:rsid w:val="00F27F0C"/>
    <w:rsid w:val="00F31749"/>
    <w:rsid w:val="00F3403B"/>
    <w:rsid w:val="00F360D6"/>
    <w:rsid w:val="00F37DC2"/>
    <w:rsid w:val="00F41097"/>
    <w:rsid w:val="00F4197F"/>
    <w:rsid w:val="00F42929"/>
    <w:rsid w:val="00F42B8A"/>
    <w:rsid w:val="00F44D8C"/>
    <w:rsid w:val="00F45130"/>
    <w:rsid w:val="00F47920"/>
    <w:rsid w:val="00F518BA"/>
    <w:rsid w:val="00F52661"/>
    <w:rsid w:val="00F5283D"/>
    <w:rsid w:val="00F52D03"/>
    <w:rsid w:val="00F536DA"/>
    <w:rsid w:val="00F555A6"/>
    <w:rsid w:val="00F57796"/>
    <w:rsid w:val="00F61283"/>
    <w:rsid w:val="00F63A6B"/>
    <w:rsid w:val="00F65CFD"/>
    <w:rsid w:val="00F6738F"/>
    <w:rsid w:val="00F71358"/>
    <w:rsid w:val="00F72E4D"/>
    <w:rsid w:val="00F73D80"/>
    <w:rsid w:val="00F7596E"/>
    <w:rsid w:val="00F77F9B"/>
    <w:rsid w:val="00F81D99"/>
    <w:rsid w:val="00F83541"/>
    <w:rsid w:val="00F83B69"/>
    <w:rsid w:val="00F85A84"/>
    <w:rsid w:val="00F921E6"/>
    <w:rsid w:val="00F94DA0"/>
    <w:rsid w:val="00F95020"/>
    <w:rsid w:val="00F95580"/>
    <w:rsid w:val="00FA04EA"/>
    <w:rsid w:val="00FA6BE0"/>
    <w:rsid w:val="00FA72A6"/>
    <w:rsid w:val="00FB1EB5"/>
    <w:rsid w:val="00FB2B09"/>
    <w:rsid w:val="00FB3DE9"/>
    <w:rsid w:val="00FB4B9A"/>
    <w:rsid w:val="00FB5939"/>
    <w:rsid w:val="00FB5C0D"/>
    <w:rsid w:val="00FB5EA4"/>
    <w:rsid w:val="00FC02A3"/>
    <w:rsid w:val="00FC3E48"/>
    <w:rsid w:val="00FC44AA"/>
    <w:rsid w:val="00FC6F7D"/>
    <w:rsid w:val="00FD026D"/>
    <w:rsid w:val="00FD0E95"/>
    <w:rsid w:val="00FD16C1"/>
    <w:rsid w:val="00FD28D5"/>
    <w:rsid w:val="00FD2BC5"/>
    <w:rsid w:val="00FD3D53"/>
    <w:rsid w:val="00FE0791"/>
    <w:rsid w:val="00FE2F34"/>
    <w:rsid w:val="00FE3038"/>
    <w:rsid w:val="00FE3D42"/>
    <w:rsid w:val="00FE5094"/>
    <w:rsid w:val="00FF2520"/>
    <w:rsid w:val="00FF2E08"/>
    <w:rsid w:val="00FF4215"/>
    <w:rsid w:val="00FF4B81"/>
    <w:rsid w:val="00FF4C85"/>
    <w:rsid w:val="00FF5822"/>
    <w:rsid w:val="00FF63F7"/>
    <w:rsid w:val="00FF7BA0"/>
    <w:rsid w:val="019239B4"/>
    <w:rsid w:val="01A26771"/>
    <w:rsid w:val="01C401C9"/>
    <w:rsid w:val="02A8425B"/>
    <w:rsid w:val="03EC32E0"/>
    <w:rsid w:val="040C2B43"/>
    <w:rsid w:val="05A218FD"/>
    <w:rsid w:val="05C327AE"/>
    <w:rsid w:val="06C00186"/>
    <w:rsid w:val="0718227F"/>
    <w:rsid w:val="07B2792A"/>
    <w:rsid w:val="08457900"/>
    <w:rsid w:val="09197B3E"/>
    <w:rsid w:val="09353509"/>
    <w:rsid w:val="09DC3F6E"/>
    <w:rsid w:val="0A374770"/>
    <w:rsid w:val="0B3A5CA3"/>
    <w:rsid w:val="0B4D31C3"/>
    <w:rsid w:val="0D2E7B25"/>
    <w:rsid w:val="0D415C54"/>
    <w:rsid w:val="0E347BBB"/>
    <w:rsid w:val="0E9272B5"/>
    <w:rsid w:val="0F255BC6"/>
    <w:rsid w:val="0F4E7C06"/>
    <w:rsid w:val="0F5576A6"/>
    <w:rsid w:val="0F75161B"/>
    <w:rsid w:val="10B63B93"/>
    <w:rsid w:val="117E2376"/>
    <w:rsid w:val="11C023CD"/>
    <w:rsid w:val="11F70C71"/>
    <w:rsid w:val="128F3808"/>
    <w:rsid w:val="12F43D01"/>
    <w:rsid w:val="131462C7"/>
    <w:rsid w:val="137877E5"/>
    <w:rsid w:val="13855153"/>
    <w:rsid w:val="13C97BE4"/>
    <w:rsid w:val="14014F43"/>
    <w:rsid w:val="14642A47"/>
    <w:rsid w:val="14E47444"/>
    <w:rsid w:val="151948F4"/>
    <w:rsid w:val="1540160B"/>
    <w:rsid w:val="15D0078C"/>
    <w:rsid w:val="15FD6214"/>
    <w:rsid w:val="160A7825"/>
    <w:rsid w:val="16651479"/>
    <w:rsid w:val="168510F5"/>
    <w:rsid w:val="16B02E54"/>
    <w:rsid w:val="17CD699B"/>
    <w:rsid w:val="180D6B0B"/>
    <w:rsid w:val="188E357D"/>
    <w:rsid w:val="18DC366C"/>
    <w:rsid w:val="19043F59"/>
    <w:rsid w:val="191C1179"/>
    <w:rsid w:val="19351120"/>
    <w:rsid w:val="19F83BA8"/>
    <w:rsid w:val="1A5F749D"/>
    <w:rsid w:val="1B8F0552"/>
    <w:rsid w:val="1BD10986"/>
    <w:rsid w:val="1BD664C1"/>
    <w:rsid w:val="1BDE2589"/>
    <w:rsid w:val="1BEF2AA3"/>
    <w:rsid w:val="1C1F455D"/>
    <w:rsid w:val="1C4C57FF"/>
    <w:rsid w:val="1CCE0D94"/>
    <w:rsid w:val="1D1908CA"/>
    <w:rsid w:val="1D2027D7"/>
    <w:rsid w:val="1E3C0C42"/>
    <w:rsid w:val="1E5D50F6"/>
    <w:rsid w:val="1F0C54A8"/>
    <w:rsid w:val="1F8B663F"/>
    <w:rsid w:val="1FEB5BB3"/>
    <w:rsid w:val="20646A1B"/>
    <w:rsid w:val="211704C9"/>
    <w:rsid w:val="21E9221E"/>
    <w:rsid w:val="238F6834"/>
    <w:rsid w:val="23B32608"/>
    <w:rsid w:val="23FC43CB"/>
    <w:rsid w:val="24246362"/>
    <w:rsid w:val="24833D88"/>
    <w:rsid w:val="24A56235"/>
    <w:rsid w:val="252C4420"/>
    <w:rsid w:val="252E6649"/>
    <w:rsid w:val="253400B6"/>
    <w:rsid w:val="27535154"/>
    <w:rsid w:val="27541D8F"/>
    <w:rsid w:val="28092E82"/>
    <w:rsid w:val="285831A2"/>
    <w:rsid w:val="28660796"/>
    <w:rsid w:val="28D771B3"/>
    <w:rsid w:val="28F22610"/>
    <w:rsid w:val="29387F5A"/>
    <w:rsid w:val="2B1E2A5D"/>
    <w:rsid w:val="2B544FB0"/>
    <w:rsid w:val="2B797C93"/>
    <w:rsid w:val="2BDB76C2"/>
    <w:rsid w:val="2BF07683"/>
    <w:rsid w:val="2C620039"/>
    <w:rsid w:val="2D3640BF"/>
    <w:rsid w:val="2D3F26A9"/>
    <w:rsid w:val="2D5B1AF1"/>
    <w:rsid w:val="2DA01E4F"/>
    <w:rsid w:val="2DB61DC2"/>
    <w:rsid w:val="2F030830"/>
    <w:rsid w:val="2FC46C7B"/>
    <w:rsid w:val="30500A99"/>
    <w:rsid w:val="30665A95"/>
    <w:rsid w:val="3091214E"/>
    <w:rsid w:val="30B5176D"/>
    <w:rsid w:val="31AF0FFD"/>
    <w:rsid w:val="32916000"/>
    <w:rsid w:val="332561EC"/>
    <w:rsid w:val="33826636"/>
    <w:rsid w:val="341250DA"/>
    <w:rsid w:val="34C1517C"/>
    <w:rsid w:val="351E0F07"/>
    <w:rsid w:val="35507CB7"/>
    <w:rsid w:val="3599165E"/>
    <w:rsid w:val="3740488C"/>
    <w:rsid w:val="37D50947"/>
    <w:rsid w:val="386901D1"/>
    <w:rsid w:val="38A7546C"/>
    <w:rsid w:val="39206C68"/>
    <w:rsid w:val="39320501"/>
    <w:rsid w:val="394A04AD"/>
    <w:rsid w:val="397D3345"/>
    <w:rsid w:val="39DC5FBD"/>
    <w:rsid w:val="3A7E0A06"/>
    <w:rsid w:val="3A942F44"/>
    <w:rsid w:val="3A972710"/>
    <w:rsid w:val="3AC57590"/>
    <w:rsid w:val="3AFE1B6A"/>
    <w:rsid w:val="3C2B6D87"/>
    <w:rsid w:val="3C560328"/>
    <w:rsid w:val="3CD5365E"/>
    <w:rsid w:val="3CDE6407"/>
    <w:rsid w:val="3DF82424"/>
    <w:rsid w:val="3EA01CAF"/>
    <w:rsid w:val="3F543E53"/>
    <w:rsid w:val="40DF167D"/>
    <w:rsid w:val="4215228D"/>
    <w:rsid w:val="423F17DF"/>
    <w:rsid w:val="43236A0A"/>
    <w:rsid w:val="438C45B0"/>
    <w:rsid w:val="441B2477"/>
    <w:rsid w:val="44617F98"/>
    <w:rsid w:val="44CC6850"/>
    <w:rsid w:val="44D90D2D"/>
    <w:rsid w:val="451766D4"/>
    <w:rsid w:val="45895E80"/>
    <w:rsid w:val="45AA5752"/>
    <w:rsid w:val="461E795D"/>
    <w:rsid w:val="4656787E"/>
    <w:rsid w:val="466B1E5C"/>
    <w:rsid w:val="4740699E"/>
    <w:rsid w:val="47552F60"/>
    <w:rsid w:val="490364C8"/>
    <w:rsid w:val="490C5012"/>
    <w:rsid w:val="498F50D9"/>
    <w:rsid w:val="49EA64D4"/>
    <w:rsid w:val="49FF361D"/>
    <w:rsid w:val="4B001779"/>
    <w:rsid w:val="4BCC6DB5"/>
    <w:rsid w:val="4BE84ADE"/>
    <w:rsid w:val="4BEA35E2"/>
    <w:rsid w:val="4E0F786D"/>
    <w:rsid w:val="4E121B55"/>
    <w:rsid w:val="4E1C7146"/>
    <w:rsid w:val="4E6F2738"/>
    <w:rsid w:val="4E822DD2"/>
    <w:rsid w:val="4EF574D2"/>
    <w:rsid w:val="50783615"/>
    <w:rsid w:val="51482C7D"/>
    <w:rsid w:val="52BA13BE"/>
    <w:rsid w:val="531E4716"/>
    <w:rsid w:val="53B355D7"/>
    <w:rsid w:val="53C806C1"/>
    <w:rsid w:val="53F33750"/>
    <w:rsid w:val="541E31C1"/>
    <w:rsid w:val="54252F31"/>
    <w:rsid w:val="55937A20"/>
    <w:rsid w:val="55F55FDB"/>
    <w:rsid w:val="561C4D71"/>
    <w:rsid w:val="56F75E6B"/>
    <w:rsid w:val="57044CD6"/>
    <w:rsid w:val="59495EE0"/>
    <w:rsid w:val="596F778D"/>
    <w:rsid w:val="5A443ABB"/>
    <w:rsid w:val="5ACE15F4"/>
    <w:rsid w:val="5D2C38E4"/>
    <w:rsid w:val="5DFB2D6D"/>
    <w:rsid w:val="5E4F72F6"/>
    <w:rsid w:val="5ECD2CB6"/>
    <w:rsid w:val="5F0A1CFD"/>
    <w:rsid w:val="602219D3"/>
    <w:rsid w:val="602D0A71"/>
    <w:rsid w:val="60964868"/>
    <w:rsid w:val="61BC576B"/>
    <w:rsid w:val="6271733B"/>
    <w:rsid w:val="628F56D7"/>
    <w:rsid w:val="63586D06"/>
    <w:rsid w:val="63D86010"/>
    <w:rsid w:val="65CD26B4"/>
    <w:rsid w:val="661D65D3"/>
    <w:rsid w:val="662A1B28"/>
    <w:rsid w:val="677D30E0"/>
    <w:rsid w:val="68582DF6"/>
    <w:rsid w:val="688F22C8"/>
    <w:rsid w:val="694420CC"/>
    <w:rsid w:val="69661355"/>
    <w:rsid w:val="696E1C4C"/>
    <w:rsid w:val="6A127847"/>
    <w:rsid w:val="6A31115D"/>
    <w:rsid w:val="6A775FD1"/>
    <w:rsid w:val="6AC0668D"/>
    <w:rsid w:val="6B2F4CDF"/>
    <w:rsid w:val="6B350E89"/>
    <w:rsid w:val="6B7B77ED"/>
    <w:rsid w:val="6DD01ED5"/>
    <w:rsid w:val="6DD26D19"/>
    <w:rsid w:val="6E916298"/>
    <w:rsid w:val="6EA05E96"/>
    <w:rsid w:val="6EA84809"/>
    <w:rsid w:val="6EF041DC"/>
    <w:rsid w:val="6FF75479"/>
    <w:rsid w:val="70997AC2"/>
    <w:rsid w:val="72863209"/>
    <w:rsid w:val="72BA11D4"/>
    <w:rsid w:val="72FA2A34"/>
    <w:rsid w:val="73A11102"/>
    <w:rsid w:val="7460720F"/>
    <w:rsid w:val="74DE2D28"/>
    <w:rsid w:val="75317F36"/>
    <w:rsid w:val="78272FB6"/>
    <w:rsid w:val="784D55AB"/>
    <w:rsid w:val="78EE3E00"/>
    <w:rsid w:val="794A3E9B"/>
    <w:rsid w:val="794C571D"/>
    <w:rsid w:val="79D96301"/>
    <w:rsid w:val="7B6F7B44"/>
    <w:rsid w:val="7BD754B6"/>
    <w:rsid w:val="7BE36163"/>
    <w:rsid w:val="7E0B01EB"/>
    <w:rsid w:val="7E4253D3"/>
    <w:rsid w:val="7E98222B"/>
    <w:rsid w:val="7EBB00E5"/>
    <w:rsid w:val="7EC30AC6"/>
    <w:rsid w:val="7ECA0D74"/>
    <w:rsid w:val="7EFB1398"/>
    <w:rsid w:val="7F043D3B"/>
    <w:rsid w:val="7FDB599C"/>
    <w:rsid w:val="7FE238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qFormat="1" w:unhideWhenUsed="0" w:uiPriority="99"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qFormat="1" w:unhideWhenUsed="0" w:uiPriority="99"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99" w:semiHidden="0"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sdException w:qFormat="1" w:unhideWhenUsed="0" w:uiPriority="99" w:semiHidden="0" w:name="HTML Sample"/>
    <w:lsdException w:uiPriority="99" w:name="HTML Typewriter"/>
    <w:lsdException w:qFormat="1" w:unhideWhenUsed="0"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6"/>
    <w:qFormat/>
    <w:uiPriority w:val="9"/>
    <w:pPr>
      <w:keepNext/>
      <w:widowControl/>
      <w:spacing w:before="340" w:after="330" w:line="576" w:lineRule="auto"/>
      <w:jc w:val="center"/>
      <w:outlineLvl w:val="0"/>
    </w:pPr>
    <w:rPr>
      <w:rFonts w:ascii="???" w:hAnsi="???" w:eastAsia="宋体" w:cs="Arial"/>
      <w:b/>
      <w:bCs/>
      <w:color w:val="020000"/>
      <w:kern w:val="36"/>
      <w:sz w:val="44"/>
      <w:szCs w:val="44"/>
    </w:rPr>
  </w:style>
  <w:style w:type="paragraph" w:styleId="3">
    <w:name w:val="heading 2"/>
    <w:basedOn w:val="1"/>
    <w:next w:val="1"/>
    <w:link w:val="58"/>
    <w:qFormat/>
    <w:uiPriority w:val="0"/>
    <w:pPr>
      <w:keepNext/>
      <w:widowControl/>
      <w:spacing w:before="260" w:after="260" w:line="412" w:lineRule="auto"/>
      <w:outlineLvl w:val="1"/>
    </w:pPr>
    <w:rPr>
      <w:rFonts w:ascii="???" w:hAnsi="???" w:eastAsia="宋体" w:cs="Arial"/>
      <w:b/>
      <w:bCs/>
      <w:color w:val="020000"/>
      <w:kern w:val="0"/>
      <w:sz w:val="32"/>
      <w:szCs w:val="32"/>
    </w:rPr>
  </w:style>
  <w:style w:type="paragraph" w:styleId="4">
    <w:name w:val="heading 3"/>
    <w:basedOn w:val="1"/>
    <w:next w:val="5"/>
    <w:link w:val="57"/>
    <w:qFormat/>
    <w:uiPriority w:val="0"/>
    <w:pPr>
      <w:keepNext/>
      <w:widowControl/>
      <w:spacing w:before="260" w:after="260" w:line="412" w:lineRule="auto"/>
      <w:outlineLvl w:val="2"/>
    </w:pPr>
    <w:rPr>
      <w:rFonts w:ascii="??" w:hAnsi="??" w:eastAsia="宋体" w:cs="Arial"/>
      <w:b/>
      <w:bCs/>
      <w:color w:val="000000"/>
      <w:kern w:val="0"/>
      <w:sz w:val="32"/>
      <w:szCs w:val="32"/>
    </w:rPr>
  </w:style>
  <w:style w:type="paragraph" w:styleId="7">
    <w:name w:val="heading 4"/>
    <w:basedOn w:val="1"/>
    <w:next w:val="1"/>
    <w:unhideWhenUsed/>
    <w:qFormat/>
    <w:uiPriority w:val="0"/>
    <w:pPr>
      <w:keepNext/>
      <w:keepLines/>
      <w:spacing w:before="280" w:after="290" w:line="372" w:lineRule="auto"/>
      <w:ind w:firstLine="200" w:firstLineChars="200"/>
      <w:outlineLvl w:val="3"/>
    </w:pPr>
    <w:rPr>
      <w:rFonts w:ascii="Arial" w:hAnsi="Arial" w:eastAsia="黑体"/>
      <w:b/>
      <w:sz w:val="24"/>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customStyle="1" w:styleId="5">
    <w:name w:val="方案正文"/>
    <w:basedOn w:val="6"/>
    <w:qFormat/>
    <w:uiPriority w:val="0"/>
    <w:pPr>
      <w:spacing w:after="0"/>
      <w:ind w:firstLine="560" w:firstLineChars="200"/>
      <w:jc w:val="left"/>
    </w:pPr>
    <w:rPr>
      <w:rFonts w:ascii="Arial" w:hAnsi="Arial" w:eastAsia="仿宋" w:cs="宋体"/>
      <w:sz w:val="28"/>
      <w:szCs w:val="21"/>
    </w:rPr>
  </w:style>
  <w:style w:type="paragraph" w:styleId="6">
    <w:name w:val="Body Text"/>
    <w:basedOn w:val="1"/>
    <w:link w:val="130"/>
    <w:qFormat/>
    <w:uiPriority w:val="99"/>
    <w:pPr>
      <w:spacing w:after="120"/>
    </w:pPr>
    <w:rPr>
      <w:rFonts w:ascii="Calibri" w:hAnsi="Calibri" w:eastAsia="宋体" w:cs="Times New Roman"/>
      <w:kern w:val="0"/>
      <w:sz w:val="24"/>
      <w:szCs w:val="20"/>
    </w:rPr>
  </w:style>
  <w:style w:type="paragraph" w:styleId="8">
    <w:name w:val="toc 7"/>
    <w:basedOn w:val="1"/>
    <w:next w:val="1"/>
    <w:qFormat/>
    <w:uiPriority w:val="0"/>
    <w:pPr>
      <w:ind w:left="1260"/>
      <w:jc w:val="left"/>
    </w:pPr>
    <w:rPr>
      <w:rFonts w:cstheme="minorHAnsi"/>
      <w:sz w:val="18"/>
      <w:szCs w:val="18"/>
    </w:rPr>
  </w:style>
  <w:style w:type="paragraph" w:styleId="9">
    <w:name w:val="List Number"/>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Normal Indent"/>
    <w:basedOn w:val="1"/>
    <w:link w:val="109"/>
    <w:qFormat/>
    <w:uiPriority w:val="0"/>
    <w:pPr>
      <w:ind w:firstLine="420" w:firstLineChars="200"/>
    </w:pPr>
    <w:rPr>
      <w:rFonts w:ascii="Times New Roman" w:hAnsi="Times New Roman" w:eastAsia="宋体" w:cs="Times New Roman"/>
      <w:kern w:val="0"/>
      <w:sz w:val="24"/>
      <w:szCs w:val="20"/>
    </w:rPr>
  </w:style>
  <w:style w:type="paragraph" w:styleId="11">
    <w:name w:val="Document Map"/>
    <w:basedOn w:val="1"/>
    <w:link w:val="127"/>
    <w:qFormat/>
    <w:uiPriority w:val="0"/>
    <w:rPr>
      <w:rFonts w:ascii="宋体" w:hAnsi="Calibri" w:eastAsia="宋体" w:cs="Times New Roman"/>
      <w:kern w:val="0"/>
      <w:sz w:val="18"/>
      <w:szCs w:val="20"/>
    </w:rPr>
  </w:style>
  <w:style w:type="paragraph" w:styleId="12">
    <w:name w:val="toa heading"/>
    <w:basedOn w:val="1"/>
    <w:next w:val="1"/>
    <w:qFormat/>
    <w:uiPriority w:val="0"/>
    <w:pPr>
      <w:spacing w:before="120"/>
    </w:pPr>
    <w:rPr>
      <w:rFonts w:ascii="Cambria" w:hAnsi="Cambria"/>
      <w:sz w:val="24"/>
      <w:szCs w:val="24"/>
    </w:rPr>
  </w:style>
  <w:style w:type="paragraph" w:styleId="13">
    <w:name w:val="annotation text"/>
    <w:basedOn w:val="1"/>
    <w:link w:val="155"/>
    <w:qFormat/>
    <w:uiPriority w:val="0"/>
    <w:pPr>
      <w:jc w:val="left"/>
    </w:pPr>
  </w:style>
  <w:style w:type="paragraph" w:styleId="14">
    <w:name w:val="Body Text Indent"/>
    <w:basedOn w:val="1"/>
    <w:link w:val="61"/>
    <w:qFormat/>
    <w:uiPriority w:val="0"/>
    <w:pPr>
      <w:widowControl/>
      <w:spacing w:after="120"/>
      <w:ind w:left="420"/>
    </w:pPr>
    <w:rPr>
      <w:rFonts w:ascii="??" w:hAnsi="??" w:eastAsia="宋体" w:cs="Arial"/>
      <w:kern w:val="0"/>
      <w:sz w:val="24"/>
      <w:szCs w:val="24"/>
    </w:rPr>
  </w:style>
  <w:style w:type="paragraph" w:styleId="15">
    <w:name w:val="toc 5"/>
    <w:basedOn w:val="1"/>
    <w:next w:val="1"/>
    <w:qFormat/>
    <w:uiPriority w:val="0"/>
    <w:pPr>
      <w:ind w:left="840"/>
      <w:jc w:val="left"/>
    </w:pPr>
    <w:rPr>
      <w:rFonts w:cstheme="minorHAnsi"/>
      <w:sz w:val="18"/>
      <w:szCs w:val="18"/>
    </w:rPr>
  </w:style>
  <w:style w:type="paragraph" w:styleId="16">
    <w:name w:val="toc 3"/>
    <w:basedOn w:val="1"/>
    <w:next w:val="1"/>
    <w:qFormat/>
    <w:uiPriority w:val="39"/>
    <w:pPr>
      <w:ind w:left="420"/>
      <w:jc w:val="left"/>
    </w:pPr>
    <w:rPr>
      <w:rFonts w:cstheme="minorHAnsi"/>
      <w:i/>
      <w:iCs/>
      <w:sz w:val="20"/>
      <w:szCs w:val="20"/>
    </w:rPr>
  </w:style>
  <w:style w:type="paragraph" w:styleId="17">
    <w:name w:val="Plain Text"/>
    <w:basedOn w:val="1"/>
    <w:next w:val="6"/>
    <w:link w:val="191"/>
    <w:qFormat/>
    <w:uiPriority w:val="0"/>
    <w:rPr>
      <w:rFonts w:ascii="宋体" w:hAnsi="Courier New" w:eastAsia="宋体"/>
      <w:szCs w:val="21"/>
    </w:rPr>
  </w:style>
  <w:style w:type="paragraph" w:styleId="18">
    <w:name w:val="toc 8"/>
    <w:basedOn w:val="1"/>
    <w:next w:val="1"/>
    <w:qFormat/>
    <w:uiPriority w:val="0"/>
    <w:pPr>
      <w:ind w:left="1470"/>
      <w:jc w:val="left"/>
    </w:pPr>
    <w:rPr>
      <w:rFonts w:cstheme="minorHAnsi"/>
      <w:sz w:val="18"/>
      <w:szCs w:val="18"/>
    </w:rPr>
  </w:style>
  <w:style w:type="paragraph" w:styleId="19">
    <w:name w:val="Date"/>
    <w:basedOn w:val="1"/>
    <w:next w:val="1"/>
    <w:link w:val="150"/>
    <w:qFormat/>
    <w:uiPriority w:val="0"/>
    <w:rPr>
      <w:szCs w:val="21"/>
    </w:rPr>
  </w:style>
  <w:style w:type="paragraph" w:styleId="20">
    <w:name w:val="Body Text Indent 2"/>
    <w:basedOn w:val="1"/>
    <w:link w:val="123"/>
    <w:qFormat/>
    <w:uiPriority w:val="99"/>
    <w:pPr>
      <w:spacing w:before="100" w:beforeAutospacing="1" w:after="100" w:afterAutospacing="1" w:line="360" w:lineRule="auto"/>
      <w:ind w:firstLine="420"/>
    </w:pPr>
    <w:rPr>
      <w:rFonts w:ascii="宋体" w:hAnsi="Calibri" w:eastAsia="宋体" w:cs="Times New Roman"/>
      <w:kern w:val="0"/>
      <w:sz w:val="24"/>
      <w:szCs w:val="20"/>
    </w:rPr>
  </w:style>
  <w:style w:type="paragraph" w:styleId="21">
    <w:name w:val="Balloon Text"/>
    <w:basedOn w:val="1"/>
    <w:link w:val="73"/>
    <w:qFormat/>
    <w:uiPriority w:val="0"/>
    <w:rPr>
      <w:rFonts w:ascii="Calibri" w:hAnsi="Calibri" w:eastAsia="宋体" w:cs="Times New Roman"/>
      <w:sz w:val="18"/>
      <w:szCs w:val="18"/>
    </w:rPr>
  </w:style>
  <w:style w:type="paragraph" w:styleId="22">
    <w:name w:val="footer"/>
    <w:basedOn w:val="1"/>
    <w:link w:val="60"/>
    <w:qFormat/>
    <w:uiPriority w:val="99"/>
    <w:pPr>
      <w:tabs>
        <w:tab w:val="center" w:pos="4153"/>
        <w:tab w:val="right" w:pos="8306"/>
      </w:tabs>
      <w:snapToGrid w:val="0"/>
      <w:jc w:val="left"/>
    </w:pPr>
    <w:rPr>
      <w:rFonts w:ascii="Calibri" w:hAnsi="Calibri" w:eastAsia="宋体" w:cs="Times New Roman"/>
      <w:sz w:val="18"/>
      <w:szCs w:val="18"/>
    </w:rPr>
  </w:style>
  <w:style w:type="paragraph" w:styleId="23">
    <w:name w:val="header"/>
    <w:basedOn w:val="1"/>
    <w:link w:val="59"/>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24">
    <w:name w:val="toc 1"/>
    <w:basedOn w:val="1"/>
    <w:next w:val="1"/>
    <w:qFormat/>
    <w:uiPriority w:val="39"/>
    <w:pPr>
      <w:spacing w:before="120" w:after="120"/>
      <w:jc w:val="left"/>
    </w:pPr>
    <w:rPr>
      <w:rFonts w:cstheme="minorHAnsi"/>
      <w:b/>
      <w:bCs/>
      <w:caps/>
      <w:sz w:val="20"/>
      <w:szCs w:val="20"/>
    </w:rPr>
  </w:style>
  <w:style w:type="paragraph" w:styleId="25">
    <w:name w:val="toc 4"/>
    <w:basedOn w:val="1"/>
    <w:next w:val="1"/>
    <w:qFormat/>
    <w:uiPriority w:val="0"/>
    <w:pPr>
      <w:ind w:left="630"/>
      <w:jc w:val="left"/>
    </w:pPr>
    <w:rPr>
      <w:rFonts w:cstheme="minorHAnsi"/>
      <w:sz w:val="18"/>
      <w:szCs w:val="18"/>
    </w:rPr>
  </w:style>
  <w:style w:type="paragraph" w:styleId="26">
    <w:name w:val="footnote text"/>
    <w:basedOn w:val="1"/>
    <w:link w:val="167"/>
    <w:semiHidden/>
    <w:qFormat/>
    <w:uiPriority w:val="0"/>
    <w:pPr>
      <w:snapToGrid w:val="0"/>
      <w:jc w:val="left"/>
    </w:pPr>
    <w:rPr>
      <w:rFonts w:ascii="Times New Roman" w:hAnsi="Times New Roman" w:eastAsia="宋体" w:cs="Times New Roman"/>
      <w:sz w:val="18"/>
      <w:szCs w:val="18"/>
    </w:rPr>
  </w:style>
  <w:style w:type="paragraph" w:styleId="27">
    <w:name w:val="toc 6"/>
    <w:basedOn w:val="1"/>
    <w:next w:val="1"/>
    <w:qFormat/>
    <w:uiPriority w:val="0"/>
    <w:pPr>
      <w:ind w:left="1050"/>
      <w:jc w:val="left"/>
    </w:pPr>
    <w:rPr>
      <w:rFonts w:cstheme="minorHAnsi"/>
      <w:sz w:val="18"/>
      <w:szCs w:val="18"/>
    </w:rPr>
  </w:style>
  <w:style w:type="paragraph" w:styleId="28">
    <w:name w:val="Body Text Indent 3"/>
    <w:basedOn w:val="1"/>
    <w:link w:val="125"/>
    <w:qFormat/>
    <w:uiPriority w:val="99"/>
    <w:pPr>
      <w:spacing w:line="440" w:lineRule="exact"/>
      <w:ind w:firstLine="412" w:firstLineChars="200"/>
    </w:pPr>
    <w:rPr>
      <w:rFonts w:ascii="宋体" w:hAnsi="Calibri" w:eastAsia="宋体" w:cs="Times New Roman"/>
      <w:kern w:val="0"/>
      <w:sz w:val="20"/>
      <w:szCs w:val="20"/>
    </w:rPr>
  </w:style>
  <w:style w:type="paragraph" w:styleId="29">
    <w:name w:val="table of figures"/>
    <w:basedOn w:val="1"/>
    <w:next w:val="1"/>
    <w:qFormat/>
    <w:uiPriority w:val="0"/>
    <w:pPr>
      <w:ind w:left="200" w:leftChars="200" w:hanging="200" w:hangingChars="200"/>
    </w:pPr>
    <w:rPr>
      <w:rFonts w:ascii="Times New Roman" w:hAnsi="Times New Roman" w:eastAsia="宋体" w:cs="Times New Roman"/>
      <w:szCs w:val="20"/>
    </w:rPr>
  </w:style>
  <w:style w:type="paragraph" w:styleId="30">
    <w:name w:val="toc 2"/>
    <w:basedOn w:val="1"/>
    <w:next w:val="1"/>
    <w:qFormat/>
    <w:uiPriority w:val="39"/>
    <w:pPr>
      <w:ind w:left="210"/>
      <w:jc w:val="left"/>
    </w:pPr>
    <w:rPr>
      <w:rFonts w:cstheme="minorHAnsi"/>
      <w:smallCaps/>
      <w:sz w:val="20"/>
      <w:szCs w:val="20"/>
    </w:rPr>
  </w:style>
  <w:style w:type="paragraph" w:styleId="31">
    <w:name w:val="toc 9"/>
    <w:basedOn w:val="1"/>
    <w:next w:val="1"/>
    <w:qFormat/>
    <w:uiPriority w:val="0"/>
    <w:pPr>
      <w:ind w:left="1680"/>
      <w:jc w:val="left"/>
    </w:pPr>
    <w:rPr>
      <w:rFonts w:cstheme="minorHAnsi"/>
      <w:sz w:val="18"/>
      <w:szCs w:val="18"/>
    </w:rPr>
  </w:style>
  <w:style w:type="paragraph" w:styleId="32">
    <w:name w:val="List Continue 2"/>
    <w:basedOn w:val="1"/>
    <w:qFormat/>
    <w:uiPriority w:val="99"/>
    <w:pPr>
      <w:spacing w:after="120"/>
      <w:ind w:left="840" w:leftChars="400"/>
    </w:pPr>
    <w:rPr>
      <w:rFonts w:ascii="Times New Roman" w:hAnsi="Times New Roman" w:eastAsia="宋体" w:cs="Times New Roman"/>
      <w:szCs w:val="24"/>
    </w:rPr>
  </w:style>
  <w:style w:type="paragraph" w:styleId="33">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34">
    <w:name w:val="index 1"/>
    <w:basedOn w:val="1"/>
    <w:next w:val="1"/>
    <w:qFormat/>
    <w:uiPriority w:val="0"/>
    <w:pPr>
      <w:adjustRightInd w:val="0"/>
      <w:snapToGrid w:val="0"/>
      <w:spacing w:line="300" w:lineRule="exact"/>
    </w:pPr>
    <w:rPr>
      <w:rFonts w:ascii="宋体" w:hAnsi="宋体" w:eastAsia="宋体" w:cs="Times New Roman"/>
      <w:bCs/>
      <w:sz w:val="20"/>
      <w:szCs w:val="21"/>
    </w:rPr>
  </w:style>
  <w:style w:type="paragraph" w:styleId="35">
    <w:name w:val="Title"/>
    <w:basedOn w:val="1"/>
    <w:next w:val="1"/>
    <w:link w:val="153"/>
    <w:qFormat/>
    <w:uiPriority w:val="0"/>
    <w:pPr>
      <w:spacing w:before="240" w:after="60"/>
      <w:jc w:val="center"/>
      <w:outlineLvl w:val="0"/>
    </w:pPr>
    <w:rPr>
      <w:rFonts w:ascii="Cambria" w:hAnsi="Cambria" w:cs="Times New Roman"/>
      <w:b/>
      <w:bCs/>
      <w:sz w:val="32"/>
      <w:szCs w:val="32"/>
    </w:rPr>
  </w:style>
  <w:style w:type="paragraph" w:styleId="36">
    <w:name w:val="annotation subject"/>
    <w:basedOn w:val="13"/>
    <w:next w:val="13"/>
    <w:link w:val="160"/>
    <w:qFormat/>
    <w:uiPriority w:val="0"/>
    <w:rPr>
      <w:b/>
      <w:bCs/>
    </w:rPr>
  </w:style>
  <w:style w:type="paragraph" w:styleId="37">
    <w:name w:val="Body Text First Indent"/>
    <w:basedOn w:val="6"/>
    <w:link w:val="201"/>
    <w:semiHidden/>
    <w:unhideWhenUsed/>
    <w:qFormat/>
    <w:uiPriority w:val="99"/>
    <w:pPr>
      <w:ind w:firstLine="420" w:firstLineChars="100"/>
    </w:pPr>
    <w:rPr>
      <w:rFonts w:asciiTheme="minorHAnsi" w:hAnsiTheme="minorHAnsi" w:eastAsiaTheme="minorEastAsia" w:cstheme="minorBidi"/>
      <w:kern w:val="2"/>
      <w:sz w:val="21"/>
      <w:szCs w:val="22"/>
    </w:rPr>
  </w:style>
  <w:style w:type="table" w:styleId="39">
    <w:name w:val="Table Grid"/>
    <w:basedOn w:val="38"/>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1">
    <w:name w:val="Strong"/>
    <w:basedOn w:val="40"/>
    <w:qFormat/>
    <w:uiPriority w:val="22"/>
    <w:rPr>
      <w:rFonts w:cs="Times New Roman"/>
      <w:b/>
    </w:rPr>
  </w:style>
  <w:style w:type="character" w:styleId="42">
    <w:name w:val="page number"/>
    <w:basedOn w:val="40"/>
    <w:qFormat/>
    <w:uiPriority w:val="0"/>
    <w:rPr>
      <w:rFonts w:cs="Times New Roman"/>
    </w:rPr>
  </w:style>
  <w:style w:type="character" w:styleId="43">
    <w:name w:val="FollowedHyperlink"/>
    <w:basedOn w:val="40"/>
    <w:qFormat/>
    <w:uiPriority w:val="99"/>
    <w:rPr>
      <w:rFonts w:cs="Times New Roman"/>
      <w:color w:val="555555"/>
      <w:u w:val="none"/>
    </w:rPr>
  </w:style>
  <w:style w:type="character" w:styleId="44">
    <w:name w:val="Emphasis"/>
    <w:basedOn w:val="40"/>
    <w:qFormat/>
    <w:uiPriority w:val="0"/>
    <w:rPr>
      <w:rFonts w:cs="Times New Roman"/>
      <w:i/>
    </w:rPr>
  </w:style>
  <w:style w:type="character" w:styleId="45">
    <w:name w:val="HTML Definition"/>
    <w:basedOn w:val="40"/>
    <w:qFormat/>
    <w:uiPriority w:val="99"/>
    <w:rPr>
      <w:rFonts w:cs="Times New Roman"/>
    </w:rPr>
  </w:style>
  <w:style w:type="character" w:styleId="46">
    <w:name w:val="HTML Acronym"/>
    <w:basedOn w:val="40"/>
    <w:qFormat/>
    <w:uiPriority w:val="99"/>
    <w:rPr>
      <w:rFonts w:cs="Times New Roman"/>
    </w:rPr>
  </w:style>
  <w:style w:type="character" w:styleId="47">
    <w:name w:val="HTML Variable"/>
    <w:basedOn w:val="40"/>
    <w:qFormat/>
    <w:uiPriority w:val="99"/>
    <w:rPr>
      <w:rFonts w:cs="Times New Roman"/>
    </w:rPr>
  </w:style>
  <w:style w:type="character" w:styleId="48">
    <w:name w:val="Hyperlink"/>
    <w:basedOn w:val="40"/>
    <w:qFormat/>
    <w:uiPriority w:val="99"/>
    <w:rPr>
      <w:rFonts w:cs="Times New Roman"/>
      <w:color w:val="555555"/>
      <w:u w:val="none"/>
    </w:rPr>
  </w:style>
  <w:style w:type="character" w:styleId="49">
    <w:name w:val="HTML Code"/>
    <w:basedOn w:val="40"/>
    <w:qFormat/>
    <w:uiPriority w:val="99"/>
    <w:rPr>
      <w:rFonts w:ascii="monospace" w:hAnsi="monospace" w:cs="Times New Roman"/>
      <w:sz w:val="24"/>
    </w:rPr>
  </w:style>
  <w:style w:type="character" w:styleId="50">
    <w:name w:val="annotation reference"/>
    <w:qFormat/>
    <w:uiPriority w:val="0"/>
    <w:rPr>
      <w:sz w:val="21"/>
      <w:szCs w:val="21"/>
    </w:rPr>
  </w:style>
  <w:style w:type="character" w:styleId="51">
    <w:name w:val="HTML Cite"/>
    <w:basedOn w:val="40"/>
    <w:qFormat/>
    <w:uiPriority w:val="99"/>
    <w:rPr>
      <w:rFonts w:cs="Times New Roman"/>
    </w:rPr>
  </w:style>
  <w:style w:type="character" w:styleId="52">
    <w:name w:val="footnote reference"/>
    <w:semiHidden/>
    <w:qFormat/>
    <w:uiPriority w:val="0"/>
    <w:rPr>
      <w:vertAlign w:val="superscript"/>
    </w:rPr>
  </w:style>
  <w:style w:type="character" w:styleId="53">
    <w:name w:val="HTML Keyboard"/>
    <w:basedOn w:val="40"/>
    <w:qFormat/>
    <w:uiPriority w:val="99"/>
    <w:rPr>
      <w:rFonts w:ascii="monospace" w:hAnsi="monospace" w:cs="Times New Roman"/>
      <w:sz w:val="24"/>
    </w:rPr>
  </w:style>
  <w:style w:type="character" w:styleId="54">
    <w:name w:val="HTML Sample"/>
    <w:basedOn w:val="40"/>
    <w:qFormat/>
    <w:uiPriority w:val="99"/>
    <w:rPr>
      <w:rFonts w:ascii="monospace" w:hAnsi="monospace" w:cs="Times New Roman"/>
      <w:sz w:val="24"/>
    </w:rPr>
  </w:style>
  <w:style w:type="paragraph" w:customStyle="1" w:styleId="55">
    <w:name w:val="_Style 3"/>
    <w:next w:val="1"/>
    <w:qFormat/>
    <w:uiPriority w:val="0"/>
    <w:pPr>
      <w:wordWrap w:val="0"/>
      <w:spacing w:before="200" w:after="160"/>
      <w:ind w:left="864" w:right="864"/>
      <w:jc w:val="center"/>
    </w:pPr>
    <w:rPr>
      <w:rFonts w:ascii="Times New Roman" w:hAnsi="Times New Roman" w:eastAsia="宋体" w:cs="Times New Roman"/>
      <w:i/>
      <w:sz w:val="21"/>
      <w:szCs w:val="22"/>
      <w:lang w:val="en-US" w:eastAsia="zh-CN" w:bidi="ar-SA"/>
    </w:rPr>
  </w:style>
  <w:style w:type="character" w:customStyle="1" w:styleId="56">
    <w:name w:val="标题 1 Char"/>
    <w:basedOn w:val="40"/>
    <w:link w:val="2"/>
    <w:qFormat/>
    <w:uiPriority w:val="9"/>
    <w:rPr>
      <w:rFonts w:ascii="???" w:hAnsi="???" w:eastAsia="宋体" w:cs="Arial"/>
      <w:b/>
      <w:bCs/>
      <w:color w:val="020000"/>
      <w:kern w:val="36"/>
      <w:sz w:val="44"/>
      <w:szCs w:val="44"/>
    </w:rPr>
  </w:style>
  <w:style w:type="character" w:customStyle="1" w:styleId="57">
    <w:name w:val="标题 3 Char"/>
    <w:basedOn w:val="40"/>
    <w:link w:val="4"/>
    <w:qFormat/>
    <w:uiPriority w:val="0"/>
    <w:rPr>
      <w:rFonts w:ascii="??" w:hAnsi="??" w:eastAsia="宋体" w:cs="Arial"/>
      <w:b/>
      <w:bCs/>
      <w:color w:val="000000"/>
      <w:kern w:val="0"/>
      <w:sz w:val="32"/>
      <w:szCs w:val="32"/>
    </w:rPr>
  </w:style>
  <w:style w:type="character" w:customStyle="1" w:styleId="58">
    <w:name w:val="标题 2 Char"/>
    <w:basedOn w:val="40"/>
    <w:link w:val="3"/>
    <w:qFormat/>
    <w:uiPriority w:val="99"/>
    <w:rPr>
      <w:rFonts w:ascii="???" w:hAnsi="???" w:eastAsia="宋体" w:cs="Arial"/>
      <w:b/>
      <w:bCs/>
      <w:color w:val="020000"/>
      <w:kern w:val="0"/>
      <w:sz w:val="32"/>
      <w:szCs w:val="32"/>
    </w:rPr>
  </w:style>
  <w:style w:type="character" w:customStyle="1" w:styleId="59">
    <w:name w:val="页眉 Char"/>
    <w:basedOn w:val="40"/>
    <w:link w:val="23"/>
    <w:qFormat/>
    <w:uiPriority w:val="99"/>
    <w:rPr>
      <w:rFonts w:ascii="Calibri" w:hAnsi="Calibri" w:eastAsia="宋体" w:cs="Times New Roman"/>
      <w:sz w:val="18"/>
      <w:szCs w:val="18"/>
    </w:rPr>
  </w:style>
  <w:style w:type="character" w:customStyle="1" w:styleId="60">
    <w:name w:val="页脚 Char"/>
    <w:basedOn w:val="40"/>
    <w:link w:val="22"/>
    <w:qFormat/>
    <w:uiPriority w:val="99"/>
    <w:rPr>
      <w:rFonts w:ascii="Calibri" w:hAnsi="Calibri" w:eastAsia="宋体" w:cs="Times New Roman"/>
      <w:sz w:val="18"/>
      <w:szCs w:val="18"/>
    </w:rPr>
  </w:style>
  <w:style w:type="character" w:customStyle="1" w:styleId="61">
    <w:name w:val="正文文本缩进 Char"/>
    <w:basedOn w:val="40"/>
    <w:link w:val="14"/>
    <w:qFormat/>
    <w:uiPriority w:val="0"/>
    <w:rPr>
      <w:rFonts w:ascii="??" w:hAnsi="??" w:eastAsia="宋体" w:cs="Arial"/>
      <w:kern w:val="0"/>
      <w:sz w:val="24"/>
      <w:szCs w:val="24"/>
    </w:rPr>
  </w:style>
  <w:style w:type="paragraph" w:customStyle="1" w:styleId="62">
    <w:name w:val="列出段落1"/>
    <w:basedOn w:val="1"/>
    <w:qFormat/>
    <w:uiPriority w:val="34"/>
    <w:pPr>
      <w:ind w:firstLine="420" w:firstLineChars="200"/>
    </w:pPr>
    <w:rPr>
      <w:rFonts w:ascii="Calibri" w:hAnsi="Calibri" w:eastAsia="宋体" w:cs="Times New Roman"/>
    </w:rPr>
  </w:style>
  <w:style w:type="character" w:customStyle="1" w:styleId="63">
    <w:name w:val="标题 2 Char Char"/>
    <w:qFormat/>
    <w:uiPriority w:val="99"/>
    <w:rPr>
      <w:rFonts w:ascii="Arial" w:hAnsi="Arial" w:eastAsia="黑体"/>
      <w:b/>
      <w:kern w:val="2"/>
      <w:sz w:val="32"/>
      <w:lang w:val="en-US" w:eastAsia="zh-CN"/>
    </w:rPr>
  </w:style>
  <w:style w:type="character" w:customStyle="1" w:styleId="64">
    <w:name w:val="2charchar"/>
    <w:basedOn w:val="40"/>
    <w:qFormat/>
    <w:uiPriority w:val="99"/>
    <w:rPr>
      <w:rFonts w:cs="Times New Roman"/>
    </w:rPr>
  </w:style>
  <w:style w:type="paragraph" w:customStyle="1" w:styleId="65">
    <w:name w:val="表格文字"/>
    <w:basedOn w:val="1"/>
    <w:qFormat/>
    <w:uiPriority w:val="99"/>
    <w:pPr>
      <w:adjustRightInd w:val="0"/>
      <w:spacing w:line="420" w:lineRule="atLeast"/>
      <w:jc w:val="left"/>
    </w:pPr>
    <w:rPr>
      <w:rFonts w:ascii="Times New Roman" w:hAnsi="Times New Roman" w:eastAsia="宋体" w:cs="Times New Roman"/>
      <w:kern w:val="0"/>
      <w:szCs w:val="20"/>
    </w:rPr>
  </w:style>
  <w:style w:type="paragraph" w:customStyle="1" w:styleId="66">
    <w:name w:val="z-窗体顶端1"/>
    <w:basedOn w:val="1"/>
    <w:next w:val="1"/>
    <w:link w:val="67"/>
    <w:semiHidden/>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67">
    <w:name w:val="z-窗体顶端 Char"/>
    <w:basedOn w:val="40"/>
    <w:link w:val="66"/>
    <w:semiHidden/>
    <w:qFormat/>
    <w:uiPriority w:val="99"/>
    <w:rPr>
      <w:rFonts w:ascii="Arial" w:hAnsi="Arial" w:eastAsia="宋体" w:cs="Arial"/>
      <w:vanish/>
      <w:kern w:val="0"/>
      <w:sz w:val="16"/>
      <w:szCs w:val="16"/>
    </w:rPr>
  </w:style>
  <w:style w:type="paragraph" w:customStyle="1" w:styleId="68">
    <w:name w:val="z-窗体底端1"/>
    <w:basedOn w:val="1"/>
    <w:next w:val="1"/>
    <w:link w:val="69"/>
    <w:semiHidden/>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69">
    <w:name w:val="z-窗体底端 Char"/>
    <w:basedOn w:val="40"/>
    <w:link w:val="68"/>
    <w:semiHidden/>
    <w:qFormat/>
    <w:uiPriority w:val="99"/>
    <w:rPr>
      <w:rFonts w:ascii="Arial" w:hAnsi="Arial" w:eastAsia="宋体" w:cs="Arial"/>
      <w:vanish/>
      <w:kern w:val="0"/>
      <w:sz w:val="16"/>
      <w:szCs w:val="16"/>
    </w:rPr>
  </w:style>
  <w:style w:type="paragraph" w:customStyle="1" w:styleId="70">
    <w:name w:val="hu正文"/>
    <w:basedOn w:val="1"/>
    <w:link w:val="71"/>
    <w:qFormat/>
    <w:uiPriority w:val="99"/>
    <w:pPr>
      <w:spacing w:before="156" w:after="156" w:line="300" w:lineRule="auto"/>
      <w:ind w:firstLine="480" w:firstLineChars="200"/>
    </w:pPr>
    <w:rPr>
      <w:rFonts w:ascii="Times New Roman" w:hAnsi="Times New Roman" w:eastAsia="宋体" w:cs="Times New Roman"/>
      <w:kern w:val="0"/>
      <w:sz w:val="24"/>
      <w:szCs w:val="20"/>
    </w:rPr>
  </w:style>
  <w:style w:type="character" w:customStyle="1" w:styleId="71">
    <w:name w:val="hu正文 Char"/>
    <w:link w:val="70"/>
    <w:qFormat/>
    <w:locked/>
    <w:uiPriority w:val="99"/>
    <w:rPr>
      <w:rFonts w:ascii="Times New Roman" w:hAnsi="Times New Roman" w:eastAsia="宋体" w:cs="Times New Roman"/>
      <w:kern w:val="0"/>
      <w:sz w:val="24"/>
      <w:szCs w:val="20"/>
    </w:rPr>
  </w:style>
  <w:style w:type="paragraph" w:customStyle="1" w:styleId="72">
    <w:name w:val="无间隔1"/>
    <w:qFormat/>
    <w:uiPriority w:val="99"/>
    <w:pPr>
      <w:widowControl w:val="0"/>
      <w:jc w:val="both"/>
    </w:pPr>
    <w:rPr>
      <w:rFonts w:ascii="Calibri" w:hAnsi="Calibri" w:eastAsia="宋体" w:cs="Times New Roman"/>
      <w:kern w:val="2"/>
      <w:sz w:val="21"/>
      <w:szCs w:val="22"/>
      <w:lang w:val="en-US" w:eastAsia="zh-CN" w:bidi="ar-SA"/>
    </w:rPr>
  </w:style>
  <w:style w:type="character" w:customStyle="1" w:styleId="73">
    <w:name w:val="批注框文本 Char"/>
    <w:basedOn w:val="40"/>
    <w:link w:val="21"/>
    <w:qFormat/>
    <w:uiPriority w:val="0"/>
    <w:rPr>
      <w:rFonts w:ascii="Calibri" w:hAnsi="Calibri" w:eastAsia="宋体" w:cs="Times New Roman"/>
      <w:sz w:val="18"/>
      <w:szCs w:val="18"/>
    </w:rPr>
  </w:style>
  <w:style w:type="character" w:customStyle="1" w:styleId="74">
    <w:name w:val="ui-bz-bg-hover1"/>
    <w:basedOn w:val="40"/>
    <w:qFormat/>
    <w:uiPriority w:val="99"/>
    <w:rPr>
      <w:rFonts w:cs="Times New Roman"/>
    </w:rPr>
  </w:style>
  <w:style w:type="character" w:customStyle="1" w:styleId="75">
    <w:name w:val="批注框文本 Char1"/>
    <w:qFormat/>
    <w:uiPriority w:val="99"/>
    <w:rPr>
      <w:rFonts w:ascii="Times New Roman" w:hAnsi="Times New Roman" w:eastAsia="宋体"/>
      <w:sz w:val="18"/>
    </w:rPr>
  </w:style>
  <w:style w:type="character" w:customStyle="1" w:styleId="76">
    <w:name w:val="bds_nopic"/>
    <w:basedOn w:val="40"/>
    <w:qFormat/>
    <w:uiPriority w:val="99"/>
    <w:rPr>
      <w:rFonts w:cs="Times New Roman"/>
    </w:rPr>
  </w:style>
  <w:style w:type="character" w:customStyle="1" w:styleId="77">
    <w:name w:val="tip12"/>
    <w:qFormat/>
    <w:uiPriority w:val="99"/>
    <w:rPr>
      <w:vanish/>
      <w:color w:val="FF0000"/>
      <w:sz w:val="18"/>
    </w:rPr>
  </w:style>
  <w:style w:type="character" w:customStyle="1" w:styleId="78">
    <w:name w:val="Body Text Indent 3 Char"/>
    <w:qFormat/>
    <w:locked/>
    <w:uiPriority w:val="99"/>
    <w:rPr>
      <w:rFonts w:ascii="宋体" w:eastAsia="宋体"/>
    </w:rPr>
  </w:style>
  <w:style w:type="character" w:customStyle="1" w:styleId="79">
    <w:name w:val="HTML Markup"/>
    <w:qFormat/>
    <w:uiPriority w:val="99"/>
    <w:rPr>
      <w:vanish/>
      <w:color w:val="FF0000"/>
    </w:rPr>
  </w:style>
  <w:style w:type="character" w:customStyle="1" w:styleId="80">
    <w:name w:val="tip7"/>
    <w:qFormat/>
    <w:uiPriority w:val="99"/>
    <w:rPr>
      <w:vanish/>
      <w:color w:val="FF0000"/>
      <w:sz w:val="18"/>
    </w:rPr>
  </w:style>
  <w:style w:type="character" w:customStyle="1" w:styleId="81">
    <w:name w:val="f-star"/>
    <w:qFormat/>
    <w:uiPriority w:val="99"/>
    <w:rPr>
      <w:color w:val="999999"/>
      <w:sz w:val="21"/>
    </w:rPr>
  </w:style>
  <w:style w:type="character" w:customStyle="1" w:styleId="82">
    <w:name w:val="Document Map Char1"/>
    <w:qFormat/>
    <w:uiPriority w:val="99"/>
    <w:rPr>
      <w:rFonts w:ascii="Times New Roman" w:hAnsi="Times New Roman"/>
      <w:kern w:val="2"/>
      <w:sz w:val="2"/>
    </w:rPr>
  </w:style>
  <w:style w:type="character" w:customStyle="1" w:styleId="83">
    <w:name w:val="my-class2"/>
    <w:basedOn w:val="40"/>
    <w:qFormat/>
    <w:uiPriority w:val="99"/>
    <w:rPr>
      <w:rFonts w:cs="Times New Roman"/>
    </w:rPr>
  </w:style>
  <w:style w:type="character" w:customStyle="1" w:styleId="84">
    <w:name w:val="no52"/>
    <w:basedOn w:val="40"/>
    <w:qFormat/>
    <w:uiPriority w:val="99"/>
    <w:rPr>
      <w:rFonts w:cs="Times New Roman"/>
    </w:rPr>
  </w:style>
  <w:style w:type="character" w:customStyle="1" w:styleId="85">
    <w:name w:val="no4"/>
    <w:basedOn w:val="40"/>
    <w:qFormat/>
    <w:uiPriority w:val="99"/>
    <w:rPr>
      <w:rFonts w:cs="Times New Roman"/>
    </w:rPr>
  </w:style>
  <w:style w:type="character" w:customStyle="1" w:styleId="86">
    <w:name w:val="my-notice"/>
    <w:basedOn w:val="40"/>
    <w:qFormat/>
    <w:uiPriority w:val="99"/>
    <w:rPr>
      <w:rFonts w:cs="Times New Roman"/>
    </w:rPr>
  </w:style>
  <w:style w:type="character" w:customStyle="1" w:styleId="87">
    <w:name w:val="ico-jiang"/>
    <w:basedOn w:val="40"/>
    <w:qFormat/>
    <w:uiPriority w:val="99"/>
    <w:rPr>
      <w:rFonts w:cs="Times New Roman"/>
    </w:rPr>
  </w:style>
  <w:style w:type="character" w:customStyle="1" w:styleId="88">
    <w:name w:val="ico-jiang2"/>
    <w:basedOn w:val="40"/>
    <w:qFormat/>
    <w:uiPriority w:val="99"/>
    <w:rPr>
      <w:rFonts w:cs="Times New Roman"/>
    </w:rPr>
  </w:style>
  <w:style w:type="character" w:customStyle="1" w:styleId="89">
    <w:name w:val="bds_more1"/>
    <w:qFormat/>
    <w:uiPriority w:val="99"/>
    <w:rPr>
      <w:rFonts w:ascii="宋体" w:hAnsi="宋体" w:eastAsia="宋体"/>
    </w:rPr>
  </w:style>
  <w:style w:type="character" w:customStyle="1" w:styleId="90">
    <w:name w:val="Body Text Indent 2 Char"/>
    <w:qFormat/>
    <w:locked/>
    <w:uiPriority w:val="99"/>
    <w:rPr>
      <w:rFonts w:ascii="宋体" w:eastAsia="宋体"/>
      <w:sz w:val="24"/>
    </w:rPr>
  </w:style>
  <w:style w:type="character" w:customStyle="1" w:styleId="91">
    <w:name w:val="org_name"/>
    <w:basedOn w:val="40"/>
    <w:qFormat/>
    <w:uiPriority w:val="99"/>
    <w:rPr>
      <w:rFonts w:cs="Times New Roman"/>
    </w:rPr>
  </w:style>
  <w:style w:type="character" w:customStyle="1" w:styleId="92">
    <w:name w:val="org_name2"/>
    <w:basedOn w:val="40"/>
    <w:qFormat/>
    <w:uiPriority w:val="99"/>
    <w:rPr>
      <w:rFonts w:cs="Times New Roman"/>
    </w:rPr>
  </w:style>
  <w:style w:type="character" w:customStyle="1" w:styleId="93">
    <w:name w:val="tip10"/>
    <w:qFormat/>
    <w:uiPriority w:val="99"/>
    <w:rPr>
      <w:vanish/>
      <w:color w:val="FF0000"/>
      <w:sz w:val="18"/>
    </w:rPr>
  </w:style>
  <w:style w:type="character" w:customStyle="1" w:styleId="94">
    <w:name w:val="orange"/>
    <w:qFormat/>
    <w:uiPriority w:val="99"/>
    <w:rPr>
      <w:color w:val="3FB58F"/>
    </w:rPr>
  </w:style>
  <w:style w:type="character" w:customStyle="1" w:styleId="95">
    <w:name w:val="bds_more"/>
    <w:basedOn w:val="40"/>
    <w:qFormat/>
    <w:uiPriority w:val="99"/>
    <w:rPr>
      <w:rFonts w:cs="Times New Roman"/>
    </w:rPr>
  </w:style>
  <w:style w:type="character" w:customStyle="1" w:styleId="96">
    <w:name w:val="t-tag"/>
    <w:qFormat/>
    <w:uiPriority w:val="99"/>
    <w:rPr>
      <w:color w:val="FFFFFF"/>
      <w:sz w:val="18"/>
      <w:shd w:val="clear" w:color="auto" w:fill="FE8833"/>
    </w:rPr>
  </w:style>
  <w:style w:type="character" w:customStyle="1" w:styleId="97">
    <w:name w:val="top-icon"/>
    <w:basedOn w:val="40"/>
    <w:qFormat/>
    <w:uiPriority w:val="99"/>
    <w:rPr>
      <w:rFonts w:cs="Times New Roman"/>
    </w:rPr>
  </w:style>
  <w:style w:type="character" w:customStyle="1" w:styleId="98">
    <w:name w:val="Body Text Char"/>
    <w:qFormat/>
    <w:locked/>
    <w:uiPriority w:val="99"/>
    <w:rPr>
      <w:sz w:val="24"/>
    </w:rPr>
  </w:style>
  <w:style w:type="character" w:customStyle="1" w:styleId="99">
    <w:name w:val="no72"/>
    <w:basedOn w:val="40"/>
    <w:qFormat/>
    <w:uiPriority w:val="99"/>
    <w:rPr>
      <w:rFonts w:cs="Times New Roman"/>
    </w:rPr>
  </w:style>
  <w:style w:type="character" w:customStyle="1" w:styleId="100">
    <w:name w:val="bds_nopic2"/>
    <w:basedOn w:val="40"/>
    <w:qFormat/>
    <w:uiPriority w:val="99"/>
    <w:rPr>
      <w:rFonts w:cs="Times New Roman"/>
    </w:rPr>
  </w:style>
  <w:style w:type="character" w:customStyle="1" w:styleId="101">
    <w:name w:val="Document Map Char"/>
    <w:qFormat/>
    <w:uiPriority w:val="99"/>
    <w:rPr>
      <w:rFonts w:ascii="宋体"/>
      <w:sz w:val="18"/>
    </w:rPr>
  </w:style>
  <w:style w:type="character" w:customStyle="1" w:styleId="102">
    <w:name w:val="no6"/>
    <w:basedOn w:val="40"/>
    <w:qFormat/>
    <w:uiPriority w:val="99"/>
    <w:rPr>
      <w:rFonts w:cs="Times New Roman"/>
    </w:rPr>
  </w:style>
  <w:style w:type="character" w:customStyle="1" w:styleId="103">
    <w:name w:val="tip"/>
    <w:qFormat/>
    <w:uiPriority w:val="99"/>
    <w:rPr>
      <w:vanish/>
      <w:color w:val="FF0000"/>
      <w:sz w:val="18"/>
    </w:rPr>
  </w:style>
  <w:style w:type="character" w:customStyle="1" w:styleId="104">
    <w:name w:val="apple-converted-space"/>
    <w:basedOn w:val="40"/>
    <w:qFormat/>
    <w:uiPriority w:val="99"/>
    <w:rPr>
      <w:rFonts w:cs="Times New Roman"/>
    </w:rPr>
  </w:style>
  <w:style w:type="character" w:customStyle="1" w:styleId="105">
    <w:name w:val="bds_more2"/>
    <w:basedOn w:val="40"/>
    <w:qFormat/>
    <w:uiPriority w:val="99"/>
    <w:rPr>
      <w:rFonts w:cs="Times New Roman"/>
    </w:rPr>
  </w:style>
  <w:style w:type="character" w:customStyle="1" w:styleId="106">
    <w:name w:val="my-class"/>
    <w:basedOn w:val="40"/>
    <w:qFormat/>
    <w:uiPriority w:val="99"/>
    <w:rPr>
      <w:rFonts w:cs="Times New Roman"/>
    </w:rPr>
  </w:style>
  <w:style w:type="character" w:customStyle="1" w:styleId="107">
    <w:name w:val="ui-bz-bg-hover"/>
    <w:qFormat/>
    <w:uiPriority w:val="99"/>
    <w:rPr>
      <w:shd w:val="clear" w:color="auto" w:fill="000000"/>
    </w:rPr>
  </w:style>
  <w:style w:type="character" w:customStyle="1" w:styleId="108">
    <w:name w:val="no7"/>
    <w:basedOn w:val="40"/>
    <w:qFormat/>
    <w:uiPriority w:val="99"/>
    <w:rPr>
      <w:rFonts w:cs="Times New Roman"/>
    </w:rPr>
  </w:style>
  <w:style w:type="character" w:customStyle="1" w:styleId="109">
    <w:name w:val="正文缩进 Char"/>
    <w:link w:val="10"/>
    <w:qFormat/>
    <w:locked/>
    <w:uiPriority w:val="99"/>
    <w:rPr>
      <w:rFonts w:ascii="Times New Roman" w:hAnsi="Times New Roman" w:eastAsia="宋体" w:cs="Times New Roman"/>
      <w:kern w:val="0"/>
      <w:sz w:val="24"/>
      <w:szCs w:val="20"/>
    </w:rPr>
  </w:style>
  <w:style w:type="character" w:customStyle="1" w:styleId="110">
    <w:name w:val="ico-jiang1"/>
    <w:basedOn w:val="40"/>
    <w:qFormat/>
    <w:uiPriority w:val="99"/>
    <w:rPr>
      <w:rFonts w:cs="Times New Roman"/>
    </w:rPr>
  </w:style>
  <w:style w:type="character" w:customStyle="1" w:styleId="111">
    <w:name w:val="no62"/>
    <w:basedOn w:val="40"/>
    <w:qFormat/>
    <w:uiPriority w:val="99"/>
    <w:rPr>
      <w:rFonts w:cs="Times New Roman"/>
    </w:rPr>
  </w:style>
  <w:style w:type="character" w:customStyle="1" w:styleId="112">
    <w:name w:val="orange5"/>
    <w:qFormat/>
    <w:uiPriority w:val="99"/>
    <w:rPr>
      <w:color w:val="3FB58F"/>
    </w:rPr>
  </w:style>
  <w:style w:type="character" w:customStyle="1" w:styleId="113">
    <w:name w:val="bds_more4"/>
    <w:basedOn w:val="40"/>
    <w:qFormat/>
    <w:uiPriority w:val="99"/>
    <w:rPr>
      <w:rFonts w:cs="Times New Roman"/>
    </w:rPr>
  </w:style>
  <w:style w:type="character" w:customStyle="1" w:styleId="114">
    <w:name w:val="no5"/>
    <w:basedOn w:val="40"/>
    <w:qFormat/>
    <w:uiPriority w:val="99"/>
    <w:rPr>
      <w:rFonts w:cs="Times New Roman"/>
    </w:rPr>
  </w:style>
  <w:style w:type="character" w:customStyle="1" w:styleId="115">
    <w:name w:val="bds_more3"/>
    <w:basedOn w:val="40"/>
    <w:qFormat/>
    <w:uiPriority w:val="99"/>
    <w:rPr>
      <w:rFonts w:cs="Times New Roman"/>
    </w:rPr>
  </w:style>
  <w:style w:type="character" w:customStyle="1" w:styleId="116">
    <w:name w:val="no42"/>
    <w:basedOn w:val="40"/>
    <w:qFormat/>
    <w:uiPriority w:val="99"/>
    <w:rPr>
      <w:rFonts w:cs="Times New Roman"/>
    </w:rPr>
  </w:style>
  <w:style w:type="character" w:customStyle="1" w:styleId="117">
    <w:name w:val="bds_nopic1"/>
    <w:basedOn w:val="40"/>
    <w:qFormat/>
    <w:uiPriority w:val="99"/>
    <w:rPr>
      <w:rFonts w:cs="Times New Roman"/>
    </w:rPr>
  </w:style>
  <w:style w:type="character" w:customStyle="1" w:styleId="118">
    <w:name w:val="my-notice1"/>
    <w:basedOn w:val="40"/>
    <w:qFormat/>
    <w:uiPriority w:val="99"/>
    <w:rPr>
      <w:rFonts w:cs="Times New Roman"/>
    </w:rPr>
  </w:style>
  <w:style w:type="character" w:customStyle="1" w:styleId="119">
    <w:name w:val="orange6"/>
    <w:qFormat/>
    <w:uiPriority w:val="99"/>
    <w:rPr>
      <w:color w:val="3FB58F"/>
    </w:rPr>
  </w:style>
  <w:style w:type="character" w:customStyle="1" w:styleId="120">
    <w:name w:val="Document Map Char2"/>
    <w:qFormat/>
    <w:locked/>
    <w:uiPriority w:val="99"/>
    <w:rPr>
      <w:rFonts w:ascii="宋体"/>
      <w:sz w:val="18"/>
    </w:rPr>
  </w:style>
  <w:style w:type="character" w:customStyle="1" w:styleId="121">
    <w:name w:val="ico-jiang3"/>
    <w:basedOn w:val="40"/>
    <w:qFormat/>
    <w:uiPriority w:val="99"/>
    <w:rPr>
      <w:rFonts w:cs="Times New Roman"/>
    </w:rPr>
  </w:style>
  <w:style w:type="character" w:customStyle="1" w:styleId="122">
    <w:name w:val="tip13"/>
    <w:qFormat/>
    <w:uiPriority w:val="99"/>
    <w:rPr>
      <w:vanish/>
      <w:color w:val="FF0000"/>
      <w:sz w:val="18"/>
    </w:rPr>
  </w:style>
  <w:style w:type="character" w:customStyle="1" w:styleId="123">
    <w:name w:val="正文文本缩进 2 Char"/>
    <w:basedOn w:val="40"/>
    <w:link w:val="20"/>
    <w:qFormat/>
    <w:uiPriority w:val="99"/>
    <w:rPr>
      <w:rFonts w:ascii="宋体" w:hAnsi="Calibri" w:eastAsia="宋体" w:cs="Times New Roman"/>
      <w:kern w:val="0"/>
      <w:sz w:val="24"/>
      <w:szCs w:val="20"/>
    </w:rPr>
  </w:style>
  <w:style w:type="character" w:customStyle="1" w:styleId="124">
    <w:name w:val="Body Text Indent 2 Char1"/>
    <w:basedOn w:val="40"/>
    <w:semiHidden/>
    <w:qFormat/>
    <w:locked/>
    <w:uiPriority w:val="99"/>
    <w:rPr>
      <w:rFonts w:cs="Times New Roman"/>
    </w:rPr>
  </w:style>
  <w:style w:type="character" w:customStyle="1" w:styleId="125">
    <w:name w:val="正文文本缩进 3 Char"/>
    <w:basedOn w:val="40"/>
    <w:link w:val="28"/>
    <w:qFormat/>
    <w:uiPriority w:val="99"/>
    <w:rPr>
      <w:rFonts w:ascii="宋体" w:hAnsi="Calibri" w:eastAsia="宋体" w:cs="Times New Roman"/>
      <w:kern w:val="0"/>
      <w:sz w:val="20"/>
      <w:szCs w:val="20"/>
    </w:rPr>
  </w:style>
  <w:style w:type="character" w:customStyle="1" w:styleId="126">
    <w:name w:val="Body Text Indent 3 Char1"/>
    <w:basedOn w:val="40"/>
    <w:semiHidden/>
    <w:qFormat/>
    <w:locked/>
    <w:uiPriority w:val="99"/>
    <w:rPr>
      <w:rFonts w:cs="Times New Roman"/>
      <w:sz w:val="16"/>
      <w:szCs w:val="16"/>
    </w:rPr>
  </w:style>
  <w:style w:type="character" w:customStyle="1" w:styleId="127">
    <w:name w:val="文档结构图 Char"/>
    <w:basedOn w:val="40"/>
    <w:link w:val="11"/>
    <w:qFormat/>
    <w:uiPriority w:val="99"/>
    <w:rPr>
      <w:rFonts w:ascii="宋体" w:hAnsi="Calibri" w:eastAsia="宋体" w:cs="Times New Roman"/>
      <w:kern w:val="0"/>
      <w:sz w:val="18"/>
      <w:szCs w:val="20"/>
    </w:rPr>
  </w:style>
  <w:style w:type="character" w:customStyle="1" w:styleId="128">
    <w:name w:val="Document Map Char3"/>
    <w:basedOn w:val="40"/>
    <w:semiHidden/>
    <w:qFormat/>
    <w:locked/>
    <w:uiPriority w:val="99"/>
    <w:rPr>
      <w:rFonts w:ascii="Times New Roman" w:hAnsi="Times New Roman" w:cs="Times New Roman"/>
      <w:sz w:val="2"/>
    </w:rPr>
  </w:style>
  <w:style w:type="paragraph" w:customStyle="1" w:styleId="129">
    <w:name w:val="_Style 1"/>
    <w:basedOn w:val="1"/>
    <w:qFormat/>
    <w:uiPriority w:val="99"/>
    <w:pPr>
      <w:ind w:firstLine="420" w:firstLineChars="200"/>
    </w:pPr>
    <w:rPr>
      <w:rFonts w:ascii="Times New Roman" w:hAnsi="Times New Roman" w:eastAsia="宋体" w:cs="Times New Roman"/>
      <w:szCs w:val="24"/>
    </w:rPr>
  </w:style>
  <w:style w:type="character" w:customStyle="1" w:styleId="130">
    <w:name w:val="正文文本 Char"/>
    <w:basedOn w:val="40"/>
    <w:link w:val="6"/>
    <w:qFormat/>
    <w:uiPriority w:val="99"/>
    <w:rPr>
      <w:rFonts w:ascii="Calibri" w:hAnsi="Calibri" w:eastAsia="宋体" w:cs="Times New Roman"/>
      <w:kern w:val="0"/>
      <w:sz w:val="24"/>
      <w:szCs w:val="20"/>
    </w:rPr>
  </w:style>
  <w:style w:type="character" w:customStyle="1" w:styleId="131">
    <w:name w:val="Body Text Char1"/>
    <w:basedOn w:val="40"/>
    <w:semiHidden/>
    <w:qFormat/>
    <w:locked/>
    <w:uiPriority w:val="99"/>
    <w:rPr>
      <w:rFonts w:cs="Times New Roman"/>
    </w:rPr>
  </w:style>
  <w:style w:type="paragraph" w:customStyle="1" w:styleId="132">
    <w:name w:val="_Style 21"/>
    <w:basedOn w:val="1"/>
    <w:qFormat/>
    <w:uiPriority w:val="99"/>
    <w:rPr>
      <w:rFonts w:ascii="Times New Roman" w:hAnsi="Times New Roman" w:eastAsia="宋体" w:cs="Times New Roman"/>
      <w:szCs w:val="20"/>
    </w:rPr>
  </w:style>
  <w:style w:type="paragraph" w:customStyle="1" w:styleId="133">
    <w:name w:val="p0"/>
    <w:basedOn w:val="1"/>
    <w:qFormat/>
    <w:uiPriority w:val="99"/>
    <w:pPr>
      <w:widowControl/>
    </w:pPr>
    <w:rPr>
      <w:rFonts w:ascii="Times New Roman" w:hAnsi="Times New Roman" w:eastAsia="宋体" w:cs="Times New Roman"/>
      <w:kern w:val="0"/>
      <w:szCs w:val="21"/>
    </w:rPr>
  </w:style>
  <w:style w:type="paragraph" w:customStyle="1" w:styleId="134">
    <w:name w:val="xl37"/>
    <w:basedOn w:val="1"/>
    <w:qFormat/>
    <w:uiPriority w:val="0"/>
    <w:pPr>
      <w:widowControl/>
      <w:pBdr>
        <w:left w:val="single" w:color="auto" w:sz="8" w:space="0"/>
        <w:right w:val="single" w:color="auto" w:sz="4" w:space="0"/>
      </w:pBdr>
      <w:spacing w:before="100" w:beforeAutospacing="1" w:after="100" w:afterAutospacing="1"/>
      <w:jc w:val="center"/>
      <w:textAlignment w:val="center"/>
    </w:pPr>
    <w:rPr>
      <w:rFonts w:ascii="宋体" w:hAnsi="宋体" w:eastAsia="宋体" w:cs="Times New Roman"/>
      <w:kern w:val="0"/>
      <w:sz w:val="18"/>
      <w:szCs w:val="18"/>
    </w:rPr>
  </w:style>
  <w:style w:type="paragraph" w:customStyle="1" w:styleId="135">
    <w:name w:val="xl25"/>
    <w:basedOn w:val="1"/>
    <w:qFormat/>
    <w:uiPriority w:val="99"/>
    <w:pPr>
      <w:widowControl/>
      <w:spacing w:before="100" w:beforeAutospacing="1" w:after="100" w:afterAutospacing="1"/>
      <w:textAlignment w:val="center"/>
    </w:pPr>
    <w:rPr>
      <w:rFonts w:ascii="宋体" w:hAnsi="宋体" w:eastAsia="宋体" w:cs="Times New Roman"/>
      <w:kern w:val="0"/>
      <w:sz w:val="18"/>
      <w:szCs w:val="18"/>
    </w:rPr>
  </w:style>
  <w:style w:type="paragraph" w:customStyle="1" w:styleId="136">
    <w:name w:val="样式 样式 样式 样式 内容 + 首行缩进:  2 字符18 + 首行缩进:  5.71 厘米 + 首行缩进:  8.04 厘米..."/>
    <w:basedOn w:val="1"/>
    <w:qFormat/>
    <w:uiPriority w:val="99"/>
    <w:pPr>
      <w:widowControl/>
      <w:spacing w:line="360" w:lineRule="auto"/>
      <w:ind w:firstLine="425" w:firstLineChars="177"/>
      <w:jc w:val="left"/>
    </w:pPr>
    <w:rPr>
      <w:rFonts w:ascii="Trebuchet MS" w:hAnsi="Trebuchet MS" w:eastAsia="宋体" w:cs="Times New Roman"/>
      <w:color w:val="404040"/>
      <w:kern w:val="0"/>
      <w:sz w:val="24"/>
      <w:szCs w:val="20"/>
      <w:lang w:eastAsia="en-US"/>
    </w:rPr>
  </w:style>
  <w:style w:type="paragraph" w:customStyle="1" w:styleId="137">
    <w:name w:val="无间隔11"/>
    <w:qFormat/>
    <w:uiPriority w:val="99"/>
    <w:pPr>
      <w:widowControl w:val="0"/>
      <w:spacing w:line="360" w:lineRule="auto"/>
      <w:jc w:val="center"/>
    </w:pPr>
    <w:rPr>
      <w:rFonts w:ascii="Times New Roman" w:hAnsi="Times New Roman" w:eastAsia="宋体" w:cs="Times New Roman"/>
      <w:b/>
      <w:color w:val="000000"/>
      <w:kern w:val="2"/>
      <w:sz w:val="21"/>
      <w:szCs w:val="21"/>
      <w:lang w:val="zh-CN" w:eastAsia="zh-CN" w:bidi="ar-SA"/>
    </w:rPr>
  </w:style>
  <w:style w:type="paragraph" w:customStyle="1" w:styleId="138">
    <w:name w:val="列出段落11"/>
    <w:basedOn w:val="1"/>
    <w:qFormat/>
    <w:uiPriority w:val="99"/>
    <w:pPr>
      <w:ind w:firstLine="420" w:firstLineChars="200"/>
    </w:pPr>
    <w:rPr>
      <w:rFonts w:ascii="Times New Roman" w:hAnsi="Times New Roman" w:eastAsia="宋体" w:cs="Times New Roman"/>
      <w:szCs w:val="24"/>
    </w:rPr>
  </w:style>
  <w:style w:type="paragraph" w:customStyle="1" w:styleId="139">
    <w:name w:val="_Style 2"/>
    <w:basedOn w:val="1"/>
    <w:qFormat/>
    <w:uiPriority w:val="99"/>
    <w:pPr>
      <w:ind w:firstLine="420" w:firstLineChars="200"/>
    </w:pPr>
    <w:rPr>
      <w:rFonts w:ascii="Calibri" w:hAnsi="Calibri" w:eastAsia="宋体" w:cs="Times New Roman"/>
    </w:rPr>
  </w:style>
  <w:style w:type="paragraph" w:customStyle="1" w:styleId="140">
    <w:name w:val="txt14"/>
    <w:basedOn w:val="1"/>
    <w:qFormat/>
    <w:uiPriority w:val="99"/>
    <w:pPr>
      <w:widowControl/>
      <w:spacing w:before="100" w:beforeAutospacing="1" w:after="100" w:afterAutospacing="1"/>
      <w:jc w:val="left"/>
    </w:pPr>
    <w:rPr>
      <w:rFonts w:ascii="宋体" w:hAnsi="宋体" w:eastAsia="宋体" w:cs="Times New Roman"/>
      <w:color w:val="000000"/>
      <w:kern w:val="0"/>
      <w:szCs w:val="21"/>
    </w:rPr>
  </w:style>
  <w:style w:type="paragraph" w:customStyle="1" w:styleId="141">
    <w:name w:val="_Style 11"/>
    <w:basedOn w:val="1"/>
    <w:qFormat/>
    <w:uiPriority w:val="99"/>
    <w:rPr>
      <w:rFonts w:ascii="Times New Roman" w:hAnsi="Times New Roman" w:eastAsia="宋体" w:cs="Times New Roman"/>
      <w:szCs w:val="24"/>
    </w:rPr>
  </w:style>
  <w:style w:type="paragraph" w:customStyle="1" w:styleId="142">
    <w:name w:val="Char"/>
    <w:basedOn w:val="1"/>
    <w:qFormat/>
    <w:uiPriority w:val="99"/>
    <w:rPr>
      <w:rFonts w:ascii="Times New Roman" w:hAnsi="Times New Roman" w:eastAsia="宋体" w:cs="Times New Roman"/>
      <w:szCs w:val="21"/>
    </w:rPr>
  </w:style>
  <w:style w:type="paragraph" w:customStyle="1" w:styleId="143">
    <w:name w:val="列出段落12"/>
    <w:basedOn w:val="1"/>
    <w:qFormat/>
    <w:uiPriority w:val="99"/>
    <w:pPr>
      <w:ind w:firstLine="420" w:firstLineChars="200"/>
    </w:pPr>
    <w:rPr>
      <w:rFonts w:ascii="Times New Roman" w:hAnsi="Times New Roman" w:eastAsia="宋体" w:cs="Times New Roman"/>
      <w:szCs w:val="24"/>
    </w:rPr>
  </w:style>
  <w:style w:type="paragraph" w:customStyle="1" w:styleId="144">
    <w:name w:val="列出段落2"/>
    <w:basedOn w:val="1"/>
    <w:qFormat/>
    <w:uiPriority w:val="99"/>
    <w:pPr>
      <w:ind w:firstLine="420" w:firstLineChars="200"/>
    </w:pPr>
    <w:rPr>
      <w:rFonts w:ascii="Times New Roman" w:hAnsi="Times New Roman" w:eastAsia="宋体" w:cs="Times New Roman"/>
      <w:szCs w:val="24"/>
    </w:rPr>
  </w:style>
  <w:style w:type="paragraph" w:customStyle="1" w:styleId="145">
    <w:name w:val="TOC 标题1"/>
    <w:basedOn w:val="2"/>
    <w:next w:val="1"/>
    <w:qFormat/>
    <w:uiPriority w:val="39"/>
    <w:pPr>
      <w:keepLines/>
      <w:spacing w:before="480" w:after="0" w:line="276" w:lineRule="auto"/>
      <w:jc w:val="left"/>
      <w:outlineLvl w:val="9"/>
    </w:pPr>
    <w:rPr>
      <w:rFonts w:ascii="Cambria" w:hAnsi="Cambria" w:cs="Times New Roman"/>
      <w:color w:val="365F91"/>
      <w:kern w:val="0"/>
      <w:sz w:val="28"/>
      <w:szCs w:val="28"/>
    </w:rPr>
  </w:style>
  <w:style w:type="paragraph" w:customStyle="1" w:styleId="146">
    <w:name w:val="正文文本缩进 31"/>
    <w:basedOn w:val="1"/>
    <w:qFormat/>
    <w:uiPriority w:val="99"/>
    <w:pPr>
      <w:spacing w:line="440" w:lineRule="exact"/>
      <w:ind w:firstLine="412" w:firstLineChars="200"/>
    </w:pPr>
    <w:rPr>
      <w:rFonts w:ascii="宋体" w:hAnsi="宋体" w:eastAsia="宋体" w:cs="Times New Roman"/>
      <w:kern w:val="0"/>
      <w:sz w:val="20"/>
      <w:szCs w:val="20"/>
    </w:rPr>
  </w:style>
  <w:style w:type="character" w:customStyle="1" w:styleId="147">
    <w:name w:val="font41"/>
    <w:qFormat/>
    <w:uiPriority w:val="99"/>
    <w:rPr>
      <w:rFonts w:hint="eastAsia" w:ascii="宋体" w:hAnsi="宋体" w:eastAsia="宋体" w:cs="宋体"/>
      <w:b/>
      <w:color w:val="000000"/>
      <w:sz w:val="22"/>
      <w:szCs w:val="22"/>
      <w:u w:val="none"/>
    </w:rPr>
  </w:style>
  <w:style w:type="character" w:customStyle="1" w:styleId="148">
    <w:name w:val="font81"/>
    <w:qFormat/>
    <w:uiPriority w:val="99"/>
    <w:rPr>
      <w:rFonts w:hint="eastAsia" w:ascii="宋体" w:hAnsi="宋体" w:eastAsia="宋体" w:cs="宋体"/>
      <w:b/>
      <w:color w:val="000000"/>
      <w:sz w:val="22"/>
      <w:szCs w:val="22"/>
      <w:u w:val="none"/>
    </w:rPr>
  </w:style>
  <w:style w:type="character" w:customStyle="1" w:styleId="149">
    <w:name w:val="font21"/>
    <w:qFormat/>
    <w:uiPriority w:val="0"/>
    <w:rPr>
      <w:rFonts w:hint="eastAsia" w:ascii="宋体" w:hAnsi="宋体" w:eastAsia="宋体" w:cs="宋体"/>
      <w:color w:val="000000"/>
      <w:sz w:val="18"/>
      <w:szCs w:val="18"/>
      <w:u w:val="none"/>
    </w:rPr>
  </w:style>
  <w:style w:type="character" w:customStyle="1" w:styleId="150">
    <w:name w:val="日期 Char"/>
    <w:link w:val="19"/>
    <w:qFormat/>
    <w:uiPriority w:val="0"/>
    <w:rPr>
      <w:szCs w:val="21"/>
    </w:rPr>
  </w:style>
  <w:style w:type="character" w:customStyle="1" w:styleId="151">
    <w:name w:val="font01"/>
    <w:qFormat/>
    <w:uiPriority w:val="99"/>
    <w:rPr>
      <w:rFonts w:hint="eastAsia" w:ascii="宋体" w:hAnsi="宋体" w:eastAsia="宋体" w:cs="宋体"/>
      <w:color w:val="000000"/>
      <w:sz w:val="22"/>
      <w:szCs w:val="22"/>
      <w:u w:val="none"/>
    </w:rPr>
  </w:style>
  <w:style w:type="character" w:customStyle="1" w:styleId="152">
    <w:name w:val="Char Char1"/>
    <w:qFormat/>
    <w:uiPriority w:val="0"/>
    <w:rPr>
      <w:rFonts w:eastAsia="宋体"/>
      <w:kern w:val="2"/>
      <w:sz w:val="18"/>
      <w:szCs w:val="18"/>
      <w:lang w:val="en-US" w:eastAsia="zh-CN" w:bidi="ar-SA"/>
    </w:rPr>
  </w:style>
  <w:style w:type="character" w:customStyle="1" w:styleId="153">
    <w:name w:val="标题 Char"/>
    <w:link w:val="35"/>
    <w:qFormat/>
    <w:uiPriority w:val="0"/>
    <w:rPr>
      <w:rFonts w:ascii="Cambria" w:hAnsi="Cambria" w:cs="Times New Roman"/>
      <w:b/>
      <w:bCs/>
      <w:sz w:val="32"/>
      <w:szCs w:val="32"/>
    </w:rPr>
  </w:style>
  <w:style w:type="character" w:customStyle="1" w:styleId="154">
    <w:name w:val="hei141"/>
    <w:qFormat/>
    <w:uiPriority w:val="0"/>
    <w:rPr>
      <w:rFonts w:hint="eastAsia" w:ascii="宋体" w:hAnsi="宋体" w:eastAsia="宋体"/>
      <w:color w:val="000000"/>
      <w:sz w:val="19"/>
      <w:szCs w:val="19"/>
      <w:u w:val="none"/>
    </w:rPr>
  </w:style>
  <w:style w:type="character" w:customStyle="1" w:styleId="155">
    <w:name w:val="批注文字 Char"/>
    <w:link w:val="13"/>
    <w:qFormat/>
    <w:uiPriority w:val="0"/>
  </w:style>
  <w:style w:type="character" w:customStyle="1" w:styleId="156">
    <w:name w:val="apple-style-span"/>
    <w:basedOn w:val="40"/>
    <w:qFormat/>
    <w:uiPriority w:val="0"/>
  </w:style>
  <w:style w:type="character" w:customStyle="1" w:styleId="157">
    <w:name w:val="param-value"/>
    <w:qFormat/>
    <w:uiPriority w:val="99"/>
    <w:rPr>
      <w:rFonts w:cs="Times New Roman"/>
    </w:rPr>
  </w:style>
  <w:style w:type="character" w:customStyle="1" w:styleId="158">
    <w:name w:val="font61"/>
    <w:qFormat/>
    <w:uiPriority w:val="0"/>
    <w:rPr>
      <w:rFonts w:hint="eastAsia" w:ascii="宋体" w:hAnsi="宋体" w:eastAsia="宋体" w:cs="宋体"/>
      <w:color w:val="000000"/>
      <w:sz w:val="22"/>
      <w:szCs w:val="22"/>
      <w:u w:val="none"/>
    </w:rPr>
  </w:style>
  <w:style w:type="character" w:customStyle="1" w:styleId="159">
    <w:name w:val="font11"/>
    <w:qFormat/>
    <w:uiPriority w:val="0"/>
    <w:rPr>
      <w:rFonts w:hint="eastAsia" w:ascii="宋体" w:hAnsi="宋体" w:eastAsia="宋体" w:cs="宋体"/>
      <w:color w:val="FF0000"/>
      <w:sz w:val="22"/>
      <w:szCs w:val="22"/>
      <w:u w:val="none"/>
    </w:rPr>
  </w:style>
  <w:style w:type="character" w:customStyle="1" w:styleId="160">
    <w:name w:val="批注主题 Char"/>
    <w:link w:val="36"/>
    <w:qFormat/>
    <w:uiPriority w:val="0"/>
    <w:rPr>
      <w:b/>
      <w:bCs/>
    </w:rPr>
  </w:style>
  <w:style w:type="character" w:customStyle="1" w:styleId="161">
    <w:name w:val="批注文字 Char1"/>
    <w:basedOn w:val="40"/>
    <w:semiHidden/>
    <w:qFormat/>
    <w:uiPriority w:val="99"/>
  </w:style>
  <w:style w:type="paragraph" w:customStyle="1" w:styleId="162">
    <w:name w:val="内文"/>
    <w:basedOn w:val="1"/>
    <w:qFormat/>
    <w:uiPriority w:val="0"/>
    <w:pPr>
      <w:spacing w:line="500" w:lineRule="exact"/>
      <w:ind w:firstLine="560" w:firstLineChars="200"/>
    </w:pPr>
    <w:rPr>
      <w:rFonts w:ascii="方正仿宋简体" w:hAnsi="宋体" w:eastAsia="方正仿宋简体" w:cs="Times New Roman"/>
      <w:sz w:val="28"/>
      <w:szCs w:val="28"/>
    </w:rPr>
  </w:style>
  <w:style w:type="character" w:customStyle="1" w:styleId="163">
    <w:name w:val="批注主题 Char1"/>
    <w:basedOn w:val="161"/>
    <w:semiHidden/>
    <w:qFormat/>
    <w:uiPriority w:val="99"/>
    <w:rPr>
      <w:b/>
      <w:bCs/>
    </w:rPr>
  </w:style>
  <w:style w:type="paragraph" w:customStyle="1" w:styleId="164">
    <w:name w:val="reader-word-layer reader-word-s1-17"/>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5">
    <w:name w:val="日期 Char1"/>
    <w:basedOn w:val="40"/>
    <w:semiHidden/>
    <w:qFormat/>
    <w:uiPriority w:val="99"/>
  </w:style>
  <w:style w:type="paragraph" w:customStyle="1" w:styleId="166">
    <w:name w:val="reader-word-layer reader-word-s1-14"/>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7">
    <w:name w:val="脚注文本 Char"/>
    <w:basedOn w:val="40"/>
    <w:link w:val="26"/>
    <w:semiHidden/>
    <w:qFormat/>
    <w:uiPriority w:val="0"/>
    <w:rPr>
      <w:rFonts w:ascii="Times New Roman" w:hAnsi="Times New Roman" w:eastAsia="宋体" w:cs="Times New Roman"/>
      <w:sz w:val="18"/>
      <w:szCs w:val="18"/>
    </w:rPr>
  </w:style>
  <w:style w:type="paragraph" w:customStyle="1" w:styleId="168">
    <w:name w:val="reader-word-layer reader-word-s1-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9">
    <w:name w:val="reader-word-layer reader-word-s1-15"/>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0">
    <w:name w:val="标题 Char1"/>
    <w:basedOn w:val="40"/>
    <w:qFormat/>
    <w:uiPriority w:val="10"/>
    <w:rPr>
      <w:rFonts w:eastAsia="宋体" w:asciiTheme="majorHAnsi" w:hAnsiTheme="majorHAnsi" w:cstheme="majorBidi"/>
      <w:b/>
      <w:bCs/>
      <w:sz w:val="32"/>
      <w:szCs w:val="32"/>
    </w:rPr>
  </w:style>
  <w:style w:type="paragraph" w:customStyle="1" w:styleId="171">
    <w:name w:val="本文正文"/>
    <w:basedOn w:val="1"/>
    <w:qFormat/>
    <w:uiPriority w:val="0"/>
    <w:pPr>
      <w:widowControl/>
      <w:spacing w:line="480" w:lineRule="exact"/>
      <w:ind w:firstLine="200" w:firstLineChars="200"/>
      <w:jc w:val="left"/>
    </w:pPr>
    <w:rPr>
      <w:rFonts w:ascii="宋体" w:hAnsi="宋体" w:eastAsia="宋体" w:cs="Times New Roman"/>
      <w:kern w:val="0"/>
      <w:sz w:val="24"/>
      <w:szCs w:val="24"/>
    </w:rPr>
  </w:style>
  <w:style w:type="paragraph" w:customStyle="1" w:styleId="172">
    <w:name w:val="reader-word-layer reader-word-s1-1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3">
    <w:name w:val="Char Char Char1 Char Char Char Char"/>
    <w:basedOn w:val="1"/>
    <w:qFormat/>
    <w:uiPriority w:val="99"/>
    <w:pPr>
      <w:spacing w:line="300" w:lineRule="auto"/>
    </w:pPr>
    <w:rPr>
      <w:rFonts w:ascii="Tahoma" w:hAnsi="Tahoma" w:eastAsia="宋体" w:cs="Times New Roman"/>
      <w:sz w:val="24"/>
      <w:szCs w:val="24"/>
    </w:rPr>
  </w:style>
  <w:style w:type="paragraph" w:customStyle="1" w:styleId="174">
    <w:name w:val="Default"/>
    <w:qFormat/>
    <w:uiPriority w:val="0"/>
    <w:pPr>
      <w:widowControl w:val="0"/>
      <w:autoSpaceDE w:val="0"/>
      <w:autoSpaceDN w:val="0"/>
      <w:adjustRightInd w:val="0"/>
      <w:jc w:val="both"/>
    </w:pPr>
    <w:rPr>
      <w:rFonts w:ascii="黑体" w:hAnsi="黑体" w:eastAsia="宋体" w:cs="黑体"/>
      <w:color w:val="000000"/>
      <w:sz w:val="24"/>
      <w:szCs w:val="24"/>
      <w:lang w:val="en-US" w:eastAsia="zh-CN" w:bidi="ar-SA"/>
    </w:rPr>
  </w:style>
  <w:style w:type="paragraph" w:customStyle="1" w:styleId="175">
    <w:name w:val="List Paragraph1"/>
    <w:basedOn w:val="1"/>
    <w:qFormat/>
    <w:uiPriority w:val="0"/>
    <w:pPr>
      <w:ind w:firstLine="420" w:firstLineChars="200"/>
    </w:pPr>
    <w:rPr>
      <w:rFonts w:ascii="Times New Roman" w:hAnsi="Times New Roman" w:eastAsia="宋体" w:cs="Times New Roman"/>
      <w:szCs w:val="24"/>
    </w:rPr>
  </w:style>
  <w:style w:type="paragraph" w:customStyle="1" w:styleId="176">
    <w:name w:val="reader-word-layer reader-word-s1-1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7">
    <w:name w:val="reader-word-layer reader-word-s1-1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8">
    <w:name w:val="reader-word-layer reader-word-s1-1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9">
    <w:name w:val="Char Char4"/>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0">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1">
    <w:name w:val="Char Char4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2">
    <w:name w:val="列出段落3"/>
    <w:basedOn w:val="1"/>
    <w:qFormat/>
    <w:uiPriority w:val="0"/>
    <w:pPr>
      <w:ind w:firstLine="420" w:firstLineChars="200"/>
    </w:pPr>
    <w:rPr>
      <w:rFonts w:ascii="Times New Roman" w:hAnsi="Times New Roman" w:eastAsia="宋体" w:cs="Times New Roman"/>
      <w:szCs w:val="24"/>
    </w:rPr>
  </w:style>
  <w:style w:type="character" w:customStyle="1" w:styleId="183">
    <w:name w:val="Char Char12"/>
    <w:qFormat/>
    <w:uiPriority w:val="0"/>
    <w:rPr>
      <w:rFonts w:eastAsia="宋体"/>
      <w:kern w:val="2"/>
      <w:sz w:val="18"/>
      <w:szCs w:val="18"/>
      <w:lang w:val="en-US" w:eastAsia="zh-CN" w:bidi="ar-SA"/>
    </w:rPr>
  </w:style>
  <w:style w:type="paragraph" w:customStyle="1" w:styleId="184">
    <w:name w:val="Char Char42"/>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5">
    <w:name w:val="Char Char4 Char Char2"/>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6">
    <w:name w:val="列出段落4"/>
    <w:basedOn w:val="1"/>
    <w:qFormat/>
    <w:uiPriority w:val="0"/>
    <w:pPr>
      <w:ind w:firstLine="420" w:firstLineChars="200"/>
    </w:pPr>
    <w:rPr>
      <w:rFonts w:ascii="Times New Roman" w:hAnsi="Times New Roman" w:eastAsia="宋体" w:cs="Times New Roman"/>
      <w:szCs w:val="24"/>
    </w:rPr>
  </w:style>
  <w:style w:type="character" w:customStyle="1" w:styleId="187">
    <w:name w:val="Char Char11"/>
    <w:qFormat/>
    <w:uiPriority w:val="0"/>
    <w:rPr>
      <w:rFonts w:eastAsia="宋体"/>
      <w:kern w:val="2"/>
      <w:sz w:val="18"/>
      <w:szCs w:val="18"/>
      <w:lang w:val="en-US" w:eastAsia="zh-CN" w:bidi="ar-SA"/>
    </w:rPr>
  </w:style>
  <w:style w:type="paragraph" w:customStyle="1" w:styleId="188">
    <w:name w:val="Char Char41"/>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9">
    <w:name w:val="Char Char4 Char Char1"/>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90">
    <w:name w:val="列出段落5"/>
    <w:basedOn w:val="1"/>
    <w:qFormat/>
    <w:uiPriority w:val="0"/>
    <w:pPr>
      <w:ind w:firstLine="420" w:firstLineChars="200"/>
    </w:pPr>
    <w:rPr>
      <w:rFonts w:ascii="Times New Roman" w:hAnsi="Times New Roman" w:eastAsia="宋体" w:cs="Times New Roman"/>
      <w:szCs w:val="24"/>
    </w:rPr>
  </w:style>
  <w:style w:type="character" w:customStyle="1" w:styleId="191">
    <w:name w:val="纯文本 Char"/>
    <w:link w:val="17"/>
    <w:qFormat/>
    <w:uiPriority w:val="0"/>
    <w:rPr>
      <w:rFonts w:ascii="宋体" w:hAnsi="Courier New" w:eastAsia="宋体"/>
      <w:szCs w:val="21"/>
    </w:rPr>
  </w:style>
  <w:style w:type="character" w:customStyle="1" w:styleId="192">
    <w:name w:val="纯文本 Char1"/>
    <w:basedOn w:val="40"/>
    <w:semiHidden/>
    <w:qFormat/>
    <w:uiPriority w:val="99"/>
    <w:rPr>
      <w:rFonts w:ascii="宋体" w:hAnsi="Courier New" w:eastAsia="宋体" w:cs="Courier New"/>
      <w:szCs w:val="21"/>
    </w:rPr>
  </w:style>
  <w:style w:type="paragraph" w:customStyle="1" w:styleId="193">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194">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95">
    <w:name w:val="样式4"/>
    <w:basedOn w:val="1"/>
    <w:qFormat/>
    <w:uiPriority w:val="0"/>
    <w:pPr>
      <w:adjustRightInd w:val="0"/>
      <w:spacing w:line="480" w:lineRule="auto"/>
      <w:textAlignment w:val="baseline"/>
    </w:pPr>
    <w:rPr>
      <w:rFonts w:ascii="Times New Roman" w:hAnsi="Times New Roman" w:eastAsia="黑体" w:cs="Times New Roman"/>
      <w:spacing w:val="10"/>
      <w:kern w:val="28"/>
      <w:sz w:val="48"/>
      <w:szCs w:val="20"/>
    </w:rPr>
  </w:style>
  <w:style w:type="paragraph" w:customStyle="1" w:styleId="196">
    <w:name w:val="正文缩进2格"/>
    <w:basedOn w:val="1"/>
    <w:link w:val="197"/>
    <w:qFormat/>
    <w:uiPriority w:val="0"/>
    <w:pPr>
      <w:spacing w:line="600" w:lineRule="exact"/>
      <w:ind w:firstLine="639" w:firstLineChars="206"/>
    </w:pPr>
    <w:rPr>
      <w:rFonts w:ascii="仿宋_GB2312" w:hAnsi="宋体" w:eastAsia="仿宋_GB2312" w:cs="Times New Roman"/>
      <w:sz w:val="31"/>
      <w:szCs w:val="28"/>
    </w:rPr>
  </w:style>
  <w:style w:type="character" w:customStyle="1" w:styleId="197">
    <w:name w:val="正文缩进2格 Char"/>
    <w:link w:val="196"/>
    <w:qFormat/>
    <w:uiPriority w:val="0"/>
    <w:rPr>
      <w:rFonts w:ascii="仿宋_GB2312" w:hAnsi="宋体" w:eastAsia="仿宋_GB2312" w:cs="Times New Roman"/>
      <w:sz w:val="31"/>
      <w:szCs w:val="28"/>
    </w:rPr>
  </w:style>
  <w:style w:type="paragraph" w:customStyle="1" w:styleId="198">
    <w:name w:val="文件抬头"/>
    <w:qFormat/>
    <w:uiPriority w:val="0"/>
    <w:pPr>
      <w:widowControl w:val="0"/>
      <w:jc w:val="both"/>
    </w:pPr>
    <w:rPr>
      <w:rFonts w:ascii="Calibri" w:hAnsi="Calibri" w:eastAsia="仿宋_GB2312" w:cs="Times New Roman"/>
      <w:kern w:val="2"/>
      <w:sz w:val="32"/>
      <w:szCs w:val="21"/>
      <w:lang w:val="en-US" w:eastAsia="zh-CN" w:bidi="ar-SA"/>
    </w:rPr>
  </w:style>
  <w:style w:type="paragraph" w:styleId="199">
    <w:name w:val="List Paragraph"/>
    <w:basedOn w:val="1"/>
    <w:qFormat/>
    <w:uiPriority w:val="34"/>
    <w:pPr>
      <w:ind w:firstLine="420" w:firstLineChars="200"/>
    </w:pPr>
  </w:style>
  <w:style w:type="paragraph" w:customStyle="1" w:styleId="200">
    <w:name w:val="普通正文"/>
    <w:basedOn w:val="1"/>
    <w:qFormat/>
    <w:uiPriority w:val="0"/>
    <w:pPr>
      <w:adjustRightInd w:val="0"/>
      <w:spacing w:before="120" w:after="120" w:line="360" w:lineRule="auto"/>
      <w:ind w:left="50" w:leftChars="50" w:right="50" w:rightChars="50" w:firstLine="480" w:firstLineChars="200"/>
      <w:jc w:val="left"/>
      <w:textAlignment w:val="baseline"/>
    </w:pPr>
    <w:rPr>
      <w:rFonts w:ascii="Arial" w:hAnsi="Arial" w:eastAsia="宋体" w:cs="Times New Roman"/>
      <w:kern w:val="0"/>
      <w:sz w:val="24"/>
      <w:szCs w:val="24"/>
    </w:rPr>
  </w:style>
  <w:style w:type="character" w:customStyle="1" w:styleId="201">
    <w:name w:val="正文首行缩进 Char"/>
    <w:basedOn w:val="130"/>
    <w:link w:val="37"/>
    <w:semiHidden/>
    <w:qFormat/>
    <w:uiPriority w:val="99"/>
    <w:rPr>
      <w:rFonts w:asciiTheme="minorHAnsi" w:hAnsiTheme="minorHAnsi" w:eastAsiaTheme="minorEastAsia" w:cstheme="minorBidi"/>
      <w:kern w:val="2"/>
      <w:sz w:val="21"/>
      <w:szCs w:val="22"/>
    </w:rPr>
  </w:style>
  <w:style w:type="paragraph" w:customStyle="1" w:styleId="202">
    <w:name w:val="Table Paragraph"/>
    <w:basedOn w:val="1"/>
    <w:qFormat/>
    <w:uiPriority w:val="1"/>
    <w:pPr>
      <w:autoSpaceDE w:val="0"/>
      <w:autoSpaceDN w:val="0"/>
      <w:jc w:val="left"/>
    </w:pPr>
    <w:rPr>
      <w:rFonts w:ascii="宋体" w:hAnsi="宋体" w:eastAsia="宋体" w:cs="宋体"/>
      <w:kern w:val="0"/>
      <w:sz w:val="22"/>
    </w:rPr>
  </w:style>
  <w:style w:type="paragraph" w:customStyle="1" w:styleId="203">
    <w:name w:val="标书正文"/>
    <w:basedOn w:val="1"/>
    <w:qFormat/>
    <w:uiPriority w:val="0"/>
    <w:pPr>
      <w:spacing w:line="560" w:lineRule="exact"/>
      <w:ind w:firstLine="723" w:firstLineChars="200"/>
      <w:jc w:val="center"/>
    </w:pPr>
    <w:rPr>
      <w:rFonts w:ascii="仿宋_GB2312" w:hAnsi="Times New Roman" w:eastAsia="仿宋_GB2312" w:cs="Times New Roman"/>
      <w:b/>
      <w:sz w:val="36"/>
      <w:szCs w:val="20"/>
    </w:rPr>
  </w:style>
  <w:style w:type="paragraph" w:customStyle="1" w:styleId="204">
    <w:name w:val="表格"/>
    <w:qFormat/>
    <w:uiPriority w:val="0"/>
    <w:pPr>
      <w:adjustRightInd w:val="0"/>
      <w:snapToGrid w:val="0"/>
      <w:spacing w:before="20" w:after="20"/>
      <w:jc w:val="center"/>
      <w:textAlignment w:val="baseline"/>
    </w:pPr>
    <w:rPr>
      <w:rFonts w:ascii="Arial" w:hAnsi="Arial" w:eastAsia="宋体" w:cs="Times New Roman"/>
      <w:snapToGrid w:val="0"/>
      <w:sz w:val="21"/>
      <w:lang w:val="en-US" w:eastAsia="zh-CN" w:bidi="ar-SA"/>
    </w:rPr>
  </w:style>
  <w:style w:type="paragraph" w:customStyle="1" w:styleId="205">
    <w:name w:val="5）标书正文 首行缩进2字符"/>
    <w:basedOn w:val="1"/>
    <w:qFormat/>
    <w:uiPriority w:val="0"/>
    <w:pPr>
      <w:suppressAutoHyphens/>
      <w:spacing w:line="520" w:lineRule="exact"/>
      <w:ind w:firstLine="560"/>
    </w:pPr>
    <w:rPr>
      <w:rFonts w:eastAsia="仿宋_GB2312"/>
      <w:sz w:val="28"/>
      <w:szCs w:val="28"/>
    </w:rPr>
  </w:style>
  <w:style w:type="paragraph" w:customStyle="1" w:styleId="206">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7">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8">
    <w:name w:val="样式 封面落款"/>
    <w:basedOn w:val="1"/>
    <w:qFormat/>
    <w:uiPriority w:val="0"/>
    <w:pPr>
      <w:spacing w:line="360" w:lineRule="auto"/>
      <w:jc w:val="center"/>
    </w:pPr>
    <w:rPr>
      <w:rFonts w:ascii="Times New Roman" w:hAnsi="Times New Roman" w:eastAsia="隶书" w:cs="Times New Roman"/>
      <w:b/>
      <w:sz w:val="44"/>
      <w:szCs w:val="44"/>
    </w:rPr>
  </w:style>
  <w:style w:type="paragraph" w:customStyle="1" w:styleId="209">
    <w:name w:val="数据正文"/>
    <w:basedOn w:val="1"/>
    <w:qFormat/>
    <w:uiPriority w:val="0"/>
    <w:pPr>
      <w:spacing w:before="120" w:after="120" w:line="440" w:lineRule="exact"/>
      <w:ind w:firstLine="560" w:firstLineChars="200"/>
    </w:pPr>
    <w:rPr>
      <w:rFonts w:ascii="Times New Roman" w:hAnsi="Times New Roman" w:eastAsia="仿宋" w:cs="Times New Roman"/>
      <w:sz w:val="28"/>
      <w:szCs w:val="28"/>
    </w:rPr>
  </w:style>
  <w:style w:type="character" w:customStyle="1" w:styleId="210">
    <w:name w:val="font191"/>
    <w:basedOn w:val="40"/>
    <w:qFormat/>
    <w:uiPriority w:val="0"/>
    <w:rPr>
      <w:rFonts w:hint="eastAsia" w:ascii="仿宋" w:hAnsi="仿宋" w:eastAsia="仿宋" w:cs="仿宋"/>
      <w:color w:val="000000"/>
      <w:sz w:val="20"/>
      <w:szCs w:val="20"/>
      <w:u w:val="none"/>
    </w:rPr>
  </w:style>
  <w:style w:type="character" w:customStyle="1" w:styleId="211">
    <w:name w:val="font201"/>
    <w:basedOn w:val="40"/>
    <w:qFormat/>
    <w:uiPriority w:val="0"/>
    <w:rPr>
      <w:rFonts w:hint="eastAsia" w:ascii="仿宋" w:hAnsi="仿宋" w:eastAsia="仿宋" w:cs="仿宋"/>
      <w:color w:val="000000"/>
      <w:sz w:val="20"/>
      <w:szCs w:val="20"/>
      <w:u w:val="none"/>
    </w:rPr>
  </w:style>
  <w:style w:type="character" w:customStyle="1" w:styleId="212">
    <w:name w:val="font131"/>
    <w:basedOn w:val="40"/>
    <w:qFormat/>
    <w:uiPriority w:val="0"/>
    <w:rPr>
      <w:rFonts w:hint="eastAsia" w:ascii="仿宋" w:hAnsi="仿宋" w:eastAsia="仿宋" w:cs="仿宋"/>
      <w:color w:val="000000"/>
      <w:sz w:val="20"/>
      <w:szCs w:val="20"/>
      <w:u w:val="none"/>
    </w:rPr>
  </w:style>
  <w:style w:type="paragraph" w:customStyle="1" w:styleId="213">
    <w:name w:val="数据图"/>
    <w:basedOn w:val="209"/>
    <w:qFormat/>
    <w:uiPriority w:val="0"/>
    <w:pPr>
      <w:spacing w:line="240" w:lineRule="auto"/>
      <w:ind w:firstLine="0" w:firstLineChars="0"/>
      <w:jc w:val="center"/>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961875-AF4D-41F3-B268-D47DA7C37218}">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84</Pages>
  <Words>655</Words>
  <Characters>734</Characters>
  <Lines>449</Lines>
  <Paragraphs>126</Paragraphs>
  <TotalTime>46</TotalTime>
  <ScaleCrop>false</ScaleCrop>
  <LinksUpToDate>false</LinksUpToDate>
  <CharactersWithSpaces>806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2024-09-02T11:44:00Z</dcterms:created>
  <dc:creator>Administrator</dc:creator>
  <cp:lastModifiedBy>WPS_1665995631</cp:lastModifiedBy>
  <cp:lastPrinted>2024-08-21T04:29:00Z</cp:lastPrinted>
  <dcterms:modified xsi:type="dcterms:W3CDTF">2025-06-25T10:42:20Z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47FC902813364E10BD760E1DE9469252_13</vt:lpwstr>
  </property>
  <property fmtid="{D5CDD505-2E9C-101B-9397-08002B2CF9AE}" pid="4" name="KSOTemplateDocerSaveRecord">
    <vt:lpwstr>eyJoZGlkIjoiMjgwOWE4MDMzYWYzNzMyNTA5N2JmMDFjY2U2MTU0ZWIiLCJ1c2VySWQiOiIxNDI4NjQyMjA1In0=</vt:lpwstr>
  </property>
</Properties>
</file>