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eastAsia="zh-CN"/>
        </w:rPr>
        <w:t>墨玉县萨依巴格乡寄宿制学校设备采购项目</w:t>
      </w:r>
    </w:p>
    <w:p>
      <w:pPr>
        <w:pageBreakBefore w:val="0"/>
        <w:numPr>
          <w:ilvl w:val="0"/>
          <w:numId w:val="0"/>
        </w:numPr>
        <w:kinsoku/>
        <w:overflowPunct/>
        <w:topLinePunct w:val="0"/>
        <w:autoSpaceDE/>
        <w:autoSpaceDN/>
        <w:bidi w:val="0"/>
        <w:adjustRightInd/>
        <w:snapToGrid/>
        <w:spacing w:line="360" w:lineRule="auto"/>
        <w:jc w:val="center"/>
        <w:textAlignment w:val="auto"/>
        <w:rPr>
          <w:rFonts w:hint="eastAsia" w:ascii="仿宋" w:hAnsi="仿宋" w:eastAsia="仿宋" w:cs="仿宋"/>
          <w:color w:val="auto"/>
          <w:sz w:val="32"/>
          <w:szCs w:val="32"/>
          <w:highlight w:val="none"/>
          <w:lang w:val="en-US" w:eastAsia="zh-CN"/>
        </w:rPr>
      </w:pPr>
    </w:p>
    <w:p>
      <w:pPr>
        <w:pStyle w:val="53"/>
        <w:rPr>
          <w:rFonts w:hint="default"/>
          <w:lang w:val="en-US" w:eastAsia="zh-CN"/>
        </w:rPr>
      </w:pPr>
    </w:p>
    <w:p>
      <w:pPr>
        <w:pageBreakBefore w:val="0"/>
        <w:numPr>
          <w:ilvl w:val="0"/>
          <w:numId w:val="0"/>
        </w:numPr>
        <w:shd w:val="clear"/>
        <w:kinsoku/>
        <w:overflowPunct/>
        <w:topLinePunct w:val="0"/>
        <w:autoSpaceDE/>
        <w:autoSpaceDN/>
        <w:bidi w:val="0"/>
        <w:adjustRightInd/>
        <w:snapToGrid/>
        <w:spacing w:line="360" w:lineRule="auto"/>
        <w:jc w:val="center"/>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项目编号：XYTDZB-GK-2023487号</w:t>
      </w:r>
    </w:p>
    <w:p>
      <w:pPr>
        <w:pStyle w:val="33"/>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val="0"/>
        <w:autoSpaceDN w:val="0"/>
        <w:bidi w:val="0"/>
        <w:adjustRightInd w:val="0"/>
        <w:snapToGrid/>
        <w:spacing w:line="560" w:lineRule="exact"/>
        <w:ind w:left="1959" w:leftChars="133" w:hanging="1680" w:hangingChars="600"/>
        <w:textAlignment w:val="auto"/>
        <w:rPr>
          <w:rFonts w:hint="eastAsia" w:ascii="仿宋" w:hAnsi="仿宋" w:eastAsia="仿宋" w:cs="仿宋"/>
          <w:bCs/>
          <w:color w:val="auto"/>
          <w:sz w:val="28"/>
          <w:szCs w:val="28"/>
          <w:highlight w:val="none"/>
          <w:lang w:val="en-US" w:eastAsia="zh-CN"/>
        </w:rPr>
      </w:pPr>
    </w:p>
    <w:p>
      <w:pPr>
        <w:autoSpaceDE w:val="0"/>
        <w:autoSpaceDN w:val="0"/>
        <w:adjustRightInd w:val="0"/>
        <w:spacing w:line="480" w:lineRule="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val="zh-CN"/>
        </w:rPr>
        <w:t>采</w:t>
      </w:r>
      <w:r>
        <w:rPr>
          <w:rFonts w:hint="eastAsia" w:ascii="仿宋" w:hAnsi="仿宋" w:eastAsia="仿宋" w:cs="仿宋"/>
          <w:bCs/>
          <w:color w:val="auto"/>
          <w:sz w:val="28"/>
          <w:szCs w:val="28"/>
          <w:highlight w:val="none"/>
        </w:rPr>
        <w:t xml:space="preserve"> </w:t>
      </w:r>
      <w:r>
        <w:rPr>
          <w:rFonts w:hint="eastAsia" w:ascii="仿宋" w:hAnsi="仿宋" w:eastAsia="仿宋" w:cs="仿宋"/>
          <w:bCs/>
          <w:color w:val="auto"/>
          <w:sz w:val="28"/>
          <w:szCs w:val="28"/>
          <w:highlight w:val="none"/>
          <w:lang w:val="zh-CN"/>
        </w:rPr>
        <w:t>购</w:t>
      </w:r>
      <w:r>
        <w:rPr>
          <w:rFonts w:hint="eastAsia" w:ascii="仿宋" w:hAnsi="仿宋" w:eastAsia="仿宋" w:cs="仿宋"/>
          <w:bCs/>
          <w:color w:val="auto"/>
          <w:sz w:val="28"/>
          <w:szCs w:val="28"/>
          <w:highlight w:val="none"/>
        </w:rPr>
        <w:t xml:space="preserve"> </w:t>
      </w:r>
      <w:r>
        <w:rPr>
          <w:rFonts w:hint="eastAsia" w:ascii="仿宋" w:hAnsi="仿宋" w:eastAsia="仿宋" w:cs="仿宋"/>
          <w:bCs/>
          <w:color w:val="auto"/>
          <w:sz w:val="28"/>
          <w:szCs w:val="28"/>
          <w:highlight w:val="none"/>
          <w:lang w:val="zh-CN"/>
        </w:rPr>
        <w:t>人（盖章）：</w:t>
      </w:r>
      <w:r>
        <w:rPr>
          <w:rFonts w:hint="eastAsia" w:ascii="仿宋" w:hAnsi="仿宋" w:eastAsia="仿宋" w:cs="仿宋"/>
          <w:bCs/>
          <w:color w:val="auto"/>
          <w:sz w:val="28"/>
          <w:szCs w:val="28"/>
          <w:highlight w:val="none"/>
          <w:lang w:eastAsia="zh-CN"/>
        </w:rPr>
        <w:t>墨玉县教育局</w:t>
      </w:r>
    </w:p>
    <w:p>
      <w:pPr>
        <w:autoSpaceDE w:val="0"/>
        <w:autoSpaceDN w:val="0"/>
        <w:adjustRightInd w:val="0"/>
        <w:spacing w:line="480" w:lineRule="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val="zh-CN"/>
        </w:rPr>
        <w:t>联 系 人：</w:t>
      </w:r>
      <w:r>
        <w:rPr>
          <w:rFonts w:hint="eastAsia" w:ascii="仿宋" w:hAnsi="仿宋" w:eastAsia="仿宋" w:cs="仿宋"/>
          <w:bCs/>
          <w:color w:val="auto"/>
          <w:sz w:val="28"/>
          <w:szCs w:val="28"/>
          <w:highlight w:val="none"/>
          <w:lang w:eastAsia="zh-CN"/>
        </w:rPr>
        <w:t>秦老师</w:t>
      </w:r>
    </w:p>
    <w:p>
      <w:pPr>
        <w:autoSpaceDE w:val="0"/>
        <w:autoSpaceDN w:val="0"/>
        <w:adjustRightInd w:val="0"/>
        <w:spacing w:line="480" w:lineRule="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val="zh-CN"/>
        </w:rPr>
        <w:t>电    话：</w:t>
      </w:r>
      <w:r>
        <w:rPr>
          <w:rFonts w:hint="eastAsia" w:ascii="仿宋" w:hAnsi="仿宋" w:eastAsia="仿宋" w:cs="仿宋"/>
          <w:bCs/>
          <w:color w:val="auto"/>
          <w:sz w:val="28"/>
          <w:szCs w:val="28"/>
          <w:highlight w:val="none"/>
          <w:lang w:eastAsia="zh-CN"/>
        </w:rPr>
        <w:t xml:space="preserve"> 0903-6514235</w:t>
      </w:r>
    </w:p>
    <w:p>
      <w:pPr>
        <w:autoSpaceDE w:val="0"/>
        <w:autoSpaceDN w:val="0"/>
        <w:adjustRightInd w:val="0"/>
        <w:spacing w:line="480" w:lineRule="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val="zh-CN"/>
        </w:rPr>
        <w:t>详细地址：</w:t>
      </w:r>
      <w:r>
        <w:rPr>
          <w:rFonts w:hint="eastAsia" w:ascii="仿宋" w:hAnsi="仿宋" w:eastAsia="仿宋" w:cs="仿宋"/>
          <w:bCs/>
          <w:color w:val="auto"/>
          <w:sz w:val="28"/>
          <w:szCs w:val="28"/>
          <w:highlight w:val="none"/>
          <w:lang w:eastAsia="zh-CN"/>
        </w:rPr>
        <w:t>墨玉县同心路81号</w:t>
      </w:r>
    </w:p>
    <w:p>
      <w:pPr>
        <w:autoSpaceDE w:val="0"/>
        <w:autoSpaceDN w:val="0"/>
        <w:adjustRightInd w:val="0"/>
        <w:spacing w:line="480" w:lineRule="auto"/>
        <w:ind w:left="4302" w:leftChars="382" w:hanging="3500" w:hangingChars="1250"/>
        <w:rPr>
          <w:rFonts w:hint="eastAsia" w:ascii="仿宋" w:hAnsi="仿宋" w:eastAsia="仿宋" w:cs="仿宋"/>
          <w:bCs/>
          <w:color w:val="auto"/>
          <w:sz w:val="28"/>
          <w:szCs w:val="28"/>
          <w:highlight w:val="none"/>
          <w:lang w:val="zh-CN"/>
        </w:rPr>
      </w:pPr>
    </w:p>
    <w:p>
      <w:pPr>
        <w:autoSpaceDE w:val="0"/>
        <w:autoSpaceDN w:val="0"/>
        <w:adjustRightInd w:val="0"/>
        <w:spacing w:line="480"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zh-CN"/>
        </w:rPr>
        <w:t>招标代理机构</w:t>
      </w:r>
      <w:r>
        <w:rPr>
          <w:rFonts w:hint="eastAsia" w:ascii="仿宋" w:hAnsi="仿宋" w:eastAsia="仿宋" w:cs="仿宋"/>
          <w:color w:val="auto"/>
          <w:sz w:val="28"/>
          <w:szCs w:val="28"/>
          <w:highlight w:val="none"/>
          <w:lang w:val="zh-CN"/>
        </w:rPr>
        <w:t>（盖章）</w:t>
      </w:r>
      <w:r>
        <w:rPr>
          <w:rFonts w:hint="eastAsia" w:ascii="仿宋" w:hAnsi="仿宋" w:eastAsia="仿宋" w:cs="仿宋"/>
          <w:bCs/>
          <w:color w:val="auto"/>
          <w:sz w:val="28"/>
          <w:szCs w:val="28"/>
          <w:highlight w:val="none"/>
          <w:lang w:val="zh-CN"/>
        </w:rPr>
        <w:t>：</w:t>
      </w:r>
      <w:r>
        <w:rPr>
          <w:rFonts w:hint="eastAsia" w:ascii="仿宋" w:hAnsi="仿宋" w:eastAsia="仿宋" w:cs="仿宋"/>
          <w:bCs/>
          <w:color w:val="auto"/>
          <w:sz w:val="28"/>
          <w:szCs w:val="28"/>
          <w:highlight w:val="none"/>
        </w:rPr>
        <w:t>新疆星耀天都项目管理有限责任公司</w:t>
      </w:r>
    </w:p>
    <w:p>
      <w:pPr>
        <w:autoSpaceDE w:val="0"/>
        <w:autoSpaceDN w:val="0"/>
        <w:adjustRightInd w:val="0"/>
        <w:spacing w:line="480" w:lineRule="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kern w:val="0"/>
          <w:sz w:val="28"/>
          <w:szCs w:val="28"/>
          <w:highlight w:val="none"/>
          <w:lang w:val="zh-CN"/>
        </w:rPr>
        <w:t>项目负责人</w:t>
      </w:r>
      <w:r>
        <w:rPr>
          <w:rFonts w:hint="eastAsia" w:ascii="仿宋" w:hAnsi="仿宋" w:eastAsia="仿宋" w:cs="仿宋"/>
          <w:bCs/>
          <w:color w:val="auto"/>
          <w:sz w:val="28"/>
          <w:szCs w:val="28"/>
          <w:highlight w:val="none"/>
          <w:lang w:val="zh-CN"/>
        </w:rPr>
        <w:t>：</w:t>
      </w:r>
      <w:r>
        <w:rPr>
          <w:rFonts w:hint="eastAsia" w:ascii="仿宋" w:hAnsi="仿宋" w:eastAsia="仿宋" w:cs="仿宋"/>
          <w:bCs/>
          <w:color w:val="auto"/>
          <w:sz w:val="28"/>
          <w:szCs w:val="28"/>
          <w:highlight w:val="none"/>
          <w:lang w:val="en-US" w:eastAsia="zh-CN"/>
        </w:rPr>
        <w:t>王先生</w:t>
      </w:r>
    </w:p>
    <w:p>
      <w:pPr>
        <w:autoSpaceDE w:val="0"/>
        <w:autoSpaceDN w:val="0"/>
        <w:adjustRightInd w:val="0"/>
        <w:spacing w:line="480" w:lineRule="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kern w:val="0"/>
          <w:sz w:val="28"/>
          <w:szCs w:val="28"/>
          <w:highlight w:val="none"/>
          <w:lang w:val="zh-CN"/>
        </w:rPr>
        <w:t>电    话</w:t>
      </w:r>
      <w:r>
        <w:rPr>
          <w:rFonts w:hint="eastAsia" w:ascii="仿宋" w:hAnsi="仿宋" w:eastAsia="仿宋" w:cs="仿宋"/>
          <w:bCs/>
          <w:color w:val="auto"/>
          <w:sz w:val="28"/>
          <w:szCs w:val="28"/>
          <w:highlight w:val="none"/>
          <w:lang w:val="zh-CN"/>
        </w:rPr>
        <w:t>：</w:t>
      </w:r>
      <w:r>
        <w:rPr>
          <w:rFonts w:hint="eastAsia" w:ascii="仿宋" w:hAnsi="仿宋" w:eastAsia="仿宋" w:cs="仿宋"/>
          <w:bCs/>
          <w:color w:val="auto"/>
          <w:sz w:val="28"/>
          <w:szCs w:val="28"/>
          <w:highlight w:val="none"/>
          <w:lang w:val="en-US" w:eastAsia="zh-CN"/>
        </w:rPr>
        <w:t>0903-6860585</w:t>
      </w:r>
    </w:p>
    <w:p>
      <w:pPr>
        <w:autoSpaceDE w:val="0"/>
        <w:autoSpaceDN w:val="0"/>
        <w:adjustRightInd w:val="0"/>
        <w:spacing w:line="480" w:lineRule="auto"/>
        <w:rPr>
          <w:rFonts w:hint="eastAsia" w:ascii="仿宋" w:hAnsi="仿宋" w:eastAsia="仿宋" w:cs="仿宋"/>
          <w:bCs/>
          <w:color w:val="auto"/>
          <w:kern w:val="0"/>
          <w:sz w:val="28"/>
          <w:szCs w:val="28"/>
          <w:highlight w:val="none"/>
          <w:lang w:val="zh-CN"/>
        </w:rPr>
      </w:pPr>
      <w:r>
        <w:rPr>
          <w:rFonts w:hint="eastAsia" w:ascii="仿宋" w:hAnsi="仿宋" w:eastAsia="仿宋" w:cs="仿宋"/>
          <w:bCs/>
          <w:color w:val="auto"/>
          <w:kern w:val="0"/>
          <w:sz w:val="28"/>
          <w:szCs w:val="28"/>
          <w:highlight w:val="none"/>
          <w:lang w:val="zh-CN"/>
        </w:rPr>
        <w:t>详细地址：和田市古江巴格乡屯垦西路35号</w:t>
      </w:r>
    </w:p>
    <w:p>
      <w:pPr>
        <w:autoSpaceDE w:val="0"/>
        <w:autoSpaceDN w:val="0"/>
        <w:adjustRightInd w:val="0"/>
        <w:spacing w:line="480" w:lineRule="auto"/>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日    期：</w:t>
      </w:r>
      <w:r>
        <w:rPr>
          <w:rFonts w:hint="eastAsia" w:ascii="仿宋" w:hAnsi="仿宋" w:eastAsia="仿宋" w:cs="仿宋"/>
          <w:bCs/>
          <w:color w:val="auto"/>
          <w:kern w:val="0"/>
          <w:sz w:val="28"/>
          <w:szCs w:val="28"/>
          <w:highlight w:val="none"/>
          <w:lang w:eastAsia="zh-CN"/>
        </w:rPr>
        <w:t>2024年</w:t>
      </w:r>
      <w:r>
        <w:rPr>
          <w:rFonts w:hint="eastAsia" w:ascii="仿宋" w:hAnsi="仿宋" w:eastAsia="仿宋" w:cs="仿宋"/>
          <w:bCs/>
          <w:color w:val="auto"/>
          <w:kern w:val="0"/>
          <w:sz w:val="28"/>
          <w:szCs w:val="28"/>
          <w:highlight w:val="none"/>
          <w:lang w:val="en-US" w:eastAsia="zh-CN"/>
        </w:rPr>
        <w:t>1</w:t>
      </w:r>
      <w:r>
        <w:rPr>
          <w:rFonts w:hint="eastAsia" w:ascii="仿宋" w:hAnsi="仿宋" w:eastAsia="仿宋" w:cs="仿宋"/>
          <w:bCs/>
          <w:color w:val="auto"/>
          <w:kern w:val="0"/>
          <w:sz w:val="28"/>
          <w:szCs w:val="28"/>
          <w:highlight w:val="none"/>
        </w:rPr>
        <w:t>月</w:t>
      </w:r>
    </w:p>
    <w:p>
      <w:pPr>
        <w:pStyle w:val="5"/>
        <w:rPr>
          <w:rFonts w:hint="eastAsia" w:ascii="仿宋" w:hAnsi="仿宋" w:eastAsia="仿宋" w:cs="仿宋"/>
          <w:color w:val="auto"/>
          <w:highlight w:val="none"/>
          <w:lang w:val="en-US" w:eastAsia="zh-CN"/>
        </w:rPr>
      </w:pPr>
    </w:p>
    <w:p>
      <w:pPr>
        <w:rPr>
          <w:rFonts w:hint="eastAsia" w:ascii="仿宋" w:hAnsi="仿宋" w:eastAsia="仿宋" w:cs="仿宋"/>
          <w:color w:val="auto"/>
          <w:highlight w:val="none"/>
          <w:lang w:val="en-US" w:eastAsia="zh-CN"/>
        </w:rPr>
      </w:pPr>
    </w:p>
    <w:p>
      <w:pPr>
        <w:pStyle w:val="5"/>
        <w:rPr>
          <w:rFonts w:hint="eastAsia" w:ascii="仿宋" w:hAnsi="仿宋" w:eastAsia="仿宋" w:cs="仿宋"/>
          <w:highlight w:val="none"/>
          <w:lang w:val="en-US" w:eastAsia="zh-CN"/>
        </w:rPr>
      </w:pPr>
    </w:p>
    <w:p>
      <w:pPr>
        <w:pStyle w:val="2"/>
        <w:rPr>
          <w:rFonts w:hint="eastAsia" w:ascii="仿宋" w:hAnsi="仿宋" w:eastAsia="仿宋" w:cs="仿宋"/>
          <w:highlight w:val="none"/>
          <w:lang w:val="en-US" w:eastAsia="zh-CN"/>
        </w:rPr>
      </w:pPr>
    </w:p>
    <w:p>
      <w:pPr>
        <w:spacing w:line="360" w:lineRule="auto"/>
        <w:rPr>
          <w:rFonts w:hint="eastAsia" w:ascii="仿宋" w:hAnsi="仿宋" w:eastAsia="仿宋" w:cs="仿宋"/>
          <w:color w:val="auto"/>
          <w:highlight w:val="none"/>
        </w:rPr>
      </w:pPr>
    </w:p>
    <w:p>
      <w:pPr>
        <w:autoSpaceDE w:val="0"/>
        <w:autoSpaceDN w:val="0"/>
        <w:adjustRightInd w:val="0"/>
        <w:spacing w:line="600" w:lineRule="auto"/>
        <w:jc w:val="center"/>
        <w:rPr>
          <w:rFonts w:hint="eastAsia" w:ascii="仿宋" w:hAnsi="仿宋" w:eastAsia="仿宋" w:cs="仿宋"/>
          <w:color w:val="auto"/>
          <w:kern w:val="0"/>
          <w:sz w:val="36"/>
          <w:szCs w:val="36"/>
          <w:highlight w:val="none"/>
        </w:rPr>
      </w:pPr>
      <w:r>
        <w:rPr>
          <w:rFonts w:hint="eastAsia" w:ascii="仿宋" w:hAnsi="仿宋" w:eastAsia="仿宋" w:cs="仿宋"/>
          <w:color w:val="auto"/>
          <w:kern w:val="0"/>
          <w:sz w:val="36"/>
          <w:szCs w:val="36"/>
          <w:highlight w:val="none"/>
        </w:rPr>
        <w:t>目  录</w:t>
      </w:r>
    </w:p>
    <w:p>
      <w:pPr>
        <w:pStyle w:val="31"/>
        <w:keepNext w:val="0"/>
        <w:keepLines w:val="0"/>
        <w:pageBreakBefore w:val="0"/>
        <w:widowControl w:val="0"/>
        <w:tabs>
          <w:tab w:val="right" w:leader="dot" w:pos="9240"/>
        </w:tabs>
        <w:kinsoku/>
        <w:wordWrap/>
        <w:overflowPunct/>
        <w:topLinePunct w:val="0"/>
        <w:autoSpaceDE/>
        <w:autoSpaceDN/>
        <w:bidi w:val="0"/>
        <w:adjustRightInd/>
        <w:snapToGrid/>
        <w:spacing w:line="7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"1-9" \f \h \u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_Toc31121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lang w:eastAsia="zh-CN"/>
        </w:rPr>
        <w:t>第一部分</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lang w:eastAsia="zh-CN"/>
        </w:rPr>
        <w:t>采购公告</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pPr>
        <w:pStyle w:val="31"/>
        <w:keepNext w:val="0"/>
        <w:keepLines w:val="0"/>
        <w:pageBreakBefore w:val="0"/>
        <w:widowControl w:val="0"/>
        <w:tabs>
          <w:tab w:val="right" w:leader="dot" w:pos="9240"/>
        </w:tabs>
        <w:kinsoku/>
        <w:wordWrap/>
        <w:overflowPunct/>
        <w:topLinePunct w:val="0"/>
        <w:autoSpaceDE/>
        <w:autoSpaceDN/>
        <w:bidi w:val="0"/>
        <w:adjustRightInd/>
        <w:snapToGrid/>
        <w:spacing w:line="7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_Toc25035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eastAsia="zh-CN"/>
        </w:rPr>
        <w:t>第二部分</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投标人须知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pPr>
        <w:pStyle w:val="37"/>
        <w:keepNext w:val="0"/>
        <w:keepLines w:val="0"/>
        <w:pageBreakBefore w:val="0"/>
        <w:widowControl w:val="0"/>
        <w:tabs>
          <w:tab w:val="right" w:leader="dot" w:pos="9240"/>
        </w:tabs>
        <w:kinsoku/>
        <w:wordWrap/>
        <w:overflowPunct/>
        <w:topLinePunct w:val="0"/>
        <w:autoSpaceDE/>
        <w:autoSpaceDN/>
        <w:bidi w:val="0"/>
        <w:adjustRightInd/>
        <w:snapToGrid/>
        <w:spacing w:line="72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_Toc26927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eastAsia="zh-CN"/>
        </w:rPr>
        <w:t>三部分</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评标办法及标准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pPr>
        <w:pStyle w:val="37"/>
        <w:keepNext w:val="0"/>
        <w:keepLines w:val="0"/>
        <w:pageBreakBefore w:val="0"/>
        <w:widowControl w:val="0"/>
        <w:tabs>
          <w:tab w:val="right" w:leader="dot" w:pos="9240"/>
        </w:tabs>
        <w:kinsoku/>
        <w:wordWrap/>
        <w:overflowPunct/>
        <w:topLinePunct w:val="0"/>
        <w:autoSpaceDE/>
        <w:autoSpaceDN/>
        <w:bidi w:val="0"/>
        <w:adjustRightInd/>
        <w:snapToGrid/>
        <w:spacing w:line="72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_Toc29633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eastAsia="zh-CN"/>
        </w:rPr>
        <w:t>第四章</w:t>
      </w:r>
      <w:r>
        <w:rPr>
          <w:rFonts w:hint="eastAsia" w:ascii="仿宋" w:hAnsi="仿宋" w:eastAsia="仿宋" w:cs="仿宋"/>
          <w:color w:val="auto"/>
          <w:sz w:val="24"/>
          <w:szCs w:val="24"/>
          <w:highlight w:val="none"/>
          <w:lang w:val="en-US" w:eastAsia="zh-CN"/>
        </w:rPr>
        <w:t xml:space="preserve"> 采购需求、技术参数、规格</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pPr>
        <w:pStyle w:val="31"/>
        <w:keepNext w:val="0"/>
        <w:keepLines w:val="0"/>
        <w:pageBreakBefore w:val="0"/>
        <w:widowControl w:val="0"/>
        <w:tabs>
          <w:tab w:val="right" w:leader="dot" w:pos="9240"/>
        </w:tabs>
        <w:kinsoku/>
        <w:wordWrap/>
        <w:overflowPunct/>
        <w:topLinePunct w:val="0"/>
        <w:autoSpaceDE/>
        <w:autoSpaceDN/>
        <w:bidi w:val="0"/>
        <w:adjustRightInd/>
        <w:snapToGrid/>
        <w:spacing w:line="7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_Toc13536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第</w:t>
      </w:r>
      <w:r>
        <w:rPr>
          <w:rFonts w:hint="eastAsia" w:ascii="仿宋" w:hAnsi="仿宋" w:eastAsia="仿宋" w:cs="仿宋"/>
          <w:bCs/>
          <w:color w:val="auto"/>
          <w:sz w:val="24"/>
          <w:szCs w:val="24"/>
          <w:highlight w:val="none"/>
          <w:lang w:eastAsia="zh-CN"/>
        </w:rPr>
        <w:t>五</w:t>
      </w:r>
      <w:r>
        <w:rPr>
          <w:rFonts w:hint="eastAsia" w:ascii="仿宋" w:hAnsi="仿宋" w:eastAsia="仿宋" w:cs="仿宋"/>
          <w:bCs/>
          <w:color w:val="auto"/>
          <w:sz w:val="24"/>
          <w:szCs w:val="24"/>
          <w:highlight w:val="none"/>
        </w:rPr>
        <w:t xml:space="preserve">章 </w:t>
      </w:r>
      <w:r>
        <w:rPr>
          <w:rFonts w:hint="eastAsia" w:ascii="仿宋" w:hAnsi="仿宋" w:eastAsia="仿宋" w:cs="仿宋"/>
          <w:bCs/>
          <w:color w:val="auto"/>
          <w:sz w:val="24"/>
          <w:szCs w:val="24"/>
          <w:highlight w:val="none"/>
          <w:lang w:eastAsia="zh-CN"/>
        </w:rPr>
        <w:t>采购合同范本</w:t>
      </w:r>
      <w:r>
        <w:rPr>
          <w:rFonts w:hint="eastAsia" w:ascii="仿宋" w:hAnsi="仿宋" w:eastAsia="仿宋" w:cs="仿宋"/>
          <w:bCs/>
          <w:color w:val="auto"/>
          <w:sz w:val="24"/>
          <w:szCs w:val="24"/>
          <w:highlight w:val="none"/>
        </w:rPr>
        <w:t>（仅供参考）</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pPr>
        <w:rPr>
          <w:rFonts w:hint="eastAsia" w:ascii="仿宋" w:hAnsi="仿宋" w:eastAsia="仿宋" w:cs="仿宋"/>
          <w:color w:val="auto"/>
          <w:highlight w:val="none"/>
        </w:rPr>
      </w:pPr>
    </w:p>
    <w:p>
      <w:pPr>
        <w:pStyle w:val="31"/>
        <w:keepNext w:val="0"/>
        <w:keepLines w:val="0"/>
        <w:pageBreakBefore w:val="0"/>
        <w:widowControl w:val="0"/>
        <w:tabs>
          <w:tab w:val="right" w:leader="dot" w:pos="9240"/>
        </w:tabs>
        <w:kinsoku/>
        <w:wordWrap/>
        <w:overflowPunct/>
        <w:topLinePunct w:val="0"/>
        <w:autoSpaceDE/>
        <w:autoSpaceDN/>
        <w:bidi w:val="0"/>
        <w:adjustRightInd/>
        <w:snapToGrid/>
        <w:spacing w:line="480" w:lineRule="auto"/>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_Toc5124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eastAsia="zh-CN"/>
        </w:rPr>
        <w:t>第六章</w:t>
      </w:r>
      <w:r>
        <w:rPr>
          <w:rFonts w:hint="eastAsia" w:ascii="仿宋" w:hAnsi="仿宋" w:eastAsia="仿宋" w:cs="仿宋"/>
          <w:color w:val="auto"/>
          <w:sz w:val="24"/>
          <w:szCs w:val="24"/>
          <w:highlight w:val="none"/>
          <w:lang w:val="en-US" w:eastAsia="zh-CN"/>
        </w:rPr>
        <w:t xml:space="preserve"> 投标文件内容及格式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pPr>
        <w:pStyle w:val="3"/>
        <w:outlineLvl w:val="0"/>
        <w:rPr>
          <w:rFonts w:hint="eastAsia" w:ascii="仿宋" w:hAnsi="仿宋" w:eastAsia="仿宋" w:cs="仿宋"/>
          <w:color w:val="auto"/>
          <w:highlight w:val="none"/>
        </w:rPr>
      </w:pPr>
      <w:r>
        <w:rPr>
          <w:rFonts w:hint="eastAsia" w:ascii="仿宋" w:hAnsi="仿宋" w:eastAsia="仿宋" w:cs="仿宋"/>
          <w:color w:val="auto"/>
          <w:highlight w:val="none"/>
        </w:rPr>
        <w:fldChar w:fldCharType="end"/>
      </w:r>
    </w:p>
    <w:p>
      <w:pPr>
        <w:rPr>
          <w:rFonts w:hint="eastAsia" w:ascii="仿宋" w:hAnsi="仿宋" w:eastAsia="仿宋" w:cs="仿宋"/>
          <w:color w:val="auto"/>
          <w:highlight w:val="none"/>
        </w:rPr>
      </w:pPr>
    </w:p>
    <w:p>
      <w:pPr>
        <w:pStyle w:val="5"/>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53"/>
        <w:rPr>
          <w:rFonts w:hint="eastAsia" w:ascii="仿宋" w:hAnsi="仿宋" w:eastAsia="仿宋" w:cs="仿宋"/>
          <w:color w:val="auto"/>
          <w:highlight w:val="none"/>
        </w:rPr>
      </w:pPr>
    </w:p>
    <w:p>
      <w:pPr>
        <w:pStyle w:val="53"/>
        <w:rPr>
          <w:rFonts w:hint="eastAsia" w:ascii="仿宋" w:hAnsi="仿宋" w:eastAsia="仿宋" w:cs="仿宋"/>
          <w:color w:val="auto"/>
          <w:highlight w:val="none"/>
        </w:rPr>
      </w:pPr>
    </w:p>
    <w:p>
      <w:pPr>
        <w:pStyle w:val="53"/>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53"/>
        <w:rPr>
          <w:rFonts w:hint="eastAsia" w:ascii="仿宋" w:hAnsi="仿宋" w:eastAsia="仿宋" w:cs="仿宋"/>
          <w:color w:val="auto"/>
          <w:highlight w:val="none"/>
        </w:rPr>
      </w:pPr>
    </w:p>
    <w:p>
      <w:pPr>
        <w:pStyle w:val="53"/>
        <w:rPr>
          <w:rFonts w:hint="eastAsia" w:ascii="仿宋" w:hAnsi="仿宋" w:eastAsia="仿宋" w:cs="仿宋"/>
          <w:color w:val="auto"/>
          <w:highlight w:val="none"/>
        </w:rPr>
      </w:pPr>
    </w:p>
    <w:p>
      <w:pPr>
        <w:pStyle w:val="53"/>
        <w:rPr>
          <w:rFonts w:hint="eastAsia" w:ascii="仿宋" w:hAnsi="仿宋" w:eastAsia="仿宋" w:cs="仿宋"/>
          <w:color w:val="auto"/>
          <w:highlight w:val="none"/>
        </w:rPr>
      </w:pPr>
    </w:p>
    <w:p>
      <w:pPr>
        <w:rPr>
          <w:rFonts w:hint="eastAsia" w:ascii="仿宋" w:hAnsi="仿宋" w:eastAsia="仿宋" w:cs="仿宋"/>
          <w:color w:val="auto"/>
          <w:highlight w:val="none"/>
        </w:rPr>
      </w:pPr>
    </w:p>
    <w:p>
      <w:pPr>
        <w:autoSpaceDE w:val="0"/>
        <w:autoSpaceDN w:val="0"/>
        <w:adjustRightInd w:val="0"/>
        <w:spacing w:line="600" w:lineRule="auto"/>
        <w:ind w:left="2"/>
        <w:rPr>
          <w:rFonts w:hint="eastAsia" w:ascii="仿宋" w:hAnsi="仿宋" w:eastAsia="仿宋" w:cs="仿宋"/>
          <w:color w:val="auto"/>
          <w:kern w:val="0"/>
          <w:sz w:val="28"/>
          <w:szCs w:val="28"/>
          <w:highlight w:val="none"/>
        </w:rPr>
      </w:pPr>
    </w:p>
    <w:p>
      <w:pPr>
        <w:pStyle w:val="5"/>
        <w:rPr>
          <w:rFonts w:hint="eastAsia" w:ascii="仿宋" w:hAnsi="仿宋" w:eastAsia="仿宋" w:cs="仿宋"/>
          <w:color w:val="auto"/>
          <w:kern w:val="0"/>
          <w:sz w:val="28"/>
          <w:szCs w:val="28"/>
          <w:highlight w:val="none"/>
        </w:rPr>
      </w:pPr>
    </w:p>
    <w:p>
      <w:pPr>
        <w:rPr>
          <w:rFonts w:hint="eastAsia"/>
        </w:rPr>
      </w:pPr>
    </w:p>
    <w:p>
      <w:pPr>
        <w:rPr>
          <w:rFonts w:hint="eastAsia" w:ascii="仿宋" w:hAnsi="仿宋" w:eastAsia="仿宋" w:cs="仿宋"/>
          <w:color w:val="auto"/>
          <w:kern w:val="0"/>
          <w:sz w:val="28"/>
          <w:szCs w:val="28"/>
          <w:highlight w:val="none"/>
        </w:rPr>
      </w:pPr>
    </w:p>
    <w:p>
      <w:pPr>
        <w:pStyle w:val="39"/>
        <w:keepNext w:val="0"/>
        <w:keepLines w:val="0"/>
        <w:widowControl/>
        <w:suppressLineNumbers w:val="0"/>
        <w:spacing w:before="75" w:beforeAutospacing="0" w:after="75" w:afterAutospacing="0" w:line="240" w:lineRule="auto"/>
        <w:ind w:left="0" w:right="0" w:firstLine="420"/>
        <w:jc w:val="center"/>
        <w:rPr>
          <w:rFonts w:hint="eastAsia" w:ascii="仿宋" w:hAnsi="仿宋" w:eastAsia="仿宋" w:cs="仿宋"/>
          <w:i w:val="0"/>
          <w:iCs w:val="0"/>
          <w:caps w:val="0"/>
          <w:color w:val="000000"/>
          <w:spacing w:val="0"/>
          <w:sz w:val="24"/>
          <w:szCs w:val="24"/>
          <w:highlight w:val="none"/>
          <w:lang w:val="en-US" w:eastAsia="zh-CN"/>
        </w:rPr>
      </w:pPr>
      <w:bookmarkStart w:id="0" w:name="_Toc30491"/>
      <w:bookmarkStart w:id="1" w:name="_Toc27002"/>
      <w:r>
        <w:rPr>
          <w:rFonts w:hint="eastAsia" w:ascii="仿宋" w:hAnsi="仿宋" w:eastAsia="仿宋" w:cs="仿宋"/>
          <w:i w:val="0"/>
          <w:iCs w:val="0"/>
          <w:caps w:val="0"/>
          <w:color w:val="000000"/>
          <w:spacing w:val="0"/>
          <w:sz w:val="24"/>
          <w:szCs w:val="24"/>
          <w:highlight w:val="none"/>
          <w:lang w:val="en-US" w:eastAsia="zh-CN"/>
        </w:rPr>
        <w:t>墨玉县萨依巴格乡寄宿制学校设备采购项目</w:t>
      </w:r>
    </w:p>
    <w:p>
      <w:pPr>
        <w:pStyle w:val="39"/>
        <w:keepNext w:val="0"/>
        <w:keepLines w:val="0"/>
        <w:widowControl/>
        <w:suppressLineNumbers w:val="0"/>
        <w:spacing w:before="75" w:beforeAutospacing="0" w:after="75" w:afterAutospacing="0" w:line="240" w:lineRule="auto"/>
        <w:ind w:left="0" w:right="0" w:firstLine="420"/>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公开招标公告</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9969" w:type="dxa"/>
          </w:tcPr>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项目概况：</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墨玉县萨依巴格乡寄宿制学校设备采购项目招标项目的潜在投标人应在政采云平台线上获取获取招标文件，并于2024年01月24日 11:00（北京时间）前递交投标文件。</w:t>
            </w:r>
          </w:p>
        </w:tc>
      </w:tr>
    </w:tbl>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r>
        <w:rPr>
          <w:rFonts w:hint="eastAsia" w:ascii="仿宋" w:hAnsi="仿宋" w:eastAsia="仿宋" w:cs="仿宋"/>
          <w:b/>
          <w:bCs/>
          <w:i w:val="0"/>
          <w:iCs w:val="0"/>
          <w:caps w:val="0"/>
          <w:color w:val="000000"/>
          <w:spacing w:val="0"/>
          <w:sz w:val="24"/>
          <w:szCs w:val="24"/>
          <w:highlight w:val="none"/>
          <w:lang w:val="en-US" w:eastAsia="zh-CN"/>
        </w:rPr>
        <w:t>一、项目基本情况</w:t>
      </w:r>
    </w:p>
    <w:p>
      <w:pPr>
        <w:pStyle w:val="39"/>
        <w:keepNext w:val="0"/>
        <w:keepLines w:val="0"/>
        <w:widowControl/>
        <w:suppressLineNumbers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项目编号：XYTDZB-GK-2023487-04号</w:t>
      </w:r>
    </w:p>
    <w:p>
      <w:pPr>
        <w:pStyle w:val="39"/>
        <w:keepNext w:val="0"/>
        <w:keepLines w:val="0"/>
        <w:widowControl/>
        <w:suppressLineNumbers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项目名称：墨玉县萨依巴格乡寄宿制学校设备采购项目（包四） </w:t>
      </w:r>
    </w:p>
    <w:p>
      <w:pPr>
        <w:pStyle w:val="39"/>
        <w:keepNext w:val="0"/>
        <w:keepLines w:val="0"/>
        <w:widowControl/>
        <w:suppressLineNumbers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采购方式：公开招标</w:t>
      </w:r>
    </w:p>
    <w:p>
      <w:pPr>
        <w:pStyle w:val="39"/>
        <w:keepNext w:val="0"/>
        <w:keepLines w:val="0"/>
        <w:widowControl/>
        <w:suppressLineNumbers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采购预算金额（元）：6643650.00元；</w:t>
      </w:r>
    </w:p>
    <w:p>
      <w:pPr>
        <w:pStyle w:val="39"/>
        <w:keepNext w:val="0"/>
        <w:keepLines w:val="0"/>
        <w:widowControl/>
        <w:suppressLineNumbers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最高限价：包一：898000.00元；包二：2258183.00元；包三：630985.00元；包四：1124482.00元；包五：1732000.00元；</w:t>
      </w:r>
    </w:p>
    <w:p>
      <w:pPr>
        <w:pStyle w:val="39"/>
        <w:keepNext w:val="0"/>
        <w:keepLines w:val="0"/>
        <w:widowControl/>
        <w:suppressLineNumbers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合同履约期限：签订合同之日起30日历天（具体时间以与甲方签订合同为准）</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简要规格描述或项目基本概况介绍</w:t>
      </w:r>
    </w:p>
    <w:tbl>
      <w:tblPr>
        <w:tblStyle w:val="151"/>
        <w:tblW w:w="86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2055"/>
        <w:gridCol w:w="675"/>
        <w:gridCol w:w="645"/>
        <w:gridCol w:w="2805"/>
        <w:gridCol w:w="1123"/>
        <w:gridCol w:w="6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679" w:type="dxa"/>
            <w:tcBorders>
              <w:right w:val="single" w:color="000000" w:sz="6" w:space="0"/>
            </w:tcBorders>
            <w:vAlign w:val="center"/>
          </w:tcPr>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序号</w:t>
            </w:r>
          </w:p>
        </w:tc>
        <w:tc>
          <w:tcPr>
            <w:tcW w:w="2055" w:type="dxa"/>
            <w:tcBorders>
              <w:left w:val="single" w:color="000000" w:sz="6"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标项名称</w:t>
            </w:r>
          </w:p>
        </w:tc>
        <w:tc>
          <w:tcPr>
            <w:tcW w:w="675" w:type="dxa"/>
            <w:vAlign w:val="center"/>
          </w:tcPr>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数量</w:t>
            </w:r>
          </w:p>
        </w:tc>
        <w:tc>
          <w:tcPr>
            <w:tcW w:w="645" w:type="dxa"/>
            <w:vAlign w:val="center"/>
          </w:tcPr>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单位</w:t>
            </w:r>
          </w:p>
        </w:tc>
        <w:tc>
          <w:tcPr>
            <w:tcW w:w="2805" w:type="dxa"/>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简要规格描述</w:t>
            </w:r>
          </w:p>
        </w:tc>
        <w:tc>
          <w:tcPr>
            <w:tcW w:w="1123" w:type="dxa"/>
            <w:vAlign w:val="center"/>
          </w:tcPr>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预算金额</w:t>
            </w:r>
          </w:p>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（万元）</w:t>
            </w:r>
          </w:p>
        </w:tc>
        <w:tc>
          <w:tcPr>
            <w:tcW w:w="692" w:type="dxa"/>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63" w:hRule="atLeast"/>
        </w:trPr>
        <w:tc>
          <w:tcPr>
            <w:tcW w:w="679" w:type="dxa"/>
            <w:tcBorders>
              <w:bottom w:val="single" w:color="000000" w:sz="4" w:space="0"/>
            </w:tcBorders>
            <w:vAlign w:val="center"/>
          </w:tcPr>
          <w:p>
            <w:pPr>
              <w:spacing w:line="226" w:lineRule="auto"/>
              <w:ind w:left="286"/>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w:t>
            </w:r>
          </w:p>
        </w:tc>
        <w:tc>
          <w:tcPr>
            <w:tcW w:w="2055" w:type="dxa"/>
            <w:tcBorders>
              <w:bottom w:val="single" w:color="000000" w:sz="4" w:space="0"/>
            </w:tcBorders>
            <w:vAlign w:val="center"/>
          </w:tcPr>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墨玉县萨依巴格乡寄宿制学校设备采购项目（包一）</w:t>
            </w:r>
          </w:p>
        </w:tc>
        <w:tc>
          <w:tcPr>
            <w:tcW w:w="675" w:type="dxa"/>
            <w:tcBorders>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w:t>
            </w:r>
          </w:p>
        </w:tc>
        <w:tc>
          <w:tcPr>
            <w:tcW w:w="645" w:type="dxa"/>
            <w:tcBorders>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批</w:t>
            </w:r>
          </w:p>
        </w:tc>
        <w:tc>
          <w:tcPr>
            <w:tcW w:w="2805" w:type="dxa"/>
            <w:tcBorders>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办公家具等</w:t>
            </w:r>
          </w:p>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（具体参数详见招标文件）</w:t>
            </w:r>
          </w:p>
        </w:tc>
        <w:tc>
          <w:tcPr>
            <w:tcW w:w="1123" w:type="dxa"/>
            <w:tcBorders>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p>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p>
          <w:p>
            <w:pPr>
              <w:spacing w:line="226" w:lineRule="auto"/>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89.8</w:t>
            </w:r>
          </w:p>
        </w:tc>
        <w:tc>
          <w:tcPr>
            <w:tcW w:w="692" w:type="dxa"/>
            <w:tcBorders>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35" w:hRule="atLeast"/>
        </w:trPr>
        <w:tc>
          <w:tcPr>
            <w:tcW w:w="679" w:type="dxa"/>
            <w:tcBorders>
              <w:top w:val="single" w:color="000000" w:sz="4" w:space="0"/>
              <w:bottom w:val="single" w:color="000000" w:sz="4" w:space="0"/>
            </w:tcBorders>
            <w:vAlign w:val="center"/>
          </w:tcPr>
          <w:p>
            <w:pPr>
              <w:spacing w:line="226" w:lineRule="auto"/>
              <w:ind w:left="286"/>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w:t>
            </w:r>
          </w:p>
        </w:tc>
        <w:tc>
          <w:tcPr>
            <w:tcW w:w="2055" w:type="dxa"/>
            <w:tcBorders>
              <w:top w:val="single" w:color="000000" w:sz="4" w:space="0"/>
              <w:bottom w:val="single" w:color="000000" w:sz="4" w:space="0"/>
            </w:tcBorders>
            <w:vAlign w:val="center"/>
          </w:tcPr>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墨玉县萨依巴格乡寄宿制学校设备采购项目（包二）</w:t>
            </w:r>
          </w:p>
        </w:tc>
        <w:tc>
          <w:tcPr>
            <w:tcW w:w="675"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w:t>
            </w:r>
          </w:p>
        </w:tc>
        <w:tc>
          <w:tcPr>
            <w:tcW w:w="645"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批</w:t>
            </w:r>
          </w:p>
        </w:tc>
        <w:tc>
          <w:tcPr>
            <w:tcW w:w="2805" w:type="dxa"/>
            <w:tcBorders>
              <w:top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电子设备等</w:t>
            </w:r>
          </w:p>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（具体参数详见招标文件）</w:t>
            </w:r>
          </w:p>
        </w:tc>
        <w:tc>
          <w:tcPr>
            <w:tcW w:w="1123"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p>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p>
          <w:p>
            <w:pPr>
              <w:spacing w:line="226" w:lineRule="auto"/>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225.8183</w:t>
            </w:r>
          </w:p>
        </w:tc>
        <w:tc>
          <w:tcPr>
            <w:tcW w:w="692"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26" w:hRule="atLeast"/>
        </w:trPr>
        <w:tc>
          <w:tcPr>
            <w:tcW w:w="679" w:type="dxa"/>
            <w:tcBorders>
              <w:top w:val="single" w:color="000000" w:sz="4" w:space="0"/>
              <w:bottom w:val="single" w:color="000000" w:sz="4" w:space="0"/>
            </w:tcBorders>
            <w:vAlign w:val="center"/>
          </w:tcPr>
          <w:p>
            <w:pPr>
              <w:spacing w:line="226" w:lineRule="auto"/>
              <w:ind w:left="286"/>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3</w:t>
            </w:r>
          </w:p>
        </w:tc>
        <w:tc>
          <w:tcPr>
            <w:tcW w:w="2055" w:type="dxa"/>
            <w:tcBorders>
              <w:top w:val="single" w:color="000000" w:sz="4" w:space="0"/>
              <w:bottom w:val="single" w:color="000000" w:sz="4" w:space="0"/>
            </w:tcBorders>
            <w:vAlign w:val="center"/>
          </w:tcPr>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墨玉县萨依巴格乡寄宿制学校设备采购项目（包三）</w:t>
            </w:r>
          </w:p>
        </w:tc>
        <w:tc>
          <w:tcPr>
            <w:tcW w:w="675"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w:t>
            </w:r>
          </w:p>
        </w:tc>
        <w:tc>
          <w:tcPr>
            <w:tcW w:w="645"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批</w:t>
            </w:r>
          </w:p>
        </w:tc>
        <w:tc>
          <w:tcPr>
            <w:tcW w:w="2805" w:type="dxa"/>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厨房设备等</w:t>
            </w:r>
          </w:p>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（具体参数详见招标文件）</w:t>
            </w:r>
          </w:p>
        </w:tc>
        <w:tc>
          <w:tcPr>
            <w:tcW w:w="1123"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p>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p>
          <w:p>
            <w:pPr>
              <w:spacing w:line="226" w:lineRule="auto"/>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63.0985</w:t>
            </w:r>
          </w:p>
        </w:tc>
        <w:tc>
          <w:tcPr>
            <w:tcW w:w="692"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trPr>
        <w:tc>
          <w:tcPr>
            <w:tcW w:w="679" w:type="dxa"/>
            <w:tcBorders>
              <w:top w:val="single" w:color="000000" w:sz="4" w:space="0"/>
              <w:bottom w:val="single" w:color="000000" w:sz="4" w:space="0"/>
            </w:tcBorders>
            <w:vAlign w:val="center"/>
          </w:tcPr>
          <w:p>
            <w:pPr>
              <w:spacing w:line="226" w:lineRule="auto"/>
              <w:ind w:left="286"/>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4</w:t>
            </w:r>
          </w:p>
        </w:tc>
        <w:tc>
          <w:tcPr>
            <w:tcW w:w="2055" w:type="dxa"/>
            <w:tcBorders>
              <w:top w:val="single" w:color="000000" w:sz="4" w:space="0"/>
              <w:bottom w:val="single" w:color="000000" w:sz="4" w:space="0"/>
            </w:tcBorders>
            <w:vAlign w:val="center"/>
          </w:tcPr>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墨玉县萨依巴格乡寄宿制学校设备采购项目（包四）</w:t>
            </w:r>
          </w:p>
        </w:tc>
        <w:tc>
          <w:tcPr>
            <w:tcW w:w="675"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w:t>
            </w:r>
          </w:p>
        </w:tc>
        <w:tc>
          <w:tcPr>
            <w:tcW w:w="645"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批</w:t>
            </w:r>
          </w:p>
        </w:tc>
        <w:tc>
          <w:tcPr>
            <w:tcW w:w="2805" w:type="dxa"/>
            <w:vAlign w:val="center"/>
          </w:tcPr>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生活附属及安防设备等</w:t>
            </w:r>
          </w:p>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（具体参数详见招标文件）</w:t>
            </w:r>
          </w:p>
        </w:tc>
        <w:tc>
          <w:tcPr>
            <w:tcW w:w="1123" w:type="dxa"/>
            <w:tcBorders>
              <w:top w:val="single" w:color="000000" w:sz="4" w:space="0"/>
              <w:bottom w:val="single" w:color="000000" w:sz="4" w:space="0"/>
            </w:tcBorders>
            <w:vAlign w:val="center"/>
          </w:tcPr>
          <w:p>
            <w:pPr>
              <w:spacing w:line="226" w:lineRule="auto"/>
              <w:jc w:val="center"/>
              <w:rPr>
                <w:rFonts w:hint="default"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112.4482</w:t>
            </w:r>
          </w:p>
        </w:tc>
        <w:tc>
          <w:tcPr>
            <w:tcW w:w="692"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679" w:type="dxa"/>
            <w:tcBorders>
              <w:top w:val="single" w:color="000000" w:sz="4" w:space="0"/>
              <w:bottom w:val="single" w:color="000000" w:sz="4" w:space="0"/>
            </w:tcBorders>
            <w:vAlign w:val="center"/>
          </w:tcPr>
          <w:p>
            <w:pPr>
              <w:spacing w:line="226" w:lineRule="auto"/>
              <w:ind w:left="286"/>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5</w:t>
            </w:r>
          </w:p>
        </w:tc>
        <w:tc>
          <w:tcPr>
            <w:tcW w:w="2055" w:type="dxa"/>
            <w:tcBorders>
              <w:top w:val="single" w:color="000000" w:sz="4" w:space="0"/>
              <w:bottom w:val="single" w:color="000000" w:sz="4" w:space="0"/>
            </w:tcBorders>
            <w:vAlign w:val="center"/>
          </w:tcPr>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墨玉县萨依巴格乡寄宿制学校设备采购项目（包五）</w:t>
            </w:r>
          </w:p>
        </w:tc>
        <w:tc>
          <w:tcPr>
            <w:tcW w:w="675"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w:t>
            </w:r>
          </w:p>
        </w:tc>
        <w:tc>
          <w:tcPr>
            <w:tcW w:w="645"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批</w:t>
            </w:r>
          </w:p>
        </w:tc>
        <w:tc>
          <w:tcPr>
            <w:tcW w:w="2805" w:type="dxa"/>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教学功能室等（具体参数详见招标文件）</w:t>
            </w:r>
          </w:p>
        </w:tc>
        <w:tc>
          <w:tcPr>
            <w:tcW w:w="1123"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173.2</w:t>
            </w:r>
          </w:p>
        </w:tc>
        <w:tc>
          <w:tcPr>
            <w:tcW w:w="692"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p>
        </w:tc>
      </w:tr>
    </w:tbl>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r>
        <w:rPr>
          <w:rFonts w:hint="eastAsia" w:ascii="仿宋" w:hAnsi="仿宋" w:eastAsia="仿宋" w:cs="仿宋"/>
          <w:b/>
          <w:bCs/>
          <w:i w:val="0"/>
          <w:iCs w:val="0"/>
          <w:caps w:val="0"/>
          <w:color w:val="000000"/>
          <w:spacing w:val="0"/>
          <w:sz w:val="24"/>
          <w:szCs w:val="24"/>
          <w:highlight w:val="none"/>
          <w:lang w:val="en-US" w:eastAsia="zh-CN"/>
        </w:rPr>
        <w:t>二、申请人的资格要求：</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1.满足《中华人民共和国政府采购法》第二十二条规定；</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2.落实政府采购政策需满足的资格要求：</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2.1 中小企业政策标项1专门面向中小企业；标项2不专门面向中小企业预留采购份额；标项3专门面向中小企业；标项4专门面向中小企业；标项5专门面向中小企业；</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采购，</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□本项目不专门面向中小企业预留采购份额。</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☑本项目专门面向 ☑中小企业 ☑小微企业采购。即：提供的货物或服务全部由符合政策要求的中小/小微企业制造、服务全部由符合政策要求的中小/小微企业承接。</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本项目预留部分采购项目预算专门面向中小企业采购。对于预留份额，提供的货物由符合政策要求的中小企业制造、服务由符合政策要求的中小企业承接。预留份额通过以下措施进行：通过合同分包，将预留份额分包给符合政策要求的中小企业承接，分包中中小企业达到40%，其中60%以上专门给小微企业，具体合同分包相关规则如下：（1）投标人不属于中小微企业的，必须将本项目适宜分包内容（分包部分不低于合同金额的40%）分包给一家或者多家具备实施能力的中小企业（其中，分包给小微企业的部分不低于合同金额的60%），提交投标文件时须按格式提供《分包意向协议书》以及按规定填写《中小企业声明函》。</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（2）投标人属于中型企业的，必须将本项目适宜分包的内容分包给小微企业，分包给小微企业的部分不低于合同金额的60%。投标时须按格式提供《分包意向协议书》以及《中小企业声明函》。</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3）投标人属于小微企业的，是否采取分包不作强制要求。投标时须按格式提供《中小企业声明函》。如采取合同分包，则只能分包给小微企业，投标时须按格式提供《分包意向协议书》以及各方的《中小企业声明函》。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2.2 其它落实政府采购政策的资格要求</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（1） 财政部、工业和信息化部《关于印发《政府采购促进中小企业发展管理办法》的通知》（财库[2020]46号文）《关于进一步加大政府采购支持中小企业力度的通知》（财库[2022]19号文）执行；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（2）财政部、民政部、中国残疾人联合会《关于促进残疾人就业政府采购政策的通知》（财库[2017]141号）；</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3.本项目的特定资格要求：</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（1）提供经年审合格（三证合一）的营业执照；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（2）有效的法定代表人身份证明（法人）及身份证 或具有法定效力的法人授权委托书（非法人，须明确 采购项目及包段名称、授权事项、权限、期限等）、 被委托人身份证；</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（3）需提供公司近三个月社保证明（缴费凭证及明细）（新成立时间少于3个月的公司，按实际发生提供）；</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（4）投标人需提供税务部门出具近三个月依法缴纳税收的完税证明（新成立不足3个月的按实际情况发生提供，需含增值税、印花 税等税种；如当月无需缴税需提供税务机关出具的无欠税证明），完税证明日期是指税款缴纳所属日期；</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（5）提供2022年度的财务审计报告（2023年8月后成立的公司可不提供但需提供银行出具的近三个月的资信证明）；</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（6）提供参加政府采购活动前 3 年内在经营活动中没有重大违法记录的书面声明；</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（7）企业负责人为同一人或者存在直接控股、管理关系的不同投标人，不得参加同一合同项下的政府采购活动的声明函；否则，皆取消投标资格；</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（8）提供有效的中小企业声明函。</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（9）本项目不接受联合体投标；</w:t>
      </w: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r>
        <w:rPr>
          <w:rFonts w:hint="eastAsia" w:ascii="仿宋" w:hAnsi="仿宋" w:eastAsia="仿宋" w:cs="仿宋"/>
          <w:b/>
          <w:bCs/>
          <w:i w:val="0"/>
          <w:iCs w:val="0"/>
          <w:caps w:val="0"/>
          <w:color w:val="000000"/>
          <w:spacing w:val="0"/>
          <w:sz w:val="24"/>
          <w:szCs w:val="24"/>
          <w:highlight w:val="none"/>
          <w:lang w:val="en-US" w:eastAsia="zh-CN"/>
        </w:rPr>
        <w:t>三、获取招标文件</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时间：2024年1月4日至 2024年1月 23日每天上午00:00至14:00，下午15:30至23:59（法定节假日均可领取）。</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地点：政采云平台（https://www.zcygov.cn/）线上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方式：投标人登录政采云平台https://www.zcygov.cn/在线申请获取采购文件（进入“项目采购”应用，在获取采购文件菜单中选择项目，申请获取采购文件）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售价（元）：0元</w:t>
      </w: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r>
        <w:rPr>
          <w:rFonts w:hint="eastAsia" w:ascii="仿宋" w:hAnsi="仿宋" w:eastAsia="仿宋" w:cs="仿宋"/>
          <w:b/>
          <w:bCs/>
          <w:i w:val="0"/>
          <w:iCs w:val="0"/>
          <w:caps w:val="0"/>
          <w:color w:val="000000"/>
          <w:spacing w:val="0"/>
          <w:sz w:val="24"/>
          <w:szCs w:val="24"/>
          <w:highlight w:val="none"/>
          <w:lang w:val="en-US" w:eastAsia="zh-CN"/>
        </w:rPr>
        <w:t>四、提交投标文件截止时间、开标时间和地点</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提交投标文件截止时间：2024年01月24日 11:00（北京时间）</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投标地点：请登录政采云投标客户端投标</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开标时间：2024年01月24日 11:00（北京时间）</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开标地点：墨玉县公共资源交易平台中心</w:t>
      </w: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r>
        <w:rPr>
          <w:rFonts w:hint="eastAsia" w:ascii="仿宋" w:hAnsi="仿宋" w:eastAsia="仿宋" w:cs="仿宋"/>
          <w:b/>
          <w:bCs/>
          <w:i w:val="0"/>
          <w:iCs w:val="0"/>
          <w:caps w:val="0"/>
          <w:color w:val="000000"/>
          <w:spacing w:val="0"/>
          <w:sz w:val="24"/>
          <w:szCs w:val="24"/>
          <w:highlight w:val="none"/>
          <w:lang w:val="en-US" w:eastAsia="zh-CN"/>
        </w:rPr>
        <w:t>五、公告期限</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自本公告发布之日起5个工作日。</w:t>
      </w: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r>
        <w:rPr>
          <w:rFonts w:hint="eastAsia" w:ascii="仿宋" w:hAnsi="仿宋" w:eastAsia="仿宋" w:cs="仿宋"/>
          <w:b/>
          <w:bCs/>
          <w:i w:val="0"/>
          <w:iCs w:val="0"/>
          <w:caps w:val="0"/>
          <w:color w:val="000000"/>
          <w:spacing w:val="0"/>
          <w:sz w:val="24"/>
          <w:szCs w:val="24"/>
          <w:highlight w:val="none"/>
          <w:lang w:val="en-US" w:eastAsia="zh-CN"/>
        </w:rPr>
        <w:t>六、其他补充事宜</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1、本项目实行网上投标，采用电子投标文件。若投标人参与投标，自行承担投标一切费用。</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2、各投标人应在开标前应确保成为新疆维吾尔自治区政府采购网正式注册入库投标人，并完成CA数字证书申领。因未注册入库、未办理CA数字证书等原因造成无法投标或投标失败等后果由投标人自行承担。</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3、投标人将政采云电子交易客户端下载、安装完成后，可通过账号密码或CA登录客户端进行投标文件的制作。在使用政采云投标客户端时，建议使用WIN7（64位）及以上操作系统。客户端请至新疆政府采购网（http://ccgp-bingtuan.gov.cn/）下载专区查看，如有问题可拨打政采云客户服务热线95763进行咨询。如因投标人自身原因导致在规定时间内无法正常解密的（如：浏览器故障、未安装相关驱动、网络故障、加密CA与解密CA不一致等），采购中心/代理机构不予异常处理，视为投标人自动弃标。</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4、投标人在开标时须使用制作加密电子投标文件所使用的CA锁及电脑，电脑须提前配置好浏览器（使用谷歌浏览器），并确保开标期间电脑网络环境畅通，以便开标时解锁。</w:t>
      </w:r>
      <w:r>
        <w:rPr>
          <w:rFonts w:hint="eastAsia" w:ascii="仿宋" w:hAnsi="仿宋" w:eastAsia="仿宋" w:cs="仿宋"/>
          <w:i w:val="0"/>
          <w:iCs w:val="0"/>
          <w:caps w:val="0"/>
          <w:color w:val="000000"/>
          <w:spacing w:val="0"/>
          <w:sz w:val="24"/>
          <w:szCs w:val="24"/>
          <w:highlight w:val="none"/>
          <w:lang w:val="en-US" w:eastAsia="zh-CN"/>
        </w:rPr>
        <w:br w:type="textWrapping"/>
      </w:r>
      <w:r>
        <w:rPr>
          <w:rFonts w:hint="eastAsia" w:ascii="仿宋" w:hAnsi="仿宋" w:eastAsia="仿宋" w:cs="仿宋"/>
          <w:i w:val="0"/>
          <w:iCs w:val="0"/>
          <w:caps w:val="0"/>
          <w:color w:val="000000"/>
          <w:spacing w:val="0"/>
          <w:sz w:val="24"/>
          <w:szCs w:val="24"/>
          <w:highlight w:val="none"/>
          <w:lang w:val="en-US" w:eastAsia="zh-CN"/>
        </w:rPr>
        <w:t xml:space="preserve">   5.为了保证开评标顺利进行，政采云线上开标功能完全实现，投标人开标所使用的电脑设备须具有视频及语音功能。</w:t>
      </w: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r>
        <w:rPr>
          <w:rFonts w:hint="eastAsia" w:ascii="仿宋" w:hAnsi="仿宋" w:eastAsia="仿宋" w:cs="仿宋"/>
          <w:b/>
          <w:bCs/>
          <w:i w:val="0"/>
          <w:iCs w:val="0"/>
          <w:caps w:val="0"/>
          <w:color w:val="000000"/>
          <w:spacing w:val="0"/>
          <w:sz w:val="24"/>
          <w:szCs w:val="24"/>
          <w:highlight w:val="none"/>
          <w:lang w:val="en-US" w:eastAsia="zh-CN"/>
        </w:rPr>
        <w:t>特别提示：</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1、采购限额标准以上，200 万元以下的货物和服务采购项目、400 万元以下的工程采购 项目，适宜由中小企业提供的，采购人应当专门面向中小企业采购。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2、超过 200 万元的货物和服务采购项目，预留该部分采购项目预算总额的 40%以上专门 面向中小企业采购，其中预留给小微企业的比例不低于 60%。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3、超过 400 万元的工程采购项目中适宜由中小企业提供的，预留该部分采购项目预算总 额的 40%以上专门面向中小企业采购，其中预留给小微企业的比例不低于 60%。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4、对于未预留份额专门面向中小企业的采购项目，以及预留份额项目中的非预留部分采 购包，采购人、采购代理机构应当对符合规定的小微企业报价给予 10%~20%（工程项目为 3%~5%）的扣除，用扣除后的价格参加评审。适用招标投标法的政府采购工程建设项目，采用 综合评估法但未采用低价优先法计算价格分的，评标时应当在采用原报价进行评分的基础上 增加其价格得分的 3%~5%作为其价格分。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5、接受大中型企业与小微企业组成联合体或者允许大中型企业向一家或者多家小微企业 分包的采购项目，对于联合协议或者分包意向协议约定小微企业的合同份额占到合同总金额 30%以上的，采购人、采购代理机构应当对联合体或者大中型企业的报价给予 4%~6%（工程项 目为 1%~2%）的扣除，用扣除后的价格参加评审。适用招标投标法的政府采购工程建设项目， 采用综合评估法但未采用低价优先法计算价格分的，评标时应当在采用原报价进行评分的基 础上增加其价格得分的 1%~2%作为其价格分。</w:t>
      </w: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r>
        <w:rPr>
          <w:rFonts w:hint="eastAsia" w:ascii="仿宋" w:hAnsi="仿宋" w:eastAsia="仿宋" w:cs="仿宋"/>
          <w:b/>
          <w:bCs/>
          <w:i w:val="0"/>
          <w:iCs w:val="0"/>
          <w:caps w:val="0"/>
          <w:color w:val="000000"/>
          <w:spacing w:val="0"/>
          <w:sz w:val="24"/>
          <w:szCs w:val="24"/>
          <w:highlight w:val="none"/>
          <w:lang w:val="en-US" w:eastAsia="zh-CN"/>
        </w:rPr>
        <w:t>七、对本次采购提出询问，请按以下方式联系</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1.采购人信息</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名 称：墨玉县教育局</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地 址：墨玉县同心路81号</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联系人：秦老师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联系方式：</w:t>
      </w:r>
      <w:bookmarkStart w:id="2" w:name="_Toc28359086"/>
      <w:bookmarkStart w:id="3" w:name="_Toc28359009"/>
      <w:r>
        <w:rPr>
          <w:rFonts w:hint="eastAsia" w:ascii="仿宋" w:hAnsi="仿宋" w:eastAsia="仿宋" w:cs="仿宋"/>
          <w:i w:val="0"/>
          <w:iCs w:val="0"/>
          <w:caps w:val="0"/>
          <w:color w:val="000000"/>
          <w:spacing w:val="0"/>
          <w:sz w:val="24"/>
          <w:szCs w:val="24"/>
          <w:highlight w:val="none"/>
          <w:lang w:val="en-US" w:eastAsia="zh-CN"/>
        </w:rPr>
        <w:t>0903-6514235</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2.采购代理机构信息</w:t>
      </w:r>
      <w:bookmarkEnd w:id="2"/>
      <w:bookmarkEnd w:id="3"/>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名 称：新疆星耀天都项目管理有限责任公司</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地 址：和田市古江巴格乡屯垦西路35号</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联系人：王先生</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联系方式：0903-6860585</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3.同级财政监管部门</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单位名称：墨玉县财政局</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地址：墨玉县行政服务中心</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联系人：李先生</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i w:val="0"/>
          <w:iCs w:val="0"/>
          <w:caps w:val="0"/>
          <w:color w:val="000000"/>
          <w:spacing w:val="0"/>
          <w:sz w:val="24"/>
          <w:szCs w:val="24"/>
          <w:highlight w:val="none"/>
          <w:lang w:val="en-US" w:eastAsia="zh-CN"/>
        </w:rPr>
        <w:t>联系电话：0903-6565453</w:t>
      </w:r>
    </w:p>
    <w:p>
      <w:pPr>
        <w:keepNext/>
        <w:keepLines w:val="0"/>
        <w:pageBreakBefore w:val="0"/>
        <w:widowControl w:val="0"/>
        <w:suppressLineNumbers w:val="0"/>
        <w:kinsoku w:val="0"/>
        <w:wordWrap/>
        <w:overflowPunct/>
        <w:topLinePunct w:val="0"/>
        <w:autoSpaceDE/>
        <w:autoSpaceDN/>
        <w:bidi w:val="0"/>
        <w:adjustRightInd w:val="0"/>
        <w:snapToGrid w:val="0"/>
        <w:jc w:val="left"/>
        <w:textAlignment w:val="auto"/>
      </w:pPr>
      <w:bookmarkStart w:id="4" w:name="_Toc15231"/>
      <w:bookmarkStart w:id="5" w:name="_Toc15770"/>
      <w:bookmarkStart w:id="6" w:name="_Toc5064"/>
      <w:bookmarkStart w:id="7" w:name="_Toc1277"/>
      <w:bookmarkStart w:id="8" w:name="_Toc30559"/>
      <w:bookmarkStart w:id="9" w:name="_Toc19282"/>
      <w:bookmarkStart w:id="10" w:name="_Toc25035"/>
      <w:r>
        <w:rPr>
          <w:rFonts w:ascii="仿宋" w:hAnsi="仿宋" w:eastAsia="仿宋" w:cs="仿宋"/>
          <w:b/>
          <w:bCs/>
          <w:color w:val="000000"/>
          <w:kern w:val="0"/>
          <w:sz w:val="24"/>
          <w:szCs w:val="24"/>
          <w:lang w:val="en-US" w:eastAsia="zh-CN" w:bidi="ar"/>
        </w:rPr>
        <w:t xml:space="preserve">特别提醒： </w:t>
      </w:r>
    </w:p>
    <w:p>
      <w:pPr>
        <w:keepNext/>
        <w:keepLines w:val="0"/>
        <w:pageBreakBefore w:val="0"/>
        <w:widowControl w:val="0"/>
        <w:suppressLineNumbers w:val="0"/>
        <w:kinsoku w:val="0"/>
        <w:wordWrap/>
        <w:overflowPunct/>
        <w:topLinePunct w:val="0"/>
        <w:autoSpaceDE/>
        <w:autoSpaceDN/>
        <w:bidi w:val="0"/>
        <w:adjustRightInd w:val="0"/>
        <w:snapToGrid w:val="0"/>
        <w:ind w:firstLine="482" w:firstLineChars="200"/>
        <w:jc w:val="left"/>
        <w:textAlignment w:val="auto"/>
      </w:pPr>
      <w:r>
        <w:rPr>
          <w:rFonts w:hint="eastAsia" w:ascii="仿宋" w:hAnsi="仿宋" w:eastAsia="仿宋" w:cs="仿宋"/>
          <w:b/>
          <w:bCs/>
          <w:color w:val="000000"/>
          <w:kern w:val="0"/>
          <w:sz w:val="24"/>
          <w:szCs w:val="24"/>
          <w:lang w:val="en-US" w:eastAsia="zh-CN" w:bidi="ar"/>
        </w:rPr>
        <w:t xml:space="preserve">1、投标企业采用银行转账或电汇的方式的，投标保证金由投标人账户汇出（投标保证金需一笔汇出，分笔汇出银行系统将不予统计），投标保证金需在2024年01月24日11：00（北京时间）前到账，超过时间则不予认可。投标人须在汇款单备注栏标明：XXX项目XXX包段（标段）或采购项目编号。该项目不换取保证金收据，由银行出具投标企业保证金缴纳情况。晚于规定时间缴纳保证金的企业一切责任将由贵公司自行承担。 </w:t>
      </w:r>
    </w:p>
    <w:p>
      <w:pPr>
        <w:keepNext/>
        <w:keepLines w:val="0"/>
        <w:pageBreakBefore w:val="0"/>
        <w:widowControl w:val="0"/>
        <w:suppressLineNumbers w:val="0"/>
        <w:kinsoku w:val="0"/>
        <w:wordWrap/>
        <w:overflowPunct/>
        <w:topLinePunct w:val="0"/>
        <w:autoSpaceDE/>
        <w:autoSpaceDN/>
        <w:bidi w:val="0"/>
        <w:adjustRightInd w:val="0"/>
        <w:snapToGrid w:val="0"/>
        <w:ind w:firstLine="482" w:firstLineChars="200"/>
        <w:jc w:val="left"/>
        <w:textAlignment w:val="auto"/>
      </w:pPr>
      <w:r>
        <w:rPr>
          <w:rFonts w:hint="eastAsia" w:ascii="仿宋" w:hAnsi="仿宋" w:eastAsia="仿宋" w:cs="仿宋"/>
          <w:b/>
          <w:bCs/>
          <w:color w:val="000000"/>
          <w:kern w:val="0"/>
          <w:sz w:val="24"/>
          <w:szCs w:val="24"/>
          <w:lang w:val="en-US" w:eastAsia="zh-CN" w:bidi="ar"/>
        </w:rPr>
        <w:t xml:space="preserve">2、投标企业下载招标文件后请仔细阅读，如对招标文件内容有质疑，投标人应在投标截止7日前按招标文件中载明的邮箱：2013809061@qq.com地址:和田市古江巴格乡屯垦西路35号 ，以书面形式一次提出所有质疑内容通知招标人。招标人认为必要时，将（澄清）修改后的公告发布在新疆政府采购网，敬请投标企业及时关注。在规定期限内投标企业未提出质疑的视为投标企业默认招标文件不存在质疑的相关问题。超过招标文件质疑时间将不再接受投标企业所提出的质疑。 </w:t>
      </w:r>
    </w:p>
    <w:p>
      <w:pPr>
        <w:keepNext/>
        <w:keepLines w:val="0"/>
        <w:pageBreakBefore w:val="0"/>
        <w:widowControl w:val="0"/>
        <w:suppressLineNumbers w:val="0"/>
        <w:kinsoku w:val="0"/>
        <w:wordWrap/>
        <w:overflowPunct/>
        <w:topLinePunct w:val="0"/>
        <w:autoSpaceDE/>
        <w:autoSpaceDN/>
        <w:bidi w:val="0"/>
        <w:adjustRightInd w:val="0"/>
        <w:snapToGrid w:val="0"/>
        <w:ind w:firstLine="482" w:firstLineChars="200"/>
        <w:jc w:val="left"/>
        <w:textAlignment w:val="auto"/>
      </w:pPr>
      <w:r>
        <w:rPr>
          <w:rFonts w:hint="eastAsia" w:ascii="仿宋" w:hAnsi="仿宋" w:eastAsia="仿宋" w:cs="仿宋"/>
          <w:b/>
          <w:bCs/>
          <w:color w:val="000000"/>
          <w:kern w:val="0"/>
          <w:sz w:val="24"/>
          <w:szCs w:val="24"/>
          <w:lang w:val="en-US" w:eastAsia="zh-CN" w:bidi="ar"/>
        </w:rPr>
        <w:t xml:space="preserve">3、为确保投标保证金的及时退还，评标结束后投标企业需提供保证金汇款凭证、开户许可证复印件、收据并注明开户行行号、联系方式（加盖公司鲜红公章）交至墨玉县公共资源交易平台中心财务室办理。（注：废标项目投保证金在后续项目再次招标时银行系统不做统计，请投标企业及时办理退款），中标企业签订政府采购合同后，携带合同原件一份及以上资料办理退投标保证金事宜。 </w:t>
      </w:r>
    </w:p>
    <w:p>
      <w:pPr>
        <w:keepNext/>
        <w:keepLines w:val="0"/>
        <w:pageBreakBefore w:val="0"/>
        <w:widowControl w:val="0"/>
        <w:suppressLineNumbers w:val="0"/>
        <w:kinsoku w:val="0"/>
        <w:wordWrap/>
        <w:overflowPunct/>
        <w:topLinePunct w:val="0"/>
        <w:autoSpaceDE/>
        <w:autoSpaceDN/>
        <w:bidi w:val="0"/>
        <w:adjustRightInd w:val="0"/>
        <w:snapToGrid w:val="0"/>
        <w:ind w:firstLine="482" w:firstLineChars="200"/>
        <w:jc w:val="left"/>
        <w:textAlignment w:val="auto"/>
      </w:pPr>
      <w:r>
        <w:rPr>
          <w:rFonts w:hint="eastAsia" w:ascii="仿宋" w:hAnsi="仿宋" w:eastAsia="仿宋" w:cs="仿宋"/>
          <w:b/>
          <w:bCs/>
          <w:color w:val="000000"/>
          <w:kern w:val="0"/>
          <w:sz w:val="24"/>
          <w:szCs w:val="24"/>
          <w:lang w:val="en-US" w:eastAsia="zh-CN" w:bidi="ar"/>
        </w:rPr>
        <w:t xml:space="preserve">4.电子保函使用方法：1、登录新疆自治区政府采购网，首页点击“电子保函”直接进入新疆政府采购电子保函申请页，点击【立即申请】2、依次完善页面显示的投保人信息（投标人信息），确认您要投保的项目信息，在投标项目选择页面选择您需要投保的项目（可根据项目名称或项目保函进行搜索），选择投保项目后填写被保险人信息及投保内容。服务热线:400-9039583 </w:t>
      </w:r>
    </w:p>
    <w:p>
      <w:pPr>
        <w:keepNext w:val="0"/>
        <w:keepLines w:val="0"/>
        <w:widowControl/>
        <w:suppressLineNumbers w:val="0"/>
        <w:jc w:val="left"/>
        <w:rPr>
          <w:rFonts w:hint="eastAsia" w:ascii="仿宋" w:hAnsi="仿宋" w:eastAsia="仿宋" w:cs="仿宋"/>
          <w:b/>
          <w:color w:val="auto"/>
          <w:sz w:val="28"/>
          <w:szCs w:val="28"/>
          <w:highlight w:val="none"/>
          <w:lang w:eastAsia="zh-CN"/>
        </w:rPr>
        <w:sectPr>
          <w:footerReference r:id="rId3" w:type="default"/>
          <w:pgSz w:w="11905" w:h="16838"/>
          <w:pgMar w:top="1440" w:right="1800" w:bottom="1440" w:left="1800" w:header="567" w:footer="454" w:gutter="0"/>
          <w:pgNumType w:fmt="decimal" w:start="1"/>
          <w:cols w:space="720" w:num="1"/>
          <w:rtlGutter w:val="0"/>
          <w:docGrid w:type="lines" w:linePitch="317" w:charSpace="0"/>
        </w:sectPr>
      </w:pPr>
    </w:p>
    <w:p>
      <w:pPr>
        <w:ind w:firstLine="420"/>
        <w:jc w:val="center"/>
        <w:outlineLvl w:val="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第二部分</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lang w:eastAsia="zh-CN"/>
        </w:rPr>
        <w:t>投标人须知</w:t>
      </w:r>
      <w:bookmarkEnd w:id="0"/>
      <w:bookmarkEnd w:id="1"/>
      <w:bookmarkEnd w:id="4"/>
      <w:bookmarkEnd w:id="5"/>
      <w:bookmarkEnd w:id="6"/>
      <w:bookmarkEnd w:id="7"/>
      <w:bookmarkEnd w:id="8"/>
      <w:bookmarkEnd w:id="9"/>
      <w:bookmarkEnd w:id="10"/>
    </w:p>
    <w:p>
      <w:pPr>
        <w:ind w:firstLine="420"/>
        <w:jc w:val="center"/>
        <w:outlineLvl w:val="0"/>
        <w:rPr>
          <w:rFonts w:hint="eastAsia" w:ascii="仿宋" w:hAnsi="仿宋" w:eastAsia="仿宋" w:cs="仿宋"/>
          <w:b/>
          <w:color w:val="auto"/>
          <w:sz w:val="28"/>
          <w:szCs w:val="28"/>
          <w:highlight w:val="none"/>
        </w:rPr>
      </w:pPr>
      <w:bookmarkStart w:id="11" w:name="_Toc10040"/>
      <w:bookmarkStart w:id="12" w:name="_Toc18219"/>
      <w:bookmarkStart w:id="13" w:name="_Toc8971"/>
      <w:bookmarkStart w:id="14" w:name="_Toc9144"/>
      <w:bookmarkStart w:id="15" w:name="_Toc12827"/>
      <w:bookmarkStart w:id="16" w:name="_Toc17655"/>
      <w:bookmarkStart w:id="17" w:name="_Toc10179"/>
      <w:bookmarkStart w:id="18" w:name="_Toc14053"/>
      <w:bookmarkStart w:id="19" w:name="_Toc29111"/>
      <w:bookmarkStart w:id="20" w:name="_Toc7237"/>
      <w:bookmarkStart w:id="21" w:name="_Toc21348_WPSOffice_Level1"/>
      <w:bookmarkStart w:id="22" w:name="_Toc24832"/>
      <w:r>
        <w:rPr>
          <w:rFonts w:hint="eastAsia" w:ascii="仿宋" w:hAnsi="仿宋" w:eastAsia="仿宋" w:cs="仿宋"/>
          <w:b/>
          <w:color w:val="auto"/>
          <w:sz w:val="28"/>
          <w:szCs w:val="28"/>
          <w:highlight w:val="none"/>
        </w:rPr>
        <w:t>投标人须知前附表</w:t>
      </w:r>
      <w:bookmarkEnd w:id="11"/>
      <w:bookmarkEnd w:id="12"/>
      <w:bookmarkEnd w:id="13"/>
      <w:bookmarkEnd w:id="14"/>
      <w:bookmarkEnd w:id="15"/>
      <w:bookmarkEnd w:id="16"/>
      <w:bookmarkEnd w:id="17"/>
      <w:bookmarkEnd w:id="18"/>
      <w:bookmarkEnd w:id="19"/>
      <w:bookmarkEnd w:id="20"/>
      <w:bookmarkEnd w:id="21"/>
      <w:bookmarkEnd w:id="22"/>
    </w:p>
    <w:tbl>
      <w:tblPr>
        <w:tblStyle w:val="44"/>
        <w:tblW w:w="10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704"/>
        <w:gridCol w:w="7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条款</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73" w:type="dxa"/>
            <w:vAlign w:val="center"/>
          </w:tcPr>
          <w:p>
            <w:pPr>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04" w:type="dxa"/>
            <w:vAlign w:val="center"/>
          </w:tcPr>
          <w:p>
            <w:pPr>
              <w:spacing w:before="24" w:beforeLines="10" w:after="24" w:afterLines="1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tc>
        <w:tc>
          <w:tcPr>
            <w:tcW w:w="7784" w:type="dxa"/>
            <w:vAlign w:val="center"/>
          </w:tcPr>
          <w:p>
            <w:pPr>
              <w:spacing w:line="240" w:lineRule="auto"/>
              <w:ind w:firstLine="0" w:firstLineChars="0"/>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名  称：墨玉县教育局</w:t>
            </w:r>
          </w:p>
          <w:p>
            <w:pPr>
              <w:spacing w:line="240" w:lineRule="auto"/>
              <w:ind w:firstLine="0" w:firstLineChars="0"/>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联系人： 秦老师</w:t>
            </w:r>
          </w:p>
          <w:p>
            <w:pPr>
              <w:spacing w:line="240" w:lineRule="auto"/>
              <w:ind w:firstLine="0" w:firstLineChars="0"/>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电  话： 0903-6514235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73" w:type="dxa"/>
            <w:vAlign w:val="center"/>
          </w:tcPr>
          <w:p>
            <w:pPr>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04" w:type="dxa"/>
            <w:vAlign w:val="center"/>
          </w:tcPr>
          <w:p>
            <w:pPr>
              <w:spacing w:before="24" w:beforeLines="10" w:after="24" w:afterLines="1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代理机构</w:t>
            </w:r>
          </w:p>
        </w:tc>
        <w:tc>
          <w:tcPr>
            <w:tcW w:w="7784" w:type="dxa"/>
            <w:vAlign w:val="center"/>
          </w:tcPr>
          <w:p>
            <w:pPr>
              <w:spacing w:line="240" w:lineRule="auto"/>
              <w:ind w:firstLine="0" w:firstLineChars="0"/>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名  称: 新疆星耀天都项目管理有限责任公司</w:t>
            </w:r>
          </w:p>
          <w:p>
            <w:pPr>
              <w:spacing w:line="240" w:lineRule="auto"/>
              <w:ind w:firstLine="0" w:firstLineChars="0"/>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 xml:space="preserve">地  址: 和田市古江巴格乡屯垦西路35号 </w:t>
            </w:r>
          </w:p>
          <w:p>
            <w:pPr>
              <w:spacing w:line="240" w:lineRule="auto"/>
              <w:ind w:firstLine="0" w:firstLineChars="0"/>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联系人: 王先生</w:t>
            </w:r>
          </w:p>
          <w:p>
            <w:pPr>
              <w:spacing w:line="240" w:lineRule="auto"/>
              <w:ind w:firstLine="0" w:firstLineChars="0"/>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电  话: 0903-6860585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p>
        </w:tc>
        <w:tc>
          <w:tcPr>
            <w:tcW w:w="1704" w:type="dxa"/>
            <w:vAlign w:val="center"/>
          </w:tcPr>
          <w:p>
            <w:pPr>
              <w:spacing w:before="24" w:beforeLines="10" w:after="24" w:afterLines="10"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项目编号及</w:t>
            </w:r>
            <w:r>
              <w:rPr>
                <w:rFonts w:hint="eastAsia" w:ascii="仿宋" w:hAnsi="仿宋" w:eastAsia="仿宋" w:cs="仿宋"/>
                <w:color w:val="auto"/>
                <w:sz w:val="24"/>
                <w:szCs w:val="24"/>
                <w:highlight w:val="none"/>
              </w:rPr>
              <w:t>项目名称</w:t>
            </w:r>
          </w:p>
        </w:tc>
        <w:tc>
          <w:tcPr>
            <w:tcW w:w="7784" w:type="dxa"/>
            <w:vAlign w:val="center"/>
          </w:tcPr>
          <w:p>
            <w:pPr>
              <w:spacing w:line="240" w:lineRule="auto"/>
              <w:ind w:firstLine="0" w:firstLineChars="0"/>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项目编号：XYTDZB-GK-2023487-04号</w:t>
            </w:r>
          </w:p>
          <w:p>
            <w:pPr>
              <w:spacing w:line="240" w:lineRule="auto"/>
              <w:ind w:firstLine="0" w:firstLineChars="0"/>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项目名称：墨玉县萨依巴格乡寄宿制学校设备采购项目（包四）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1704" w:type="dxa"/>
            <w:vAlign w:val="center"/>
          </w:tcPr>
          <w:p>
            <w:pPr>
              <w:spacing w:before="24" w:beforeLines="10" w:after="24" w:afterLines="10"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项目属性</w:t>
            </w:r>
          </w:p>
        </w:tc>
        <w:tc>
          <w:tcPr>
            <w:tcW w:w="7784" w:type="dxa"/>
            <w:vAlign w:val="center"/>
          </w:tcPr>
          <w:p>
            <w:pPr>
              <w:jc w:val="left"/>
              <w:rPr>
                <w:rFonts w:hint="eastAsia" w:ascii="仿宋" w:hAnsi="仿宋" w:eastAsia="仿宋" w:cs="仿宋"/>
                <w:sz w:val="24"/>
              </w:rPr>
            </w:pPr>
            <w:r>
              <w:rPr>
                <w:rFonts w:hint="eastAsia" w:ascii="仿宋" w:hAnsi="仿宋" w:eastAsia="仿宋" w:cs="仿宋"/>
                <w:sz w:val="24"/>
              </w:rPr>
              <w:t>项目属性：</w:t>
            </w:r>
          </w:p>
          <w:p>
            <w:pPr>
              <w:jc w:val="left"/>
              <w:rPr>
                <w:rFonts w:hint="eastAsia" w:ascii="仿宋" w:hAnsi="仿宋" w:eastAsia="仿宋" w:cs="仿宋"/>
                <w:sz w:val="24"/>
              </w:rPr>
            </w:pPr>
            <w:r>
              <w:rPr>
                <w:rFonts w:hint="eastAsia" w:ascii="仿宋" w:hAnsi="仿宋" w:eastAsia="仿宋" w:cs="仿宋"/>
                <w:sz w:val="24"/>
              </w:rPr>
              <w:sym w:font="Wingdings" w:char="00FE"/>
            </w:r>
            <w:r>
              <w:rPr>
                <w:rFonts w:hint="eastAsia" w:ascii="仿宋" w:hAnsi="仿宋" w:eastAsia="仿宋" w:cs="仿宋"/>
                <w:sz w:val="24"/>
              </w:rPr>
              <w:t>货物</w:t>
            </w:r>
          </w:p>
          <w:p>
            <w:pPr>
              <w:jc w:val="left"/>
              <w:rPr>
                <w:rFonts w:hint="eastAsia" w:ascii="仿宋" w:hAnsi="仿宋" w:eastAsia="仿宋" w:cs="仿宋"/>
                <w:kern w:val="0"/>
                <w:sz w:val="24"/>
                <w:szCs w:val="24"/>
                <w:lang w:val="en-US" w:eastAsia="zh-CN" w:bidi="ar-SA"/>
              </w:rPr>
            </w:pPr>
            <w:r>
              <w:rPr>
                <w:rFonts w:hint="eastAsia" w:ascii="仿宋" w:hAnsi="仿宋" w:eastAsia="仿宋" w:cs="仿宋"/>
                <w:sz w:val="24"/>
              </w:rPr>
              <w:sym w:font="Wingdings" w:char="00A8"/>
            </w:r>
            <w:r>
              <w:rPr>
                <w:rFonts w:hint="eastAsia" w:ascii="仿宋" w:hAnsi="仿宋" w:eastAsia="仿宋" w:cs="仿宋"/>
                <w:sz w:val="24"/>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资金来源</w:t>
            </w:r>
          </w:p>
        </w:tc>
        <w:tc>
          <w:tcPr>
            <w:tcW w:w="7784" w:type="dxa"/>
            <w:vAlign w:val="center"/>
          </w:tcPr>
          <w:p>
            <w:pPr>
              <w:spacing w:line="240" w:lineRule="auto"/>
              <w:ind w:firstLine="0" w:firstLineChars="0"/>
              <w:jc w:val="left"/>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北京援疆资金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704" w:type="dxa"/>
            <w:vAlign w:val="center"/>
          </w:tcPr>
          <w:p>
            <w:pPr>
              <w:spacing w:before="24" w:beforeLines="10" w:after="24" w:afterLines="10"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w:t>
            </w:r>
          </w:p>
        </w:tc>
        <w:tc>
          <w:tcPr>
            <w:tcW w:w="7784" w:type="dxa"/>
            <w:vAlign w:val="center"/>
          </w:tcPr>
          <w:p>
            <w:pPr>
              <w:widowControl/>
              <w:spacing w:line="360" w:lineRule="auto"/>
              <w:rPr>
                <w:rFonts w:hint="eastAsia" w:ascii="仿宋" w:hAnsi="仿宋" w:eastAsia="仿宋" w:cs="仿宋"/>
                <w:color w:val="auto"/>
                <w:kern w:val="2"/>
                <w:sz w:val="24"/>
                <w:lang w:val="en-US" w:eastAsia="zh-CN" w:bidi="ar-SA"/>
              </w:rPr>
            </w:pPr>
            <w:r>
              <w:rPr>
                <w:rFonts w:hint="eastAsia" w:ascii="仿宋" w:hAnsi="仿宋" w:eastAsia="仿宋" w:cs="仿宋"/>
                <w:color w:val="auto"/>
                <w:sz w:val="24"/>
                <w:lang w:val="en-US" w:eastAsia="zh-CN"/>
              </w:rPr>
              <w:t>664.365</w:t>
            </w:r>
            <w:r>
              <w:rPr>
                <w:rFonts w:hint="eastAsia" w:ascii="仿宋" w:hAnsi="仿宋" w:eastAsia="仿宋" w:cs="仿宋"/>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1704" w:type="dxa"/>
            <w:vAlign w:val="center"/>
          </w:tcPr>
          <w:p>
            <w:pPr>
              <w:spacing w:before="24" w:beforeLines="10" w:after="24" w:afterLines="10"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需求</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办公家具等（具体参数详见招标文件）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1704" w:type="dxa"/>
            <w:vAlign w:val="center"/>
          </w:tcPr>
          <w:p>
            <w:pPr>
              <w:spacing w:before="24" w:beforeLines="10" w:after="24" w:afterLines="10"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采购方式</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73" w:type="dxa"/>
            <w:vAlign w:val="center"/>
          </w:tcPr>
          <w:p>
            <w:pPr>
              <w:spacing w:line="34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9</w:t>
            </w:r>
          </w:p>
        </w:tc>
        <w:tc>
          <w:tcPr>
            <w:tcW w:w="1704" w:type="dxa"/>
            <w:vAlign w:val="center"/>
          </w:tcPr>
          <w:p>
            <w:pPr>
              <w:spacing w:before="24" w:beforeLines="10" w:after="24" w:afterLines="10"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最高限价</w:t>
            </w:r>
          </w:p>
        </w:tc>
        <w:tc>
          <w:tcPr>
            <w:tcW w:w="7784" w:type="dxa"/>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val="0"/>
                <w:sz w:val="24"/>
                <w:highlight w:val="none"/>
              </w:rPr>
              <w:t>本项目</w:t>
            </w:r>
            <w:r>
              <w:rPr>
                <w:rFonts w:hint="eastAsia" w:ascii="仿宋" w:hAnsi="仿宋" w:eastAsia="仿宋" w:cs="仿宋"/>
                <w:b/>
                <w:bCs w:val="0"/>
                <w:sz w:val="24"/>
                <w:highlight w:val="none"/>
                <w:lang w:val="en-US" w:eastAsia="zh-CN"/>
              </w:rPr>
              <w:t>最高限价为：</w:t>
            </w:r>
            <w:r>
              <w:rPr>
                <w:rFonts w:hint="eastAsia" w:ascii="仿宋" w:hAnsi="仿宋" w:eastAsia="仿宋" w:cs="仿宋"/>
                <w:b/>
                <w:bCs w:val="0"/>
                <w:sz w:val="24"/>
                <w:highlight w:val="none"/>
                <w:u w:val="single"/>
                <w:lang w:val="en-US" w:eastAsia="zh-CN"/>
              </w:rPr>
              <w:t>112.4482万元</w:t>
            </w:r>
            <w:r>
              <w:rPr>
                <w:rFonts w:hint="eastAsia" w:ascii="仿宋" w:hAnsi="仿宋" w:eastAsia="仿宋" w:cs="仿宋"/>
                <w:b/>
                <w:bCs w:val="0"/>
                <w:sz w:val="24"/>
                <w:highlight w:val="none"/>
                <w:lang w:val="en-US" w:eastAsia="zh-CN"/>
              </w:rPr>
              <w:t>；</w:t>
            </w:r>
            <w:r>
              <w:rPr>
                <w:rFonts w:hint="eastAsia" w:ascii="仿宋" w:hAnsi="仿宋" w:eastAsia="仿宋" w:cs="仿宋"/>
                <w:b/>
                <w:bCs w:val="0"/>
                <w:sz w:val="24"/>
                <w:highlight w:val="none"/>
              </w:rPr>
              <w:t>高于最高限价的，其投标文件按无效投标处理。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sz w:val="24"/>
                <w:szCs w:val="24"/>
                <w:highlight w:val="none"/>
              </w:rPr>
              <w:t>投标保证金</w:t>
            </w:r>
          </w:p>
        </w:tc>
        <w:tc>
          <w:tcPr>
            <w:tcW w:w="7784" w:type="dxa"/>
            <w:vAlign w:val="center"/>
          </w:tcPr>
          <w:p>
            <w:pP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w:t>
            </w:r>
            <w:r>
              <w:rPr>
                <w:rFonts w:hint="eastAsia" w:ascii="仿宋" w:hAnsi="仿宋" w:eastAsia="仿宋" w:cs="仿宋"/>
                <w:b w:val="0"/>
                <w:bCs w:val="0"/>
                <w:color w:val="auto"/>
                <w:kern w:val="0"/>
                <w:sz w:val="24"/>
                <w:szCs w:val="24"/>
                <w:highlight w:val="none"/>
                <w:lang w:val="en-US" w:eastAsia="zh-CN"/>
              </w:rPr>
              <w:t>标保证金：11000.00元（壹万壹仟元整）；</w:t>
            </w:r>
          </w:p>
          <w:p>
            <w:pP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投标保证金的提交形式：转账、 电汇、 保函等非现金形式</w:t>
            </w:r>
          </w:p>
          <w:p>
            <w:pP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收款单位：墨玉县公共资源交易平台中心</w:t>
            </w:r>
          </w:p>
          <w:p>
            <w:pP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开户行：墨玉县农村信用合作联社</w:t>
            </w:r>
          </w:p>
          <w:p>
            <w:pP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帐 号：879010012010178915451</w:t>
            </w:r>
          </w:p>
          <w:p>
            <w:pP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墨玉县公共资源交易平台中心财务室电话：0903-7863806</w:t>
            </w:r>
          </w:p>
          <w:p>
            <w:pP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注：（1）投标保证金请于2024年01月24日11:00之前（北京时间）前汇至墨玉县公共资源交易平台中心专用账户，各投标企业保证金缴纳只接受企业基本帐户足额对公转帐，其他以私人名义或现金缴纳等存入、汇款方式均视为无效投标保证金，未按规定时间交保证金的投标人不得参加本次投标（以到账时间为准）。</w:t>
            </w:r>
          </w:p>
          <w:p>
            <w:pP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（2）电子保函使用方法： 1、登录新疆自治区政府采购网，首页点击“ 电子保函 ”直 接进入新疆政府采购电子保函申请页，点击【立即申请】2、依次完善页面显示的 投保人信息 (投标人信息) ，确认您要投保的项目信息，在投标项目选择页面选择 您需要投保的项目 (可根据项目名称或项目保函进行搜索) ，选择投保项目后填写 被保险人信息及投保内容。服务热线:400-9039583。</w:t>
            </w:r>
          </w:p>
          <w:p>
            <w:pPr>
              <w:keepNext/>
              <w:keepLines w:val="0"/>
              <w:pageBreakBefore w:val="0"/>
              <w:widowControl w:val="0"/>
              <w:numPr>
                <w:ilvl w:val="0"/>
                <w:numId w:val="0"/>
              </w:numPr>
              <w:kinsoku/>
              <w:wordWrap/>
              <w:overflowPunct/>
              <w:topLinePunct w:val="0"/>
              <w:bidi w:val="0"/>
              <w:snapToGrid/>
              <w:spacing w:line="400" w:lineRule="exact"/>
              <w:ind w:right="220" w:rightChars="105"/>
              <w:contextualSpacing/>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（3）投标单位须在汇款单备注栏标明：XXX项目XXX包段（标段）或项目编号。</w:t>
            </w:r>
          </w:p>
          <w:p>
            <w:pPr>
              <w:keepNext/>
              <w:keepLines w:val="0"/>
              <w:pageBreakBefore w:val="0"/>
              <w:widowControl w:val="0"/>
              <w:numPr>
                <w:ilvl w:val="0"/>
                <w:numId w:val="0"/>
              </w:numPr>
              <w:kinsoku/>
              <w:wordWrap/>
              <w:overflowPunct/>
              <w:topLinePunct w:val="0"/>
              <w:bidi w:val="0"/>
              <w:snapToGrid/>
              <w:spacing w:line="400" w:lineRule="exact"/>
              <w:ind w:right="220" w:rightChars="105"/>
              <w:contextualSpacing/>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（4）保函承保期限：2024年01月24日-2024年4月23日（90日历天）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704" w:type="dxa"/>
            <w:vAlign w:val="center"/>
          </w:tcPr>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投标人资格要求</w:t>
            </w:r>
          </w:p>
          <w:p>
            <w:pPr>
              <w:widowControl/>
              <w:spacing w:line="240" w:lineRule="auto"/>
              <w:jc w:val="left"/>
              <w:rPr>
                <w:rFonts w:hint="eastAsia" w:ascii="仿宋" w:hAnsi="仿宋" w:eastAsia="仿宋" w:cs="仿宋"/>
                <w:color w:val="auto"/>
                <w:sz w:val="24"/>
                <w:szCs w:val="24"/>
                <w:highlight w:val="none"/>
                <w:lang w:val="en-US" w:eastAsia="zh-CN"/>
              </w:rPr>
            </w:pPr>
          </w:p>
        </w:tc>
        <w:tc>
          <w:tcPr>
            <w:tcW w:w="7784" w:type="dxa"/>
            <w:vAlign w:val="center"/>
          </w:tcPr>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1.满足《中华人民共和国政府采购法》第二十二条规定；</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2.落实政府采购政策需满足的资格要求：《政府采购促进中小企业发展管理办法》（财库〔2020〕46 号）本项目专门面向中小企业（含中型、小型、微型企业）；</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3.本项目的特定资格要求：</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（1）提供经年审合格（三证合一）的营业执照；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（2）有效的法定代表人身份证明（法人）及身份证 或具有法定效力的法人授权委托书（非法人，须明确 采购项目及包段名称、授权事项、权限、期限等）、 被委托人身份证；</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（3）需提供公司近三个月社保证明（缴费凭证及明细）（新成立时间少于3个月的公司，按实际发生提供）；</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（4）投标人需提供税务部门出具近三个月依法缴纳税收的完税证明（新成立不足3个月的按实际情况发生提供，需含增值税、印花 税等税种；如当月无需缴税需提供税务机关出具的无欠税证明），完税证明日期是指税款缴纳所属日期；</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（5）提供2022年度的财务审计报告（2023年8月后成立的公司可不提供但需提供银行出具的近三个月的资信证明）；</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（6）提供参加政府采购活动前 3 年内在经营活动中没有重大违法记录的书面声明；</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（7）企业负责人为同一人或者存在直接控股、管理关系的不同投标人，不得参加同一合同项下的政府采购活动的声明函；否则，皆取消投标资格；</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（8）提供有效的中小企业声明函。</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（9）本项目不接受联合体投标；</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2.落实政府采购政策需满足的资格要求：</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 中小企业政策</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□本项目不专门面向中小企业预留采购份额。</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☑本项目专门面向 ☑中小企业 ☑小微企业采购。即：提供的货物或服务全部由符合政策要求的中小/小微企业制造、服务全部由符合政策要求的中小/小微企业承接。</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预留部分采购项目预算专门面向中小企业采购。对于预留份额，提供的货物由符合政策要求的中小企业制造、服务由符合政策要求的中小企业承接。预留份额通过以下措施进行：通过合同分包，将预留份额分包给符合政策要求的中小企业承接，分包中中小企业达到40%，其中60%以上专门给小微企业，具体合同分包相关规则如下：（1）投标人不属于中小微企业的，必须将本项目适宜分包内容（分包部分不低于合同金额的40%）分包给一家或者多家具备实施能力的中小企业（其中，分包给小微企业的部分不低于合同金额的60%），提交投标文件时须按格式提供《分包意向协议书》以及按规定填写《中小企业声明函》。</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（2）投标人属于中型企业的，必须将本项目适宜分包的内容分包给小微企业，分包给小微企业的部分不低于合同金额的60%。投标时须按格式提供《分包意向协议书》以及《中小企业声明函》。</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3）投标人属于小微企业的，是否采取分包不作强制要求。投标时须按格式提供《中小企业声明函》。如采取合同分包，则只能分包给小微企业，投标时须按格式提供《分包意向协议书》以及各方的《中小企业声明函》。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 其它落实政府采购政策的资格要求</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 财政部、工业和信息化部《关于印发《政府采购促进中小企业发展管理办法》的通知》（财库[2020]46号文）《关于进一步加大政府采购支持中小企业力度的通知》（财库[2022]19号文）执行；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（2）财政部、民政部、中国残疾人联合会《关于促进残疾人就业政府采购政策的通知》（财库[2017]141号）；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704" w:type="dxa"/>
            <w:vAlign w:val="center"/>
          </w:tcPr>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资格审查</w:t>
            </w:r>
          </w:p>
        </w:tc>
        <w:tc>
          <w:tcPr>
            <w:tcW w:w="7784" w:type="dxa"/>
            <w:vAlign w:val="center"/>
          </w:tcPr>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704" w:type="dxa"/>
            <w:vAlign w:val="center"/>
          </w:tcPr>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标前准备</w:t>
            </w:r>
          </w:p>
        </w:tc>
        <w:tc>
          <w:tcPr>
            <w:tcW w:w="7784" w:type="dxa"/>
            <w:vAlign w:val="center"/>
          </w:tcPr>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1、本项目实行网上投标，采用电子投标文件。若投标人参与投标，自行承担投标一切费用。</w:t>
            </w:r>
          </w:p>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2、各投标人应在开标前应确保成为新疆维吾尔自治区政府采购网正式注册入库投标人，并完成CA数字证书申领。因未注册入库、未办理CA数字证书等原因造成无法投标或投标失败等后果由投标人自行承担。</w:t>
            </w:r>
          </w:p>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项目为电子招投标，投标人需要使用CA加密设备，有意向参与新疆区域电子开评标的投标人，请访问新疆数字证书认证中心官方网站（https://www.xjca.com.cn/）或下载;“新疆政务通”APP自行进行申领。如需咨询，请联系新疆CA货物热线0991-2819290</w:t>
            </w:r>
          </w:p>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将新疆政府采购电子交易客户端下载、安装完成后，可通过账号密码或CA登录客户端进行投标文件制作。在使用新疆政府采购投标客户端时，建议使用WIN7及以上操作系统。客户端请至新疆政府采购网（http://www.ccgp-xinjiang.gov.cn/）下载专区查看，如有问题可拨打新疆政府采购客户货物热线95763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704" w:type="dxa"/>
            <w:vAlign w:val="center"/>
          </w:tcPr>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信用情况</w:t>
            </w:r>
          </w:p>
        </w:tc>
        <w:tc>
          <w:tcPr>
            <w:tcW w:w="7784" w:type="dxa"/>
            <w:vAlign w:val="center"/>
          </w:tcPr>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1、信用记录查询时间及方式：</w:t>
            </w:r>
          </w:p>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（1）查询时间：自招标公告发布日期起至开标日期止，超出此时间范围将被视为无效投标。</w:t>
            </w:r>
          </w:p>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查询方式：投标人自行通过“信用中国”及“中国政府采购网”查询，并按招标文件要求提供网页材料。被列入失信被执行人、政府采购严重违法失信行为记录名单,其他不符合《中华人民共和国政府采购法》第二十二条规定条件的投标人，其投标文件将被视为无效投标。未提供证明材料的视为不响应招标文件。</w:t>
            </w:r>
          </w:p>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（3）投标人参加政府采购活动时，应当就自己的诚信情况在响应性文件中进行承诺。</w:t>
            </w:r>
          </w:p>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本项目不接受失信企业投标。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交货期</w:t>
            </w:r>
          </w:p>
        </w:tc>
        <w:tc>
          <w:tcPr>
            <w:tcW w:w="7784" w:type="dxa"/>
            <w:vAlign w:val="center"/>
          </w:tcPr>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签订合同后30日历天完成供货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16</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交货地点</w:t>
            </w:r>
          </w:p>
        </w:tc>
        <w:tc>
          <w:tcPr>
            <w:tcW w:w="7784" w:type="dxa"/>
            <w:vAlign w:val="center"/>
          </w:tcPr>
          <w:p>
            <w:pPr>
              <w:pStyle w:val="89"/>
              <w:spacing w:line="240" w:lineRule="auto"/>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质保期</w:t>
            </w:r>
          </w:p>
        </w:tc>
        <w:tc>
          <w:tcPr>
            <w:tcW w:w="7784" w:type="dxa"/>
            <w:vAlign w:val="center"/>
          </w:tcPr>
          <w:p>
            <w:pPr>
              <w:widowControl/>
              <w:spacing w:line="36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自货物验收合格后1年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18</w:t>
            </w:r>
          </w:p>
        </w:tc>
        <w:tc>
          <w:tcPr>
            <w:tcW w:w="1704" w:type="dxa"/>
            <w:vAlign w:val="center"/>
          </w:tcPr>
          <w:p>
            <w:pPr>
              <w:pStyle w:val="89"/>
              <w:spacing w:line="240" w:lineRule="auto"/>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质量要求</w:t>
            </w:r>
          </w:p>
        </w:tc>
        <w:tc>
          <w:tcPr>
            <w:tcW w:w="7784" w:type="dxa"/>
            <w:vAlign w:val="center"/>
          </w:tcPr>
          <w:p>
            <w:pPr>
              <w:pStyle w:val="89"/>
              <w:spacing w:line="240" w:lineRule="auto"/>
              <w:jc w:val="left"/>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必须达到国家和行业规定标准及招标文件中规定的标准并通过验收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19</w:t>
            </w:r>
          </w:p>
        </w:tc>
        <w:tc>
          <w:tcPr>
            <w:tcW w:w="1704" w:type="dxa"/>
            <w:vAlign w:val="center"/>
          </w:tcPr>
          <w:p>
            <w:pPr>
              <w:pStyle w:val="89"/>
              <w:spacing w:line="240" w:lineRule="auto"/>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付款方式</w:t>
            </w:r>
          </w:p>
        </w:tc>
        <w:tc>
          <w:tcPr>
            <w:tcW w:w="7784" w:type="dxa"/>
            <w:vAlign w:val="center"/>
          </w:tcPr>
          <w:p>
            <w:pPr>
              <w:pStyle w:val="89"/>
              <w:spacing w:line="240" w:lineRule="auto"/>
              <w:jc w:val="left"/>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签订合同后支付20%，货物采购、运输、装卸、安装、调试、培训及相关服务完成后支付30%，验收合格后支付47%，履约期满后支付剩余3%（具体以甲乙双方签订合同为准）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20</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投标文件有效期</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自投标截止之日起90个日历日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1704" w:type="dxa"/>
            <w:vAlign w:val="center"/>
          </w:tcPr>
          <w:p>
            <w:pPr>
              <w:spacing w:line="360" w:lineRule="auto"/>
              <w:jc w:val="both"/>
              <w:rPr>
                <w:rFonts w:hint="eastAsia" w:ascii="仿宋" w:hAnsi="仿宋" w:eastAsia="仿宋" w:cs="仿宋"/>
                <w:kern w:val="2"/>
                <w:sz w:val="24"/>
                <w:lang w:val="en-US" w:eastAsia="zh-CN" w:bidi="ar-SA"/>
              </w:rPr>
            </w:pPr>
            <w:r>
              <w:rPr>
                <w:rFonts w:hint="eastAsia" w:ascii="仿宋" w:hAnsi="仿宋" w:eastAsia="仿宋" w:cs="仿宋"/>
                <w:sz w:val="24"/>
                <w:lang w:eastAsia="zh-CN"/>
              </w:rPr>
              <w:t>标的所属行业</w:t>
            </w:r>
          </w:p>
        </w:tc>
        <w:tc>
          <w:tcPr>
            <w:tcW w:w="7784" w:type="dxa"/>
            <w:vAlign w:val="center"/>
          </w:tcPr>
          <w:p>
            <w:pPr>
              <w:spacing w:line="360" w:lineRule="auto"/>
              <w:jc w:val="both"/>
              <w:rPr>
                <w:rFonts w:hint="eastAsia" w:ascii="仿宋" w:hAnsi="仿宋" w:eastAsia="仿宋" w:cs="仿宋"/>
                <w:kern w:val="2"/>
                <w:sz w:val="24"/>
                <w:lang w:val="en-US" w:eastAsia="zh-CN" w:bidi="ar-SA"/>
              </w:rPr>
            </w:pPr>
            <w:r>
              <w:rPr>
                <w:rFonts w:hint="eastAsia" w:ascii="仿宋" w:hAnsi="仿宋" w:eastAsia="仿宋" w:cs="仿宋"/>
                <w:sz w:val="24"/>
                <w:lang w:val="en-US" w:eastAsia="zh-CN"/>
              </w:rPr>
              <w:t>本项目采购标的对应的中小企业划分标准所属行业：</w:t>
            </w:r>
            <w:r>
              <w:rPr>
                <w:rFonts w:hint="eastAsia" w:ascii="仿宋" w:hAnsi="仿宋" w:eastAsia="仿宋" w:cs="仿宋"/>
                <w:b/>
                <w:bCs/>
                <w:sz w:val="24"/>
                <w:lang w:val="en-US" w:eastAsia="zh-CN"/>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联合体投标</w:t>
            </w:r>
          </w:p>
        </w:tc>
        <w:tc>
          <w:tcPr>
            <w:tcW w:w="77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考察现场</w:t>
            </w:r>
          </w:p>
        </w:tc>
        <w:tc>
          <w:tcPr>
            <w:tcW w:w="77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24</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签字盖章</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投标人必须按照招标文件的规定和要求签字、盖章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25</w:t>
            </w:r>
          </w:p>
        </w:tc>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质疑须知</w:t>
            </w:r>
          </w:p>
        </w:tc>
        <w:tc>
          <w:tcPr>
            <w:tcW w:w="7784" w:type="dxa"/>
            <w:vAlign w:val="center"/>
          </w:tcPr>
          <w:p>
            <w:pPr>
              <w:overflowPunct w:val="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接收质疑函的方式：自招标文件发售时间起的7个工作日内（各潜在投标人如有质疑，请于规定的日期内提出，以书面形式提出质疑，质疑书应列明理由、依据，加盖单位公章递交至</w:t>
            </w:r>
            <w:r>
              <w:rPr>
                <w:rFonts w:hint="eastAsia" w:ascii="仿宋" w:hAnsi="仿宋" w:eastAsia="仿宋" w:cs="仿宋"/>
                <w:color w:val="auto"/>
                <w:sz w:val="24"/>
                <w:szCs w:val="24"/>
                <w:highlight w:val="none"/>
                <w:lang w:val="en-US" w:eastAsia="zh-CN"/>
              </w:rPr>
              <w:t>新疆星耀天都项目管理有限责任公司</w:t>
            </w:r>
            <w:r>
              <w:rPr>
                <w:rFonts w:hint="eastAsia" w:ascii="仿宋" w:hAnsi="仿宋" w:eastAsia="仿宋" w:cs="仿宋"/>
                <w:color w:val="auto"/>
                <w:kern w:val="0"/>
                <w:sz w:val="24"/>
                <w:szCs w:val="24"/>
                <w:highlight w:val="none"/>
                <w:lang w:val="en-US" w:eastAsia="zh-CN"/>
              </w:rPr>
              <w:t>或将PDF格式电子版质疑文件加盖公章扫描发送至邮箱：2013809061@qq.com。投标人须对质疑内容的真实性承担责任，由招标人或招标代理机构负责解释。如在规定的日期内未收到任何投标人递交的质疑书，视为投标人可完全响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接受质疑的单位：新疆星耀天都项目管理有限责任公司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联系电话：0903-6860585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地址：和田市古江巴格乡屯垦西路35号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b/>
                <w:bCs/>
                <w:color w:val="auto"/>
                <w:sz w:val="24"/>
                <w:szCs w:val="24"/>
                <w:highlight w:val="none"/>
                <w:lang w:val="en-US" w:eastAsia="zh-CN"/>
              </w:rPr>
              <w:t>应商认为采购文件、采购过程、中标或者成交结果使自己的权益受到损害的，可以根据中华人民共和国财政部令第94号中第十条，投标人在法定质疑期内以书面形式向采购人、代理机构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w:t>
            </w:r>
          </w:p>
        </w:tc>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构成招标文件的其他文件</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b/>
                <w:bCs w:val="0"/>
                <w:color w:val="auto"/>
                <w:sz w:val="24"/>
                <w:szCs w:val="24"/>
                <w:highlight w:val="none"/>
                <w:u w:val="none"/>
                <w:lang w:val="en-US" w:eastAsia="zh-CN"/>
              </w:rPr>
            </w:pPr>
            <w:r>
              <w:rPr>
                <w:rFonts w:hint="eastAsia" w:ascii="仿宋" w:hAnsi="仿宋" w:eastAsia="仿宋" w:cs="仿宋"/>
                <w:bCs/>
                <w:color w:val="auto"/>
                <w:sz w:val="24"/>
                <w:szCs w:val="24"/>
                <w:highlight w:val="none"/>
              </w:rPr>
              <w:t>招标文件的澄清、修改书及有关补充通知为招标文件的有效组成部分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27</w:t>
            </w:r>
          </w:p>
        </w:tc>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开标时间及投标文件递交截止时间</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i w:val="0"/>
                <w:caps w:val="0"/>
                <w:color w:val="auto"/>
                <w:spacing w:val="0"/>
                <w:sz w:val="24"/>
                <w:szCs w:val="24"/>
                <w:highlight w:val="none"/>
                <w:shd w:val="clear" w:color="auto" w:fill="FFFFFF"/>
                <w:lang w:val="en-US" w:eastAsia="zh-CN"/>
              </w:rPr>
              <w:t>2024年01月24日11:00</w:t>
            </w:r>
            <w:r>
              <w:rPr>
                <w:rFonts w:hint="eastAsia" w:ascii="仿宋" w:hAnsi="仿宋" w:eastAsia="仿宋" w:cs="仿宋"/>
                <w:b w:val="0"/>
                <w:bCs/>
                <w:color w:val="auto"/>
                <w:sz w:val="24"/>
                <w:szCs w:val="24"/>
                <w:highlight w:val="none"/>
                <w:u w:val="none"/>
                <w:lang w:eastAsia="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w:t>
            </w:r>
          </w:p>
        </w:tc>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投标文件递交及开标地点</w:t>
            </w:r>
          </w:p>
        </w:tc>
        <w:tc>
          <w:tcPr>
            <w:tcW w:w="7784" w:type="dxa"/>
            <w:vAlign w:val="center"/>
          </w:tcPr>
          <w:p>
            <w:pPr>
              <w:spacing w:line="500" w:lineRule="exact"/>
              <w:rPr>
                <w:rFonts w:hint="eastAsia" w:ascii="仿宋" w:hAnsi="仿宋" w:eastAsia="仿宋" w:cs="仿宋"/>
                <w:kern w:val="2"/>
                <w:sz w:val="24"/>
                <w:lang w:val="en-US" w:eastAsia="zh-CN" w:bidi="ar-SA"/>
              </w:rPr>
            </w:pPr>
            <w:r>
              <w:rPr>
                <w:rFonts w:hint="eastAsia" w:ascii="仿宋" w:hAnsi="仿宋" w:eastAsia="仿宋" w:cs="仿宋"/>
                <w:sz w:val="24"/>
              </w:rPr>
              <w:t>新疆政府采购网政采云平台（www.zcygov.cn）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29</w:t>
            </w:r>
          </w:p>
        </w:tc>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递交投标文件的地点及方式</w:t>
            </w:r>
          </w:p>
        </w:tc>
        <w:tc>
          <w:tcPr>
            <w:tcW w:w="77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 w:hAnsi="仿宋" w:eastAsia="仿宋" w:cs="仿宋"/>
                <w:sz w:val="24"/>
              </w:rPr>
            </w:pPr>
            <w:r>
              <w:rPr>
                <w:rFonts w:hint="eastAsia" w:ascii="仿宋" w:hAnsi="仿宋" w:eastAsia="仿宋" w:cs="仿宋"/>
                <w:sz w:val="24"/>
              </w:rPr>
              <w:t>新疆政府采购网政采云平台（www.zcygov.cn）</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应于2024年01月24日11:00时整之前将电子投标文件上传到“政采云”平台。应按照本项目招标文件和政采云平台的要求编制、加密传输投标文件。投标人在使用系统进行投标的过程中遇到涉及平台使用的任何问题，可致电政采云平台技术支持热线咨询，联系方式：95763。</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开标结束后 7 日内，所有投标人将上传新疆政府采购网政采云平台（www.zcygov.cn）的投标文件使用A4纸胶装成册（1正3副）递交或邮寄至新疆星耀天都项目管理有限责任公司，和田市古江巴格乡屯垦西路35号 。 纸质版必须与电子版投标文件内容一致。（纸质版投标文件由系统生成打印，1正3副，封皮需加盖公章）纸质版投标文件4份、不加密电子版U 盘 3 份、 光盘 3 份。（接受邮寄，不接受到付）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eastAsia="zh-CN"/>
              </w:rPr>
              <w:t>解密时间</w:t>
            </w:r>
          </w:p>
        </w:tc>
        <w:tc>
          <w:tcPr>
            <w:tcW w:w="778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lang w:val="en-US"/>
              </w:rPr>
            </w:pPr>
            <w:r>
              <w:rPr>
                <w:rFonts w:hint="eastAsia" w:ascii="仿宋" w:hAnsi="仿宋" w:eastAsia="仿宋" w:cs="仿宋"/>
                <w:b/>
                <w:bCs w:val="0"/>
                <w:color w:val="auto"/>
                <w:sz w:val="24"/>
                <w:szCs w:val="24"/>
                <w:highlight w:val="none"/>
                <w:lang w:val="en-US" w:eastAsia="zh-CN"/>
              </w:rPr>
              <w:t>开标方式：不见面电子开标.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rPr>
              <w:t>开标时间后</w:t>
            </w:r>
            <w:r>
              <w:rPr>
                <w:rFonts w:hint="eastAsia" w:ascii="仿宋" w:hAnsi="仿宋" w:eastAsia="仿宋" w:cs="仿宋"/>
                <w:b/>
                <w:bCs w:val="0"/>
                <w:color w:val="auto"/>
                <w:sz w:val="24"/>
                <w:szCs w:val="24"/>
                <w:highlight w:val="none"/>
                <w:lang w:val="en-US" w:eastAsia="zh-CN"/>
              </w:rPr>
              <w:t>30分钟</w:t>
            </w:r>
            <w:r>
              <w:rPr>
                <w:rFonts w:hint="eastAsia" w:ascii="仿宋" w:hAnsi="仿宋" w:eastAsia="仿宋" w:cs="仿宋"/>
                <w:b/>
                <w:bCs w:val="0"/>
                <w:color w:val="auto"/>
                <w:sz w:val="24"/>
                <w:szCs w:val="24"/>
                <w:highlight w:val="none"/>
              </w:rPr>
              <w:t>内（</w:t>
            </w:r>
            <w:r>
              <w:rPr>
                <w:rFonts w:hint="eastAsia" w:ascii="仿宋" w:hAnsi="仿宋" w:eastAsia="仿宋" w:cs="仿宋"/>
                <w:b/>
                <w:bCs w:val="0"/>
                <w:color w:val="auto"/>
                <w:sz w:val="24"/>
                <w:szCs w:val="24"/>
                <w:highlight w:val="none"/>
                <w:lang w:eastAsia="zh-CN"/>
              </w:rPr>
              <w:t>2024年01月24日上</w:t>
            </w:r>
            <w:r>
              <w:rPr>
                <w:rFonts w:hint="eastAsia" w:ascii="仿宋" w:hAnsi="仿宋" w:eastAsia="仿宋" w:cs="仿宋"/>
                <w:b/>
                <w:bCs w:val="0"/>
                <w:color w:val="auto"/>
                <w:sz w:val="24"/>
                <w:szCs w:val="24"/>
                <w:highlight w:val="none"/>
              </w:rPr>
              <w:t>午</w:t>
            </w:r>
            <w:r>
              <w:rPr>
                <w:rFonts w:hint="eastAsia" w:ascii="仿宋" w:hAnsi="仿宋" w:eastAsia="仿宋" w:cs="仿宋"/>
                <w:b/>
                <w:bCs w:val="0"/>
                <w:color w:val="auto"/>
                <w:sz w:val="24"/>
                <w:szCs w:val="24"/>
                <w:highlight w:val="none"/>
                <w:lang w:val="en-US" w:eastAsia="zh-CN"/>
              </w:rPr>
              <w:t>11</w:t>
            </w: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val="en-US" w:eastAsia="zh-CN"/>
              </w:rPr>
              <w:t>00-11：30</w:t>
            </w:r>
            <w:r>
              <w:rPr>
                <w:rFonts w:hint="eastAsia" w:ascii="仿宋" w:hAnsi="仿宋" w:eastAsia="仿宋" w:cs="仿宋"/>
                <w:b/>
                <w:bCs w:val="0"/>
                <w:color w:val="auto"/>
                <w:sz w:val="24"/>
                <w:szCs w:val="24"/>
                <w:highlight w:val="none"/>
              </w:rPr>
              <w:t>前）</w:t>
            </w:r>
            <w:r>
              <w:rPr>
                <w:rFonts w:hint="eastAsia" w:ascii="仿宋" w:hAnsi="仿宋" w:eastAsia="仿宋" w:cs="仿宋"/>
                <w:b/>
                <w:bCs w:val="0"/>
                <w:color w:val="auto"/>
                <w:sz w:val="24"/>
                <w:szCs w:val="24"/>
                <w:highlight w:val="none"/>
                <w:lang w:eastAsia="zh-CN"/>
              </w:rPr>
              <w:t>投标人</w:t>
            </w:r>
            <w:r>
              <w:rPr>
                <w:rFonts w:hint="eastAsia" w:ascii="仿宋" w:hAnsi="仿宋" w:eastAsia="仿宋" w:cs="仿宋"/>
                <w:b/>
                <w:bCs w:val="0"/>
                <w:color w:val="auto"/>
                <w:sz w:val="24"/>
                <w:szCs w:val="24"/>
                <w:highlight w:val="none"/>
              </w:rPr>
              <w:t>可以登录“政采云”平台，用“项目采购-开标评标”功能进行解密投标文件。若</w:t>
            </w:r>
            <w:r>
              <w:rPr>
                <w:rFonts w:hint="eastAsia" w:ascii="仿宋" w:hAnsi="仿宋" w:eastAsia="仿宋" w:cs="仿宋"/>
                <w:b/>
                <w:bCs w:val="0"/>
                <w:color w:val="auto"/>
                <w:sz w:val="24"/>
                <w:szCs w:val="24"/>
                <w:highlight w:val="none"/>
                <w:lang w:eastAsia="zh-CN"/>
              </w:rPr>
              <w:t>投标人</w:t>
            </w:r>
            <w:r>
              <w:rPr>
                <w:rFonts w:hint="eastAsia" w:ascii="仿宋" w:hAnsi="仿宋" w:eastAsia="仿宋" w:cs="仿宋"/>
                <w:b/>
                <w:bCs w:val="0"/>
                <w:color w:val="auto"/>
                <w:sz w:val="24"/>
                <w:szCs w:val="24"/>
                <w:highlight w:val="none"/>
              </w:rPr>
              <w:t>在规定时间内（</w:t>
            </w:r>
            <w:r>
              <w:rPr>
                <w:rFonts w:hint="eastAsia" w:ascii="仿宋" w:hAnsi="仿宋" w:eastAsia="仿宋" w:cs="仿宋"/>
                <w:b/>
                <w:bCs w:val="0"/>
                <w:color w:val="auto"/>
                <w:sz w:val="24"/>
                <w:szCs w:val="24"/>
                <w:highlight w:val="none"/>
                <w:lang w:eastAsia="zh-CN"/>
              </w:rPr>
              <w:t>202</w:t>
            </w:r>
            <w:r>
              <w:rPr>
                <w:rFonts w:hint="eastAsia" w:ascii="仿宋" w:hAnsi="仿宋" w:eastAsia="仿宋" w:cs="仿宋"/>
                <w:b/>
                <w:bCs w:val="0"/>
                <w:color w:val="auto"/>
                <w:sz w:val="24"/>
                <w:szCs w:val="24"/>
                <w:highlight w:val="none"/>
                <w:lang w:val="en-US" w:eastAsia="zh-CN"/>
              </w:rPr>
              <w:t>4</w:t>
            </w:r>
            <w:r>
              <w:rPr>
                <w:rFonts w:hint="eastAsia" w:ascii="仿宋" w:hAnsi="仿宋" w:eastAsia="仿宋" w:cs="仿宋"/>
                <w:b/>
                <w:bCs w:val="0"/>
                <w:color w:val="auto"/>
                <w:sz w:val="24"/>
                <w:szCs w:val="24"/>
                <w:highlight w:val="none"/>
                <w:lang w:eastAsia="zh-CN"/>
              </w:rPr>
              <w:t>年</w:t>
            </w:r>
            <w:r>
              <w:rPr>
                <w:rFonts w:hint="eastAsia" w:ascii="仿宋" w:hAnsi="仿宋" w:eastAsia="仿宋" w:cs="仿宋"/>
                <w:b/>
                <w:bCs w:val="0"/>
                <w:color w:val="auto"/>
                <w:sz w:val="24"/>
                <w:szCs w:val="24"/>
                <w:highlight w:val="none"/>
                <w:lang w:val="en-US" w:eastAsia="zh-CN"/>
              </w:rPr>
              <w:t>01月24日</w:t>
            </w:r>
            <w:r>
              <w:rPr>
                <w:rFonts w:hint="eastAsia" w:ascii="仿宋" w:hAnsi="仿宋" w:eastAsia="仿宋" w:cs="仿宋"/>
                <w:b/>
                <w:bCs w:val="0"/>
                <w:color w:val="auto"/>
                <w:sz w:val="24"/>
                <w:szCs w:val="24"/>
                <w:highlight w:val="none"/>
                <w:lang w:eastAsia="zh-CN"/>
              </w:rPr>
              <w:t>上</w:t>
            </w:r>
            <w:r>
              <w:rPr>
                <w:rFonts w:hint="eastAsia" w:ascii="仿宋" w:hAnsi="仿宋" w:eastAsia="仿宋" w:cs="仿宋"/>
                <w:b/>
                <w:bCs w:val="0"/>
                <w:color w:val="auto"/>
                <w:sz w:val="24"/>
                <w:szCs w:val="24"/>
                <w:highlight w:val="none"/>
              </w:rPr>
              <w:t>午</w:t>
            </w:r>
            <w:r>
              <w:rPr>
                <w:rFonts w:hint="eastAsia" w:ascii="仿宋" w:hAnsi="仿宋" w:eastAsia="仿宋" w:cs="仿宋"/>
                <w:b/>
                <w:bCs w:val="0"/>
                <w:color w:val="auto"/>
                <w:sz w:val="24"/>
                <w:szCs w:val="24"/>
                <w:highlight w:val="none"/>
                <w:lang w:val="en-US" w:eastAsia="zh-CN"/>
              </w:rPr>
              <w:t>11</w:t>
            </w: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val="en-US" w:eastAsia="zh-CN"/>
              </w:rPr>
              <w:t>30</w:t>
            </w:r>
            <w:r>
              <w:rPr>
                <w:rFonts w:hint="eastAsia" w:ascii="仿宋" w:hAnsi="仿宋" w:eastAsia="仿宋" w:cs="仿宋"/>
                <w:b/>
                <w:bCs w:val="0"/>
                <w:color w:val="auto"/>
                <w:sz w:val="24"/>
                <w:szCs w:val="24"/>
                <w:highlight w:val="none"/>
              </w:rPr>
              <w:t>前）未按时解密的，视为投标文件撤回。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w:t>
            </w:r>
          </w:p>
        </w:tc>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评标委员会的组成</w:t>
            </w:r>
          </w:p>
        </w:tc>
        <w:tc>
          <w:tcPr>
            <w:tcW w:w="77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color w:val="auto"/>
                <w:sz w:val="24"/>
                <w:szCs w:val="24"/>
                <w:highlight w:val="none"/>
                <w:lang w:val="en-US" w:eastAsia="zh-CN"/>
              </w:rPr>
              <w:t>评标委员会构成：5人组成，其中采购人代表1人和专家评委4人；评标专家确定方式：由招标代理在开标前48小时在政采云专家库中随机抽取此次评标专家。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32</w:t>
            </w:r>
          </w:p>
        </w:tc>
        <w:tc>
          <w:tcPr>
            <w:tcW w:w="1704" w:type="dxa"/>
            <w:vAlign w:val="center"/>
          </w:tcPr>
          <w:p>
            <w:pPr>
              <w:keepNext w:val="0"/>
              <w:keepLines w:val="0"/>
              <w:widowControl/>
              <w:suppressLineNumbers w:val="0"/>
              <w:spacing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
              </w:rPr>
              <w:t>投标报价</w:t>
            </w:r>
          </w:p>
        </w:tc>
        <w:tc>
          <w:tcPr>
            <w:tcW w:w="7784" w:type="dxa"/>
            <w:vAlign w:val="center"/>
          </w:tcPr>
          <w:p>
            <w:pPr>
              <w:numPr>
                <w:ilvl w:val="0"/>
                <w:numId w:val="0"/>
              </w:numPr>
              <w:tabs>
                <w:tab w:val="left" w:pos="900"/>
              </w:tabs>
              <w:spacing w:before="24" w:beforeLines="10" w:after="24" w:afterLines="10" w:line="240" w:lineRule="auto"/>
              <w:ind w:firstLine="0" w:firstLineChars="0"/>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sz w:val="24"/>
                <w:szCs w:val="24"/>
                <w:highlight w:val="none"/>
              </w:rPr>
              <w:t>本次采购设置</w:t>
            </w:r>
            <w:r>
              <w:rPr>
                <w:rFonts w:hint="eastAsia" w:ascii="仿宋" w:hAnsi="仿宋" w:eastAsia="仿宋" w:cs="仿宋"/>
                <w:b/>
                <w:bCs/>
                <w:color w:val="auto"/>
                <w:sz w:val="24"/>
                <w:szCs w:val="24"/>
                <w:highlight w:val="none"/>
                <w:lang w:val="en-US" w:eastAsia="zh-CN"/>
              </w:rPr>
              <w:t>最高限</w:t>
            </w:r>
            <w:r>
              <w:rPr>
                <w:rFonts w:hint="eastAsia" w:ascii="仿宋" w:hAnsi="仿宋" w:eastAsia="仿宋" w:cs="仿宋"/>
                <w:b/>
                <w:bCs/>
                <w:color w:val="auto"/>
                <w:sz w:val="24"/>
                <w:szCs w:val="24"/>
                <w:highlight w:val="none"/>
              </w:rPr>
              <w:t>价</w:t>
            </w:r>
            <w:r>
              <w:rPr>
                <w:rFonts w:hint="eastAsia" w:ascii="仿宋" w:hAnsi="仿宋" w:eastAsia="仿宋" w:cs="仿宋"/>
                <w:b/>
                <w:bCs/>
                <w:color w:val="auto"/>
                <w:sz w:val="24"/>
                <w:szCs w:val="24"/>
                <w:highlight w:val="none"/>
                <w:lang w:val="en-US" w:eastAsia="zh-CN"/>
              </w:rPr>
              <w:t>112.4482元</w:t>
            </w:r>
            <w:r>
              <w:rPr>
                <w:rFonts w:hint="eastAsia" w:ascii="仿宋" w:hAnsi="仿宋" w:eastAsia="仿宋" w:cs="仿宋"/>
                <w:b/>
                <w:bCs/>
                <w:color w:val="auto"/>
                <w:sz w:val="24"/>
                <w:szCs w:val="24"/>
                <w:highlight w:val="none"/>
              </w:rPr>
              <w:t>，各</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的报价超出此范围将作废标处理。</w:t>
            </w:r>
          </w:p>
          <w:p>
            <w:pPr>
              <w:numPr>
                <w:ilvl w:val="0"/>
                <w:numId w:val="0"/>
              </w:numPr>
              <w:tabs>
                <w:tab w:val="left" w:pos="900"/>
              </w:tabs>
              <w:spacing w:before="24" w:beforeLines="10" w:after="24" w:afterLines="10" w:line="240" w:lineRule="auto"/>
              <w:ind w:leftChars="0" w:firstLine="0" w:firstLineChars="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（1）</w:t>
            </w:r>
            <w:r>
              <w:rPr>
                <w:rFonts w:hint="eastAsia" w:ascii="仿宋" w:hAnsi="仿宋" w:eastAsia="仿宋" w:cs="仿宋"/>
                <w:b/>
                <w:bCs/>
                <w:color w:val="auto"/>
                <w:kern w:val="0"/>
                <w:sz w:val="24"/>
                <w:szCs w:val="24"/>
                <w:highlight w:val="none"/>
              </w:rPr>
              <w:t>投标货币：</w:t>
            </w:r>
            <w:r>
              <w:rPr>
                <w:rFonts w:hint="eastAsia" w:ascii="仿宋" w:hAnsi="仿宋" w:eastAsia="仿宋" w:cs="仿宋"/>
                <w:b/>
                <w:bCs/>
                <w:color w:val="auto"/>
                <w:kern w:val="0"/>
                <w:sz w:val="24"/>
                <w:szCs w:val="24"/>
                <w:highlight w:val="none"/>
                <w:u w:val="single"/>
              </w:rPr>
              <w:t>人民币；</w:t>
            </w:r>
          </w:p>
          <w:p>
            <w:pPr>
              <w:numPr>
                <w:ilvl w:val="0"/>
                <w:numId w:val="0"/>
              </w:numPr>
              <w:tabs>
                <w:tab w:val="left" w:pos="900"/>
              </w:tabs>
              <w:spacing w:before="24" w:beforeLines="10" w:after="24" w:afterLines="10" w:line="240" w:lineRule="auto"/>
              <w:ind w:firstLine="0" w:firstLineChars="0"/>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lang w:eastAsia="zh-CN"/>
              </w:rPr>
              <w:t>投标人</w:t>
            </w:r>
            <w:r>
              <w:rPr>
                <w:rFonts w:hint="eastAsia" w:ascii="仿宋" w:hAnsi="仿宋" w:eastAsia="仿宋" w:cs="仿宋"/>
                <w:b/>
                <w:bCs/>
                <w:color w:val="auto"/>
                <w:kern w:val="0"/>
                <w:sz w:val="24"/>
                <w:szCs w:val="24"/>
                <w:highlight w:val="none"/>
              </w:rPr>
              <w:t>的报价超过本项目的最高限价，按无效投标处理。</w:t>
            </w:r>
          </w:p>
          <w:p>
            <w:pPr>
              <w:numPr>
                <w:ilvl w:val="0"/>
                <w:numId w:val="0"/>
              </w:numPr>
              <w:tabs>
                <w:tab w:val="left" w:pos="900"/>
              </w:tabs>
              <w:spacing w:before="24" w:beforeLines="10" w:after="24" w:afterLines="10" w:line="240" w:lineRule="auto"/>
              <w:ind w:firstLine="0" w:firstLineChars="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（3）</w:t>
            </w:r>
            <w:r>
              <w:rPr>
                <w:rFonts w:hint="eastAsia" w:ascii="仿宋" w:hAnsi="仿宋" w:eastAsia="仿宋" w:cs="仿宋"/>
                <w:b/>
                <w:bCs/>
                <w:color w:val="auto"/>
                <w:kern w:val="0"/>
                <w:sz w:val="24"/>
                <w:szCs w:val="24"/>
                <w:highlight w:val="none"/>
              </w:rPr>
              <w:t>投标报价：</w:t>
            </w:r>
            <w:r>
              <w:rPr>
                <w:rFonts w:hint="eastAsia" w:ascii="仿宋" w:hAnsi="仿宋" w:eastAsia="仿宋" w:cs="仿宋"/>
                <w:b/>
                <w:bCs/>
                <w:color w:val="auto"/>
                <w:kern w:val="0"/>
                <w:sz w:val="24"/>
                <w:szCs w:val="24"/>
                <w:highlight w:val="none"/>
                <w:u w:val="single"/>
              </w:rPr>
              <w:t>货物到达交货地点并安装调试完成的包干总价；</w:t>
            </w:r>
          </w:p>
          <w:p>
            <w:pPr>
              <w:numPr>
                <w:ilvl w:val="0"/>
                <w:numId w:val="0"/>
              </w:numPr>
              <w:tabs>
                <w:tab w:val="left" w:pos="900"/>
              </w:tabs>
              <w:spacing w:before="24" w:beforeLines="10" w:after="24" w:afterLines="10" w:line="24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rPr>
              <w:t>（4）</w:t>
            </w:r>
            <w:r>
              <w:rPr>
                <w:rFonts w:hint="eastAsia" w:ascii="仿宋" w:hAnsi="仿宋" w:eastAsia="仿宋" w:cs="仿宋"/>
                <w:b/>
                <w:bCs/>
                <w:color w:val="auto"/>
                <w:kern w:val="0"/>
                <w:sz w:val="24"/>
                <w:szCs w:val="24"/>
                <w:highlight w:val="none"/>
              </w:rPr>
              <w:t>投标报价应包括：</w:t>
            </w:r>
            <w:r>
              <w:rPr>
                <w:rFonts w:hint="eastAsia" w:ascii="仿宋" w:hAnsi="仿宋" w:eastAsia="仿宋" w:cs="仿宋"/>
                <w:b/>
                <w:bCs/>
                <w:color w:val="auto"/>
                <w:kern w:val="0"/>
                <w:sz w:val="24"/>
                <w:szCs w:val="24"/>
                <w:highlight w:val="none"/>
                <w:u w:val="single"/>
              </w:rPr>
              <w:t>投标人应在开标一览表中标明其提供的所有货物及相关工作范围内所有费用的总价；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w:t>
            </w:r>
          </w:p>
        </w:tc>
        <w:tc>
          <w:tcPr>
            <w:tcW w:w="1704" w:type="dxa"/>
            <w:vAlign w:val="center"/>
          </w:tcPr>
          <w:p>
            <w:pPr>
              <w:numPr>
                <w:ilvl w:val="0"/>
                <w:numId w:val="0"/>
              </w:numPr>
              <w:tabs>
                <w:tab w:val="left" w:pos="900"/>
              </w:tabs>
              <w:spacing w:before="24" w:beforeLines="10" w:after="24" w:afterLines="10" w:line="240"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招标代理费</w:t>
            </w:r>
          </w:p>
          <w:p>
            <w:pPr>
              <w:numPr>
                <w:ilvl w:val="0"/>
                <w:numId w:val="0"/>
              </w:numPr>
              <w:tabs>
                <w:tab w:val="left" w:pos="900"/>
              </w:tabs>
              <w:spacing w:before="24" w:beforeLines="10" w:after="24" w:afterLines="10" w:line="240" w:lineRule="auto"/>
              <w:ind w:left="0" w:leftChars="0" w:firstLine="0" w:firstLineChars="0"/>
              <w:jc w:val="center"/>
              <w:rPr>
                <w:rFonts w:hint="eastAsia" w:ascii="仿宋" w:hAnsi="仿宋" w:eastAsia="仿宋" w:cs="仿宋"/>
                <w:color w:val="auto"/>
                <w:kern w:val="0"/>
                <w:sz w:val="24"/>
                <w:szCs w:val="24"/>
                <w:highlight w:val="none"/>
              </w:rPr>
            </w:pPr>
          </w:p>
        </w:tc>
        <w:tc>
          <w:tcPr>
            <w:tcW w:w="7784" w:type="dxa"/>
            <w:vAlign w:val="center"/>
          </w:tcPr>
          <w:p>
            <w:pPr>
              <w:numPr>
                <w:ilvl w:val="0"/>
                <w:numId w:val="0"/>
              </w:numPr>
              <w:tabs>
                <w:tab w:val="left" w:pos="900"/>
              </w:tabs>
              <w:spacing w:before="24" w:beforeLines="10" w:after="24" w:afterLines="10" w:line="240" w:lineRule="auto"/>
              <w:ind w:firstLine="0" w:firstLineChars="0"/>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招标代理服务费由</w:t>
            </w:r>
            <w:r>
              <w:rPr>
                <w:rFonts w:hint="eastAsia" w:ascii="仿宋" w:hAnsi="仿宋" w:eastAsia="仿宋" w:cs="仿宋"/>
                <w:b/>
                <w:bCs/>
                <w:color w:val="auto"/>
                <w:sz w:val="24"/>
                <w:szCs w:val="24"/>
                <w:highlight w:val="none"/>
              </w:rPr>
              <w:t>中标单位领取中标通知书时一次性支付</w:t>
            </w:r>
            <w:r>
              <w:rPr>
                <w:rFonts w:hint="eastAsia" w:ascii="仿宋" w:hAnsi="仿宋" w:eastAsia="仿宋" w:cs="仿宋"/>
                <w:b/>
                <w:bCs/>
                <w:color w:val="auto"/>
                <w:sz w:val="24"/>
                <w:szCs w:val="24"/>
                <w:highlight w:val="none"/>
                <w:lang w:val="en-US" w:eastAsia="zh-CN"/>
              </w:rPr>
              <w:t>,投标人在投标报价时，应考虑招标代理费</w:t>
            </w:r>
            <w:r>
              <w:rPr>
                <w:rFonts w:hint="eastAsia" w:ascii="仿宋" w:hAnsi="仿宋" w:eastAsia="仿宋" w:cs="仿宋"/>
                <w:b/>
                <w:bCs/>
                <w:color w:val="auto"/>
                <w:sz w:val="24"/>
                <w:szCs w:val="24"/>
                <w:highlight w:val="none"/>
              </w:rPr>
              <w:t>。</w:t>
            </w:r>
            <w:r>
              <w:rPr>
                <w:rFonts w:hint="eastAsia" w:ascii="仿宋" w:hAnsi="仿宋" w:eastAsia="仿宋" w:cs="仿宋"/>
                <w:color w:val="auto"/>
                <w:kern w:val="0"/>
                <w:sz w:val="24"/>
                <w:szCs w:val="24"/>
                <w:highlight w:val="none"/>
                <w:lang w:val="en-US" w:eastAsia="zh-CN"/>
              </w:rPr>
              <w:t>成交投标人在收到成交通知书前，须向新疆星耀天都项目管理有限责任公司支付采购代理费。收费标准：参考文件标准计取。敬请投标人注意！</w:t>
            </w:r>
          </w:p>
          <w:p>
            <w:pPr>
              <w:numPr>
                <w:ilvl w:val="0"/>
                <w:numId w:val="0"/>
              </w:numPr>
              <w:tabs>
                <w:tab w:val="left" w:pos="900"/>
              </w:tabs>
              <w:spacing w:before="24" w:beforeLines="10" w:after="24" w:afterLines="10" w:line="240" w:lineRule="auto"/>
              <w:ind w:left="0" w:leftChars="0" w:firstLine="0"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drawing>
                <wp:inline distT="0" distB="0" distL="114300" distR="114300">
                  <wp:extent cx="4434205" cy="1524000"/>
                  <wp:effectExtent l="0" t="0" r="444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a:stretch>
                            <a:fillRect/>
                          </a:stretch>
                        </pic:blipFill>
                        <pic:spPr>
                          <a:xfrm>
                            <a:off x="0" y="0"/>
                            <a:ext cx="4434205" cy="15240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34</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本项目评标办法</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根据《中华人民共和国政府采购法》及其实施条例、《中华人民共和国财政部令第87号--政府采购货物和服务招标投标管理办法》及招标文件，</w:t>
            </w:r>
            <w:r>
              <w:rPr>
                <w:rFonts w:hint="eastAsia" w:ascii="仿宋" w:hAnsi="仿宋" w:eastAsia="仿宋" w:cs="仿宋"/>
                <w:b w:val="0"/>
                <w:bCs w:val="0"/>
                <w:color w:val="auto"/>
                <w:sz w:val="24"/>
                <w:szCs w:val="24"/>
                <w:highlight w:val="none"/>
              </w:rPr>
              <w:t>采用综合评分法。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35</w:t>
            </w:r>
          </w:p>
        </w:tc>
        <w:tc>
          <w:tcPr>
            <w:tcW w:w="1704" w:type="dxa"/>
            <w:vAlign w:val="center"/>
          </w:tcPr>
          <w:p>
            <w:pPr>
              <w:spacing w:line="240" w:lineRule="auto"/>
              <w:ind w:firstLine="0" w:firstLineChars="0"/>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color w:val="auto"/>
                <w:sz w:val="24"/>
                <w:szCs w:val="24"/>
                <w:highlight w:val="none"/>
              </w:rPr>
              <w:t>低于成本价不正当竞争预防措施</w:t>
            </w:r>
          </w:p>
        </w:tc>
        <w:tc>
          <w:tcPr>
            <w:tcW w:w="7784" w:type="dxa"/>
            <w:vAlign w:val="center"/>
          </w:tcPr>
          <w:p>
            <w:pPr>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bCs/>
                <w:color w:val="auto"/>
                <w:sz w:val="24"/>
                <w:szCs w:val="24"/>
                <w:highlight w:val="none"/>
              </w:rPr>
              <w:t>在评标过程中，评标委员会认为投标人报价明显低于其他有效投标人报价，有可能影响产品质量或者不能诚信履约的，评标委员会应当要求其在评标现场合理的时间内提供成本构成书面说明，并提交相关证明材料。</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书面说明应当按照国家财务会计制度的规定要求，逐项就</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提供的货物、工程和</w:t>
            </w:r>
            <w:r>
              <w:rPr>
                <w:rFonts w:hint="eastAsia" w:ascii="仿宋" w:hAnsi="仿宋" w:eastAsia="仿宋" w:cs="仿宋"/>
                <w:b/>
                <w:bCs/>
                <w:color w:val="auto"/>
                <w:sz w:val="24"/>
                <w:szCs w:val="24"/>
                <w:highlight w:val="none"/>
                <w:lang w:eastAsia="zh-CN"/>
              </w:rPr>
              <w:t>货物</w:t>
            </w:r>
            <w:r>
              <w:rPr>
                <w:rFonts w:hint="eastAsia" w:ascii="仿宋" w:hAnsi="仿宋" w:eastAsia="仿宋" w:cs="仿宋"/>
                <w:b/>
                <w:bCs/>
                <w:color w:val="auto"/>
                <w:sz w:val="24"/>
                <w:szCs w:val="24"/>
                <w:highlight w:val="none"/>
              </w:rPr>
              <w:t xml:space="preserve">的主营业务成本（应根据供 应商企业类型予以区别）、税金及附加、销售费用、管理费用、财务费用等成本构成事项详细陈述。 </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书面说明应当签字确认或者加盖公章，否则无效。书面说明的签字确认，</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为法人的，由其法定代表人或者代理人签字确认；</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为其他组织的，由其主要负责人或者代理人签字确认；</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 xml:space="preserve">为自然人的，由其本人或者代理人签字确认。 </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提供书面说明后，评标委员会应当结合采购项目采购需求、专业实际情况、</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财务状况报告、与其他</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比较情况等就</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书面说明进行审查评价。</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拒绝或者变相拒绝提供有效书面说明或者书面说明不能证明其报价合理性的，评标委员会应当将其投标文件作为无效处理。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36</w:t>
            </w:r>
          </w:p>
        </w:tc>
        <w:tc>
          <w:tcPr>
            <w:tcW w:w="1704" w:type="dxa"/>
            <w:vAlign w:val="center"/>
          </w:tcPr>
          <w:p>
            <w:pPr>
              <w:spacing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履约保证金</w:t>
            </w:r>
          </w:p>
        </w:tc>
        <w:tc>
          <w:tcPr>
            <w:tcW w:w="7784" w:type="dxa"/>
            <w:vAlign w:val="center"/>
          </w:tcPr>
          <w:p>
            <w:pPr>
              <w:spacing w:line="240" w:lineRule="auto"/>
              <w:ind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《中华人民共和国政府采购法实施条例》第四十八条履约保证金或履约保函的数额不得超过政府采购合同金额的 10%。由中标人和采购人协商确定金额，中标人与采购人签订合同前提交履约保证金或履约保函，如中标人未按招标文件规定的期限供货，则扣除履约保证金，且三年内不得参加和田市所有政府采购招投标活动。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37</w:t>
            </w:r>
          </w:p>
        </w:tc>
        <w:tc>
          <w:tcPr>
            <w:tcW w:w="1704" w:type="dxa"/>
            <w:vAlign w:val="center"/>
          </w:tcPr>
          <w:p>
            <w:pPr>
              <w:spacing w:line="24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不予退还保证金的情形</w:t>
            </w:r>
          </w:p>
        </w:tc>
        <w:tc>
          <w:tcPr>
            <w:tcW w:w="7784" w:type="dxa"/>
            <w:vAlign w:val="center"/>
          </w:tcPr>
          <w:p>
            <w:pPr>
              <w:spacing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有下列情形之一的，保证金不予退还：</w:t>
            </w:r>
          </w:p>
          <w:p>
            <w:pPr>
              <w:spacing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在提交投标文件截止时间后撤回投标文件的；</w:t>
            </w:r>
          </w:p>
          <w:p>
            <w:pPr>
              <w:spacing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在投标文件中提供虚假材料的；</w:t>
            </w:r>
          </w:p>
          <w:p>
            <w:pPr>
              <w:spacing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（3）除因不可抗力或招标文件认可的情形以外，成交</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不与采购人签订合同的；</w:t>
            </w:r>
          </w:p>
          <w:p>
            <w:pPr>
              <w:spacing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与采购人、其他</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或者采购代理机构恶意串通的；</w:t>
            </w:r>
          </w:p>
          <w:p>
            <w:pPr>
              <w:spacing w:line="240"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（5）招标文件规定的其他情形。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38</w:t>
            </w:r>
          </w:p>
        </w:tc>
        <w:tc>
          <w:tcPr>
            <w:tcW w:w="1704" w:type="dxa"/>
            <w:vAlign w:val="center"/>
          </w:tcPr>
          <w:p>
            <w:pPr>
              <w:spacing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利害关系代理人处理</w:t>
            </w:r>
          </w:p>
        </w:tc>
        <w:tc>
          <w:tcPr>
            <w:tcW w:w="7784" w:type="dxa"/>
            <w:vAlign w:val="center"/>
          </w:tcPr>
          <w:p>
            <w:pPr>
              <w:spacing w:line="24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2家以上的投标人不得在同一合同项下的采购项目中，同时委托同一个自然人、同一家庭的人员、同一单位的人员作为其代理人，否则，其投标文件作为无效处理。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39</w:t>
            </w:r>
          </w:p>
        </w:tc>
        <w:tc>
          <w:tcPr>
            <w:tcW w:w="1704" w:type="dxa"/>
            <w:vAlign w:val="center"/>
          </w:tcPr>
          <w:p>
            <w:pPr>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利害关系投标人处理</w:t>
            </w:r>
          </w:p>
        </w:tc>
        <w:tc>
          <w:tcPr>
            <w:tcW w:w="7784" w:type="dxa"/>
            <w:vAlign w:val="center"/>
          </w:tcPr>
          <w:p>
            <w:pPr>
              <w:spacing w:line="24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位负责人为同一人或者存在直接控股、管理关系的不同投标人不得参加同一合同项下的政府采购活动。采购项目实行资格预审的，单位负责人为同一人或者存在直接控股、管理关系的不同投标人可以参加资格预审，但只能由投标人确定其中一家符合条件的投标人参加后续的政府采购活动，否则，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40</w:t>
            </w:r>
          </w:p>
        </w:tc>
        <w:tc>
          <w:tcPr>
            <w:tcW w:w="1704" w:type="dxa"/>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政府采购政策支持</w:t>
            </w:r>
          </w:p>
        </w:tc>
        <w:tc>
          <w:tcPr>
            <w:tcW w:w="7784" w:type="dxa"/>
            <w:vAlign w:val="center"/>
          </w:tcPr>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 xml:space="preserve">根据《中华人民共和国政府采购法》、财政部、 工信部《政府采购促进中小企业发展管理办法》（财库〔2020〕46 号）、《关于进一步加大政府采购支持中小企业力度的通知财库〔2022〕19 号》等有关法律法规执行； </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2.落实政府采购政策需满足的资格要求：中小微企业</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□本项目不专门面向中小企业预留采购份额。</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☑本项目专门面向 ☑中小企业 ☑小微企业 采购。即：提供的货物或服务全部由符合政策要求的中小/小微企业制造、服务全部由符合政策要求的中小/小微企业承接。</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□本项目预留部分采购项目预算专门面向中小企业采购。对于预留份额，提供的货物由符合政策要求的中小企业制造、服务由符合政策要求的中小企业承接。预留份额通过以下措施进行：        /        。</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2.2 其它落实政府采购政策的资格要求</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（1）财政部、国家发展改革委、生态环境部、市场监管总局《关于调整优化节能产品、环境标志产</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品政府采购执行机制的通知》（财库[2019]9号文）；</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（2）财政部、生态环境部《关于印发环境标志产品政府采购品目清单的通知》（财库[2019]18号文）;</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（3）财政部、发展改革委《关于印发节能产品政府采购品目清单的通知》（财库[2019]19号文）；</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（4）市场监管总局《市场监管总局关于发布参与实施政府采购节能产品、环境标志产品认证机构名录的公告》（2019年第16号）；</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（5）财政部、工业和信息化部《关于印发《政府采购促进中小企业发展管理办法》的通知》（财库[2020]46号文）《关于进一步加大政府采购支持中小企业力度的通知》（财库[2022]19号文）执行；</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（6）财政部、民政部、中国残疾人联合会《关于促进残疾人就业政府采购政策的通知》（财库[2017]141号）；</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（7）财政部、司法部《关于政府采购支持监狱企业发展有关问题的通知》（财库[2014]68号文）；</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（8）财政部、生态环境部、国家邮政局《关于印发《商品包装政府采购需求标准（试行）》、 《快递包装政府采购需求标准（试行）》的通知》（财办库〔2020〕123号）。</w:t>
            </w:r>
          </w:p>
          <w:p>
            <w:pPr>
              <w:spacing w:line="240" w:lineRule="auto"/>
              <w:ind w:firstLine="482" w:firstLineChars="200"/>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注：投标人应当对《中小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中小企业应当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41</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关于小微企业报价扣除比例说明</w:t>
            </w:r>
          </w:p>
        </w:tc>
        <w:tc>
          <w:tcPr>
            <w:tcW w:w="7784" w:type="dxa"/>
            <w:vAlign w:val="top"/>
          </w:tcPr>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1.投标人为非联合体投标的，对其投标货物的制造商为小微型企业的给予10%的扣除，以扣除后的报价参与评审。</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4%-6%由采购人在幅度范围内确定）的扣除，用扣除后的价格参加评审。</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3.监狱企业、残疾人福利性单位视同小型、微型企业。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6"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42</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其他说明</w:t>
            </w:r>
            <w:r>
              <w:rPr>
                <w:rFonts w:hint="eastAsia" w:ascii="仿宋" w:hAnsi="仿宋" w:eastAsia="仿宋" w:cs="仿宋"/>
                <w:color w:val="auto"/>
                <w:sz w:val="24"/>
                <w:szCs w:val="24"/>
                <w:highlight w:val="none"/>
                <w:lang w:val="en-US" w:eastAsia="zh-CN"/>
              </w:rPr>
              <w:t>1</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特别提醒：</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1、所有投标人的报价高于本项目（标项）最高限价额度的视为无效报价（即作否决投标处理）。</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相同品牌产品且通过资格审查、符合性审查的不同投标人参加同一合同项下投标的，按一家投标人计算，评审后报价最低的同品牌投标人获得中标人推荐资格；评审得分相同的，按照随机抽取方式确定一个投标人获得中标人推荐资格，其他同品牌投标人不作为中标候选人。</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投标人的报价明显低于其他投标报价或者在设有标底时明显低于标底，使得其投标报价可能低于其个别成本的，应当要求该投标人作出书面说明并提供相应证明材料。投标人不能合理或者不能提供相应证明材料的，由评标委员会认定该投标人以低于成本报价竞标，其投标视为无效标处理。</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4、更正补充公告请自行登录新疆政府采购网查看下载。</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5、采购代理机构将拒绝接受未在政采云平台获取招标文件的投标人的投标文件。</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6、所有投标单位对招标文件中所有条款如有疑问或异议请在开标以书面形式提出，否则不予受理。</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为确保投标保证金的及时退还，结果公示后投标企业需提供保证金汇款凭证、开户许可证复印件、收据并注明开户行行号、联系方式（加盖公司鲜公章）。（注：废标项目投标保证金在后续项目再次招标时银行系统不做统计，投标企业及时办理退款）。</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2"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8、本项目资格审查模块由招标代理组织进行。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43</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其他说明</w:t>
            </w:r>
            <w:r>
              <w:rPr>
                <w:rFonts w:hint="eastAsia" w:ascii="仿宋" w:hAnsi="仿宋" w:eastAsia="仿宋" w:cs="仿宋"/>
                <w:color w:val="auto"/>
                <w:sz w:val="24"/>
                <w:szCs w:val="24"/>
                <w:highlight w:val="none"/>
                <w:lang w:val="en-US" w:eastAsia="zh-CN"/>
              </w:rPr>
              <w:t>2</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招标文件中部分加粗、加下划线、废标、无效标、投标被拒绝字样的条款，为招标的实质性要求和条件，着重提醒各投标人注意，并认真查看招标文件中的每一个条款及要求，因误读招标文件而造成的后果，招标人概不负责。</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文件中有弄虚作假的内容，其投标文件作废。（如假证书、假业绩、隐瞒不良行为记录、夸大荣誉、使用非本单位在职员工的相关证件及不符合招标文件规定的条款等）；在签订合同之前，招标人如发现投标人的投标文件有弄虚作假内容，招标人可拒绝与其签订合同，并将其列入政府采购黑名单。</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val="zh-CN" w:eastAsia="zh-CN"/>
              </w:rPr>
              <w:t>本项目的招标投标活动以及相关当事人须接受财政监督部门依法实施的监督。</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投标人书面说明应当按照国家财务会计制度的规定要求，逐项就投标人提供的货物、工程和服务的成本（应根据投标人企业类型予以区别）、税金及附加、销售费用、管理费用、财务费用等成本构成事项详细陈述。</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6、投标人提供书面说明后，评标委员会应当结合采购项目采购需求、专业实际情况、投标人提供的书面材料等就投标人书面说明进行审查评价。投标人拒绝或者变相拒绝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44</w:t>
            </w:r>
          </w:p>
        </w:tc>
        <w:tc>
          <w:tcPr>
            <w:tcW w:w="1704" w:type="dxa"/>
            <w:vAlign w:val="center"/>
          </w:tcPr>
          <w:p>
            <w:pPr>
              <w:pageBreakBefore w:val="0"/>
              <w:shd w:val="clear" w:color="auto" w:fill="auto"/>
              <w:kinsoku/>
              <w:wordWrap/>
              <w:overflowPunct/>
              <w:topLinePunct w:val="0"/>
              <w:autoSpaceDE/>
              <w:autoSpaceDN/>
              <w:bidi w:val="0"/>
              <w:adjustRightInd/>
              <w:snapToGrid/>
              <w:spacing w:line="240" w:lineRule="auto"/>
              <w:ind w:left="120" w:leftChars="0" w:right="62" w:rightChars="0" w:hanging="120" w:hangingChars="5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重要提示</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（1）中标投标人应在规定期限内领取《中标通知书》，若中标投标人未在规定期限内领取《中标通知书》，采购人有权取消中标投标人中标资格，并将相关违约行为报送监管部门，实施信用惩戒； </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中标投标人应在规定期限内提交履约担保并与采购人签订合同，若中标投标人未能在规定期限内提交履约担保或签订合同，采购人有权取消中标投标人中标资格，并将相关违约行为报送监管部门，实施信用惩戒； </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合同签订后，中标投标人存在规定时间内不组织人员进场开工，不履行供货、安装或服务义务等情况，采购人有权解除合同，并追究违约责任，同时将相关违约行为报送监管部门，记不良行为记录，实施信用惩戒； </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（4）中标投标人中标后被监管部门查实存在违法行为，不满足中标条件的，由采购人取消中标资格，并做好项目后续工作；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（5）中标投标人在中标项目发生投诉、信访举报案件、履约存在争议时，拒绝协助配合执法部门调查案件的，采购人可以取消其中标资格或解除合同，并追究其违约责任。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45</w:t>
            </w:r>
          </w:p>
        </w:tc>
        <w:tc>
          <w:tcPr>
            <w:tcW w:w="1704" w:type="dxa"/>
            <w:vAlign w:val="center"/>
          </w:tcPr>
          <w:p>
            <w:pPr>
              <w:pageBreakBefore w:val="0"/>
              <w:shd w:val="clear" w:color="auto" w:fill="auto"/>
              <w:kinsoku/>
              <w:wordWrap/>
              <w:overflowPunct/>
              <w:topLinePunct w:val="0"/>
              <w:autoSpaceDE/>
              <w:autoSpaceDN/>
              <w:bidi w:val="0"/>
              <w:adjustRightInd/>
              <w:snapToGrid/>
              <w:spacing w:line="240" w:lineRule="auto"/>
              <w:ind w:left="120" w:leftChars="0" w:right="62" w:rightChars="0" w:hanging="120" w:hangingChars="5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其他方式采购</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公开采购数额标准以上的采购项目，投标截止后投标人不足3家或者通过资格审查或符合性审查的投标人不足3家的，除采购任务取消情形外，根据《政府采购货物和服务采购投标管理办法》（中华人民共和国财政部令第87号）第四十三条规定，按照以下方式处理：</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（1）招标文件存在不合理条款或者采购程序不符合规定的，采购人、采购代理机构改正后依法重新采购；</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（2）招标文件没有不合理条款、采购程序符合规定，需要采用其他采购方式采购的，采购人应当依法报财政部门批准。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46</w:t>
            </w:r>
          </w:p>
        </w:tc>
        <w:tc>
          <w:tcPr>
            <w:tcW w:w="1704" w:type="dxa"/>
            <w:vAlign w:val="center"/>
          </w:tcPr>
          <w:p>
            <w:pPr>
              <w:pageBreakBefore w:val="0"/>
              <w:shd w:val="clear" w:color="auto" w:fill="auto"/>
              <w:kinsoku/>
              <w:wordWrap/>
              <w:overflowPunct/>
              <w:topLinePunct w:val="0"/>
              <w:autoSpaceDE/>
              <w:autoSpaceDN/>
              <w:bidi w:val="0"/>
              <w:adjustRightInd/>
              <w:snapToGrid/>
              <w:spacing w:line="240" w:lineRule="auto"/>
              <w:ind w:left="120" w:leftChars="0" w:right="62" w:rightChars="0" w:hanging="120" w:hangingChars="5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质疑</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认为招标文件、采购过程或中标结果使自己的合法权益受到损害的，应当在知道或者应知其权益受到损害之日起在规定的期限内，以书面或邮件形式一次性向采购人（采购代理机构）提出质疑或投标人对采购人（采购代理机构）的质疑答复不满意或者采购人（采购代理机构）未在规定时间内做出答复的，可以在答复期满后五个工作日内向有关监管部门投诉。</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2"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注：根据《中华人民共和国政府采购法》的规定，投标人质疑不得超出公开招标文件、公开招标过程及公开招标结果的范围及时效限制。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47</w:t>
            </w:r>
          </w:p>
        </w:tc>
        <w:tc>
          <w:tcPr>
            <w:tcW w:w="1704" w:type="dxa"/>
            <w:vAlign w:val="center"/>
          </w:tcPr>
          <w:p>
            <w:pPr>
              <w:pageBreakBefore w:val="0"/>
              <w:shd w:val="clear" w:color="auto" w:fill="auto"/>
              <w:kinsoku/>
              <w:wordWrap/>
              <w:overflowPunct/>
              <w:topLinePunct w:val="0"/>
              <w:autoSpaceDE/>
              <w:autoSpaceDN/>
              <w:bidi w:val="0"/>
              <w:adjustRightInd/>
              <w:snapToGrid/>
              <w:spacing w:line="240" w:lineRule="auto"/>
              <w:ind w:left="120" w:leftChars="0" w:right="62" w:rightChars="0" w:hanging="120" w:hangingChars="5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投诉</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（1）质疑投标人对采购人、采购代理机构的答复不满意或者采购人、采购代理机构未在规定的时间内作出答复的，可以在答复期满后十五个工作日内向同级政府采购监督管理部门投诉。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（2）质疑、投诉应当采用书面或邮件形式，质疑书、投诉书均应明确阐述招标文件 、采购过程或中标结果中使自己合法权益受到损害的实质性内容，提供相关事实、依据和证据及其来源或线索，便于有关单位调查、答复和处理。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2"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注：根据《中华人民共和国政府采购法实施条例》的规定，投标人投诉事项不得超出已质疑事项的范围。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48</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合同备案</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1、中标投标人须在中标通知书发出之日起 30 日内与采购人签订合同；</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2、中标投标人与采购人签订合同后，2 日历天内将合同扫描件电子版发给新疆星耀天都项目管理有限责任公司：邮箱：2013809061@qq.com；</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3 、 本 项 目 政 府 采 购 合同 按 规 定 在 新 疆 政 府 采 购 网（www.ccgp-xinjiang.gov.cn/）予以公告。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0261" w:type="dxa"/>
            <w:gridSpan w:val="3"/>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备注：（1）投标人必须认真阅读招标文件中所有的事项、格式、条款和采购需求等。投标人没有按照招标文件要求提交全部资料，或者投标文件没有对招标文件在各方面都做出实质性响应的可能导致其投标无效或被拒绝。</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720" w:firstLineChars="3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（2）投标人需在投标文件截止时间前，将加密投标文件上传至云平台项目采购系统，逾期上传或错误方式投递送达将导致投标无效。</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720" w:firstLineChars="3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r>
              <w:rPr>
                <w:rFonts w:hint="eastAsia" w:ascii="仿宋" w:hAnsi="仿宋" w:eastAsia="仿宋" w:cs="仿宋"/>
                <w:b/>
                <w:bCs/>
                <w:color w:val="auto"/>
                <w:kern w:val="0"/>
                <w:sz w:val="24"/>
                <w:szCs w:val="24"/>
                <w:highlight w:val="none"/>
                <w:lang w:val="en-US" w:eastAsia="zh-CN" w:bidi="ar-SA"/>
              </w:rPr>
              <w:t>如本《投标须知前附表》相关内容与招标文件中的相关内容如有不一致处，则以本《投标须知前附表》相关内容为准。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720" w:firstLineChars="3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（4）投标人应保证在本项目使用的任何产品和货物（包括部分使用）时，不会产生因第三方提出侵犯其专利权、商标权或其它知识产权而引起的法律和经济纠纷，如因专利权、商标权 或其它知识产权而引起法律和经济纠纷，由投标人承担所有相关责任的同时不得耽误本项目供应。</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720" w:firstLineChars="300"/>
              <w:jc w:val="left"/>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r>
              <w:rPr>
                <w:rFonts w:hint="eastAsia" w:ascii="仿宋" w:hAnsi="仿宋" w:eastAsia="仿宋" w:cs="仿宋"/>
                <w:b/>
                <w:bCs/>
                <w:color w:val="auto"/>
                <w:kern w:val="0"/>
                <w:sz w:val="24"/>
                <w:szCs w:val="24"/>
                <w:highlight w:val="none"/>
                <w:lang w:val="en-US" w:eastAsia="zh-CN" w:bidi="ar-SA"/>
              </w:rPr>
              <w:t>招标文件中部分加“*”、“★”、</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kern w:val="0"/>
                <w:sz w:val="24"/>
                <w:szCs w:val="24"/>
                <w:highlight w:val="none"/>
                <w:lang w:val="en-US" w:eastAsia="zh-CN" w:bidi="ar-SA"/>
              </w:rPr>
              <w:t>加粗、加下划线为招标的实质性要求和条件，着重提醒各投标人注意，并认真查看招标文件中的每一个条款及要求，因误读招标文件而造成的后果，招标人概不负责。</w:t>
            </w:r>
          </w:p>
        </w:tc>
      </w:tr>
    </w:tbl>
    <w:p>
      <w:pPr>
        <w:rPr>
          <w:rFonts w:hint="eastAsia" w:ascii="仿宋" w:hAnsi="仿宋" w:eastAsia="仿宋" w:cs="仿宋"/>
          <w:color w:val="auto"/>
          <w:highlight w:val="none"/>
        </w:rPr>
      </w:pPr>
      <w:bookmarkStart w:id="23" w:name="_Toc32496"/>
      <w:bookmarkStart w:id="24" w:name="_Toc24863"/>
      <w:bookmarkStart w:id="25" w:name="_Toc31564"/>
      <w:bookmarkStart w:id="26" w:name="_Toc3745"/>
      <w:bookmarkStart w:id="27" w:name="_Toc27167"/>
      <w:bookmarkStart w:id="28" w:name="_Toc3877"/>
      <w:bookmarkStart w:id="29" w:name="_Toc27509"/>
      <w:bookmarkStart w:id="30" w:name="_Toc17755"/>
      <w:bookmarkStart w:id="31" w:name="_Toc22081"/>
      <w:r>
        <w:rPr>
          <w:rFonts w:hint="eastAsia" w:ascii="仿宋" w:hAnsi="仿宋" w:eastAsia="仿宋" w:cs="仿宋"/>
          <w:color w:val="auto"/>
          <w:highlight w:val="none"/>
        </w:rPr>
        <w:br w:type="page"/>
      </w:r>
    </w:p>
    <w:bookmarkEnd w:id="23"/>
    <w:bookmarkEnd w:id="24"/>
    <w:bookmarkEnd w:id="25"/>
    <w:bookmarkEnd w:id="26"/>
    <w:bookmarkEnd w:id="27"/>
    <w:bookmarkEnd w:id="28"/>
    <w:bookmarkEnd w:id="29"/>
    <w:bookmarkEnd w:id="30"/>
    <w:bookmarkEnd w:id="31"/>
    <w:p>
      <w:pPr>
        <w:spacing w:line="360" w:lineRule="auto"/>
        <w:jc w:val="center"/>
        <w:outlineLvl w:val="1"/>
        <w:rPr>
          <w:rFonts w:hint="eastAsia" w:ascii="仿宋" w:hAnsi="仿宋" w:eastAsia="仿宋" w:cs="仿宋"/>
          <w:b/>
          <w:color w:val="auto"/>
          <w:sz w:val="32"/>
          <w:szCs w:val="28"/>
          <w:highlight w:val="none"/>
        </w:rPr>
      </w:pPr>
      <w:bookmarkStart w:id="32" w:name="_Toc13351"/>
      <w:bookmarkStart w:id="33" w:name="_Toc2805"/>
      <w:r>
        <w:rPr>
          <w:rFonts w:hint="eastAsia" w:ascii="仿宋" w:hAnsi="仿宋" w:eastAsia="仿宋" w:cs="仿宋"/>
          <w:b/>
          <w:color w:val="auto"/>
          <w:sz w:val="32"/>
          <w:szCs w:val="28"/>
          <w:highlight w:val="none"/>
        </w:rPr>
        <w:t xml:space="preserve">一、  </w:t>
      </w:r>
      <w:bookmarkStart w:id="34" w:name="_Toc3855"/>
      <w:bookmarkStart w:id="35" w:name="_Toc20677"/>
      <w:r>
        <w:rPr>
          <w:rFonts w:hint="eastAsia" w:ascii="仿宋" w:hAnsi="仿宋" w:eastAsia="仿宋" w:cs="仿宋"/>
          <w:b/>
          <w:color w:val="auto"/>
          <w:sz w:val="32"/>
          <w:szCs w:val="28"/>
          <w:highlight w:val="none"/>
        </w:rPr>
        <w:t>总  则</w:t>
      </w:r>
      <w:bookmarkEnd w:id="34"/>
      <w:bookmarkEnd w:id="35"/>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1、适用范围</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val="en-US" w:eastAsia="zh-CN"/>
        </w:rPr>
        <w:t>本招标文件适用于墨玉县萨依巴格乡寄宿制学校设备采购项目的招标、投标、评标、定标、验收、合同履约、付款等行为（法律、法规另有规定的，从其规定）。</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2、投标人资格要求：</w:t>
      </w:r>
    </w:p>
    <w:bookmarkEnd w:id="32"/>
    <w:bookmarkEnd w:id="33"/>
    <w:p>
      <w:pPr>
        <w:spacing w:line="360" w:lineRule="auto"/>
        <w:ind w:firstLine="482" w:firstLineChars="200"/>
        <w:rPr>
          <w:rFonts w:hint="eastAsia" w:ascii="仿宋" w:hAnsi="仿宋" w:eastAsia="仿宋" w:cs="仿宋"/>
          <w:b/>
          <w:color w:val="auto"/>
          <w:sz w:val="24"/>
          <w:szCs w:val="24"/>
          <w:highlight w:val="none"/>
          <w:lang w:val="en-US" w:eastAsia="zh-CN"/>
        </w:rPr>
      </w:pPr>
      <w:bookmarkStart w:id="36" w:name="_Toc19723"/>
      <w:bookmarkStart w:id="37" w:name="_Toc18832"/>
      <w:bookmarkStart w:id="38" w:name="_Toc700"/>
      <w:bookmarkStart w:id="39" w:name="_Toc26060"/>
      <w:bookmarkStart w:id="40" w:name="_Toc32237"/>
      <w:bookmarkStart w:id="41" w:name="_Toc25254"/>
      <w:bookmarkStart w:id="42" w:name="_Toc19312"/>
      <w:bookmarkStart w:id="43" w:name="_Toc20061"/>
      <w:bookmarkStart w:id="44" w:name="_Toc28817"/>
      <w:bookmarkStart w:id="45" w:name="_Toc24194"/>
      <w:bookmarkStart w:id="46" w:name="_Toc13536"/>
      <w:bookmarkStart w:id="47" w:name="_Toc7241"/>
      <w:bookmarkStart w:id="48" w:name="_Toc11973"/>
      <w:r>
        <w:rPr>
          <w:rFonts w:hint="eastAsia" w:ascii="仿宋" w:hAnsi="仿宋" w:eastAsia="仿宋" w:cs="仿宋"/>
          <w:b/>
          <w:color w:val="auto"/>
          <w:sz w:val="24"/>
          <w:szCs w:val="24"/>
          <w:highlight w:val="none"/>
          <w:lang w:val="en-US" w:eastAsia="zh-CN"/>
        </w:rPr>
        <w:t>1.满足《中华人民共和国政府采购法》第二十二条规定；</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2.落实政府采购政策需满足的资格要求：</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2.1 中小企业政策</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□本项目不专门面向中小企业预留采购份额。</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☑本项目专门面向 ☑中小企业 ☑小微企业采购。即：提供的货物或服务全部由符合政策要求的中小/小微企业制造、服务全部由符合政策要求的中小/小微企业承接。</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本项目预留部分采购项目预算专门面向中小企业采购。对于预留份额，提供的货物由符合政策要求的中小企业制造、服务由符合政策要求的中小企业承接。预留份额通过以下措施进行：通过合同分包，将预留份额分包给符合政策要求的中小企业承接，分包中中小企业达到40%，其中60%以上专门给小微企业，具体合同分包相关规则如下：（1）投标人不属于中小微企业的，必须将本项目适宜分包内容（分包部分不低于合同金额的40%）分包给一家或者多家具备实施能力的中小企业（其中，分包给小微企业的部分不低于合同金额的60%），提交投标文件时须按格式提供《分包意向协议书》以及按规定填写《中小企业声明函》。</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（2）投标人属于中型企业的，必须将本项目适宜分包的内容分包给小微企业，分包给小微企业的部分不低于合同金额的60%。投标时须按格式提供《分包意向协议书》以及《中小企业声明函》。</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 xml:space="preserve">（3）投标人属于小微企业的，是否采取分包不作强制要求。投标时须按格式提供《中小企业声明函》。如采取合同分包，则只能分包给小微企业，投标时须按格式提供《分包意向协议书》以及各方的《中小企业声明函》。  </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2.2 其它落实政府采购政策的资格要求</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 xml:space="preserve">（1） 财政部、工业和信息化部《关于印发《政府采购促进中小企业发展管理办法》的通知》（财库[2020]46号文）《关于进一步加大政府采购支持中小企业力度的通知》（财库[2022]19号文）执行； </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（2）财政部、民政部、中国残疾人联合会《关于促进残疾人就业政府采购政策的通知》（财库[2017]141号）；</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3.本项目的特定资格要求：</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（1）提供经年审合格（三证合一）的营业执照； </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（2）有效的法定代表人身份证明（法人）及身份证 或具有法定效力的法人授权委托书（非法人，须明确 采购项目及包段名称、授权事项、权限、期限等）、 被委托人身份证；</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（3）需提供公司近三个月社保证明（缴费凭证及明细）（新成立时间少于3个月的公司，按实际发生提供）；</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（4）投标人需提供税务部门出具近三个月依法缴纳税收的完税证明（新成立不足3个月的按实际情况发生提供，需含增值税、印花 税等税种；如当月无需缴税需提供税务机关出具的无欠税证明），完税证明日期是指税款缴纳所属日期；</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（4）提供2022年度的财务审计报告（2023年8月后成立的公司可不提供但需提供银行出具的近三个月的资信证明）；</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（5）提供参加政府采购活动前 3 年内在经营活动中没有重大违法记录的书面声明；</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（6）企业负责人为同一人或者存在直接控股、管理关系的不同投标人，不得参加同一合同项下的政府采购活动的声明函；否则，皆取消投标资格；</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（7）提供有效的中小企业声明函。</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（8）本项目不接受联合体投标；</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3、定义</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1.招标采购单位系指组织本次招标的代理机构（“招标人”）和采购单位。</w:t>
      </w:r>
    </w:p>
    <w:p>
      <w:pPr>
        <w:spacing w:line="360" w:lineRule="auto"/>
        <w:ind w:firstLine="480" w:firstLineChars="200"/>
        <w:rPr>
          <w:rFonts w:hint="eastAsia" w:ascii="仿宋" w:hAnsi="仿宋" w:eastAsia="仿宋" w:cs="仿宋"/>
          <w:color w:val="auto"/>
          <w:sz w:val="24"/>
          <w:szCs w:val="24"/>
          <w:highlight w:val="none"/>
          <w:lang w:val="en-US" w:eastAsia="zh-CN"/>
        </w:rPr>
      </w:pPr>
      <w:bookmarkStart w:id="49" w:name="_Toc16199"/>
      <w:r>
        <w:rPr>
          <w:rFonts w:hint="eastAsia" w:ascii="仿宋" w:hAnsi="仿宋" w:eastAsia="仿宋" w:cs="仿宋"/>
          <w:color w:val="auto"/>
          <w:sz w:val="24"/>
          <w:szCs w:val="24"/>
          <w:highlight w:val="none"/>
          <w:lang w:val="en-US" w:eastAsia="zh-CN"/>
        </w:rPr>
        <w:t>2.“投标人”系指向招标方提交投标文件的单位或个人。</w:t>
      </w:r>
      <w:bookmarkEnd w:id="49"/>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3.“产品”系指供方按招标文件规定，须向招标人提供的一切服务及其它有关技术资料和材料。</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4.“服务”系指招标文件规定投标人须承担的技术协助、校准、培训、技术指导以及其他类似的义务。</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5.“项目”系指投标人按招标文件规定向招标人提供的产品和服务。</w:t>
      </w:r>
    </w:p>
    <w:p>
      <w:pPr>
        <w:spacing w:line="360" w:lineRule="auto"/>
        <w:ind w:firstLine="480" w:firstLineChars="200"/>
        <w:rPr>
          <w:rFonts w:hint="eastAsia" w:ascii="仿宋" w:hAnsi="仿宋" w:eastAsia="仿宋" w:cs="仿宋"/>
          <w:color w:val="auto"/>
          <w:sz w:val="24"/>
          <w:szCs w:val="24"/>
          <w:highlight w:val="none"/>
          <w:lang w:val="en-US" w:eastAsia="zh-CN"/>
        </w:rPr>
      </w:pPr>
      <w:bookmarkStart w:id="50" w:name="_Toc20586"/>
      <w:r>
        <w:rPr>
          <w:rFonts w:hint="eastAsia" w:ascii="仿宋" w:hAnsi="仿宋" w:eastAsia="仿宋" w:cs="仿宋"/>
          <w:color w:val="auto"/>
          <w:sz w:val="24"/>
          <w:szCs w:val="24"/>
          <w:highlight w:val="none"/>
          <w:lang w:val="en-US" w:eastAsia="zh-CN"/>
        </w:rPr>
        <w:t>6.“书面形式”包括信函、传真、电报等。</w:t>
      </w:r>
      <w:bookmarkEnd w:id="50"/>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7.“▲”系指实质性要求条款。</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4、投标费用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无论投标结果如何，投标人须自行承担所有与参加投标有关的全部费用。</w:t>
      </w:r>
    </w:p>
    <w:p>
      <w:pPr>
        <w:spacing w:line="240" w:lineRule="auto"/>
        <w:ind w:firstLine="482" w:firstLineChars="200"/>
        <w:outlineLvl w:val="1"/>
        <w:rPr>
          <w:rFonts w:hint="eastAsia" w:ascii="仿宋" w:hAnsi="仿宋" w:eastAsia="仿宋" w:cs="仿宋"/>
          <w:b/>
          <w:bCs/>
          <w:color w:val="auto"/>
          <w:sz w:val="24"/>
          <w:szCs w:val="24"/>
          <w:highlight w:val="none"/>
          <w:lang w:val="en-US" w:eastAsia="zh-CN"/>
        </w:rPr>
      </w:pPr>
      <w:bookmarkStart w:id="51" w:name="_Toc14030"/>
      <w:bookmarkStart w:id="52" w:name="_Toc15840"/>
      <w:r>
        <w:rPr>
          <w:rFonts w:hint="eastAsia" w:ascii="仿宋" w:hAnsi="仿宋" w:eastAsia="仿宋" w:cs="仿宋"/>
          <w:b/>
          <w:bCs/>
          <w:color w:val="auto"/>
          <w:sz w:val="24"/>
          <w:szCs w:val="24"/>
          <w:highlight w:val="none"/>
          <w:lang w:val="en-US" w:eastAsia="zh-CN"/>
        </w:rPr>
        <w:t>5、招标方式</w:t>
      </w:r>
      <w:bookmarkEnd w:id="51"/>
      <w:bookmarkEnd w:id="52"/>
    </w:p>
    <w:p>
      <w:pPr>
        <w:spacing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本次招标采用公开招标方式进行。</w:t>
      </w:r>
    </w:p>
    <w:p>
      <w:pPr>
        <w:spacing w:line="240" w:lineRule="auto"/>
        <w:ind w:firstLine="482" w:firstLineChars="200"/>
        <w:outlineLvl w:val="1"/>
        <w:rPr>
          <w:rFonts w:hint="eastAsia" w:ascii="仿宋" w:hAnsi="仿宋" w:eastAsia="仿宋" w:cs="仿宋"/>
          <w:b/>
          <w:bCs/>
          <w:color w:val="auto"/>
          <w:sz w:val="24"/>
          <w:szCs w:val="24"/>
          <w:highlight w:val="none"/>
          <w:lang w:val="en-US" w:eastAsia="zh-CN"/>
        </w:rPr>
      </w:pPr>
      <w:bookmarkStart w:id="53" w:name="_Toc22117"/>
      <w:r>
        <w:rPr>
          <w:rFonts w:hint="eastAsia" w:ascii="仿宋" w:hAnsi="仿宋" w:eastAsia="仿宋" w:cs="仿宋"/>
          <w:b/>
          <w:bCs/>
          <w:color w:val="auto"/>
          <w:sz w:val="24"/>
          <w:szCs w:val="24"/>
          <w:highlight w:val="none"/>
          <w:lang w:val="en-US" w:eastAsia="zh-CN"/>
        </w:rPr>
        <w:t>6、联合体投标</w:t>
      </w:r>
      <w:bookmarkEnd w:id="53"/>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1联合体各方均应当满足《中华人民共和国政府采购法》第二十二条规定的条件，并在投标文件中提供联合体各方的相关证明材料。</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4联合体成员存在不良信用记录的，视同联合体存在不良信用记录。</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联合体各方均应满足《中华人民共和国政府采购法》第二十二条规定的条件。根据《中华人民共和国政府采购法实施条例》第二十二条，联合体中有同类资质的投标人按照联合体分工承担相同工作的，应当按照资质等级较低的投标人确定资质等级。</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6联合体各方应当共同与采购人签订采购合同，就合同约定的事项对采购人承担连带责任。</w:t>
      </w:r>
    </w:p>
    <w:p>
      <w:pPr>
        <w:spacing w:line="24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r>
        <w:rPr>
          <w:rFonts w:hint="eastAsia" w:ascii="仿宋" w:hAnsi="仿宋" w:eastAsia="仿宋" w:cs="仿宋"/>
          <w:b/>
          <w:bCs/>
          <w:color w:val="auto"/>
          <w:sz w:val="24"/>
          <w:szCs w:val="24"/>
          <w:highlight w:val="none"/>
          <w:lang w:val="en-US" w:eastAsia="zh-CN"/>
        </w:rPr>
        <w:t>本项目不接受联合体投标。</w:t>
      </w:r>
    </w:p>
    <w:p>
      <w:pPr>
        <w:spacing w:line="240" w:lineRule="auto"/>
        <w:ind w:firstLine="241" w:firstLineChars="100"/>
        <w:outlineLvl w:val="1"/>
        <w:rPr>
          <w:rFonts w:hint="eastAsia" w:ascii="仿宋" w:hAnsi="仿宋" w:eastAsia="仿宋" w:cs="仿宋"/>
          <w:b/>
          <w:bCs/>
          <w:color w:val="auto"/>
          <w:sz w:val="24"/>
          <w:szCs w:val="24"/>
          <w:highlight w:val="none"/>
          <w:lang w:val="en-US" w:eastAsia="zh-CN"/>
        </w:rPr>
      </w:pPr>
      <w:bookmarkStart w:id="54" w:name="_Toc21389"/>
      <w:bookmarkStart w:id="55" w:name="_Toc11478"/>
      <w:r>
        <w:rPr>
          <w:rFonts w:hint="eastAsia" w:ascii="仿宋" w:hAnsi="仿宋" w:eastAsia="仿宋" w:cs="仿宋"/>
          <w:b/>
          <w:bCs/>
          <w:color w:val="auto"/>
          <w:sz w:val="24"/>
          <w:szCs w:val="24"/>
          <w:highlight w:val="none"/>
          <w:lang w:val="en-US" w:eastAsia="zh-CN"/>
        </w:rPr>
        <w:t>7、转包与分包</w:t>
      </w:r>
      <w:bookmarkEnd w:id="54"/>
      <w:bookmarkEnd w:id="55"/>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1.本项目不允许转包。</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2.本项目不分包。</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3.投标人应仔细阅读招标文件的所有内容，按照招标文件的要求提交投标文件，并对所提供的全部资料的真实性承担法律责任。</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在投标活动中提供任何虚假材料,其投标无效，并报监管部门查处；中标后发现的,中标人须依照《中华人民共和国消费者权益保护法》第49条之规定双倍赔偿招标人，且民事赔偿并不免除违法投标人的行政与刑事责任。</w:t>
      </w:r>
    </w:p>
    <w:p>
      <w:pPr>
        <w:spacing w:line="240" w:lineRule="auto"/>
        <w:ind w:firstLine="241" w:firstLineChars="100"/>
        <w:outlineLvl w:val="1"/>
        <w:rPr>
          <w:rFonts w:hint="eastAsia" w:ascii="仿宋" w:hAnsi="仿宋" w:eastAsia="仿宋" w:cs="仿宋"/>
          <w:b/>
          <w:bCs/>
          <w:color w:val="auto"/>
          <w:sz w:val="24"/>
          <w:szCs w:val="24"/>
          <w:highlight w:val="none"/>
          <w:lang w:val="en-US" w:eastAsia="zh-CN"/>
        </w:rPr>
      </w:pPr>
      <w:bookmarkStart w:id="56" w:name="_Toc4294"/>
      <w:bookmarkStart w:id="57" w:name="_Toc14774"/>
      <w:r>
        <w:rPr>
          <w:rFonts w:hint="eastAsia" w:ascii="仿宋" w:hAnsi="仿宋" w:eastAsia="仿宋" w:cs="仿宋"/>
          <w:b/>
          <w:bCs/>
          <w:color w:val="auto"/>
          <w:sz w:val="24"/>
          <w:szCs w:val="24"/>
          <w:highlight w:val="none"/>
          <w:lang w:val="en-US" w:eastAsia="zh-CN"/>
        </w:rPr>
        <w:t>8、质疑和投诉</w:t>
      </w:r>
      <w:bookmarkEnd w:id="56"/>
      <w:bookmarkEnd w:id="57"/>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认为招标文件、招标过程或中标结果使自己的合法权益受到损害的，应当在知道或者应知其权益受到损害之日起七个工作日内，以书面形式向招标人、招标代理机构提出质疑。投标人对招标采购单位的质疑答复不满意或者招标采购单位未在规定时间内作出答复的，可以在答复期满后十五个工作日内向招标人投诉。</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spacing w:line="240" w:lineRule="auto"/>
        <w:ind w:firstLine="482" w:firstLineChars="200"/>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9、纪律与保密事项</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2在确定中标投标人之前，投标人不得与采购人就投标价格、投标方案等实质性内容进行谈判，也不得私下接触评标委员会成员。</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3在确定中标投标人之前，投标人试图在投标文件审查、澄清、比较和评价时对评标委员会、采购人和采购代理机构施加任何影响都可能导致其投标无效。</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4获得本招标文件者，须履行本项目下保密义务，不得将因本次项目获得的信息向第三人外传，不得将招标文件用作本次投标以外的任何用途。</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5由采购人向投标人其它资料，均为保密资料，仅被用于它所规定的用途。除非得到采购人的同意，不能向任何第三方透露。开标结束后，应采购人要求，投标人应归还所有从采购人处获得的保密资料。</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6采购人或采购代理机构有权将投标人提供的所有资料向有关政府部门或评审小组披露。</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在采购人或采购代理机构认为适当时、国家机关调查、审查、审计时以及其他符合法律规定的情形下，采购人或采购代理机构无须事先征求投标人同意而可以披露关于采购过程、合同文本、签署情况的资料、投标人的名称及地址、响应文件的有关信息以及补充条款等，但应当在合理的必要范围内。对任何已经公布过的内容或与之内容相同的资料，以及投标人已经泄露或公开的，无须再承担保密责任。</w:t>
      </w:r>
    </w:p>
    <w:p>
      <w:pPr>
        <w:numPr>
          <w:ilvl w:val="0"/>
          <w:numId w:val="4"/>
        </w:numPr>
        <w:spacing w:line="460" w:lineRule="exact"/>
        <w:jc w:val="center"/>
        <w:outlineLvl w:val="2"/>
        <w:rPr>
          <w:rFonts w:hint="eastAsia" w:ascii="仿宋" w:hAnsi="仿宋" w:eastAsia="仿宋" w:cs="仿宋"/>
          <w:b/>
          <w:color w:val="auto"/>
          <w:sz w:val="28"/>
          <w:szCs w:val="28"/>
          <w:highlight w:val="none"/>
        </w:rPr>
      </w:pPr>
      <w:bookmarkStart w:id="58" w:name="_Toc29853"/>
      <w:bookmarkStart w:id="59" w:name="_Toc1575"/>
      <w:r>
        <w:rPr>
          <w:rFonts w:hint="eastAsia" w:ascii="仿宋" w:hAnsi="仿宋" w:eastAsia="仿宋" w:cs="仿宋"/>
          <w:b/>
          <w:color w:val="auto"/>
          <w:sz w:val="28"/>
          <w:szCs w:val="28"/>
          <w:highlight w:val="none"/>
        </w:rPr>
        <w:t>招标文件</w:t>
      </w:r>
      <w:bookmarkEnd w:id="58"/>
      <w:bookmarkEnd w:id="59"/>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b/>
          <w:bCs/>
          <w:color w:val="auto"/>
          <w:sz w:val="24"/>
          <w:szCs w:val="24"/>
          <w:highlight w:val="none"/>
          <w:lang w:val="en-US" w:eastAsia="zh-CN"/>
        </w:rPr>
      </w:pPr>
      <w:bookmarkStart w:id="60" w:name="_Toc4675"/>
      <w:bookmarkStart w:id="61" w:name="_Toc24935"/>
      <w:r>
        <w:rPr>
          <w:rFonts w:hint="eastAsia" w:ascii="仿宋" w:hAnsi="仿宋" w:eastAsia="仿宋" w:cs="仿宋"/>
          <w:b/>
          <w:bCs/>
          <w:color w:val="auto"/>
          <w:sz w:val="24"/>
          <w:szCs w:val="24"/>
          <w:highlight w:val="none"/>
          <w:lang w:val="en-US" w:eastAsia="zh-CN"/>
        </w:rPr>
        <w:t>1、招标文件的构成。本招标文件由以下部份组成：</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第一章 招标公告</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第二章 投标人须知</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第三章 评标办法及标准</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第四章 招标需求</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第五章 合同主要条款</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第六章 投标文件格式</w:t>
      </w:r>
    </w:p>
    <w:p>
      <w:pPr>
        <w:spacing w:line="240" w:lineRule="auto"/>
        <w:outlineLvl w:val="1"/>
        <w:rPr>
          <w:rFonts w:hint="eastAsia" w:ascii="仿宋" w:hAnsi="仿宋" w:eastAsia="仿宋" w:cs="仿宋"/>
          <w:b/>
          <w:bCs/>
          <w:color w:val="auto"/>
          <w:sz w:val="24"/>
          <w:szCs w:val="24"/>
          <w:highlight w:val="none"/>
          <w:lang w:val="en-US" w:eastAsia="zh-CN"/>
        </w:rPr>
      </w:pPr>
      <w:bookmarkStart w:id="62" w:name="_Toc18044"/>
      <w:bookmarkStart w:id="63" w:name="_Toc12877"/>
      <w:r>
        <w:rPr>
          <w:rFonts w:hint="eastAsia" w:ascii="仿宋" w:hAnsi="仿宋" w:eastAsia="仿宋" w:cs="仿宋"/>
          <w:b/>
          <w:bCs/>
          <w:color w:val="auto"/>
          <w:sz w:val="24"/>
          <w:szCs w:val="24"/>
          <w:highlight w:val="none"/>
          <w:lang w:val="en-US" w:eastAsia="zh-CN"/>
        </w:rPr>
        <w:t>2、投标人的风险</w:t>
      </w:r>
      <w:bookmarkEnd w:id="62"/>
      <w:bookmarkEnd w:id="63"/>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投标人没有按照招标文件要求提供全部资料，或者投标人没有对招标文件在各方面作出实质性响应是投标人的风险，并可能导致其投标为无效标。</w:t>
      </w:r>
    </w:p>
    <w:p>
      <w:pPr>
        <w:spacing w:line="240" w:lineRule="auto"/>
        <w:outlineLvl w:val="1"/>
        <w:rPr>
          <w:rFonts w:hint="eastAsia" w:ascii="仿宋" w:hAnsi="仿宋" w:eastAsia="仿宋" w:cs="仿宋"/>
          <w:b/>
          <w:bCs/>
          <w:color w:val="auto"/>
          <w:sz w:val="24"/>
          <w:szCs w:val="24"/>
          <w:highlight w:val="none"/>
          <w:lang w:val="en-US" w:eastAsia="zh-CN"/>
        </w:rPr>
      </w:pPr>
      <w:bookmarkStart w:id="64" w:name="_Toc27766"/>
      <w:bookmarkStart w:id="65" w:name="_Toc15241"/>
      <w:r>
        <w:rPr>
          <w:rFonts w:hint="eastAsia" w:ascii="仿宋" w:hAnsi="仿宋" w:eastAsia="仿宋" w:cs="仿宋"/>
          <w:b/>
          <w:bCs/>
          <w:color w:val="auto"/>
          <w:sz w:val="24"/>
          <w:szCs w:val="24"/>
          <w:highlight w:val="none"/>
          <w:lang w:val="en-US" w:eastAsia="zh-CN"/>
        </w:rPr>
        <w:t>3、招标文件的澄清与修改</w:t>
      </w:r>
      <w:bookmarkEnd w:id="64"/>
      <w:bookmarkEnd w:id="65"/>
      <w:r>
        <w:rPr>
          <w:rFonts w:hint="eastAsia" w:ascii="仿宋" w:hAnsi="仿宋" w:eastAsia="仿宋" w:cs="仿宋"/>
          <w:b/>
          <w:bCs/>
          <w:color w:val="auto"/>
          <w:sz w:val="24"/>
          <w:szCs w:val="24"/>
          <w:highlight w:val="none"/>
          <w:lang w:val="en-US" w:eastAsia="zh-CN"/>
        </w:rPr>
        <w:t xml:space="preserve"> </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1.招标代理机构必须以书面形式答复投标人要求澄清的问题，并将不包含问题来源的答复书面通知所有购买招标文件的投标人；除书面答复以外的其他澄清方式及澄清内容均无效。</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2.招标文件澄清、答复、修改、补充的内容为招标文件的组成部分。当招标文件与招标文件的答复、澄清、修改、补充通知就同一内容的表述不一致时，以最后发出的书面文件为准。</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3.招标文件的澄清、答复、修改或补充都应该通过本代理机构以法定形式发布，招标人非通过本机构，不得擅自澄清、答复、修改或补充招标文件。</w:t>
      </w:r>
    </w:p>
    <w:p>
      <w:pPr>
        <w:spacing w:line="240" w:lineRule="auto"/>
        <w:jc w:val="center"/>
        <w:rPr>
          <w:rFonts w:hint="eastAsia" w:ascii="仿宋" w:hAnsi="仿宋" w:eastAsia="仿宋" w:cs="仿宋"/>
          <w:b/>
          <w:bCs/>
          <w:color w:val="auto"/>
          <w:sz w:val="24"/>
          <w:szCs w:val="24"/>
          <w:highlight w:val="none"/>
        </w:rPr>
      </w:pPr>
      <w:bookmarkStart w:id="66" w:name="_Toc521014779"/>
      <w:bookmarkStart w:id="67" w:name="_Toc503212211"/>
      <w:bookmarkStart w:id="68" w:name="_Toc29977"/>
      <w:bookmarkStart w:id="69" w:name="_Toc23068"/>
      <w:r>
        <w:rPr>
          <w:rFonts w:hint="eastAsia" w:ascii="仿宋" w:hAnsi="仿宋" w:eastAsia="仿宋" w:cs="仿宋"/>
          <w:b/>
          <w:bCs/>
          <w:color w:val="auto"/>
          <w:sz w:val="28"/>
          <w:szCs w:val="28"/>
          <w:highlight w:val="none"/>
        </w:rPr>
        <w:t>三、投标文件的编写</w:t>
      </w:r>
    </w:p>
    <w:p>
      <w:pPr>
        <w:spacing w:line="24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投标文件的组成</w:t>
      </w:r>
      <w:bookmarkEnd w:id="66"/>
      <w:bookmarkEnd w:id="67"/>
      <w:bookmarkEnd w:id="68"/>
      <w:bookmarkEnd w:id="69"/>
    </w:p>
    <w:p>
      <w:pPr>
        <w:spacing w:line="360" w:lineRule="auto"/>
        <w:ind w:firstLine="480" w:firstLineChars="200"/>
        <w:rPr>
          <w:rFonts w:hint="eastAsia" w:ascii="仿宋" w:hAnsi="仿宋" w:eastAsia="仿宋" w:cs="仿宋"/>
          <w:color w:val="auto"/>
          <w:sz w:val="24"/>
          <w:szCs w:val="24"/>
          <w:highlight w:val="none"/>
          <w:lang w:val="en-US" w:eastAsia="zh-CN"/>
        </w:rPr>
      </w:pPr>
      <w:bookmarkStart w:id="70" w:name="_Toc21340"/>
      <w:r>
        <w:rPr>
          <w:rFonts w:hint="eastAsia" w:ascii="仿宋" w:hAnsi="仿宋" w:eastAsia="仿宋" w:cs="仿宋"/>
          <w:color w:val="auto"/>
          <w:sz w:val="24"/>
          <w:szCs w:val="24"/>
          <w:highlight w:val="none"/>
          <w:lang w:val="en-US" w:eastAsia="zh-CN"/>
        </w:rPr>
        <w:t>1、投标文件由报价部分、商务部分、技术部分组成。</w:t>
      </w:r>
      <w:bookmarkEnd w:id="70"/>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2、投标单位应按招标文件的要求提供招标文件，并保证所有材料的真实性，以确保其投标对招标文件做出实质性的响应。</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3、招标文件使用的计量单位，应采用国家法定的计量单位。</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4、投标人所递交的投标文件应包含以下文件：</w:t>
      </w:r>
    </w:p>
    <w:bookmarkEnd w:id="60"/>
    <w:bookmarkEnd w:id="61"/>
    <w:p>
      <w:pPr>
        <w:spacing w:line="460" w:lineRule="exact"/>
        <w:rPr>
          <w:rFonts w:hint="eastAsia" w:ascii="仿宋" w:hAnsi="仿宋" w:eastAsia="仿宋" w:cs="仿宋"/>
          <w:b/>
          <w:bCs/>
          <w:color w:val="auto"/>
          <w:sz w:val="24"/>
          <w:szCs w:val="22"/>
          <w:highlight w:val="none"/>
        </w:rPr>
      </w:pPr>
      <w:r>
        <w:rPr>
          <w:rFonts w:hint="eastAsia" w:ascii="仿宋" w:hAnsi="仿宋" w:eastAsia="仿宋" w:cs="仿宋"/>
          <w:b/>
          <w:bCs/>
          <w:color w:val="auto"/>
          <w:sz w:val="24"/>
          <w:highlight w:val="none"/>
        </w:rPr>
        <w:t>投标文件由经济报价部分、商务部分、技术部分其他部分组成主要包括</w:t>
      </w:r>
      <w:r>
        <w:rPr>
          <w:rFonts w:hint="eastAsia" w:ascii="仿宋" w:hAnsi="仿宋" w:eastAsia="仿宋" w:cs="仿宋"/>
          <w:b/>
          <w:bCs/>
          <w:color w:val="auto"/>
          <w:sz w:val="24"/>
          <w:szCs w:val="22"/>
          <w:highlight w:val="none"/>
        </w:rPr>
        <w:t>：</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一、投 标 函</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二、投标文件真实性和不存在限制投标情形的声明</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三、开标一览表</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四、联合体协议书；</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五、法定代表人身份证明、法定代表人授权委托书</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六、投标保证金回单或电子保函凭证表</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七、技术规格功能要求偏离表</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八、商务条款偏离表</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九、本项目人员配置一览表</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十、最近三年同类项目业绩表</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十一、投标人基本情况表</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十二、质量保证书</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十三、售后货物承诺书</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十四、产品保证供货有效证明</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十五、符合《政府采购法》第二十二条规定的条件</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十六、投标单位（投标人）反商业贿赂承诺书</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十七、中小企业声明函(货物)</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十八、售后服务方案</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十九、培训服务方案</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二十、配件供应能力及承诺</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二十一、服务方案</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二十二、投标人</w:t>
      </w:r>
      <w:r>
        <w:rPr>
          <w:rFonts w:hint="eastAsia" w:ascii="仿宋" w:hAnsi="仿宋" w:eastAsia="仿宋" w:cs="仿宋"/>
          <w:sz w:val="24"/>
          <w:szCs w:val="24"/>
        </w:rPr>
        <w:t>实施方案</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二十三、不参与围标串标承诺书</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二十四、提供材料真实性承诺书</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二十五、投标人认为需要提供的其他资料</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法定代表人授权委托书、投标声明书、投标函、投标报价一览表必须由法定代表人签名或盖章并加盖单位公章。</w:t>
      </w:r>
    </w:p>
    <w:p>
      <w:pPr>
        <w:spacing w:line="360" w:lineRule="auto"/>
        <w:outlineLvl w:val="1"/>
        <w:rPr>
          <w:rFonts w:hint="eastAsia" w:ascii="仿宋" w:hAnsi="仿宋" w:eastAsia="仿宋" w:cs="仿宋"/>
          <w:b/>
          <w:bCs/>
          <w:color w:val="auto"/>
          <w:sz w:val="24"/>
          <w:szCs w:val="24"/>
          <w:highlight w:val="none"/>
        </w:rPr>
      </w:pPr>
      <w:bookmarkStart w:id="71" w:name="_Toc18015"/>
      <w:bookmarkStart w:id="72" w:name="_Toc14838"/>
      <w:bookmarkStart w:id="73" w:name="_Toc503212212"/>
      <w:bookmarkStart w:id="74" w:name="_Toc521014780"/>
      <w:bookmarkStart w:id="75" w:name="_Toc24112"/>
      <w:bookmarkStart w:id="76" w:name="_Toc28971"/>
      <w:r>
        <w:rPr>
          <w:rFonts w:hint="eastAsia" w:ascii="仿宋" w:hAnsi="仿宋" w:eastAsia="仿宋" w:cs="仿宋"/>
          <w:b/>
          <w:bCs/>
          <w:color w:val="auto"/>
          <w:sz w:val="24"/>
          <w:szCs w:val="24"/>
          <w:highlight w:val="none"/>
        </w:rPr>
        <w:t>投标文件的语言及计量</w:t>
      </w:r>
      <w:bookmarkEnd w:id="71"/>
      <w:bookmarkEnd w:id="72"/>
      <w:bookmarkEnd w:id="73"/>
      <w:bookmarkEnd w:id="74"/>
      <w:bookmarkEnd w:id="75"/>
      <w:bookmarkEnd w:id="76"/>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.投标文件以及投标方与招标方就有关投标事宜的所有来往函电，均应以中文汉语书写。除签名、盖章、专用名称等特殊情形外，以中文汉语以外的文字表述的投标文件视同未提供。</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▲2.投标计量单</w:t>
      </w:r>
      <w:r>
        <w:rPr>
          <w:rFonts w:hint="eastAsia" w:ascii="仿宋" w:hAnsi="仿宋" w:eastAsia="仿宋" w:cs="仿宋"/>
          <w:color w:val="auto"/>
          <w:sz w:val="24"/>
          <w:szCs w:val="24"/>
          <w:highlight w:val="none"/>
          <w:lang w:val="en-US" w:eastAsia="zh-CN"/>
        </w:rPr>
        <w:t>位，招标文件已有明确规定的，使用招标文件规定的计量单位；招标文件没有规定的，应采用中华人民共和国法定计量单位（货币单位：人民币元），否则视同未响应。</w:t>
      </w:r>
    </w:p>
    <w:p>
      <w:pPr>
        <w:spacing w:line="360" w:lineRule="auto"/>
        <w:rPr>
          <w:rFonts w:hint="eastAsia" w:ascii="仿宋" w:hAnsi="仿宋" w:eastAsia="仿宋" w:cs="仿宋"/>
          <w:b/>
          <w:bCs/>
          <w:color w:val="auto"/>
          <w:sz w:val="24"/>
          <w:szCs w:val="24"/>
          <w:highlight w:val="none"/>
        </w:rPr>
      </w:pPr>
      <w:bookmarkStart w:id="77" w:name="_Toc503212213"/>
      <w:bookmarkStart w:id="78" w:name="_Toc3970"/>
      <w:bookmarkStart w:id="79" w:name="_Toc6985"/>
      <w:bookmarkStart w:id="80" w:name="_Toc521014781"/>
      <w:r>
        <w:rPr>
          <w:rFonts w:hint="eastAsia" w:ascii="仿宋" w:hAnsi="仿宋" w:eastAsia="仿宋" w:cs="仿宋"/>
          <w:b/>
          <w:bCs/>
          <w:color w:val="auto"/>
          <w:sz w:val="24"/>
          <w:szCs w:val="24"/>
          <w:highlight w:val="none"/>
        </w:rPr>
        <w:t>投标报价</w:t>
      </w:r>
      <w:bookmarkEnd w:id="77"/>
      <w:bookmarkEnd w:id="78"/>
      <w:bookmarkEnd w:id="79"/>
      <w:bookmarkEnd w:id="80"/>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 报价应在招标报价表上标明单价和总价。单价和总价要相符。价格不一致时，</w:t>
      </w:r>
      <w:r>
        <w:rPr>
          <w:rFonts w:hint="eastAsia" w:ascii="仿宋" w:hAnsi="仿宋" w:eastAsia="仿宋" w:cs="仿宋"/>
          <w:color w:val="auto"/>
          <w:sz w:val="24"/>
          <w:szCs w:val="24"/>
          <w:highlight w:val="none"/>
          <w:lang w:val="en-US" w:eastAsia="zh-CN"/>
        </w:rPr>
        <w:t>根据《中华人民共和国财政部令第87号--政府采购货物和服务招标投标管理办法》第五十九条投标文件报价出现前后不一致的，除招标文件另有规定外，按照下列规定修正：</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（一）投标文件中开标一览表（报价表）内容与投标文件中相应内容不一致的，以开标一览表（报价表）为准；</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（二）大写金额和小写金额不一致的，以大写金额为准；</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（三）单价金额小数点或者百分比有明显错位的，以开标一览表的总价为准，并修改单价；</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（四）总价金额与单价汇总金额不一致的，以单价金额计算结果为准。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应在投标报价表中标明其提供的所有货物及其相关工作范围内所在费用的总价，不接受有任何选择性报价。</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▲3报价时应对下列几点特别注明：</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招标文件中特别要求的验收、税费和相关售后服务等费用及其它附带服务的全部费用。</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算术性修正。算术性修正是指对招标响应文件的报价明细进行校核，并对其算术上和运算上的差错给予修正。修正的原则如下：</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 当以数字表示的金额与文字表示的金额有差异时，以文字表示的金额为准；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 当单价与数量相乘不等于合价时，以单价计算为准。如果单价有明显的小数点位置差错，应以标出的合价为准，同时对单价予以修正；</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 当各明细部分的价格累计不等于合价时，应以各明细的累计计数为准，修正合价。</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 按以上原则对算术性差错修正，应取得</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的同意，并确认修正后最终招标报价。如果</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拒绝确认，则其招标响应文件将不予以评审并按废标处理，没收其投标担保。</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5 </w:t>
      </w:r>
      <w:r>
        <w:rPr>
          <w:rFonts w:hint="eastAsia" w:ascii="仿宋" w:hAnsi="仿宋" w:eastAsia="仿宋" w:cs="仿宋"/>
          <w:color w:val="auto"/>
          <w:sz w:val="24"/>
          <w:szCs w:val="24"/>
          <w:highlight w:val="none"/>
        </w:rPr>
        <w:t>投标文件只允许有一个报价，有选择的或有条件的报价将不予接受。</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6 </w:t>
      </w:r>
      <w:r>
        <w:rPr>
          <w:rFonts w:hint="eastAsia" w:ascii="仿宋" w:hAnsi="仿宋" w:eastAsia="仿宋" w:cs="仿宋"/>
          <w:color w:val="auto"/>
          <w:sz w:val="24"/>
          <w:szCs w:val="24"/>
          <w:highlight w:val="none"/>
        </w:rPr>
        <w:t>招标代理服务费由中标单位支付，投标单位在报价时请考虑。</w:t>
      </w:r>
    </w:p>
    <w:p>
      <w:pPr>
        <w:spacing w:line="360" w:lineRule="auto"/>
        <w:rPr>
          <w:rFonts w:hint="eastAsia" w:ascii="仿宋" w:hAnsi="仿宋" w:eastAsia="仿宋" w:cs="仿宋"/>
          <w:b/>
          <w:bCs/>
          <w:color w:val="auto"/>
          <w:sz w:val="24"/>
          <w:szCs w:val="24"/>
          <w:highlight w:val="none"/>
        </w:rPr>
      </w:pPr>
      <w:bookmarkStart w:id="81" w:name="_Toc521014782"/>
      <w:bookmarkStart w:id="82" w:name="_Toc503212214"/>
      <w:bookmarkStart w:id="83" w:name="_Toc21211"/>
      <w:bookmarkStart w:id="84" w:name="_Toc21800"/>
      <w:r>
        <w:rPr>
          <w:rFonts w:hint="eastAsia" w:ascii="仿宋" w:hAnsi="仿宋" w:eastAsia="仿宋" w:cs="仿宋"/>
          <w:b/>
          <w:bCs/>
          <w:color w:val="auto"/>
          <w:sz w:val="24"/>
          <w:szCs w:val="24"/>
          <w:highlight w:val="none"/>
        </w:rPr>
        <w:t>投标文件的有效期</w:t>
      </w:r>
      <w:bookmarkEnd w:id="81"/>
      <w:bookmarkEnd w:id="82"/>
      <w:bookmarkEnd w:id="83"/>
      <w:bookmarkEnd w:id="84"/>
    </w:p>
    <w:p>
      <w:pPr>
        <w:spacing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▲1.自投标截止日起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90</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天投标文件应保持有效。有效期不足的投标文件将被拒绝。</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2.在特殊情况下，招标人可与投标人协商延长投标书的有效期，这种要求和答复均以书面形式进行。</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3.投标人可拒绝接受延期要求而不会导致投标保证金被没收。同意延长有效期的投标人需要相应延长投标保证金的有效期，但不能修改投标文件。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4.中标人的投标文件自开标之日起至合同履行完毕止均应保持有效。</w:t>
      </w:r>
    </w:p>
    <w:p>
      <w:pPr>
        <w:spacing w:line="360" w:lineRule="auto"/>
        <w:rPr>
          <w:rFonts w:hint="eastAsia" w:ascii="仿宋" w:hAnsi="仿宋" w:eastAsia="仿宋" w:cs="仿宋"/>
          <w:b/>
          <w:bCs/>
          <w:color w:val="auto"/>
          <w:sz w:val="24"/>
          <w:szCs w:val="24"/>
          <w:highlight w:val="none"/>
        </w:rPr>
      </w:pPr>
      <w:bookmarkStart w:id="85" w:name="_Toc503212215"/>
      <w:bookmarkStart w:id="86" w:name="_Toc16117"/>
      <w:bookmarkStart w:id="87" w:name="_Toc22838"/>
      <w:bookmarkStart w:id="88" w:name="_Toc521014783"/>
      <w:r>
        <w:rPr>
          <w:rFonts w:hint="eastAsia" w:ascii="仿宋" w:hAnsi="仿宋" w:eastAsia="仿宋" w:cs="仿宋"/>
          <w:b/>
          <w:bCs/>
          <w:color w:val="auto"/>
          <w:sz w:val="24"/>
          <w:szCs w:val="24"/>
          <w:highlight w:val="none"/>
        </w:rPr>
        <w:t>投标保证金</w:t>
      </w:r>
      <w:bookmarkEnd w:id="85"/>
      <w:bookmarkEnd w:id="86"/>
      <w:bookmarkEnd w:id="87"/>
      <w:bookmarkEnd w:id="88"/>
    </w:p>
    <w:p>
      <w:pPr>
        <w:spacing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▲1.投标人须按规定提交投标保证金</w:t>
      </w:r>
      <w:r>
        <w:rPr>
          <w:rFonts w:hint="eastAsia" w:ascii="仿宋" w:hAnsi="仿宋" w:eastAsia="仿宋" w:cs="仿宋"/>
          <w:color w:val="auto"/>
          <w:sz w:val="24"/>
          <w:szCs w:val="24"/>
          <w:highlight w:val="none"/>
          <w:lang w:val="en-US" w:eastAsia="zh-CN"/>
        </w:rPr>
        <w:t>或电子保函</w:t>
      </w:r>
      <w:r>
        <w:rPr>
          <w:rFonts w:hint="eastAsia" w:ascii="仿宋" w:hAnsi="仿宋" w:eastAsia="仿宋" w:cs="仿宋"/>
          <w:color w:val="auto"/>
          <w:sz w:val="24"/>
          <w:szCs w:val="24"/>
          <w:highlight w:val="none"/>
        </w:rPr>
        <w:t>。否则，其投标将被拒绝。</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2.保证金形式：</w:t>
      </w:r>
      <w:r>
        <w:rPr>
          <w:rFonts w:hint="eastAsia" w:ascii="仿宋" w:hAnsi="仿宋" w:eastAsia="仿宋" w:cs="仿宋"/>
          <w:color w:val="auto"/>
          <w:sz w:val="24"/>
          <w:szCs w:val="24"/>
          <w:highlight w:val="none"/>
          <w:lang w:val="en-US" w:eastAsia="zh-CN"/>
        </w:rPr>
        <w:t>转账、汇款</w:t>
      </w:r>
      <w:r>
        <w:rPr>
          <w:rFonts w:hint="eastAsia" w:ascii="仿宋" w:hAnsi="仿宋" w:eastAsia="仿宋" w:cs="仿宋"/>
          <w:color w:val="auto"/>
          <w:sz w:val="24"/>
          <w:szCs w:val="24"/>
          <w:highlight w:val="none"/>
        </w:rPr>
        <w:t>（必须从基本账户转出）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电子保函</w:t>
      </w:r>
      <w:r>
        <w:rPr>
          <w:rFonts w:hint="eastAsia" w:ascii="仿宋" w:hAnsi="仿宋" w:eastAsia="仿宋" w:cs="仿宋"/>
          <w:color w:val="auto"/>
          <w:sz w:val="24"/>
          <w:szCs w:val="24"/>
          <w:highlight w:val="none"/>
        </w:rPr>
        <w:t xml:space="preserve">。 </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3.未中标人的投标保证金在公示期截止后退还。</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4.中标人的投标保证金在中标通知书发出签订正式采购合同，</w:t>
      </w:r>
      <w:r>
        <w:rPr>
          <w:rFonts w:hint="eastAsia" w:ascii="仿宋" w:hAnsi="仿宋" w:eastAsia="仿宋" w:cs="仿宋"/>
          <w:color w:val="auto"/>
          <w:sz w:val="24"/>
          <w:szCs w:val="24"/>
          <w:highlight w:val="none"/>
          <w:lang w:val="en-US" w:eastAsia="zh-CN"/>
        </w:rPr>
        <w:t>需提供一份合同原件及相关材料办理退还投标保证金事宜</w:t>
      </w:r>
      <w:r>
        <w:rPr>
          <w:rFonts w:hint="eastAsia" w:ascii="仿宋" w:hAnsi="仿宋" w:eastAsia="仿宋" w:cs="仿宋"/>
          <w:color w:val="auto"/>
          <w:sz w:val="24"/>
          <w:szCs w:val="24"/>
          <w:highlight w:val="none"/>
        </w:rPr>
        <w:t>。</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5.保证金不计息。</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6.投标人有下列情形之一的，投标保证金将不予退还：</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（1）投标人在投标有效期内撤回投标文件的；</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（2）投标人在投标过程中弄虚作假，提供虚假材料的；</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（3）中标人无正当理由不与招标人签订合同的；</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（4）其他严重扰乱招投标程序的。</w:t>
      </w:r>
    </w:p>
    <w:p>
      <w:pPr>
        <w:spacing w:line="360" w:lineRule="auto"/>
        <w:rPr>
          <w:rFonts w:hint="eastAsia" w:ascii="仿宋" w:hAnsi="仿宋" w:eastAsia="仿宋" w:cs="仿宋"/>
          <w:b/>
          <w:bCs/>
          <w:color w:val="auto"/>
          <w:sz w:val="24"/>
          <w:szCs w:val="24"/>
          <w:highlight w:val="none"/>
        </w:rPr>
      </w:pPr>
      <w:bookmarkStart w:id="89" w:name="_Toc521014784"/>
      <w:bookmarkStart w:id="90" w:name="_Toc25982"/>
      <w:bookmarkStart w:id="91" w:name="_Toc503212216"/>
      <w:bookmarkStart w:id="92" w:name="_Toc4584"/>
      <w:r>
        <w:rPr>
          <w:rFonts w:hint="eastAsia" w:ascii="仿宋" w:hAnsi="仿宋" w:eastAsia="仿宋" w:cs="仿宋"/>
          <w:b/>
          <w:bCs/>
          <w:color w:val="auto"/>
          <w:sz w:val="24"/>
          <w:szCs w:val="24"/>
          <w:highlight w:val="none"/>
        </w:rPr>
        <w:t>投标文件的签署和</w:t>
      </w:r>
      <w:bookmarkEnd w:id="89"/>
      <w:bookmarkEnd w:id="90"/>
      <w:bookmarkEnd w:id="91"/>
      <w:bookmarkEnd w:id="92"/>
      <w:r>
        <w:rPr>
          <w:rFonts w:hint="eastAsia" w:ascii="仿宋" w:hAnsi="仿宋" w:eastAsia="仿宋" w:cs="仿宋"/>
          <w:b/>
          <w:bCs/>
          <w:color w:val="auto"/>
          <w:sz w:val="24"/>
          <w:szCs w:val="24"/>
          <w:highlight w:val="none"/>
          <w:lang w:eastAsia="zh-CN"/>
        </w:rPr>
        <w:t>递交</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投标人应按本招标文件规定的格式和顺序编制、装订投标文件并标注页码，投标文件内容不完整、编排混乱</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上传不完整</w:t>
      </w:r>
      <w:r>
        <w:rPr>
          <w:rFonts w:hint="eastAsia" w:ascii="仿宋" w:hAnsi="仿宋" w:eastAsia="仿宋" w:cs="仿宋"/>
          <w:color w:val="auto"/>
          <w:sz w:val="24"/>
          <w:szCs w:val="24"/>
          <w:highlight w:val="none"/>
        </w:rPr>
        <w:t>导致投标文件被误读、漏读或者查找不到相关内容的，是投标人的责任。</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投标人应于</w:t>
      </w:r>
      <w:r>
        <w:rPr>
          <w:rFonts w:hint="eastAsia" w:ascii="仿宋" w:hAnsi="仿宋" w:eastAsia="仿宋" w:cs="仿宋"/>
          <w:color w:val="auto"/>
          <w:sz w:val="24"/>
          <w:szCs w:val="24"/>
          <w:highlight w:val="none"/>
          <w:lang w:val="en-US" w:eastAsia="zh-CN"/>
        </w:rPr>
        <w:t>2024年01月24日</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北京时间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前将电子投标文件上传到“</w:t>
      </w:r>
      <w:r>
        <w:rPr>
          <w:rFonts w:hint="eastAsia" w:ascii="仿宋" w:hAnsi="仿宋" w:eastAsia="仿宋" w:cs="仿宋"/>
          <w:color w:val="auto"/>
          <w:sz w:val="24"/>
          <w:szCs w:val="24"/>
          <w:highlight w:val="none"/>
          <w:lang w:eastAsia="zh-CN"/>
        </w:rPr>
        <w:t>新疆政府采购</w:t>
      </w:r>
      <w:r>
        <w:rPr>
          <w:rFonts w:hint="eastAsia" w:ascii="仿宋" w:hAnsi="仿宋" w:eastAsia="仿宋" w:cs="仿宋"/>
          <w:color w:val="auto"/>
          <w:sz w:val="24"/>
          <w:szCs w:val="24"/>
          <w:highlight w:val="none"/>
        </w:rPr>
        <w:t>”平台。应按照本项目招标文件和</w:t>
      </w:r>
      <w:r>
        <w:rPr>
          <w:rFonts w:hint="eastAsia" w:ascii="仿宋" w:hAnsi="仿宋" w:eastAsia="仿宋" w:cs="仿宋"/>
          <w:color w:val="auto"/>
          <w:sz w:val="24"/>
          <w:szCs w:val="24"/>
          <w:highlight w:val="none"/>
          <w:lang w:eastAsia="zh-CN"/>
        </w:rPr>
        <w:t>新疆政府采购</w:t>
      </w:r>
      <w:r>
        <w:rPr>
          <w:rFonts w:hint="eastAsia" w:ascii="仿宋" w:hAnsi="仿宋" w:eastAsia="仿宋" w:cs="仿宋"/>
          <w:color w:val="auto"/>
          <w:sz w:val="24"/>
          <w:szCs w:val="24"/>
          <w:highlight w:val="none"/>
        </w:rPr>
        <w:t>平台的要求编制、加密传输投标文件。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在使用系统进行投标的过程中遇到涉及平台使用的任何问题，可致电</w:t>
      </w:r>
      <w:r>
        <w:rPr>
          <w:rFonts w:hint="eastAsia" w:ascii="仿宋" w:hAnsi="仿宋" w:eastAsia="仿宋" w:cs="仿宋"/>
          <w:color w:val="auto"/>
          <w:sz w:val="24"/>
          <w:szCs w:val="24"/>
          <w:highlight w:val="none"/>
          <w:lang w:eastAsia="zh-CN"/>
        </w:rPr>
        <w:t>新疆政府采购</w:t>
      </w:r>
      <w:r>
        <w:rPr>
          <w:rFonts w:hint="eastAsia" w:ascii="仿宋" w:hAnsi="仿宋" w:eastAsia="仿宋" w:cs="仿宋"/>
          <w:color w:val="auto"/>
          <w:sz w:val="24"/>
          <w:szCs w:val="24"/>
          <w:highlight w:val="none"/>
        </w:rPr>
        <w:t>平台技术支持热线咨询，联系方式：</w:t>
      </w:r>
      <w:r>
        <w:rPr>
          <w:rFonts w:hint="eastAsia" w:ascii="仿宋" w:hAnsi="仿宋" w:eastAsia="仿宋" w:cs="仿宋"/>
          <w:color w:val="auto"/>
          <w:sz w:val="24"/>
          <w:szCs w:val="24"/>
          <w:highlight w:val="none"/>
          <w:lang w:val="en-US" w:eastAsia="zh-CN"/>
        </w:rPr>
        <w:t>95763</w:t>
      </w:r>
      <w:r>
        <w:rPr>
          <w:rFonts w:hint="eastAsia" w:ascii="仿宋" w:hAnsi="仿宋" w:eastAsia="仿宋" w:cs="仿宋"/>
          <w:color w:val="auto"/>
          <w:sz w:val="24"/>
          <w:szCs w:val="24"/>
          <w:highlight w:val="none"/>
        </w:rPr>
        <w:t>。</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.投标文件须由投标人在规定位置盖章并由法定代表人或法定代表人的授权委托人签署，投标人应写全称。</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.投标文件</w:t>
      </w:r>
      <w:r>
        <w:rPr>
          <w:rFonts w:hint="eastAsia" w:ascii="仿宋" w:hAnsi="仿宋" w:eastAsia="仿宋" w:cs="仿宋"/>
          <w:color w:val="auto"/>
          <w:sz w:val="24"/>
          <w:szCs w:val="24"/>
          <w:highlight w:val="none"/>
          <w:lang w:val="en-US" w:eastAsia="zh-CN"/>
        </w:rPr>
        <w:t>应严格响应招标文件要求，有表述</w:t>
      </w:r>
      <w:r>
        <w:rPr>
          <w:rFonts w:hint="eastAsia" w:ascii="仿宋" w:hAnsi="仿宋" w:eastAsia="仿宋" w:cs="仿宋"/>
          <w:color w:val="auto"/>
          <w:sz w:val="24"/>
          <w:szCs w:val="24"/>
          <w:highlight w:val="none"/>
        </w:rPr>
        <w:t>不清所引起的后果由投标人负责。</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、本项目实行网上投标，采用电子投标文件。若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参与投标，自行承担投标一切费用。 </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应在开标前应确保成为正式注册入库</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，并完成CA数字证书申领。因未注册入库、未办理CA数字证书等原因造成无法投标或投标失败等后果由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自行承担。 </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、本项目为电子招投标，投标人需要使用CA加密设备，有意向参与新疆区域电子开评标的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，请访问新疆数字证书认证中心官方网站（https://www.xjca.com.cn/）或下载;“新疆政务通”APP自行进行申领。如需咨询，请联系新疆CA服务热线0991-2819290</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将政采云电子交易客户端下载、安装完成后，可通过账号密码或CA登录客户端进行投标文件制作。在使用政采云投标客户端时，建议使用WIN7及以上操作系统。客户端请至新疆政府采购网（</w:t>
      </w:r>
      <w:r>
        <w:rPr>
          <w:rFonts w:hint="eastAsia" w:ascii="仿宋" w:hAnsi="仿宋" w:eastAsia="仿宋" w:cs="仿宋"/>
          <w:color w:val="auto"/>
          <w:sz w:val="24"/>
          <w:szCs w:val="24"/>
          <w:highlight w:val="none"/>
          <w:lang w:eastAsia="zh-CN"/>
        </w:rPr>
        <w:t>http://www.ccgp-xinjiang.gov.cn/</w:t>
      </w:r>
      <w:r>
        <w:rPr>
          <w:rFonts w:hint="eastAsia" w:ascii="仿宋" w:hAnsi="仿宋" w:eastAsia="仿宋" w:cs="仿宋"/>
          <w:color w:val="auto"/>
          <w:sz w:val="24"/>
          <w:szCs w:val="24"/>
          <w:highlight w:val="none"/>
        </w:rPr>
        <w:t>/）下载专区查看，如有问题可拨打政采云客户服务热线400-881-7190进行咨询。</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开标时间后</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lang w:eastAsia="zh-CN"/>
        </w:rPr>
        <w:t>分钟内投标人</w:t>
      </w:r>
      <w:r>
        <w:rPr>
          <w:rFonts w:hint="eastAsia" w:ascii="仿宋" w:hAnsi="仿宋" w:eastAsia="仿宋" w:cs="仿宋"/>
          <w:color w:val="auto"/>
          <w:sz w:val="24"/>
          <w:szCs w:val="24"/>
          <w:highlight w:val="none"/>
        </w:rPr>
        <w:t>可以登录“政采云”平台，用“项目采购-开标评标”功能进行解密投标文件。若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在规定时间内未按时解密的，视为投标文件撤回。</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因系统（非投标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行为）的原因，造成投标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未能在规定的解密时限内解密的，请及时与招标代理机构或与新疆政府采购网投标客户端进行联系。</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投标文件未按规定上传的，视为其自动放弃投标。</w:t>
      </w:r>
    </w:p>
    <w:p>
      <w:pPr>
        <w:spacing w:line="360" w:lineRule="auto"/>
        <w:rPr>
          <w:rFonts w:hint="eastAsia" w:ascii="仿宋" w:hAnsi="仿宋" w:eastAsia="仿宋" w:cs="仿宋"/>
          <w:b/>
          <w:bCs/>
          <w:color w:val="auto"/>
          <w:sz w:val="24"/>
          <w:szCs w:val="24"/>
          <w:highlight w:val="none"/>
        </w:rPr>
      </w:pPr>
      <w:bookmarkStart w:id="93" w:name="_Toc6355"/>
      <w:bookmarkStart w:id="94" w:name="_Toc503212218"/>
      <w:bookmarkStart w:id="95" w:name="_Toc4197"/>
      <w:bookmarkStart w:id="96" w:name="_Toc521014786"/>
      <w:bookmarkStart w:id="97" w:name="_Toc17234"/>
      <w:bookmarkStart w:id="98" w:name="_Toc18548"/>
      <w:r>
        <w:rPr>
          <w:rFonts w:hint="eastAsia" w:ascii="仿宋" w:hAnsi="仿宋" w:eastAsia="仿宋" w:cs="仿宋"/>
          <w:b/>
          <w:bCs/>
          <w:color w:val="auto"/>
          <w:sz w:val="24"/>
          <w:szCs w:val="24"/>
          <w:highlight w:val="none"/>
        </w:rPr>
        <w:t>投标文件的修改、撤回与撤销</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2投标人在投标截止期后不得修改、撤回投标文件。投标人在投标截止期后修改投标文件的，其投标无效。</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3若</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在规定的时间内（“投标人须知前附表”的中规定）未能解密的，也将被视为</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对其投标文件的撤回。</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投标文件的解密</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投标有效期</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1投标有效期内投标人撤销投标文件的，采购人或者采购代理机构可以不退还投标保证金（如有）。采用投标保函方式替代保证金的，采购人或者采购代理机构可以向担保机构索赔保证金。</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投标无效的情形</w:t>
      </w:r>
      <w:bookmarkEnd w:id="93"/>
      <w:bookmarkEnd w:id="94"/>
      <w:bookmarkEnd w:id="95"/>
      <w:bookmarkEnd w:id="96"/>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1投标文件未按照招标文件要求签署、盖章；</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2不符合招标文件中规定的资格要求；</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3投标报价超过招标文件中规定的预算金额或最高限价；</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4投标文件含有采购人不能接受的附加条件；</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5有关法律、法规和规章及招标文件规定的其他无效情形。</w:t>
      </w:r>
    </w:p>
    <w:p>
      <w:pPr>
        <w:numPr>
          <w:ilvl w:val="0"/>
          <w:numId w:val="5"/>
        </w:numPr>
        <w:spacing w:line="360" w:lineRule="auto"/>
        <w:ind w:left="3780" w:leftChars="0" w:firstLineChars="0"/>
        <w:jc w:val="left"/>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开    标</w:t>
      </w:r>
      <w:bookmarkEnd w:id="97"/>
      <w:bookmarkEnd w:id="98"/>
    </w:p>
    <w:p>
      <w:pPr>
        <w:pStyle w:val="24"/>
        <w:snapToGrid w:val="0"/>
        <w:spacing w:line="360" w:lineRule="auto"/>
        <w:rPr>
          <w:rFonts w:hint="eastAsia" w:ascii="仿宋" w:hAnsi="仿宋" w:eastAsia="仿宋" w:cs="仿宋"/>
          <w:b/>
          <w:bCs/>
          <w:color w:val="auto"/>
          <w:kern w:val="2"/>
          <w:sz w:val="24"/>
          <w:szCs w:val="24"/>
          <w:highlight w:val="none"/>
          <w:lang w:val="en-US" w:eastAsia="zh-CN" w:bidi="ar-SA"/>
        </w:rPr>
      </w:pPr>
      <w:bookmarkStart w:id="99" w:name="_Toc12791"/>
      <w:bookmarkStart w:id="100" w:name="_Toc11241"/>
      <w:r>
        <w:rPr>
          <w:rFonts w:hint="eastAsia" w:ascii="仿宋" w:hAnsi="仿宋" w:eastAsia="仿宋" w:cs="仿宋"/>
          <w:b/>
          <w:bCs/>
          <w:color w:val="auto"/>
          <w:kern w:val="2"/>
          <w:sz w:val="24"/>
          <w:szCs w:val="24"/>
          <w:highlight w:val="none"/>
          <w:lang w:val="en-US" w:eastAsia="zh-CN" w:bidi="ar-SA"/>
        </w:rPr>
        <w:t>（一）开标准备</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招标代理机构将在规定的时间和地点进行开标，投标投标人无需到场，但应按照招标文件要求按时参与网上投标文件解密。（本项目实行网上投标，采用电子投标文件。若投标人参与投标，自行承担投标一切费用；各投标人应在开标前应确保成为新疆政府采购网正式注册入库投标人，并完成CA数字证书申领。因未注册入库、未办理CA数字证书等原因造成无法投标或投标失败等后果由投标人自行承担；投标人将新疆政府采购电子交易客户端下载、安装完成后，可通过账号密码或CA登录客户端进行投标文件制作。在使用新疆政府采购投标客户端时，建议使用WIN7及以上操作系统。客户端请至新疆政府采购网（</w:t>
      </w:r>
      <w:r>
        <w:rPr>
          <w:rFonts w:hint="eastAsia" w:ascii="仿宋" w:hAnsi="仿宋" w:eastAsia="仿宋" w:cs="仿宋"/>
          <w:color w:val="auto"/>
          <w:kern w:val="2"/>
          <w:sz w:val="24"/>
          <w:szCs w:val="24"/>
          <w:highlight w:val="none"/>
          <w:lang w:val="en-US" w:eastAsia="zh-CN" w:bidi="ar-SA"/>
        </w:rPr>
        <w:fldChar w:fldCharType="begin"/>
      </w:r>
      <w:r>
        <w:rPr>
          <w:rFonts w:hint="eastAsia" w:ascii="仿宋" w:hAnsi="仿宋" w:eastAsia="仿宋" w:cs="仿宋"/>
          <w:color w:val="auto"/>
          <w:kern w:val="2"/>
          <w:sz w:val="24"/>
          <w:szCs w:val="24"/>
          <w:highlight w:val="none"/>
          <w:lang w:val="en-US" w:eastAsia="zh-CN" w:bidi="ar-SA"/>
        </w:rPr>
        <w:instrText xml:space="preserve"> HYPERLINK "http://www.ccgp-xinjiang.gov.cn/" </w:instrText>
      </w:r>
      <w:r>
        <w:rPr>
          <w:rFonts w:hint="eastAsia" w:ascii="仿宋" w:hAnsi="仿宋" w:eastAsia="仿宋" w:cs="仿宋"/>
          <w:color w:val="auto"/>
          <w:kern w:val="2"/>
          <w:sz w:val="24"/>
          <w:szCs w:val="24"/>
          <w:highlight w:val="none"/>
          <w:lang w:val="en-US" w:eastAsia="zh-CN" w:bidi="ar-SA"/>
        </w:rPr>
        <w:fldChar w:fldCharType="separate"/>
      </w:r>
      <w:r>
        <w:rPr>
          <w:rFonts w:hint="eastAsia" w:ascii="仿宋" w:hAnsi="仿宋" w:eastAsia="仿宋" w:cs="仿宋"/>
          <w:color w:val="auto"/>
          <w:kern w:val="2"/>
          <w:sz w:val="24"/>
          <w:szCs w:val="24"/>
          <w:highlight w:val="none"/>
          <w:lang w:val="en-US" w:eastAsia="zh-CN" w:bidi="ar-SA"/>
        </w:rPr>
        <w:t>http://www.ccgp-xinjiang.gov.cn/</w:t>
      </w:r>
      <w:r>
        <w:rPr>
          <w:rFonts w:hint="eastAsia" w:ascii="仿宋" w:hAnsi="仿宋" w:eastAsia="仿宋" w:cs="仿宋"/>
          <w:color w:val="auto"/>
          <w:kern w:val="2"/>
          <w:sz w:val="24"/>
          <w:szCs w:val="24"/>
          <w:highlight w:val="none"/>
          <w:lang w:val="en-US" w:eastAsia="zh-CN" w:bidi="ar-SA"/>
        </w:rPr>
        <w:fldChar w:fldCharType="end"/>
      </w:r>
      <w:r>
        <w:rPr>
          <w:rFonts w:hint="eastAsia" w:ascii="仿宋" w:hAnsi="仿宋" w:eastAsia="仿宋" w:cs="仿宋"/>
          <w:color w:val="auto"/>
          <w:kern w:val="2"/>
          <w:sz w:val="24"/>
          <w:szCs w:val="24"/>
          <w:highlight w:val="none"/>
          <w:lang w:val="en-US" w:eastAsia="zh-CN" w:bidi="ar-SA"/>
        </w:rPr>
        <w:t>）下载专区查看，如有问题可拨打新疆政府采购客户服务热线95763进行咨询。）</w:t>
      </w:r>
    </w:p>
    <w:p>
      <w:pPr>
        <w:pStyle w:val="24"/>
        <w:snapToGrid w:val="0"/>
        <w:spacing w:line="360" w:lineRule="auto"/>
        <w:outlineLvl w:val="1"/>
        <w:rPr>
          <w:rFonts w:hint="eastAsia" w:ascii="仿宋" w:hAnsi="仿宋" w:eastAsia="仿宋" w:cs="仿宋"/>
          <w:b/>
          <w:bCs/>
          <w:color w:val="auto"/>
          <w:kern w:val="2"/>
          <w:sz w:val="24"/>
          <w:szCs w:val="24"/>
          <w:highlight w:val="none"/>
          <w:lang w:val="en-US" w:eastAsia="zh-CN" w:bidi="ar-SA"/>
        </w:rPr>
      </w:pPr>
      <w:bookmarkStart w:id="101" w:name="_Toc1875"/>
      <w:bookmarkStart w:id="102" w:name="_Toc24853"/>
      <w:r>
        <w:rPr>
          <w:rFonts w:hint="eastAsia" w:ascii="仿宋" w:hAnsi="仿宋" w:eastAsia="仿宋" w:cs="仿宋"/>
          <w:b/>
          <w:bCs/>
          <w:color w:val="auto"/>
          <w:kern w:val="2"/>
          <w:sz w:val="24"/>
          <w:szCs w:val="24"/>
          <w:highlight w:val="none"/>
          <w:lang w:val="en-US" w:eastAsia="zh-CN" w:bidi="ar-SA"/>
        </w:rPr>
        <w:t>（二） 开标程序：</w:t>
      </w:r>
      <w:bookmarkEnd w:id="101"/>
      <w:bookmarkEnd w:id="102"/>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开标程序</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自行承担。</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1.2开标异议</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投标人代表对开标过程和开标记录有疑义，以及认为采购人、采购代理机构相关工作人员有需要回避的情形的，应当场提出询问或者回避申请。投标人未参加开标的，视同认可开标结果。</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 投标截止时间后，投标人不足须知前附表中约定的有效</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家数的，不得开标。同时，本次采购活动结束。</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1.4开标时出现下列情况的，视为投标无效处理：</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（1）经检查数字证书无效的；</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（2）因投标人自身原因，未在规定时间内完成电子投标文件解密的；</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5"/>
        <w:jc w:val="center"/>
        <w:rPr>
          <w:rFonts w:hint="eastAsia" w:ascii="仿宋" w:hAnsi="仿宋" w:eastAsia="仿宋" w:cs="仿宋"/>
          <w:color w:val="auto"/>
          <w:highlight w:val="none"/>
        </w:rPr>
      </w:pPr>
      <w:r>
        <w:rPr>
          <w:rFonts w:hint="eastAsia" w:ascii="仿宋" w:hAnsi="仿宋" w:eastAsia="仿宋" w:cs="仿宋"/>
          <w:bCs w:val="0"/>
          <w:color w:val="auto"/>
          <w:sz w:val="28"/>
          <w:szCs w:val="28"/>
          <w:highlight w:val="none"/>
          <w:lang w:val="en-US" w:eastAsia="zh-CN"/>
        </w:rPr>
        <w:t>五、</w:t>
      </w:r>
      <w:r>
        <w:rPr>
          <w:rFonts w:hint="eastAsia" w:ascii="仿宋" w:hAnsi="仿宋" w:eastAsia="仿宋" w:cs="仿宋"/>
          <w:bCs w:val="0"/>
          <w:color w:val="auto"/>
          <w:sz w:val="28"/>
          <w:szCs w:val="28"/>
          <w:highlight w:val="none"/>
        </w:rPr>
        <w:t>资格审查</w:t>
      </w:r>
    </w:p>
    <w:p>
      <w:pPr>
        <w:spacing w:line="340" w:lineRule="exac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rPr>
        <w:t>资格审查</w:t>
      </w:r>
    </w:p>
    <w:p>
      <w:pPr>
        <w:spacing w:line="340" w:lineRule="exac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rPr>
        <w:t>资格审查小组由采购人组成。</w:t>
      </w:r>
    </w:p>
    <w:p>
      <w:pPr>
        <w:spacing w:line="340" w:lineRule="exac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rPr>
        <w:t>资格审查小组在开标结束后评标开始前对投标企业的资格进行审查，如果投标文件中有一项未通过上述审查标准，资格审查小组将认定整个投标文件不响应招标文件而予以废标，并且不允许投标人通过修改或撤销其不符合要求的差异或保留，使之成为具有响应性的投标。</w:t>
      </w:r>
    </w:p>
    <w:p>
      <w:pPr>
        <w:pStyle w:val="5"/>
        <w:spacing w:line="360" w:lineRule="auto"/>
        <w:jc w:val="center"/>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Cs w:val="0"/>
          <w:color w:val="auto"/>
          <w:sz w:val="28"/>
          <w:szCs w:val="28"/>
          <w:highlight w:val="none"/>
        </w:rPr>
        <w:t xml:space="preserve">  六、评标</w:t>
      </w:r>
    </w:p>
    <w:p>
      <w:pPr>
        <w:pStyle w:val="24"/>
        <w:snapToGrid w:val="0"/>
        <w:spacing w:line="360" w:lineRule="auto"/>
        <w:outlineLvl w:val="1"/>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（一）组建评标委员会</w:t>
      </w:r>
    </w:p>
    <w:p>
      <w:pPr>
        <w:pStyle w:val="24"/>
        <w:snapToGrid w:val="0"/>
        <w:spacing w:line="360" w:lineRule="auto"/>
        <w:ind w:left="0" w:leftChars="0" w:firstLine="480" w:firstLineChars="200"/>
        <w:outlineLvl w:val="2"/>
        <w:rPr>
          <w:rFonts w:hint="eastAsia" w:ascii="仿宋" w:hAnsi="仿宋" w:eastAsia="仿宋" w:cs="仿宋"/>
          <w:color w:val="auto"/>
          <w:kern w:val="2"/>
          <w:sz w:val="24"/>
          <w:szCs w:val="24"/>
          <w:highlight w:val="none"/>
          <w:lang w:val="en-US" w:eastAsia="zh-CN" w:bidi="ar-SA"/>
        </w:rPr>
      </w:pPr>
      <w:bookmarkStart w:id="103" w:name="_Toc26886"/>
      <w:bookmarkStart w:id="104" w:name="_Toc27271"/>
      <w:r>
        <w:rPr>
          <w:rFonts w:hint="eastAsia" w:ascii="仿宋" w:hAnsi="仿宋" w:eastAsia="仿宋" w:cs="仿宋"/>
          <w:color w:val="auto"/>
          <w:kern w:val="2"/>
          <w:sz w:val="24"/>
          <w:szCs w:val="24"/>
          <w:highlight w:val="none"/>
          <w:lang w:val="en-US" w:eastAsia="zh-CN" w:bidi="ar-SA"/>
        </w:rPr>
        <w:t>评标委员会或评标小组（以下简称评标委员会）的评标工作由招标单位负责组织，具体评标事务由评标委员会负责，并独立履行其法规规定的职责。</w:t>
      </w:r>
    </w:p>
    <w:p>
      <w:pPr>
        <w:pStyle w:val="24"/>
        <w:snapToGrid w:val="0"/>
        <w:spacing w:line="360" w:lineRule="auto"/>
        <w:ind w:left="479" w:leftChars="228" w:firstLine="0" w:firstLineChars="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本项目评标委员会构成: 5 人组成，其中采购人代表 1 人和专家评委4人:评标专家确定方式: 由招标代理在开标前 48 小时在政采云专家库中随机抽取此次评标专家。其中熟悉相关技术方面的专家不得少于成员总数的三分之二。</w:t>
      </w:r>
    </w:p>
    <w:p>
      <w:pPr>
        <w:pStyle w:val="24"/>
        <w:snapToGrid w:val="0"/>
        <w:spacing w:line="360" w:lineRule="auto"/>
        <w:outlineLvl w:val="1"/>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（二）评标的方式</w:t>
      </w:r>
      <w:bookmarkEnd w:id="103"/>
      <w:bookmarkEnd w:id="104"/>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本项目采用不公开方式评标，评标的依据为</w:t>
      </w:r>
      <w:r>
        <w:rPr>
          <w:rFonts w:hint="eastAsia" w:ascii="仿宋" w:hAnsi="仿宋" w:eastAsia="仿宋" w:cs="仿宋"/>
          <w:b w:val="0"/>
          <w:bCs w:val="0"/>
          <w:color w:val="auto"/>
          <w:kern w:val="0"/>
          <w:sz w:val="24"/>
          <w:highlight w:val="none"/>
          <w:lang w:val="en-US" w:eastAsia="zh-CN"/>
        </w:rPr>
        <w:t>《中华人民共和国政府采购法》、《中华人民共和国财政部令第87号--政府采购货物和服务招标投标管理办法》、《政府采购非招标采购方式管理办法--财政部第74号令》及招标文件，采用综合评分法。</w:t>
      </w:r>
    </w:p>
    <w:p>
      <w:pPr>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（三）评标原则</w:t>
      </w:r>
    </w:p>
    <w:p>
      <w:pPr>
        <w:pStyle w:val="24"/>
        <w:snapToGrid w:val="0"/>
        <w:spacing w:line="360" w:lineRule="auto"/>
        <w:ind w:left="0" w:leftChars="0"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2.1评标活动遵循公平、公正、科学和择优的原则，以招标文件和投标文件为评标的基本依据，并按照招标文件规定的评标方法和评标标准进行评标。</w:t>
      </w:r>
    </w:p>
    <w:p>
      <w:pPr>
        <w:pStyle w:val="24"/>
        <w:snapToGrid w:val="0"/>
        <w:spacing w:line="360" w:lineRule="auto"/>
        <w:ind w:left="0" w:leftChars="0"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2.2评标委员会必须公平、公正、客观，不带任何倾向性和启发性；不得向外界透露任何与评标有关的内容；任何单位和个人不得干扰、影响评标的正常进行；评标委员会及有关工作人员不得私下与投标人接触。</w:t>
      </w:r>
    </w:p>
    <w:p>
      <w:pPr>
        <w:pStyle w:val="24"/>
        <w:snapToGrid w:val="0"/>
        <w:spacing w:line="360" w:lineRule="auto"/>
        <w:ind w:left="0" w:leftChars="0"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2.2具体评标事项由评标委员会负责，并按招标文件的规定办法进行评审。</w:t>
      </w:r>
    </w:p>
    <w:p>
      <w:pPr>
        <w:pStyle w:val="24"/>
        <w:snapToGrid w:val="0"/>
        <w:spacing w:line="360" w:lineRule="auto"/>
        <w:ind w:left="0" w:leftChars="0"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2.3合格投标人不足须知前附表中约定的有效投标人家数的，不得评标。</w:t>
      </w:r>
    </w:p>
    <w:p>
      <w:pPr>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（四）评标应遵守下列评标纪律：</w:t>
      </w:r>
    </w:p>
    <w:p>
      <w:pPr>
        <w:pStyle w:val="24"/>
        <w:snapToGrid w:val="0"/>
        <w:spacing w:line="360" w:lineRule="auto"/>
        <w:ind w:left="0" w:leftChars="0"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（1）评标情况不得私自外泄，有关信息由新疆星耀天都项目管理有限责任公司统一对外发布。</w:t>
      </w:r>
    </w:p>
    <w:p>
      <w:pPr>
        <w:pStyle w:val="24"/>
        <w:snapToGrid w:val="0"/>
        <w:spacing w:line="360" w:lineRule="auto"/>
        <w:ind w:left="0" w:leftChars="0"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（2）对新疆星耀天都项目管理有限责任公司或投标人提供的要求保密的资料，不得摘记翻印和外传。</w:t>
      </w:r>
    </w:p>
    <w:p>
      <w:pPr>
        <w:pStyle w:val="24"/>
        <w:snapToGrid w:val="0"/>
        <w:spacing w:line="360" w:lineRule="auto"/>
        <w:ind w:left="0" w:leftChars="0"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（3）不得收受投标投标人或有关人员的任何礼物，不得串联鼓动其他人袒护某投标人。若与投标人存在利害关系，则应主动声明并回避。</w:t>
      </w:r>
    </w:p>
    <w:p>
      <w:pPr>
        <w:pStyle w:val="24"/>
        <w:snapToGrid w:val="0"/>
        <w:spacing w:line="360" w:lineRule="auto"/>
        <w:ind w:left="0" w:leftChars="0"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（4）全体评委应按照招标文件规定进行评标，一切认定事项应查有实据且不得弄虚作假。</w:t>
      </w:r>
    </w:p>
    <w:p>
      <w:pPr>
        <w:pStyle w:val="24"/>
        <w:snapToGrid w:val="0"/>
        <w:spacing w:line="360" w:lineRule="auto"/>
        <w:ind w:left="0" w:leftChars="0"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（5）评标委员会各成员应当独立对每个投标人的投标文件进行评价，并对评价意见承担个人责任。评审过程中，不得发表倾向性言论。</w:t>
      </w:r>
    </w:p>
    <w:p>
      <w:pPr>
        <w:pStyle w:val="24"/>
        <w:snapToGrid w:val="0"/>
        <w:spacing w:line="360" w:lineRule="auto"/>
        <w:ind w:left="0" w:leftChars="0"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※对违反评标纪律的评委，将取消其评委资格，对评标工作造成严重损失者将予以通报批评乃至追究法律责任。</w:t>
      </w:r>
    </w:p>
    <w:p>
      <w:pPr>
        <w:pStyle w:val="24"/>
        <w:snapToGrid w:val="0"/>
        <w:spacing w:line="360" w:lineRule="auto"/>
        <w:outlineLvl w:val="1"/>
        <w:rPr>
          <w:rFonts w:hint="eastAsia" w:ascii="仿宋" w:hAnsi="仿宋" w:eastAsia="仿宋" w:cs="仿宋"/>
          <w:b/>
          <w:bCs/>
          <w:color w:val="auto"/>
          <w:kern w:val="2"/>
          <w:sz w:val="24"/>
          <w:szCs w:val="24"/>
          <w:highlight w:val="none"/>
          <w:lang w:val="en-US" w:eastAsia="zh-CN" w:bidi="ar-SA"/>
        </w:rPr>
      </w:pPr>
      <w:bookmarkStart w:id="105" w:name="_Toc4747"/>
      <w:bookmarkStart w:id="106" w:name="_Toc13223"/>
      <w:r>
        <w:rPr>
          <w:rFonts w:hint="eastAsia" w:ascii="仿宋" w:hAnsi="仿宋" w:eastAsia="仿宋" w:cs="仿宋"/>
          <w:b/>
          <w:bCs/>
          <w:color w:val="auto"/>
          <w:kern w:val="2"/>
          <w:sz w:val="24"/>
          <w:szCs w:val="24"/>
          <w:highlight w:val="none"/>
          <w:lang w:val="en-US" w:eastAsia="zh-CN" w:bidi="ar-SA"/>
        </w:rPr>
        <w:t>（五）评标程序</w:t>
      </w:r>
      <w:bookmarkEnd w:id="105"/>
      <w:bookmarkEnd w:id="106"/>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 本项目采用</w:t>
      </w:r>
      <w:r>
        <w:rPr>
          <w:rFonts w:hint="eastAsia" w:ascii="仿宋" w:hAnsi="仿宋" w:eastAsia="仿宋" w:cs="仿宋"/>
          <w:color w:val="auto"/>
          <w:sz w:val="24"/>
          <w:szCs w:val="24"/>
          <w:highlight w:val="none"/>
        </w:rPr>
        <w:t>综合评分法,是指投标文件满足招标文件全部实质性要求，且按照评审因素的量化指标评审得分最高的投标人为中标候选人的评标方法。（最低报价不是中标的唯一依据。）</w:t>
      </w:r>
    </w:p>
    <w:p>
      <w:pPr>
        <w:pStyle w:val="24"/>
        <w:snapToGrid w:val="0"/>
        <w:spacing w:line="360" w:lineRule="auto"/>
        <w:ind w:firstLine="480" w:firstLineChars="200"/>
        <w:outlineLvl w:val="2"/>
        <w:rPr>
          <w:rFonts w:hint="eastAsia" w:ascii="仿宋" w:hAnsi="仿宋" w:eastAsia="仿宋" w:cs="仿宋"/>
          <w:color w:val="auto"/>
          <w:kern w:val="2"/>
          <w:sz w:val="24"/>
          <w:szCs w:val="24"/>
          <w:highlight w:val="none"/>
          <w:lang w:val="en-US" w:eastAsia="zh-CN" w:bidi="ar-SA"/>
        </w:rPr>
      </w:pPr>
      <w:bookmarkStart w:id="107" w:name="_Toc17462"/>
      <w:r>
        <w:rPr>
          <w:rFonts w:hint="eastAsia" w:ascii="仿宋" w:hAnsi="仿宋" w:eastAsia="仿宋" w:cs="仿宋"/>
          <w:color w:val="auto"/>
          <w:kern w:val="2"/>
          <w:sz w:val="24"/>
          <w:szCs w:val="24"/>
          <w:highlight w:val="none"/>
          <w:lang w:val="en-US" w:eastAsia="zh-CN" w:bidi="ar-SA"/>
        </w:rPr>
        <w:t>2. 评标的依据为招标文件和投标文件。</w:t>
      </w:r>
      <w:bookmarkEnd w:id="107"/>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 评标过程的保密性。开标后，直到授予投标人合同为止，凡是属于审查、澄清、评价和比较的有关资料以及授标建议等均不得向投标人或其他无关的人员透露。</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 投标人在评标过程中所进行的试图影响评标结果、有悖于招标规则的活动，可能导致取消其中标资格。</w:t>
      </w:r>
    </w:p>
    <w:p>
      <w:pPr>
        <w:pStyle w:val="24"/>
        <w:snapToGrid w:val="0"/>
        <w:spacing w:line="360" w:lineRule="auto"/>
        <w:ind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bookmarkStart w:id="108" w:name="_Toc3963"/>
      <w:r>
        <w:rPr>
          <w:rFonts w:hint="eastAsia" w:ascii="仿宋" w:hAnsi="仿宋" w:eastAsia="仿宋" w:cs="仿宋"/>
          <w:color w:val="auto"/>
          <w:kern w:val="2"/>
          <w:sz w:val="24"/>
          <w:szCs w:val="24"/>
          <w:highlight w:val="none"/>
          <w:lang w:val="en-US" w:eastAsia="zh-CN" w:bidi="ar-SA"/>
        </w:rPr>
        <w:t>.对投标文件的符合性审查和响应性确定</w:t>
      </w:r>
      <w:bookmarkEnd w:id="108"/>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开标后招标人将审查投标文件的完整性、准确性以及保证金提交、文件签署情况。在审查时，（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若投标人拒绝接受上述修正，其投标将可能被拒绝。</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 在对投标文件进行详细评估之前，评标委员会将审查每一份投标文件是否对招标文件的要求作出了实质性的响应。实质性响应的投标文件应该是与招标文件的全部条款、条件和技术规格相符，而没有重大偏离。</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8.招标人判断投标文件的响应性是基于投标文件本身而不靠外部证据。</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9.招标人将拒绝被定为非响应性的投标，投标人不能通过修正或撤消不符之处而使其投标成为响应性投标。</w:t>
      </w:r>
    </w:p>
    <w:p>
      <w:pPr>
        <w:pStyle w:val="24"/>
        <w:snapToGrid w:val="0"/>
        <w:spacing w:line="360" w:lineRule="auto"/>
        <w:outlineLvl w:val="1"/>
        <w:rPr>
          <w:rFonts w:hint="eastAsia" w:ascii="仿宋" w:hAnsi="仿宋" w:eastAsia="仿宋" w:cs="仿宋"/>
          <w:b/>
          <w:bCs/>
          <w:color w:val="auto"/>
          <w:kern w:val="2"/>
          <w:sz w:val="24"/>
          <w:szCs w:val="24"/>
          <w:highlight w:val="none"/>
          <w:lang w:val="en-US" w:eastAsia="zh-CN" w:bidi="ar-SA"/>
        </w:rPr>
      </w:pPr>
      <w:bookmarkStart w:id="109" w:name="_Toc32133"/>
      <w:bookmarkStart w:id="110" w:name="_Toc13450"/>
      <w:r>
        <w:rPr>
          <w:rFonts w:hint="eastAsia" w:ascii="仿宋" w:hAnsi="仿宋" w:eastAsia="仿宋" w:cs="仿宋"/>
          <w:b/>
          <w:bCs/>
          <w:color w:val="auto"/>
          <w:kern w:val="2"/>
          <w:sz w:val="24"/>
          <w:szCs w:val="24"/>
          <w:highlight w:val="none"/>
          <w:lang w:val="en-US" w:eastAsia="zh-CN" w:bidi="ar-SA"/>
        </w:rPr>
        <w:t>（六）澄清问题的形式</w:t>
      </w:r>
      <w:bookmarkEnd w:id="109"/>
      <w:bookmarkEnd w:id="110"/>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24"/>
        <w:snapToGrid w:val="0"/>
        <w:spacing w:line="360" w:lineRule="auto"/>
        <w:outlineLvl w:val="1"/>
        <w:rPr>
          <w:rFonts w:hint="eastAsia" w:ascii="仿宋" w:hAnsi="仿宋" w:eastAsia="仿宋" w:cs="仿宋"/>
          <w:b/>
          <w:bCs/>
          <w:color w:val="auto"/>
          <w:kern w:val="2"/>
          <w:sz w:val="24"/>
          <w:szCs w:val="24"/>
          <w:highlight w:val="none"/>
          <w:lang w:val="en-US" w:eastAsia="zh-CN" w:bidi="ar-SA"/>
        </w:rPr>
      </w:pPr>
      <w:bookmarkStart w:id="111" w:name="_Toc30297"/>
      <w:bookmarkStart w:id="112" w:name="_Toc31156"/>
      <w:r>
        <w:rPr>
          <w:rFonts w:hint="eastAsia" w:ascii="仿宋" w:hAnsi="仿宋" w:eastAsia="仿宋" w:cs="仿宋"/>
          <w:b/>
          <w:bCs/>
          <w:color w:val="auto"/>
          <w:kern w:val="2"/>
          <w:sz w:val="24"/>
          <w:szCs w:val="24"/>
          <w:highlight w:val="none"/>
          <w:lang w:val="en-US" w:eastAsia="zh-CN" w:bidi="ar-SA"/>
        </w:rPr>
        <w:t>（七）错误修正</w:t>
      </w:r>
      <w:bookmarkEnd w:id="111"/>
      <w:bookmarkEnd w:id="112"/>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投标文件如果出现计算或表达上的错误，修正错误的原则如下：</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1.投标报价一览表总价与投标报价明细表汇总数不一致的，以投标报价一览表为准；</w:t>
      </w:r>
    </w:p>
    <w:p>
      <w:pPr>
        <w:pStyle w:val="24"/>
        <w:snapToGrid w:val="0"/>
        <w:spacing w:line="360" w:lineRule="auto"/>
        <w:ind w:firstLine="480" w:firstLineChars="200"/>
        <w:outlineLvl w:val="2"/>
        <w:rPr>
          <w:rFonts w:hint="eastAsia" w:ascii="仿宋" w:hAnsi="仿宋" w:eastAsia="仿宋" w:cs="仿宋"/>
          <w:color w:val="auto"/>
          <w:kern w:val="2"/>
          <w:sz w:val="24"/>
          <w:szCs w:val="24"/>
          <w:highlight w:val="none"/>
          <w:lang w:val="en-US" w:eastAsia="zh-CN" w:bidi="ar-SA"/>
        </w:rPr>
      </w:pPr>
      <w:bookmarkStart w:id="113" w:name="_Toc29280"/>
      <w:r>
        <w:rPr>
          <w:rFonts w:hint="eastAsia" w:ascii="仿宋" w:hAnsi="仿宋" w:eastAsia="仿宋" w:cs="仿宋"/>
          <w:color w:val="auto"/>
          <w:kern w:val="2"/>
          <w:sz w:val="24"/>
          <w:szCs w:val="24"/>
          <w:highlight w:val="none"/>
          <w:lang w:val="en-US" w:eastAsia="zh-CN" w:bidi="ar-SA"/>
        </w:rPr>
        <w:t>2.投标文件的大写金额和小写金额不一致的，以大写金额为准；</w:t>
      </w:r>
      <w:bookmarkEnd w:id="113"/>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3.总价金额与按单价汇总金额不一致的，以单价金额计算结果为准；</w:t>
      </w:r>
    </w:p>
    <w:p>
      <w:pPr>
        <w:pStyle w:val="24"/>
        <w:snapToGrid w:val="0"/>
        <w:spacing w:line="360" w:lineRule="auto"/>
        <w:ind w:firstLine="480" w:firstLineChars="200"/>
        <w:outlineLvl w:val="2"/>
        <w:rPr>
          <w:rFonts w:hint="eastAsia" w:ascii="仿宋" w:hAnsi="仿宋" w:eastAsia="仿宋" w:cs="仿宋"/>
          <w:color w:val="auto"/>
          <w:kern w:val="2"/>
          <w:sz w:val="24"/>
          <w:szCs w:val="24"/>
          <w:highlight w:val="none"/>
          <w:lang w:val="en-US" w:eastAsia="zh-CN" w:bidi="ar-SA"/>
        </w:rPr>
      </w:pPr>
      <w:bookmarkStart w:id="114" w:name="_Toc16465"/>
      <w:r>
        <w:rPr>
          <w:rFonts w:hint="eastAsia" w:ascii="仿宋" w:hAnsi="仿宋" w:eastAsia="仿宋" w:cs="仿宋"/>
          <w:color w:val="auto"/>
          <w:kern w:val="2"/>
          <w:sz w:val="24"/>
          <w:szCs w:val="24"/>
          <w:highlight w:val="none"/>
          <w:lang w:val="en-US" w:eastAsia="zh-CN" w:bidi="ar-SA"/>
        </w:rPr>
        <w:t>4.对不同文字文本投标文件的解释发生异议的，以中文文本为准。</w:t>
      </w:r>
      <w:bookmarkEnd w:id="114"/>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24"/>
        <w:snapToGrid w:val="0"/>
        <w:spacing w:line="360" w:lineRule="auto"/>
        <w:ind w:left="0" w:leftChars="0" w:firstLine="0" w:firstLineChars="0"/>
        <w:outlineLvl w:val="1"/>
        <w:rPr>
          <w:rFonts w:hint="eastAsia" w:ascii="仿宋" w:hAnsi="仿宋" w:eastAsia="仿宋" w:cs="仿宋"/>
          <w:b/>
          <w:bCs/>
          <w:color w:val="auto"/>
          <w:kern w:val="2"/>
          <w:sz w:val="24"/>
          <w:szCs w:val="24"/>
          <w:highlight w:val="none"/>
          <w:lang w:val="en-US" w:eastAsia="zh-CN" w:bidi="ar-SA"/>
        </w:rPr>
      </w:pPr>
      <w:bookmarkStart w:id="115" w:name="_Toc15699"/>
      <w:bookmarkStart w:id="116" w:name="_Toc19846"/>
      <w:r>
        <w:rPr>
          <w:rFonts w:hint="eastAsia" w:ascii="仿宋" w:hAnsi="仿宋" w:eastAsia="仿宋" w:cs="仿宋"/>
          <w:b/>
          <w:bCs/>
          <w:color w:val="auto"/>
          <w:kern w:val="2"/>
          <w:sz w:val="24"/>
          <w:szCs w:val="24"/>
          <w:highlight w:val="none"/>
          <w:lang w:val="en-US" w:eastAsia="zh-CN" w:bidi="ar-SA"/>
        </w:rPr>
        <w:t>（八）</w:t>
      </w:r>
      <w:bookmarkEnd w:id="115"/>
      <w:bookmarkEnd w:id="116"/>
      <w:r>
        <w:rPr>
          <w:rFonts w:hint="eastAsia" w:ascii="仿宋" w:hAnsi="仿宋" w:eastAsia="仿宋" w:cs="仿宋"/>
          <w:b/>
          <w:bCs/>
          <w:color w:val="auto"/>
          <w:kern w:val="2"/>
          <w:sz w:val="24"/>
          <w:szCs w:val="24"/>
          <w:highlight w:val="none"/>
          <w:lang w:val="en-US" w:eastAsia="zh-CN" w:bidi="ar-SA"/>
        </w:rPr>
        <w:t>有下列情形之一的，视为投标人串通投标，其投标无效</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bookmarkStart w:id="117" w:name="_Toc9664"/>
      <w:bookmarkStart w:id="118" w:name="_Toc29743"/>
      <w:r>
        <w:rPr>
          <w:rFonts w:hint="eastAsia" w:ascii="仿宋" w:hAnsi="仿宋" w:eastAsia="仿宋" w:cs="仿宋"/>
          <w:color w:val="auto"/>
          <w:kern w:val="2"/>
          <w:sz w:val="24"/>
          <w:szCs w:val="24"/>
          <w:highlight w:val="none"/>
          <w:lang w:val="en-US" w:eastAsia="zh-CN" w:bidi="ar-SA"/>
        </w:rPr>
        <w:t>1不同投标人的投标文件由同一单位或者个人编制；</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2不同投标人委托同一单位或者个人办理投标事宜；</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3不同投标人的投标文件载明的项目管理成员或者联系人员为同一人；</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4不同投标人的投标文件异常一致或者投标报价呈规律性差异；</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5不同投标人的投标文件相互混装；</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6不同投标人的投标保证金或购买电子保函支付款为从同一单位或个人的账户转出；</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7投标人上传的电子投标文件使用该项目其他投标人的数字证书加密的或加盖该项目的其他投标人的电子印章的。</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说明：在评标过程中发现投标人有上述情形的，评标委员会应当认定其投标无效。同时，项目评审时被认定为串通投标的投标人不得参加该合同项下的采购活动。</w:t>
      </w:r>
    </w:p>
    <w:p>
      <w:pPr>
        <w:pStyle w:val="24"/>
        <w:snapToGrid w:val="0"/>
        <w:spacing w:line="360" w:lineRule="auto"/>
        <w:ind w:left="0" w:leftChars="0" w:firstLine="0" w:firstLineChars="0"/>
        <w:outlineLvl w:val="1"/>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（九）评标过程的监控</w:t>
      </w:r>
      <w:bookmarkEnd w:id="117"/>
      <w:bookmarkEnd w:id="118"/>
    </w:p>
    <w:p>
      <w:pPr>
        <w:pStyle w:val="5"/>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本项目评标过程实行录像监控、照片记录，且由监标人员进行现场监督，评标过程中所发生的试图影响评标结果的不公正活动，可能导致其投标被拒绝。</w:t>
      </w:r>
    </w:p>
    <w:p>
      <w:pPr>
        <w:pStyle w:val="5"/>
        <w:spacing w:line="360" w:lineRule="auto"/>
        <w:jc w:val="center"/>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lang w:eastAsia="zh-CN"/>
        </w:rPr>
        <w:t>七、</w:t>
      </w:r>
      <w:r>
        <w:rPr>
          <w:rFonts w:hint="eastAsia" w:ascii="仿宋" w:hAnsi="仿宋" w:eastAsia="仿宋" w:cs="仿宋"/>
          <w:bCs w:val="0"/>
          <w:color w:val="auto"/>
          <w:sz w:val="28"/>
          <w:szCs w:val="28"/>
          <w:highlight w:val="none"/>
        </w:rPr>
        <w:t>定标</w:t>
      </w:r>
      <w:bookmarkEnd w:id="99"/>
      <w:bookmarkEnd w:id="100"/>
    </w:p>
    <w:p>
      <w:pPr>
        <w:snapToGrid w:val="0"/>
        <w:spacing w:line="360" w:lineRule="auto"/>
        <w:ind w:left="10" w:leftChars="0" w:hanging="10" w:firstLineChars="0"/>
        <w:rPr>
          <w:rFonts w:hint="eastAsia" w:ascii="仿宋" w:hAnsi="仿宋" w:eastAsia="仿宋" w:cs="仿宋"/>
          <w:color w:val="auto"/>
          <w:kern w:val="2"/>
          <w:sz w:val="24"/>
          <w:szCs w:val="24"/>
          <w:highlight w:val="none"/>
          <w:lang w:val="en-US" w:eastAsia="zh-CN" w:bidi="ar-SA"/>
        </w:rPr>
      </w:pPr>
      <w:bookmarkStart w:id="119" w:name="_Toc24055"/>
      <w:bookmarkStart w:id="120" w:name="_Toc4609"/>
      <w:r>
        <w:rPr>
          <w:rFonts w:hint="eastAsia" w:ascii="仿宋" w:hAnsi="仿宋" w:eastAsia="仿宋" w:cs="仿宋"/>
          <w:b/>
          <w:bCs/>
          <w:color w:val="auto"/>
          <w:kern w:val="2"/>
          <w:sz w:val="24"/>
          <w:szCs w:val="24"/>
          <w:highlight w:val="none"/>
          <w:lang w:val="en-US" w:eastAsia="zh-CN" w:bidi="ar-SA"/>
        </w:rPr>
        <w:t>确定中标人：</w:t>
      </w:r>
      <w:r>
        <w:rPr>
          <w:rFonts w:hint="eastAsia" w:ascii="仿宋" w:hAnsi="仿宋" w:eastAsia="仿宋" w:cs="仿宋"/>
          <w:color w:val="auto"/>
          <w:kern w:val="2"/>
          <w:sz w:val="24"/>
          <w:szCs w:val="24"/>
          <w:highlight w:val="none"/>
          <w:lang w:val="en-US" w:eastAsia="zh-CN" w:bidi="ar-SA"/>
        </w:rPr>
        <w:t>本项目由招标人根据评标结果排名第一位的候选人为中标人。</w:t>
      </w:r>
    </w:p>
    <w:p>
      <w:pPr>
        <w:spacing w:line="360" w:lineRule="auto"/>
        <w:ind w:left="10" w:leftChars="0" w:hanging="10" w:firstLineChars="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中标公告：</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确定之日起</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个工作日内，采购人或采购代理机构将在新疆政府采购网(http://www.ccgp-xinjiang.gov.cn/)上以公告的形式发布中标结果，中标公告的公告期限为1个工作日。中标公告同时作为采购代理机构通知除中标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外的其他投标人没有中标的书面形式，采购代理机构不再以其它方式另行通知。</w:t>
      </w:r>
    </w:p>
    <w:p>
      <w:pPr>
        <w:spacing w:line="360" w:lineRule="auto"/>
        <w:ind w:left="10" w:leftChars="0" w:hanging="10" w:firstLineChars="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中标通知书：</w:t>
      </w:r>
      <w:r>
        <w:rPr>
          <w:rFonts w:hint="eastAsia" w:ascii="仿宋" w:hAnsi="仿宋" w:eastAsia="仿宋" w:cs="仿宋"/>
          <w:color w:val="auto"/>
          <w:sz w:val="24"/>
          <w:szCs w:val="24"/>
          <w:highlight w:val="none"/>
        </w:rPr>
        <w:t>中标通知书在发布中标公告时，同步发除中标通知书至中标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。中标通知书发出后，采购人不得违法改变中标结果，中标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不得放弃中标。中标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放弃中标的，应当依法承担相应的法律责任。</w:t>
      </w:r>
    </w:p>
    <w:p>
      <w:pPr>
        <w:spacing w:line="360" w:lineRule="auto"/>
        <w:ind w:left="10" w:leftChars="0" w:hanging="10" w:firstLineChars="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项目废标处理：</w:t>
      </w:r>
      <w:r>
        <w:rPr>
          <w:rFonts w:hint="eastAsia" w:ascii="仿宋" w:hAnsi="仿宋" w:eastAsia="仿宋" w:cs="仿宋"/>
          <w:color w:val="auto"/>
          <w:sz w:val="24"/>
          <w:szCs w:val="24"/>
          <w:highlight w:val="none"/>
        </w:rPr>
        <w:t>根据《中华人民共和国政府采购法》第三十六条及招标文件的约定，本项目或分包下列情况出现将作废标处理：</w:t>
      </w:r>
    </w:p>
    <w:p>
      <w:pPr>
        <w:spacing w:line="360" w:lineRule="auto"/>
        <w:ind w:left="10" w:leftChars="0" w:hanging="1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符合专业资格条件的投标人或者对招标文件作实质响应的有效投标人不足三家的（说明：使用综合评分法的采购项目，提供相同品牌产品且通过资格审查、符合性审查的不同投标人参加同一合同项下投标的，按一家投标人计算） 。</w:t>
      </w:r>
    </w:p>
    <w:p>
      <w:pPr>
        <w:spacing w:line="360" w:lineRule="auto"/>
        <w:ind w:left="10" w:leftChars="0" w:hanging="1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（2）出现影响采购公正的违法、违规行为的。</w:t>
      </w:r>
    </w:p>
    <w:p>
      <w:pPr>
        <w:spacing w:line="360" w:lineRule="auto"/>
        <w:ind w:left="10" w:leftChars="0" w:hanging="1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（3）投标人的报价均超过了采购预算，采购人不能支付的。</w:t>
      </w:r>
    </w:p>
    <w:p>
      <w:pPr>
        <w:spacing w:line="360" w:lineRule="auto"/>
        <w:ind w:left="10" w:leftChars="0" w:hanging="1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（4）因重大变故，采购任务取消的。</w:t>
      </w:r>
    </w:p>
    <w:p>
      <w:pPr>
        <w:spacing w:line="360" w:lineRule="auto"/>
        <w:ind w:left="10" w:leftChars="0" w:hanging="1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对废标的采购项目，评标委员会应出具采购文件是否存在不合理条款的论证意见。</w:t>
      </w:r>
    </w:p>
    <w:p>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终止公告：</w:t>
      </w:r>
      <w:r>
        <w:rPr>
          <w:rFonts w:hint="eastAsia" w:ascii="仿宋" w:hAnsi="仿宋" w:eastAsia="仿宋" w:cs="仿宋"/>
          <w:color w:val="auto"/>
          <w:sz w:val="24"/>
          <w:szCs w:val="24"/>
          <w:highlight w:val="none"/>
        </w:rPr>
        <w:t>项目废标后，采购人或采购代理机构将在新疆政府采购网(http://www.ccgp-xinjiang.gov.cn/)、上发布终止公告，终止公告的公告期限为1个工作日。</w:t>
      </w:r>
    </w:p>
    <w:p>
      <w:pPr>
        <w:numPr>
          <w:ilvl w:val="0"/>
          <w:numId w:val="0"/>
        </w:numPr>
        <w:spacing w:line="360" w:lineRule="auto"/>
        <w:jc w:val="center"/>
        <w:outlineLvl w:val="2"/>
        <w:rPr>
          <w:rFonts w:hint="eastAsia" w:ascii="仿宋" w:hAnsi="仿宋" w:eastAsia="仿宋" w:cs="仿宋"/>
          <w:b/>
          <w:color w:val="auto"/>
          <w:sz w:val="28"/>
          <w:szCs w:val="28"/>
          <w:highlight w:val="none"/>
          <w:lang w:eastAsia="zh-CN"/>
        </w:rPr>
      </w:pPr>
    </w:p>
    <w:p>
      <w:pPr>
        <w:numPr>
          <w:ilvl w:val="0"/>
          <w:numId w:val="0"/>
        </w:numPr>
        <w:spacing w:line="360" w:lineRule="auto"/>
        <w:jc w:val="center"/>
        <w:outlineLvl w:val="2"/>
        <w:rPr>
          <w:rFonts w:hint="eastAsia" w:ascii="仿宋" w:hAnsi="仿宋" w:eastAsia="仿宋" w:cs="仿宋"/>
          <w:b/>
          <w:color w:val="auto"/>
          <w:sz w:val="28"/>
          <w:szCs w:val="28"/>
          <w:highlight w:val="none"/>
          <w:lang w:eastAsia="zh-CN"/>
        </w:rPr>
      </w:pPr>
    </w:p>
    <w:p>
      <w:pPr>
        <w:numPr>
          <w:ilvl w:val="0"/>
          <w:numId w:val="0"/>
        </w:numPr>
        <w:spacing w:line="360" w:lineRule="auto"/>
        <w:jc w:val="center"/>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八、</w:t>
      </w:r>
      <w:r>
        <w:rPr>
          <w:rFonts w:hint="eastAsia" w:ascii="仿宋" w:hAnsi="仿宋" w:eastAsia="仿宋" w:cs="仿宋"/>
          <w:b/>
          <w:color w:val="auto"/>
          <w:sz w:val="28"/>
          <w:szCs w:val="28"/>
          <w:highlight w:val="none"/>
        </w:rPr>
        <w:t>签定合同</w:t>
      </w:r>
      <w:bookmarkEnd w:id="119"/>
      <w:bookmarkEnd w:id="120"/>
    </w:p>
    <w:p>
      <w:pPr>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1.合同签订</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1.1采购人应当自《中标通知书》发出之日起</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十日内，按照招标文件和中标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投标文件的约定，与中标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签订合同。所签订的合同不得对招标文件和中标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投标文件作实质性修改。超过30天尚未完成政府采购合同签订的政府采购项目，采购人应当登录新疆政府采购网，填报未能依法签订政府采购合同的具体原因、整改措施和预计签订合同时间等信息。</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1.2采购人不得提出试用合格等任何不合理的要求作为签订合同的条件，且不得与中标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私下订立背离合同实质性内容的协议。</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采购人应当自政府采购合同签订之日起2个工作日内，登录新疆政府采购网上传政府采购合同扫描版，如实填报政府采购合同的签订时间。依法签订的补充合同，也应在补充合同签订之日起2个工作日内公开并备案采购合同。</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2.合同的履行</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2.2政府采购合同履行中，采购人需追加与合同标的相同的货物、工程或者服务的，在不改变合同其他条款的前提下，可以与中标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签订补充合同，但所补充合同的采购金额不得超过原采购金额的10%。依法签订的补充合同，也应在补充合同签订之日起2个工作日内登录新疆政府采购网上传备案。</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2.3有融资要求的中标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可根据自身情况，在新疆政府采购网上自行选择金融机构及其融资产品，凭政府采购中标通知书或政府采购合同向金融机构提出融资申请。</w:t>
      </w:r>
    </w:p>
    <w:p>
      <w:pPr>
        <w:pStyle w:val="2"/>
        <w:overflowPunct w:val="0"/>
        <w:spacing w:line="360" w:lineRule="auto"/>
        <w:ind w:firstLine="480" w:firstLineChars="200"/>
        <w:rPr>
          <w:rFonts w:hint="eastAsia" w:ascii="仿宋" w:hAnsi="仿宋" w:eastAsia="仿宋" w:cs="仿宋"/>
          <w:color w:val="auto"/>
          <w:szCs w:val="24"/>
          <w:highlight w:val="none"/>
        </w:rPr>
      </w:pPr>
    </w:p>
    <w:p>
      <w:pPr>
        <w:numPr>
          <w:ilvl w:val="0"/>
          <w:numId w:val="0"/>
        </w:numPr>
        <w:spacing w:line="360" w:lineRule="auto"/>
        <w:ind w:left="3780" w:leftChars="0"/>
        <w:jc w:val="both"/>
        <w:outlineLvl w:val="2"/>
        <w:rPr>
          <w:rFonts w:hint="eastAsia" w:ascii="仿宋" w:hAnsi="仿宋" w:eastAsia="仿宋" w:cs="仿宋"/>
          <w:b/>
          <w:color w:val="auto"/>
          <w:sz w:val="28"/>
          <w:szCs w:val="28"/>
          <w:highlight w:val="none"/>
        </w:rPr>
      </w:pPr>
      <w:bookmarkStart w:id="121" w:name="_Toc28496"/>
      <w:bookmarkStart w:id="122" w:name="_Toc18703"/>
      <w:r>
        <w:rPr>
          <w:rFonts w:hint="eastAsia" w:ascii="仿宋" w:hAnsi="仿宋" w:eastAsia="仿宋" w:cs="仿宋"/>
          <w:b/>
          <w:color w:val="auto"/>
          <w:sz w:val="28"/>
          <w:szCs w:val="28"/>
          <w:highlight w:val="none"/>
          <w:lang w:eastAsia="zh-CN"/>
        </w:rPr>
        <w:t>九、</w:t>
      </w:r>
      <w:r>
        <w:rPr>
          <w:rFonts w:hint="eastAsia" w:ascii="仿宋" w:hAnsi="仿宋" w:eastAsia="仿宋" w:cs="仿宋"/>
          <w:b/>
          <w:color w:val="auto"/>
          <w:sz w:val="28"/>
          <w:szCs w:val="28"/>
          <w:highlight w:val="none"/>
        </w:rPr>
        <w:t>法律责任</w:t>
      </w:r>
    </w:p>
    <w:p>
      <w:pPr>
        <w:shd w:val="clear" w:color="auto" w:fill="auto"/>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法律责任</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1.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 </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（一）提供虚假材料谋取中标的； </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（二）采取不正当手段诋毁、排挤其他投标人的；</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（三）与招标人、采购人、其他投标人恶意串通的； </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（四）向招标人、采购人行贿或者提供其他不正当利益的； </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（五）在招标过程中与招标人、采购人进行协商谈判、不按照招标文件、投标文件订立合同，或者与采购人另行订立背离合同实质性内容的协议的； </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（六）拒绝有关部门监督检查或者提供虚假情况的。 </w:t>
      </w:r>
    </w:p>
    <w:p>
      <w:pPr>
        <w:pStyle w:val="24"/>
        <w:snapToGrid w:val="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投标人有前款第（一）至（五）项情形之一的，中标无效。 </w:t>
      </w:r>
    </w:p>
    <w:p>
      <w:pPr>
        <w:pStyle w:val="24"/>
        <w:snapToGrid w:val="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2.中标人有下列情形之一的，招标人不予退还其交纳的投标保证金；情节严重的，由财政部门将其列入不良行为记录名单，在一至三年内禁止参加政府采购活动，并予以通报：</w:t>
      </w:r>
    </w:p>
    <w:p>
      <w:pPr>
        <w:pStyle w:val="24"/>
        <w:snapToGrid w:val="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（一）中标后无正当理由不与采购人签订合同的；</w:t>
      </w:r>
    </w:p>
    <w:p>
      <w:pPr>
        <w:pStyle w:val="24"/>
        <w:snapToGrid w:val="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（二）将中标项目转让给他人，或者在投标文件中未说明，且未经招标人同意，将中标项目分包给他人的；</w:t>
      </w:r>
    </w:p>
    <w:p>
      <w:pPr>
        <w:pStyle w:val="24"/>
        <w:snapToGrid w:val="0"/>
        <w:spacing w:line="360" w:lineRule="auto"/>
        <w:ind w:left="210" w:leftChars="100" w:firstLine="360" w:firstLineChars="1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（三）拒绝履行合同义务的。</w:t>
      </w:r>
    </w:p>
    <w:p>
      <w:pPr>
        <w:numPr>
          <w:ilvl w:val="0"/>
          <w:numId w:val="0"/>
        </w:numPr>
        <w:spacing w:line="360" w:lineRule="auto"/>
        <w:ind w:left="3780" w:leftChars="0"/>
        <w:jc w:val="both"/>
        <w:outlineLvl w:val="2"/>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eastAsia="zh-CN"/>
        </w:rPr>
        <w:t>十、</w:t>
      </w:r>
      <w:bookmarkEnd w:id="121"/>
      <w:bookmarkEnd w:id="122"/>
      <w:r>
        <w:rPr>
          <w:rFonts w:hint="eastAsia" w:ascii="仿宋" w:hAnsi="仿宋" w:eastAsia="仿宋" w:cs="仿宋"/>
          <w:b/>
          <w:color w:val="auto"/>
          <w:sz w:val="28"/>
          <w:szCs w:val="28"/>
          <w:highlight w:val="none"/>
          <w:lang w:val="en-US" w:eastAsia="zh-CN"/>
        </w:rPr>
        <w:t>部分提醒</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31、投标人应认真研读招标文件，充分考虑招标文件中的技术要求和合同条款后编制投标文件。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32、如招标文件中未提供的各类表格样式，投标人可另行设计表格样式，但力求内容完整，表达清晰、准确。</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33、本项目实行网上投标，采用电子投标文件。若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参与投标，自行承担投标一切费用。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应在开标前应确保成为新疆维吾尔自治区政府采购网正式注册入库</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，并完成CA数字证书申领。因未注册入库、未办理CA数字证书等原因造成无法投标或投标失败等后果由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自行承担。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35、本项目为电子招投标，投标人需要使用CA加密设备，有意向参与新疆区域电子开评标的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，请访问新疆数字证书认证中心官方网站（https://www.xjca.com.cn/）或下载;“新疆政务通”APP自行进行申领。如需咨询，请联系新疆CA服务热线0991-2819290</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36、</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w:t>
      </w:r>
      <w:r>
        <w:rPr>
          <w:rFonts w:hint="eastAsia" w:ascii="仿宋" w:hAnsi="仿宋" w:eastAsia="仿宋" w:cs="仿宋"/>
          <w:color w:val="auto"/>
          <w:sz w:val="24"/>
          <w:szCs w:val="24"/>
          <w:highlight w:val="none"/>
          <w:lang w:eastAsia="zh-CN"/>
        </w:rPr>
        <w:t>95763</w:t>
      </w:r>
      <w:r>
        <w:rPr>
          <w:rFonts w:hint="eastAsia" w:ascii="仿宋" w:hAnsi="仿宋" w:eastAsia="仿宋" w:cs="仿宋"/>
          <w:color w:val="auto"/>
          <w:sz w:val="24"/>
          <w:szCs w:val="24"/>
          <w:highlight w:val="none"/>
        </w:rPr>
        <w:t>进行咨询。</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37、本招标文件是根据《中华人民共和国政府采购法》及相关的法律法规规定编制的，解释权属新疆星耀天都项目管理有限责任公司。</w:t>
      </w:r>
    </w:p>
    <w:p>
      <w:pPr>
        <w:numPr>
          <w:ilvl w:val="0"/>
          <w:numId w:val="0"/>
        </w:numPr>
        <w:shd w:val="clear" w:color="auto" w:fill="auto"/>
        <w:spacing w:line="360" w:lineRule="auto"/>
        <w:ind w:leftChars="-50" w:right="62" w:rightChars="0"/>
        <w:jc w:val="center"/>
        <w:outlineLvl w:val="1"/>
        <w:rPr>
          <w:rFonts w:hint="eastAsia" w:ascii="仿宋" w:hAnsi="仿宋" w:eastAsia="仿宋" w:cs="仿宋"/>
          <w:b/>
          <w:color w:val="auto"/>
          <w:sz w:val="24"/>
          <w:szCs w:val="24"/>
          <w:highlight w:val="none"/>
        </w:rPr>
      </w:pPr>
      <w:bookmarkStart w:id="123" w:name="_Toc15933"/>
      <w:bookmarkStart w:id="124" w:name="_Toc22021"/>
      <w:r>
        <w:rPr>
          <w:rFonts w:hint="eastAsia" w:ascii="仿宋" w:hAnsi="仿宋" w:eastAsia="仿宋" w:cs="仿宋"/>
          <w:b/>
          <w:color w:val="auto"/>
          <w:sz w:val="28"/>
          <w:szCs w:val="28"/>
          <w:highlight w:val="none"/>
        </w:rPr>
        <w:t>十</w:t>
      </w:r>
      <w:r>
        <w:rPr>
          <w:rFonts w:hint="eastAsia" w:ascii="仿宋" w:hAnsi="仿宋" w:eastAsia="仿宋" w:cs="仿宋"/>
          <w:b/>
          <w:color w:val="auto"/>
          <w:sz w:val="28"/>
          <w:szCs w:val="28"/>
          <w:highlight w:val="none"/>
          <w:lang w:eastAsia="zh-CN"/>
        </w:rPr>
        <w:t>一</w:t>
      </w:r>
      <w:r>
        <w:rPr>
          <w:rFonts w:hint="eastAsia" w:ascii="仿宋" w:hAnsi="仿宋" w:eastAsia="仿宋" w:cs="仿宋"/>
          <w:b/>
          <w:color w:val="auto"/>
          <w:sz w:val="28"/>
          <w:szCs w:val="28"/>
          <w:highlight w:val="none"/>
        </w:rPr>
        <w:t>、</w:t>
      </w:r>
      <w:bookmarkEnd w:id="123"/>
      <w:bookmarkEnd w:id="124"/>
      <w:r>
        <w:rPr>
          <w:rFonts w:hint="eastAsia" w:ascii="仿宋" w:hAnsi="仿宋" w:eastAsia="仿宋" w:cs="仿宋"/>
          <w:b/>
          <w:color w:val="auto"/>
          <w:sz w:val="24"/>
          <w:szCs w:val="24"/>
          <w:highlight w:val="none"/>
        </w:rPr>
        <w:t>重新招标和其他方式采购</w:t>
      </w:r>
    </w:p>
    <w:p>
      <w:pPr>
        <w:shd w:val="clear" w:color="auto" w:fill="auto"/>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1.重新招标</w:t>
      </w:r>
    </w:p>
    <w:p>
      <w:pPr>
        <w:shd w:val="clear" w:color="auto" w:fill="auto"/>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1.1在招标采购中，出现下列情形之一的，应当在废标后重新招标：</w:t>
      </w:r>
    </w:p>
    <w:p>
      <w:pPr>
        <w:shd w:val="clear" w:color="auto" w:fill="auto"/>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（1）符合专业条件的投标人或者对招标文件作实质响应的投标人不足三家的；</w:t>
      </w:r>
    </w:p>
    <w:p>
      <w:pPr>
        <w:shd w:val="clear" w:color="auto" w:fill="auto"/>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（2）出现影响采购公正的违法、违规行为的；</w:t>
      </w:r>
    </w:p>
    <w:p>
      <w:pPr>
        <w:shd w:val="clear" w:color="auto" w:fill="auto"/>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（3）投标人的报价均超过了采购预算，采购人不能支付的；</w:t>
      </w:r>
    </w:p>
    <w:p>
      <w:pPr>
        <w:shd w:val="clear" w:color="auto" w:fill="auto"/>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（4）因重大变故，采购任务取消的。</w:t>
      </w:r>
    </w:p>
    <w:p>
      <w:pPr>
        <w:shd w:val="clear" w:color="auto" w:fill="auto"/>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1.2如果排名第一、二的中标候选人，直至排名第三的中标候选人因不可抗力或自身原因放弃中标结果，本次招标宣布失败。招标人应依法按规定重新组织招标。</w:t>
      </w:r>
    </w:p>
    <w:p>
      <w:pPr>
        <w:shd w:val="clear" w:color="auto" w:fill="auto"/>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2其他方式采购</w:t>
      </w:r>
    </w:p>
    <w:p>
      <w:pPr>
        <w:shd w:val="clear" w:color="auto" w:fill="auto"/>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2.1需要采取其他方式采购的，应当在采购活动开始前获得设区的市、自治州以上人民政府采购监督管理部门或者政府有关部门批准。</w:t>
      </w:r>
    </w:p>
    <w:p>
      <w:pPr>
        <w:shd w:val="clear" w:color="auto" w:fill="auto"/>
        <w:spacing w:line="360" w:lineRule="auto"/>
        <w:jc w:val="center"/>
        <w:outlineLvl w:val="1"/>
        <w:rPr>
          <w:rFonts w:hint="eastAsia" w:ascii="仿宋" w:hAnsi="仿宋" w:eastAsia="仿宋" w:cs="仿宋"/>
          <w:b/>
          <w:color w:val="auto"/>
          <w:sz w:val="28"/>
          <w:szCs w:val="28"/>
          <w:highlight w:val="none"/>
        </w:rPr>
      </w:pPr>
    </w:p>
    <w:p>
      <w:pPr>
        <w:shd w:val="clear" w:color="auto" w:fill="auto"/>
        <w:spacing w:line="360" w:lineRule="auto"/>
        <w:jc w:val="center"/>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8"/>
          <w:szCs w:val="28"/>
          <w:highlight w:val="none"/>
        </w:rPr>
        <w:t>十</w:t>
      </w:r>
      <w:r>
        <w:rPr>
          <w:rFonts w:hint="eastAsia" w:ascii="仿宋" w:hAnsi="仿宋" w:eastAsia="仿宋" w:cs="仿宋"/>
          <w:b/>
          <w:color w:val="auto"/>
          <w:sz w:val="28"/>
          <w:szCs w:val="28"/>
          <w:highlight w:val="none"/>
          <w:lang w:eastAsia="zh-CN"/>
        </w:rPr>
        <w:t>二</w:t>
      </w:r>
      <w:r>
        <w:rPr>
          <w:rFonts w:hint="eastAsia" w:ascii="仿宋" w:hAnsi="仿宋" w:eastAsia="仿宋" w:cs="仿宋"/>
          <w:b/>
          <w:color w:val="auto"/>
          <w:sz w:val="28"/>
          <w:szCs w:val="28"/>
          <w:highlight w:val="none"/>
        </w:rPr>
        <w:t>、</w:t>
      </w:r>
      <w:r>
        <w:rPr>
          <w:rFonts w:hint="eastAsia" w:ascii="仿宋" w:hAnsi="仿宋" w:eastAsia="仿宋" w:cs="仿宋"/>
          <w:b/>
          <w:color w:val="auto"/>
          <w:sz w:val="24"/>
          <w:szCs w:val="24"/>
          <w:highlight w:val="none"/>
        </w:rPr>
        <w:t>质疑及答复</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投诉</w:t>
      </w:r>
    </w:p>
    <w:p>
      <w:pPr>
        <w:shd w:val="clear" w:color="auto" w:fill="auto"/>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、质疑的提出</w:t>
      </w:r>
      <w:r>
        <w:rPr>
          <w:rFonts w:hint="eastAsia" w:ascii="仿宋" w:hAnsi="仿宋" w:eastAsia="仿宋" w:cs="仿宋"/>
          <w:color w:val="auto"/>
          <w:sz w:val="24"/>
          <w:szCs w:val="24"/>
          <w:highlight w:val="none"/>
        </w:rPr>
        <w:tab/>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 本采购文件中所称质疑及答复，是指参加本次采购活动的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对政府采购活动中的采购文件、采购过程和中标结果向采购方</w:t>
      </w:r>
      <w:r>
        <w:rPr>
          <w:rFonts w:hint="eastAsia" w:ascii="仿宋" w:hAnsi="仿宋" w:eastAsia="仿宋" w:cs="仿宋"/>
          <w:color w:val="auto"/>
          <w:sz w:val="24"/>
          <w:szCs w:val="24"/>
          <w:highlight w:val="none"/>
          <w:lang w:eastAsia="zh-CN"/>
        </w:rPr>
        <w:t>一次性</w:t>
      </w:r>
      <w:r>
        <w:rPr>
          <w:rFonts w:hint="eastAsia" w:ascii="仿宋" w:hAnsi="仿宋" w:eastAsia="仿宋" w:cs="仿宋"/>
          <w:color w:val="auto"/>
          <w:sz w:val="24"/>
          <w:szCs w:val="24"/>
          <w:highlight w:val="none"/>
        </w:rPr>
        <w:t>提出质疑，采购方答复质疑的行为。</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认为采购文件、采购过程和中标结果使自己的权益受到损害的，可以在知道或者应知其权益受到损害之日起 7 个工作日内，以书面形式</w:t>
      </w:r>
      <w:r>
        <w:rPr>
          <w:rFonts w:hint="eastAsia" w:ascii="仿宋" w:hAnsi="仿宋" w:eastAsia="仿宋" w:cs="仿宋"/>
          <w:color w:val="auto"/>
          <w:sz w:val="24"/>
          <w:szCs w:val="24"/>
          <w:highlight w:val="none"/>
          <w:lang w:eastAsia="zh-CN"/>
        </w:rPr>
        <w:t>一次性</w:t>
      </w:r>
      <w:r>
        <w:rPr>
          <w:rFonts w:hint="eastAsia" w:ascii="仿宋" w:hAnsi="仿宋" w:eastAsia="仿宋" w:cs="仿宋"/>
          <w:color w:val="auto"/>
          <w:sz w:val="24"/>
          <w:szCs w:val="24"/>
          <w:highlight w:val="none"/>
        </w:rPr>
        <w:t>向采购方提出质疑。</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应知其权益受到损害之日，是指：</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（一）对可以质疑的采购文件提出质疑的，为收到采购文件之日或者采购文件公告期限届满之日；</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（二）对采购过程提出质疑的，为各采购程序环节结束之日；</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（三）对中标结果提出质疑的，为中标结果公告期限届满之日。</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 xml:space="preserve"> 对可以质疑的采购文件提出质疑的，质疑人为参与本项目的报价方或潜在报价方。可质疑的文件为采购公告以及采购文件（包括属于其组成部分的澄清、修改、补充文件和评审标准、合同文本等）。</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 xml:space="preserve"> 对采购过程和中标结果提出质疑的，质疑人为直接参与本项目的报价方。采购过程,即从采购项目信息公告发布起到中标结果公告止，包括采购文件的发出、提交投标文件、投标文件开启、评审等各个采购程序环节。</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 xml:space="preserve">  提出质疑应当符合下列条件：</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（一）质疑主体应当符合有关规定；</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（二）在质疑法定期限内提出；</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（三）属于可以提出质疑的政府采购事项受理范围和本项目采购人的管辖权范围；</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（四）政府采购法律、法规、规章规定的其他条件。</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 xml:space="preserve">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 xml:space="preserve"> 质疑人所提供的证明材料应当具有真实性、合法性以及与质疑事项的关联性和证明力，否则不能作为认定该质疑事项成立的依据。</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 xml:space="preserve"> 质疑人提出质疑时应当提交质疑函。质疑函包括下列内容：</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（一）提出质疑的质疑人的名称、地址、邮编、联系人及联系电话等；</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（二）质疑项目的名称、编号；</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（四）事实依据和证明材料；</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（五）法律依据；</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（六）提出质疑的日期。</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1.10</w:t>
      </w:r>
      <w:r>
        <w:rPr>
          <w:rFonts w:hint="eastAsia" w:ascii="仿宋" w:hAnsi="仿宋" w:eastAsia="仿宋" w:cs="仿宋"/>
          <w:color w:val="auto"/>
          <w:sz w:val="24"/>
          <w:szCs w:val="24"/>
          <w:highlight w:val="none"/>
        </w:rPr>
        <w:t xml:space="preserve">  质疑函采用实名制。质疑人为自然人的应当由本人签字，并附有效身份证明文件；质疑人为法人或者非法人组织的应当由法定代表人或者负责人签字并加盖公章，并附有效身份证明文件。</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1.11</w:t>
      </w:r>
      <w:r>
        <w:rPr>
          <w:rFonts w:hint="eastAsia" w:ascii="仿宋" w:hAnsi="仿宋" w:eastAsia="仿宋" w:cs="仿宋"/>
          <w:color w:val="auto"/>
          <w:sz w:val="24"/>
          <w:szCs w:val="24"/>
          <w:highlight w:val="none"/>
        </w:rPr>
        <w:t xml:space="preserve"> 质疑人可以委托代理人进行质疑。代理人应当提交授权委托书。授权委托书应当载明委托代理的具体权限、期限和相关事项。</w:t>
      </w:r>
    </w:p>
    <w:p>
      <w:pPr>
        <w:shd w:val="clear" w:color="auto" w:fill="auto"/>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、质疑的审查和受理</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 采购方在收到质疑函后应当及时审查是否符合质疑受理条件，对符合质疑受理条件的，及时予以受理。</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.2对不符合质疑受理条件的，分别按照下列不同情形予以处理：</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（二）质疑主体不符合有关规定的，告知质疑人不予受理；</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（三）超过质疑法定期限提出质疑的，告知质疑人不予受理；</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（四）对不属于可以提出质疑的政府采购事项提出质疑的，告知质疑人不予受理；</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（五）质疑不属于本项目采购方管辖的，告知质疑人向有管辖权的采购人提出质疑；</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（六）质疑不符合其他条件的，告知质疑人不予受理。</w:t>
      </w:r>
    </w:p>
    <w:p>
      <w:pPr>
        <w:shd w:val="clear" w:color="auto" w:fill="auto"/>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、质疑的处理和答复</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 按照《政府采购质疑和投诉办法（财政部94号令）》处理及答复质疑。</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 采购方受理质疑后，将及时把质疑函发送给被质疑人，并要求其在一定限期人提交书面答复，同时提供有关证据、依据和相关材料。</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.3 对于质疑事项中涉及的问题较多、情况比较复杂的，为了全面查清事实、取得充分的证据，采购方认为有必要时，可以进行调查取证或者组织质证。</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.4对评审过程、中标结果提出质疑的，采购方可以组织原评审委员会协助答复质疑。</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.5质疑处理过程中，质疑人书面申请撤回质疑的，将终止质疑处理程序。</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.6质疑人拒绝配合采购方依法对质疑进行调查处理的，采购方将按质疑人自动撤回质疑处理；被质疑人拒绝配合采购方依法对质疑进行调查处理的，采购方将视同其认可质疑事项。</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.7 采购方将在正式受理质疑后 7 个工作日内作出答复，但处理质疑需要进行调查取证、组织专家评审、质疑人及被质疑人提交或补正材料等所需时间，不计算在质疑处理期限内。</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.8 采购方经调查、论证、核实，认定质疑不能成立的，继续开展采购活动；认定质疑成立的，按照以下情况处理：</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.9 采购方将书面答复质疑，质疑答复包括下列内容：</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（一）质疑人名称；</w:t>
      </w:r>
    </w:p>
    <w:p>
      <w:pPr>
        <w:shd w:val="clear" w:color="auto" w:fill="auto"/>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（二）收到质疑函的日期、质疑项目名称及编号</w:t>
      </w:r>
      <w:r>
        <w:rPr>
          <w:rFonts w:hint="eastAsia" w:ascii="仿宋" w:hAnsi="仿宋" w:eastAsia="仿宋" w:cs="仿宋"/>
          <w:color w:val="auto"/>
          <w:sz w:val="24"/>
          <w:szCs w:val="24"/>
          <w:highlight w:val="none"/>
          <w:lang w:eastAsia="zh-CN"/>
        </w:rPr>
        <w:t>；</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（三）质疑事项、质疑答复的具体内容、事实依据和法律依据；</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（四）告知质疑人依法投诉的权利；</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（五）质疑答复日期。</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.10 质疑人有下列行为之一的，属于虚假、恶意质疑，将由采购方建议财政部门将其列入不良行为记录名单，禁止其 1 至 3 年内参加政府采购活动：</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（一）受理后发现投诉不符合法定受理条件；</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（二）投诉事项缺乏事实依据，投诉事项不成立；</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（三）投诉人捏造事实或者提供虚假材料；</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（四）投诉人以非法手段取得证明材料。证据来源的合法性存在明显疑问，投诉人无法证明其取得方式合法的，视为以非法手段取得证明材料。</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（五）法律法规规定的其他违法情形。</w:t>
      </w:r>
    </w:p>
    <w:p>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pPr>
        <w:shd w:val="clear" w:color="auto" w:fill="auto"/>
        <w:spacing w:before="101" w:line="240" w:lineRule="auto"/>
        <w:outlineLvl w:val="2"/>
        <w:rPr>
          <w:rFonts w:hint="eastAsia" w:ascii="仿宋" w:hAnsi="仿宋" w:eastAsia="仿宋" w:cs="仿宋"/>
          <w:color w:val="auto"/>
          <w:sz w:val="24"/>
          <w:szCs w:val="24"/>
          <w:highlight w:val="none"/>
        </w:rPr>
      </w:pPr>
      <w:bookmarkStart w:id="125" w:name="_Toc21178"/>
      <w:bookmarkStart w:id="126" w:name="_Toc1224"/>
      <w:bookmarkStart w:id="127" w:name="_Toc110010424"/>
      <w:r>
        <w:rPr>
          <w:rFonts w:hint="eastAsia" w:ascii="仿宋" w:hAnsi="仿宋" w:eastAsia="仿宋" w:cs="仿宋"/>
          <w:color w:val="auto"/>
          <w:spacing w:val="8"/>
          <w:sz w:val="24"/>
          <w:szCs w:val="24"/>
          <w:highlight w:val="none"/>
        </w:rPr>
        <w:t>附</w:t>
      </w:r>
      <w:r>
        <w:rPr>
          <w:rFonts w:hint="eastAsia" w:ascii="仿宋" w:hAnsi="仿宋" w:eastAsia="仿宋" w:cs="仿宋"/>
          <w:color w:val="auto"/>
          <w:spacing w:val="6"/>
          <w:sz w:val="24"/>
          <w:szCs w:val="24"/>
          <w:highlight w:val="none"/>
        </w:rPr>
        <w:t>件：质疑函范本</w:t>
      </w:r>
      <w:bookmarkEnd w:id="125"/>
      <w:bookmarkEnd w:id="126"/>
      <w:bookmarkEnd w:id="127"/>
    </w:p>
    <w:p>
      <w:pPr>
        <w:shd w:val="clear" w:color="auto" w:fill="auto"/>
        <w:spacing w:before="101" w:line="240" w:lineRule="auto"/>
        <w:ind w:left="3656"/>
        <w:rPr>
          <w:rFonts w:hint="eastAsia" w:ascii="仿宋" w:hAnsi="仿宋" w:eastAsia="仿宋" w:cs="仿宋"/>
          <w:color w:val="auto"/>
          <w:sz w:val="24"/>
          <w:szCs w:val="24"/>
          <w:highlight w:val="none"/>
        </w:rPr>
      </w:pPr>
      <w:r>
        <w:rPr>
          <w:rFonts w:hint="eastAsia" w:ascii="仿宋" w:hAnsi="仿宋" w:eastAsia="仿宋" w:cs="仿宋"/>
          <w:color w:val="auto"/>
          <w:spacing w:val="25"/>
          <w:sz w:val="24"/>
          <w:szCs w:val="24"/>
          <w:highlight w:val="none"/>
        </w:rPr>
        <w:t>质</w:t>
      </w:r>
      <w:r>
        <w:rPr>
          <w:rFonts w:hint="eastAsia" w:ascii="仿宋" w:hAnsi="仿宋" w:eastAsia="仿宋" w:cs="仿宋"/>
          <w:color w:val="auto"/>
          <w:spacing w:val="24"/>
          <w:sz w:val="24"/>
          <w:szCs w:val="24"/>
          <w:highlight w:val="none"/>
        </w:rPr>
        <w:t>疑函</w:t>
      </w:r>
    </w:p>
    <w:p>
      <w:pPr>
        <w:shd w:val="clear" w:color="auto" w:fill="auto"/>
        <w:spacing w:before="237" w:line="240" w:lineRule="auto"/>
        <w:ind w:left="27"/>
        <w:outlineLvl w:val="2"/>
        <w:rPr>
          <w:rFonts w:hint="eastAsia" w:ascii="仿宋" w:hAnsi="仿宋" w:eastAsia="仿宋" w:cs="仿宋"/>
          <w:color w:val="auto"/>
          <w:sz w:val="24"/>
          <w:szCs w:val="24"/>
          <w:highlight w:val="none"/>
        </w:rPr>
      </w:pPr>
      <w:bookmarkStart w:id="128" w:name="_Toc1299"/>
      <w:bookmarkStart w:id="129" w:name="_Toc5896"/>
      <w:bookmarkStart w:id="130" w:name="_Toc110010425"/>
      <w:bookmarkStart w:id="131" w:name="_Toc25739"/>
      <w:r>
        <w:rPr>
          <w:rFonts w:hint="eastAsia" w:ascii="仿宋" w:hAnsi="仿宋" w:eastAsia="仿宋" w:cs="仿宋"/>
          <w:color w:val="auto"/>
          <w:spacing w:val="-2"/>
          <w:position w:val="2"/>
          <w:sz w:val="24"/>
          <w:szCs w:val="24"/>
          <w:highlight w:val="none"/>
        </w:rPr>
        <w:t>一、质</w:t>
      </w:r>
      <w:r>
        <w:rPr>
          <w:rFonts w:hint="eastAsia" w:ascii="仿宋" w:hAnsi="仿宋" w:eastAsia="仿宋" w:cs="仿宋"/>
          <w:color w:val="auto"/>
          <w:spacing w:val="-1"/>
          <w:position w:val="2"/>
          <w:sz w:val="24"/>
          <w:szCs w:val="24"/>
          <w:highlight w:val="none"/>
        </w:rPr>
        <w:t>疑</w:t>
      </w:r>
      <w:r>
        <w:rPr>
          <w:rFonts w:hint="eastAsia" w:ascii="仿宋" w:hAnsi="仿宋" w:eastAsia="仿宋" w:cs="仿宋"/>
          <w:color w:val="auto"/>
          <w:spacing w:val="-1"/>
          <w:position w:val="2"/>
          <w:sz w:val="24"/>
          <w:szCs w:val="24"/>
          <w:highlight w:val="none"/>
          <w:lang w:eastAsia="zh-CN"/>
        </w:rPr>
        <w:t>投标人</w:t>
      </w:r>
      <w:r>
        <w:rPr>
          <w:rFonts w:hint="eastAsia" w:ascii="仿宋" w:hAnsi="仿宋" w:eastAsia="仿宋" w:cs="仿宋"/>
          <w:color w:val="auto"/>
          <w:spacing w:val="-1"/>
          <w:position w:val="2"/>
          <w:sz w:val="24"/>
          <w:szCs w:val="24"/>
          <w:highlight w:val="none"/>
        </w:rPr>
        <w:t>基本信息</w:t>
      </w:r>
      <w:bookmarkEnd w:id="128"/>
      <w:bookmarkEnd w:id="129"/>
      <w:bookmarkEnd w:id="130"/>
      <w:bookmarkEnd w:id="131"/>
    </w:p>
    <w:p>
      <w:pPr>
        <w:shd w:val="clear" w:color="auto" w:fill="auto"/>
        <w:spacing w:before="77" w:line="24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质</w:t>
      </w:r>
      <w:r>
        <w:rPr>
          <w:rFonts w:hint="eastAsia" w:ascii="仿宋" w:hAnsi="仿宋" w:eastAsia="仿宋" w:cs="仿宋"/>
          <w:color w:val="auto"/>
          <w:spacing w:val="-2"/>
          <w:sz w:val="24"/>
          <w:szCs w:val="24"/>
          <w:highlight w:val="none"/>
        </w:rPr>
        <w:t>疑</w:t>
      </w:r>
      <w:r>
        <w:rPr>
          <w:rFonts w:hint="eastAsia" w:ascii="仿宋" w:hAnsi="仿宋" w:eastAsia="仿宋" w:cs="仿宋"/>
          <w:color w:val="auto"/>
          <w:spacing w:val="-2"/>
          <w:sz w:val="24"/>
          <w:szCs w:val="24"/>
          <w:highlight w:val="none"/>
          <w:lang w:eastAsia="zh-CN"/>
        </w:rPr>
        <w:t>投标人</w:t>
      </w:r>
      <w:r>
        <w:rPr>
          <w:rFonts w:hint="eastAsia" w:ascii="仿宋" w:hAnsi="仿宋" w:eastAsia="仿宋" w:cs="仿宋"/>
          <w:color w:val="auto"/>
          <w:spacing w:val="-2"/>
          <w:sz w:val="24"/>
          <w:szCs w:val="24"/>
          <w:highlight w:val="none"/>
        </w:rPr>
        <w:t>：</w:t>
      </w:r>
      <w:r>
        <w:rPr>
          <w:rFonts w:hint="eastAsia" w:ascii="仿宋" w:hAnsi="仿宋" w:eastAsia="仿宋" w:cs="仿宋"/>
          <w:color w:val="auto"/>
          <w:sz w:val="24"/>
          <w:szCs w:val="24"/>
          <w:highlight w:val="none"/>
          <w:u w:val="dotted"/>
        </w:rPr>
        <w:t xml:space="preserve">                                       </w:t>
      </w:r>
    </w:p>
    <w:p>
      <w:pPr>
        <w:shd w:val="clear" w:color="auto" w:fill="auto"/>
        <w:spacing w:before="212" w:line="240"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地址：</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rPr>
        <w:t>邮编：</w:t>
      </w:r>
      <w:r>
        <w:rPr>
          <w:rFonts w:hint="eastAsia" w:ascii="仿宋" w:hAnsi="仿宋" w:eastAsia="仿宋" w:cs="仿宋"/>
          <w:color w:val="auto"/>
          <w:sz w:val="24"/>
          <w:szCs w:val="24"/>
          <w:highlight w:val="none"/>
          <w:u w:val="dotted"/>
        </w:rPr>
        <w:t xml:space="preserve">                   </w:t>
      </w:r>
    </w:p>
    <w:p>
      <w:pPr>
        <w:shd w:val="clear" w:color="auto" w:fill="auto"/>
        <w:spacing w:before="211" w:line="24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联系人：</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rPr>
        <w:t>联系电话：</w:t>
      </w:r>
      <w:r>
        <w:rPr>
          <w:rFonts w:hint="eastAsia" w:ascii="仿宋" w:hAnsi="仿宋" w:eastAsia="仿宋" w:cs="仿宋"/>
          <w:color w:val="auto"/>
          <w:sz w:val="24"/>
          <w:szCs w:val="24"/>
          <w:highlight w:val="none"/>
          <w:u w:val="dotted"/>
        </w:rPr>
        <w:t xml:space="preserve">                 </w:t>
      </w:r>
    </w:p>
    <w:p>
      <w:pPr>
        <w:shd w:val="clear" w:color="auto" w:fill="auto"/>
        <w:spacing w:before="205" w:line="240"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授</w:t>
      </w:r>
      <w:r>
        <w:rPr>
          <w:rFonts w:hint="eastAsia" w:ascii="仿宋" w:hAnsi="仿宋" w:eastAsia="仿宋" w:cs="仿宋"/>
          <w:color w:val="auto"/>
          <w:spacing w:val="-2"/>
          <w:sz w:val="24"/>
          <w:szCs w:val="24"/>
          <w:highlight w:val="none"/>
        </w:rPr>
        <w:t>权代表：</w:t>
      </w:r>
      <w:r>
        <w:rPr>
          <w:rFonts w:hint="eastAsia" w:ascii="仿宋" w:hAnsi="仿宋" w:eastAsia="仿宋" w:cs="仿宋"/>
          <w:color w:val="auto"/>
          <w:sz w:val="24"/>
          <w:szCs w:val="24"/>
          <w:highlight w:val="none"/>
          <w:u w:val="dotted"/>
        </w:rPr>
        <w:t xml:space="preserve">                                         </w:t>
      </w:r>
    </w:p>
    <w:p>
      <w:pPr>
        <w:shd w:val="clear" w:color="auto" w:fill="auto"/>
        <w:spacing w:before="214" w:line="24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联系</w:t>
      </w:r>
      <w:r>
        <w:rPr>
          <w:rFonts w:hint="eastAsia" w:ascii="仿宋" w:hAnsi="仿宋" w:eastAsia="仿宋" w:cs="仿宋"/>
          <w:color w:val="auto"/>
          <w:spacing w:val="-2"/>
          <w:sz w:val="24"/>
          <w:szCs w:val="24"/>
          <w:highlight w:val="none"/>
        </w:rPr>
        <w:t>电话：</w:t>
      </w:r>
      <w:r>
        <w:rPr>
          <w:rFonts w:hint="eastAsia" w:ascii="仿宋" w:hAnsi="仿宋" w:eastAsia="仿宋" w:cs="仿宋"/>
          <w:color w:val="auto"/>
          <w:sz w:val="24"/>
          <w:szCs w:val="24"/>
          <w:highlight w:val="none"/>
          <w:u w:val="dotted"/>
        </w:rPr>
        <w:t xml:space="preserve">                                          </w:t>
      </w:r>
    </w:p>
    <w:p>
      <w:pPr>
        <w:shd w:val="clear" w:color="auto" w:fill="auto"/>
        <w:spacing w:before="208" w:line="240"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地址：</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rPr>
        <w:t>邮编：</w:t>
      </w:r>
      <w:r>
        <w:rPr>
          <w:rFonts w:hint="eastAsia" w:ascii="仿宋" w:hAnsi="仿宋" w:eastAsia="仿宋" w:cs="仿宋"/>
          <w:color w:val="auto"/>
          <w:sz w:val="24"/>
          <w:szCs w:val="24"/>
          <w:highlight w:val="none"/>
          <w:u w:val="dotted"/>
        </w:rPr>
        <w:t xml:space="preserve">                    </w:t>
      </w:r>
    </w:p>
    <w:p>
      <w:pPr>
        <w:shd w:val="clear" w:color="auto" w:fill="auto"/>
        <w:spacing w:before="209" w:line="240" w:lineRule="auto"/>
        <w:ind w:left="27"/>
        <w:outlineLvl w:val="2"/>
        <w:rPr>
          <w:rFonts w:hint="eastAsia" w:ascii="仿宋" w:hAnsi="仿宋" w:eastAsia="仿宋" w:cs="仿宋"/>
          <w:color w:val="auto"/>
          <w:sz w:val="24"/>
          <w:szCs w:val="24"/>
          <w:highlight w:val="none"/>
        </w:rPr>
      </w:pPr>
      <w:bookmarkStart w:id="132" w:name="_Toc15098"/>
      <w:bookmarkStart w:id="133" w:name="_Toc3585"/>
      <w:bookmarkStart w:id="134" w:name="_Toc1061"/>
      <w:bookmarkStart w:id="135" w:name="_Toc110010426"/>
      <w:r>
        <w:rPr>
          <w:rFonts w:hint="eastAsia" w:ascii="仿宋" w:hAnsi="仿宋" w:eastAsia="仿宋" w:cs="仿宋"/>
          <w:color w:val="auto"/>
          <w:spacing w:val="-2"/>
          <w:position w:val="1"/>
          <w:sz w:val="24"/>
          <w:szCs w:val="24"/>
          <w:highlight w:val="none"/>
        </w:rPr>
        <w:t>二、质疑项</w:t>
      </w:r>
      <w:r>
        <w:rPr>
          <w:rFonts w:hint="eastAsia" w:ascii="仿宋" w:hAnsi="仿宋" w:eastAsia="仿宋" w:cs="仿宋"/>
          <w:color w:val="auto"/>
          <w:spacing w:val="-1"/>
          <w:position w:val="1"/>
          <w:sz w:val="24"/>
          <w:szCs w:val="24"/>
          <w:highlight w:val="none"/>
        </w:rPr>
        <w:t>目基本情况</w:t>
      </w:r>
      <w:bookmarkEnd w:id="132"/>
      <w:bookmarkEnd w:id="133"/>
      <w:bookmarkEnd w:id="134"/>
      <w:bookmarkEnd w:id="135"/>
    </w:p>
    <w:p>
      <w:pPr>
        <w:shd w:val="clear" w:color="auto" w:fill="auto"/>
        <w:spacing w:before="173" w:line="24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质疑项目</w:t>
      </w:r>
      <w:r>
        <w:rPr>
          <w:rFonts w:hint="eastAsia" w:ascii="仿宋" w:hAnsi="仿宋" w:eastAsia="仿宋" w:cs="仿宋"/>
          <w:color w:val="auto"/>
          <w:spacing w:val="-1"/>
          <w:sz w:val="24"/>
          <w:szCs w:val="24"/>
          <w:highlight w:val="none"/>
        </w:rPr>
        <w:t>的名称：</w:t>
      </w:r>
      <w:r>
        <w:rPr>
          <w:rFonts w:hint="eastAsia" w:ascii="仿宋" w:hAnsi="仿宋" w:eastAsia="仿宋" w:cs="仿宋"/>
          <w:color w:val="auto"/>
          <w:sz w:val="24"/>
          <w:szCs w:val="24"/>
          <w:highlight w:val="none"/>
          <w:u w:val="dotted"/>
        </w:rPr>
        <w:t xml:space="preserve">                                         </w:t>
      </w:r>
    </w:p>
    <w:p>
      <w:pPr>
        <w:shd w:val="clear" w:color="auto" w:fill="auto"/>
        <w:spacing w:before="210" w:line="24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质疑项</w:t>
      </w:r>
      <w:r>
        <w:rPr>
          <w:rFonts w:hint="eastAsia" w:ascii="仿宋" w:hAnsi="仿宋" w:eastAsia="仿宋" w:cs="仿宋"/>
          <w:color w:val="auto"/>
          <w:spacing w:val="-9"/>
          <w:sz w:val="24"/>
          <w:szCs w:val="24"/>
          <w:highlight w:val="none"/>
        </w:rPr>
        <w:t>目</w:t>
      </w:r>
      <w:r>
        <w:rPr>
          <w:rFonts w:hint="eastAsia" w:ascii="仿宋" w:hAnsi="仿宋" w:eastAsia="仿宋" w:cs="仿宋"/>
          <w:color w:val="auto"/>
          <w:spacing w:val="-5"/>
          <w:sz w:val="24"/>
          <w:szCs w:val="24"/>
          <w:highlight w:val="none"/>
        </w:rPr>
        <w:t>的编号：</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5"/>
          <w:sz w:val="24"/>
          <w:szCs w:val="24"/>
          <w:highlight w:val="none"/>
        </w:rPr>
        <w:t>包号：</w:t>
      </w:r>
      <w:r>
        <w:rPr>
          <w:rFonts w:hint="eastAsia" w:ascii="仿宋" w:hAnsi="仿宋" w:eastAsia="仿宋" w:cs="仿宋"/>
          <w:color w:val="auto"/>
          <w:sz w:val="24"/>
          <w:szCs w:val="24"/>
          <w:highlight w:val="none"/>
          <w:u w:val="dotted"/>
        </w:rPr>
        <w:t xml:space="preserve">                    </w:t>
      </w:r>
    </w:p>
    <w:p>
      <w:pPr>
        <w:shd w:val="clear" w:color="auto" w:fill="auto"/>
        <w:spacing w:before="212" w:line="240"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采购人名</w:t>
      </w:r>
      <w:r>
        <w:rPr>
          <w:rFonts w:hint="eastAsia" w:ascii="仿宋" w:hAnsi="仿宋" w:eastAsia="仿宋" w:cs="仿宋"/>
          <w:color w:val="auto"/>
          <w:spacing w:val="-1"/>
          <w:sz w:val="24"/>
          <w:szCs w:val="24"/>
          <w:highlight w:val="none"/>
        </w:rPr>
        <w:t>称：</w:t>
      </w:r>
      <w:r>
        <w:rPr>
          <w:rFonts w:hint="eastAsia" w:ascii="仿宋" w:hAnsi="仿宋" w:eastAsia="仿宋" w:cs="仿宋"/>
          <w:color w:val="auto"/>
          <w:sz w:val="24"/>
          <w:szCs w:val="24"/>
          <w:highlight w:val="none"/>
          <w:u w:val="dotted"/>
        </w:rPr>
        <w:t xml:space="preserve">                                           </w:t>
      </w:r>
    </w:p>
    <w:p>
      <w:pPr>
        <w:shd w:val="clear" w:color="auto" w:fill="auto"/>
        <w:spacing w:before="212" w:line="240"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采购</w:t>
      </w:r>
      <w:r>
        <w:rPr>
          <w:rFonts w:hint="eastAsia" w:ascii="仿宋" w:hAnsi="仿宋" w:eastAsia="仿宋" w:cs="仿宋"/>
          <w:color w:val="auto"/>
          <w:spacing w:val="-1"/>
          <w:sz w:val="24"/>
          <w:szCs w:val="24"/>
          <w:highlight w:val="none"/>
        </w:rPr>
        <w:t>文件获取日期：</w:t>
      </w:r>
      <w:r>
        <w:rPr>
          <w:rFonts w:hint="eastAsia" w:ascii="仿宋" w:hAnsi="仿宋" w:eastAsia="仿宋" w:cs="仿宋"/>
          <w:color w:val="auto"/>
          <w:sz w:val="24"/>
          <w:szCs w:val="24"/>
          <w:highlight w:val="none"/>
          <w:u w:val="dotted"/>
        </w:rPr>
        <w:t xml:space="preserve">                                       </w:t>
      </w:r>
    </w:p>
    <w:p>
      <w:pPr>
        <w:shd w:val="clear" w:color="auto" w:fill="auto"/>
        <w:spacing w:before="213" w:line="240" w:lineRule="auto"/>
        <w:ind w:left="22"/>
        <w:outlineLvl w:val="2"/>
        <w:rPr>
          <w:rFonts w:hint="eastAsia" w:ascii="仿宋" w:hAnsi="仿宋" w:eastAsia="仿宋" w:cs="仿宋"/>
          <w:color w:val="auto"/>
          <w:sz w:val="24"/>
          <w:szCs w:val="24"/>
          <w:highlight w:val="none"/>
        </w:rPr>
      </w:pPr>
      <w:bookmarkStart w:id="136" w:name="_Toc32569"/>
      <w:bookmarkStart w:id="137" w:name="_Toc22496"/>
      <w:bookmarkStart w:id="138" w:name="_Toc110010427"/>
      <w:bookmarkStart w:id="139" w:name="_Toc14686"/>
      <w:r>
        <w:rPr>
          <w:rFonts w:hint="eastAsia" w:ascii="仿宋" w:hAnsi="仿宋" w:eastAsia="仿宋" w:cs="仿宋"/>
          <w:color w:val="auto"/>
          <w:spacing w:val="-2"/>
          <w:sz w:val="24"/>
          <w:szCs w:val="24"/>
          <w:highlight w:val="none"/>
        </w:rPr>
        <w:t>三</w:t>
      </w:r>
      <w:r>
        <w:rPr>
          <w:rFonts w:hint="eastAsia" w:ascii="仿宋" w:hAnsi="仿宋" w:eastAsia="仿宋" w:cs="仿宋"/>
          <w:color w:val="auto"/>
          <w:spacing w:val="-1"/>
          <w:sz w:val="24"/>
          <w:szCs w:val="24"/>
          <w:highlight w:val="none"/>
        </w:rPr>
        <w:t>、质疑事项具体内容</w:t>
      </w:r>
      <w:bookmarkEnd w:id="136"/>
      <w:bookmarkEnd w:id="137"/>
      <w:bookmarkEnd w:id="138"/>
      <w:bookmarkEnd w:id="139"/>
    </w:p>
    <w:p>
      <w:pPr>
        <w:shd w:val="clear" w:color="auto" w:fill="auto"/>
        <w:spacing w:before="184" w:line="24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17"/>
          <w:sz w:val="24"/>
          <w:szCs w:val="24"/>
          <w:highlight w:val="none"/>
        </w:rPr>
        <w:t>质</w:t>
      </w:r>
      <w:r>
        <w:rPr>
          <w:rFonts w:hint="eastAsia" w:ascii="仿宋" w:hAnsi="仿宋" w:eastAsia="仿宋" w:cs="仿宋"/>
          <w:color w:val="auto"/>
          <w:spacing w:val="-11"/>
          <w:sz w:val="24"/>
          <w:szCs w:val="24"/>
          <w:highlight w:val="none"/>
        </w:rPr>
        <w:t>疑事项 1：</w:t>
      </w:r>
      <w:r>
        <w:rPr>
          <w:rFonts w:hint="eastAsia" w:ascii="仿宋" w:hAnsi="仿宋" w:eastAsia="仿宋" w:cs="仿宋"/>
          <w:color w:val="auto"/>
          <w:sz w:val="24"/>
          <w:szCs w:val="24"/>
          <w:highlight w:val="none"/>
          <w:u w:val="dotted"/>
        </w:rPr>
        <w:t xml:space="preserve">                                             </w:t>
      </w:r>
    </w:p>
    <w:p>
      <w:pPr>
        <w:shd w:val="clear" w:color="auto" w:fill="auto"/>
        <w:spacing w:before="211" w:line="240"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事</w:t>
      </w:r>
      <w:r>
        <w:rPr>
          <w:rFonts w:hint="eastAsia" w:ascii="仿宋" w:hAnsi="仿宋" w:eastAsia="仿宋" w:cs="仿宋"/>
          <w:color w:val="auto"/>
          <w:spacing w:val="-2"/>
          <w:sz w:val="24"/>
          <w:szCs w:val="24"/>
          <w:highlight w:val="none"/>
        </w:rPr>
        <w:t>实依据：</w:t>
      </w:r>
      <w:r>
        <w:rPr>
          <w:rFonts w:hint="eastAsia" w:ascii="仿宋" w:hAnsi="仿宋" w:eastAsia="仿宋" w:cs="仿宋"/>
          <w:color w:val="auto"/>
          <w:sz w:val="24"/>
          <w:szCs w:val="24"/>
          <w:highlight w:val="none"/>
          <w:u w:val="dotted"/>
        </w:rPr>
        <w:t xml:space="preserve">                                             </w:t>
      </w:r>
    </w:p>
    <w:p>
      <w:pPr>
        <w:shd w:val="clear" w:color="auto" w:fill="auto"/>
        <w:tabs>
          <w:tab w:val="left" w:pos="8322"/>
        </w:tabs>
        <w:spacing w:before="286" w:line="240" w:lineRule="auto"/>
        <w:ind w:left="49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p>
    <w:p>
      <w:pPr>
        <w:shd w:val="clear" w:color="auto" w:fill="auto"/>
        <w:spacing w:before="230" w:line="24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法律</w:t>
      </w:r>
      <w:r>
        <w:rPr>
          <w:rFonts w:hint="eastAsia" w:ascii="仿宋" w:hAnsi="仿宋" w:eastAsia="仿宋" w:cs="仿宋"/>
          <w:color w:val="auto"/>
          <w:spacing w:val="-2"/>
          <w:sz w:val="24"/>
          <w:szCs w:val="24"/>
          <w:highlight w:val="none"/>
        </w:rPr>
        <w:t>依据：</w:t>
      </w:r>
      <w:r>
        <w:rPr>
          <w:rFonts w:hint="eastAsia" w:ascii="仿宋" w:hAnsi="仿宋" w:eastAsia="仿宋" w:cs="仿宋"/>
          <w:color w:val="auto"/>
          <w:sz w:val="24"/>
          <w:szCs w:val="24"/>
          <w:highlight w:val="none"/>
          <w:u w:val="dotted"/>
        </w:rPr>
        <w:t xml:space="preserve">                                             </w:t>
      </w:r>
    </w:p>
    <w:p>
      <w:pPr>
        <w:shd w:val="clear" w:color="auto" w:fill="auto"/>
        <w:tabs>
          <w:tab w:val="left" w:pos="8322"/>
        </w:tabs>
        <w:spacing w:before="289" w:line="240" w:lineRule="auto"/>
        <w:ind w:left="49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p>
    <w:p>
      <w:pPr>
        <w:shd w:val="clear" w:color="auto" w:fill="auto"/>
        <w:spacing w:before="227" w:line="24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15"/>
          <w:position w:val="19"/>
          <w:sz w:val="24"/>
          <w:szCs w:val="24"/>
          <w:highlight w:val="none"/>
        </w:rPr>
        <w:t>质</w:t>
      </w:r>
      <w:r>
        <w:rPr>
          <w:rFonts w:hint="eastAsia" w:ascii="仿宋" w:hAnsi="仿宋" w:eastAsia="仿宋" w:cs="仿宋"/>
          <w:color w:val="auto"/>
          <w:spacing w:val="-11"/>
          <w:position w:val="19"/>
          <w:sz w:val="24"/>
          <w:szCs w:val="24"/>
          <w:highlight w:val="none"/>
        </w:rPr>
        <w:t>疑事项 2</w:t>
      </w:r>
    </w:p>
    <w:p>
      <w:pPr>
        <w:shd w:val="clear" w:color="auto" w:fill="auto"/>
        <w:spacing w:line="240" w:lineRule="auto"/>
        <w:ind w:left="522"/>
        <w:rPr>
          <w:rFonts w:hint="eastAsia" w:ascii="仿宋" w:hAnsi="仿宋" w:eastAsia="仿宋" w:cs="仿宋"/>
          <w:color w:val="auto"/>
          <w:sz w:val="24"/>
          <w:szCs w:val="24"/>
          <w:highlight w:val="none"/>
        </w:rPr>
      </w:pPr>
      <w:r>
        <w:rPr>
          <w:rFonts w:hint="eastAsia" w:ascii="仿宋" w:hAnsi="仿宋" w:eastAsia="仿宋" w:cs="仿宋"/>
          <w:color w:val="auto"/>
          <w:position w:val="3"/>
          <w:sz w:val="24"/>
          <w:szCs w:val="24"/>
          <w:highlight w:val="none"/>
        </w:rPr>
        <w:t>……</w:t>
      </w:r>
    </w:p>
    <w:p>
      <w:pPr>
        <w:shd w:val="clear" w:color="auto" w:fill="auto"/>
        <w:spacing w:line="240" w:lineRule="auto"/>
        <w:jc w:val="center"/>
        <w:rPr>
          <w:rFonts w:hint="eastAsia" w:ascii="仿宋" w:hAnsi="仿宋" w:eastAsia="仿宋" w:cs="仿宋"/>
          <w:color w:val="auto"/>
          <w:sz w:val="24"/>
          <w:szCs w:val="24"/>
          <w:highlight w:val="none"/>
        </w:rPr>
      </w:pPr>
    </w:p>
    <w:p>
      <w:pPr>
        <w:shd w:val="clear" w:color="auto" w:fill="auto"/>
        <w:spacing w:line="240" w:lineRule="auto"/>
        <w:ind w:left="522"/>
        <w:rPr>
          <w:rFonts w:hint="eastAsia" w:ascii="仿宋" w:hAnsi="仿宋" w:eastAsia="仿宋" w:cs="仿宋"/>
          <w:color w:val="auto"/>
          <w:position w:val="3"/>
          <w:sz w:val="24"/>
          <w:szCs w:val="24"/>
          <w:highlight w:val="none"/>
        </w:rPr>
      </w:pPr>
      <w:r>
        <w:rPr>
          <w:rFonts w:hint="eastAsia" w:ascii="仿宋" w:hAnsi="仿宋" w:eastAsia="仿宋" w:cs="仿宋"/>
          <w:color w:val="auto"/>
          <w:position w:val="3"/>
          <w:sz w:val="24"/>
          <w:szCs w:val="24"/>
          <w:highlight w:val="none"/>
        </w:rPr>
        <w:t>签字(签章)：                          日期：</w:t>
      </w:r>
    </w:p>
    <w:p>
      <w:pPr>
        <w:shd w:val="clear" w:color="auto" w:fill="auto"/>
        <w:spacing w:before="56" w:line="360" w:lineRule="auto"/>
        <w:rPr>
          <w:rFonts w:hint="eastAsia" w:ascii="仿宋" w:hAnsi="仿宋" w:eastAsia="仿宋" w:cs="仿宋"/>
          <w:color w:val="auto"/>
          <w:sz w:val="24"/>
          <w:szCs w:val="24"/>
          <w:highlight w:val="none"/>
        </w:rPr>
      </w:pPr>
    </w:p>
    <w:p>
      <w:pPr>
        <w:shd w:val="clear" w:color="auto" w:fill="auto"/>
        <w:spacing w:line="360" w:lineRule="auto"/>
        <w:rPr>
          <w:rFonts w:hint="eastAsia" w:ascii="仿宋" w:hAnsi="仿宋" w:eastAsia="仿宋" w:cs="仿宋"/>
          <w:color w:val="auto"/>
          <w:sz w:val="24"/>
          <w:szCs w:val="24"/>
          <w:highlight w:val="none"/>
        </w:rPr>
        <w:sectPr>
          <w:pgSz w:w="11905" w:h="16838"/>
          <w:pgMar w:top="1440" w:right="1800" w:bottom="1440" w:left="1800" w:header="567" w:footer="454" w:gutter="0"/>
          <w:pgNumType w:fmt="decimal" w:start="1"/>
          <w:cols w:space="720" w:num="1"/>
          <w:rtlGutter w:val="0"/>
          <w:docGrid w:type="lines" w:linePitch="317" w:charSpace="0"/>
        </w:sectPr>
      </w:pPr>
    </w:p>
    <w:p>
      <w:pPr>
        <w:shd w:val="clear" w:color="auto" w:fill="auto"/>
        <w:spacing w:before="91" w:line="36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质疑函制</w:t>
      </w:r>
      <w:r>
        <w:rPr>
          <w:rFonts w:hint="eastAsia" w:ascii="仿宋" w:hAnsi="仿宋" w:eastAsia="仿宋" w:cs="仿宋"/>
          <w:color w:val="auto"/>
          <w:spacing w:val="-1"/>
          <w:sz w:val="24"/>
          <w:szCs w:val="24"/>
          <w:highlight w:val="none"/>
        </w:rPr>
        <w:t>作说明：</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w:t>
      </w:r>
      <w:r>
        <w:rPr>
          <w:rFonts w:hint="eastAsia" w:ascii="仿宋" w:hAnsi="仿宋" w:eastAsia="仿宋" w:cs="仿宋"/>
          <w:color w:val="auto"/>
          <w:spacing w:val="-2"/>
          <w:sz w:val="24"/>
          <w:szCs w:val="24"/>
          <w:highlight w:val="none"/>
          <w:lang w:eastAsia="zh-CN"/>
        </w:rPr>
        <w:t>投标人</w:t>
      </w:r>
      <w:r>
        <w:rPr>
          <w:rFonts w:hint="eastAsia" w:ascii="仿宋" w:hAnsi="仿宋" w:eastAsia="仿宋" w:cs="仿宋"/>
          <w:color w:val="auto"/>
          <w:spacing w:val="-2"/>
          <w:sz w:val="24"/>
          <w:szCs w:val="24"/>
          <w:highlight w:val="none"/>
        </w:rPr>
        <w:t>提出质疑时，应提交质疑函和必要的证明材料。</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2.质疑</w:t>
      </w:r>
      <w:r>
        <w:rPr>
          <w:rFonts w:hint="eastAsia" w:ascii="仿宋" w:hAnsi="仿宋" w:eastAsia="仿宋" w:cs="仿宋"/>
          <w:color w:val="auto"/>
          <w:spacing w:val="-2"/>
          <w:sz w:val="24"/>
          <w:szCs w:val="24"/>
          <w:highlight w:val="none"/>
          <w:lang w:eastAsia="zh-CN"/>
        </w:rPr>
        <w:t>投标人</w:t>
      </w:r>
      <w:r>
        <w:rPr>
          <w:rFonts w:hint="eastAsia" w:ascii="仿宋" w:hAnsi="仿宋" w:eastAsia="仿宋" w:cs="仿宋"/>
          <w:color w:val="auto"/>
          <w:spacing w:val="-2"/>
          <w:sz w:val="24"/>
          <w:szCs w:val="24"/>
          <w:highlight w:val="none"/>
        </w:rPr>
        <w:t>若委托代理人进行质疑的，质疑函应按要求列明 “授权代表”的有关内容，并在附件中提交由质疑</w:t>
      </w:r>
      <w:r>
        <w:rPr>
          <w:rFonts w:hint="eastAsia" w:ascii="仿宋" w:hAnsi="仿宋" w:eastAsia="仿宋" w:cs="仿宋"/>
          <w:color w:val="auto"/>
          <w:spacing w:val="-2"/>
          <w:sz w:val="24"/>
          <w:szCs w:val="24"/>
          <w:highlight w:val="none"/>
          <w:lang w:eastAsia="zh-CN"/>
        </w:rPr>
        <w:t>投标人</w:t>
      </w:r>
      <w:r>
        <w:rPr>
          <w:rFonts w:hint="eastAsia" w:ascii="仿宋" w:hAnsi="仿宋" w:eastAsia="仿宋" w:cs="仿宋"/>
          <w:color w:val="auto"/>
          <w:spacing w:val="-2"/>
          <w:sz w:val="24"/>
          <w:szCs w:val="24"/>
          <w:highlight w:val="none"/>
        </w:rPr>
        <w:t>签署的授权 委托书。授权委托书应载明代理人的姓名或者名称、代理事项、具体 权限、期限和相关事项。</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3.质疑</w:t>
      </w:r>
      <w:r>
        <w:rPr>
          <w:rFonts w:hint="eastAsia" w:ascii="仿宋" w:hAnsi="仿宋" w:eastAsia="仿宋" w:cs="仿宋"/>
          <w:color w:val="auto"/>
          <w:spacing w:val="-2"/>
          <w:sz w:val="24"/>
          <w:szCs w:val="24"/>
          <w:highlight w:val="none"/>
          <w:lang w:eastAsia="zh-CN"/>
        </w:rPr>
        <w:t>投标人</w:t>
      </w:r>
      <w:r>
        <w:rPr>
          <w:rFonts w:hint="eastAsia" w:ascii="仿宋" w:hAnsi="仿宋" w:eastAsia="仿宋" w:cs="仿宋"/>
          <w:color w:val="auto"/>
          <w:spacing w:val="-2"/>
          <w:sz w:val="24"/>
          <w:szCs w:val="24"/>
          <w:highlight w:val="none"/>
        </w:rPr>
        <w:t>若对项目的某一分包进行质疑，质疑函中应列明具 体分包号。</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4.质疑函的质疑事项应具体、明确，并有必要的事实依据和法律 依据。</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5.质疑函的质疑请求应与质疑事项相关。</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6.质疑</w:t>
      </w:r>
      <w:r>
        <w:rPr>
          <w:rFonts w:hint="eastAsia" w:ascii="仿宋" w:hAnsi="仿宋" w:eastAsia="仿宋" w:cs="仿宋"/>
          <w:color w:val="auto"/>
          <w:spacing w:val="-2"/>
          <w:sz w:val="24"/>
          <w:szCs w:val="24"/>
          <w:highlight w:val="none"/>
          <w:lang w:eastAsia="zh-CN"/>
        </w:rPr>
        <w:t>投标人</w:t>
      </w:r>
      <w:r>
        <w:rPr>
          <w:rFonts w:hint="eastAsia" w:ascii="仿宋" w:hAnsi="仿宋" w:eastAsia="仿宋" w:cs="仿宋"/>
          <w:color w:val="auto"/>
          <w:spacing w:val="-2"/>
          <w:sz w:val="24"/>
          <w:szCs w:val="24"/>
          <w:highlight w:val="none"/>
        </w:rPr>
        <w:t>为自然人的，质疑函应由本人签字；质疑</w:t>
      </w:r>
      <w:r>
        <w:rPr>
          <w:rFonts w:hint="eastAsia" w:ascii="仿宋" w:hAnsi="仿宋" w:eastAsia="仿宋" w:cs="仿宋"/>
          <w:color w:val="auto"/>
          <w:spacing w:val="-2"/>
          <w:sz w:val="24"/>
          <w:szCs w:val="24"/>
          <w:highlight w:val="none"/>
          <w:lang w:eastAsia="zh-CN"/>
        </w:rPr>
        <w:t>投标人</w:t>
      </w:r>
      <w:r>
        <w:rPr>
          <w:rFonts w:hint="eastAsia" w:ascii="仿宋" w:hAnsi="仿宋" w:eastAsia="仿宋" w:cs="仿宋"/>
          <w:color w:val="auto"/>
          <w:spacing w:val="-2"/>
          <w:sz w:val="24"/>
          <w:szCs w:val="24"/>
          <w:highlight w:val="none"/>
        </w:rPr>
        <w:t>为 法人或者其他组织的，质疑函应由法定代表人、主要负责人，或者其 授权代表签字或者盖章，并加盖公章。</w:t>
      </w:r>
    </w:p>
    <w:p>
      <w:pPr>
        <w:shd w:val="clear" w:color="auto" w:fill="auto"/>
        <w:spacing w:line="360" w:lineRule="auto"/>
        <w:jc w:val="center"/>
        <w:rPr>
          <w:rFonts w:hint="eastAsia" w:ascii="仿宋" w:hAnsi="仿宋" w:eastAsia="仿宋" w:cs="仿宋"/>
          <w:color w:val="auto"/>
          <w:kern w:val="0"/>
          <w:sz w:val="24"/>
          <w:szCs w:val="24"/>
          <w:highlight w:val="none"/>
        </w:rPr>
      </w:pPr>
    </w:p>
    <w:p>
      <w:pPr>
        <w:shd w:val="clear" w:color="auto" w:fill="auto"/>
        <w:spacing w:before="101" w:line="360" w:lineRule="auto"/>
        <w:ind w:left="49"/>
        <w:outlineLvl w:val="2"/>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br w:type="page"/>
      </w:r>
      <w:bookmarkStart w:id="140" w:name="_Toc22150"/>
      <w:bookmarkStart w:id="141" w:name="_Toc23110"/>
      <w:bookmarkStart w:id="142" w:name="_Toc110010428"/>
      <w:bookmarkStart w:id="143" w:name="_Toc31259"/>
      <w:r>
        <w:rPr>
          <w:rFonts w:hint="eastAsia" w:ascii="仿宋" w:hAnsi="仿宋" w:eastAsia="仿宋" w:cs="仿宋"/>
          <w:color w:val="auto"/>
          <w:spacing w:val="8"/>
          <w:sz w:val="24"/>
          <w:szCs w:val="24"/>
          <w:highlight w:val="none"/>
        </w:rPr>
        <w:t>附</w:t>
      </w:r>
      <w:r>
        <w:rPr>
          <w:rFonts w:hint="eastAsia" w:ascii="仿宋" w:hAnsi="仿宋" w:eastAsia="仿宋" w:cs="仿宋"/>
          <w:color w:val="auto"/>
          <w:spacing w:val="6"/>
          <w:sz w:val="24"/>
          <w:szCs w:val="24"/>
          <w:highlight w:val="none"/>
        </w:rPr>
        <w:t>件：投诉书范本</w:t>
      </w:r>
      <w:bookmarkEnd w:id="140"/>
      <w:bookmarkEnd w:id="141"/>
      <w:bookmarkEnd w:id="142"/>
      <w:bookmarkEnd w:id="143"/>
    </w:p>
    <w:p>
      <w:pPr>
        <w:shd w:val="clear" w:color="auto" w:fill="auto"/>
        <w:spacing w:line="360" w:lineRule="auto"/>
        <w:rPr>
          <w:rFonts w:hint="eastAsia" w:ascii="仿宋" w:hAnsi="仿宋" w:eastAsia="仿宋" w:cs="仿宋"/>
          <w:color w:val="auto"/>
          <w:sz w:val="24"/>
          <w:szCs w:val="24"/>
          <w:highlight w:val="none"/>
        </w:rPr>
      </w:pPr>
    </w:p>
    <w:p>
      <w:pPr>
        <w:shd w:val="clear" w:color="auto" w:fill="auto"/>
        <w:spacing w:before="115"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24"/>
          <w:sz w:val="24"/>
          <w:szCs w:val="24"/>
          <w:highlight w:val="none"/>
        </w:rPr>
        <w:t>投诉</w:t>
      </w:r>
      <w:r>
        <w:rPr>
          <w:rFonts w:hint="eastAsia" w:ascii="仿宋" w:hAnsi="仿宋" w:eastAsia="仿宋" w:cs="仿宋"/>
          <w:color w:val="auto"/>
          <w:spacing w:val="23"/>
          <w:sz w:val="24"/>
          <w:szCs w:val="24"/>
          <w:highlight w:val="none"/>
        </w:rPr>
        <w:t>书</w:t>
      </w:r>
    </w:p>
    <w:p>
      <w:pPr>
        <w:shd w:val="clear" w:color="auto" w:fill="auto"/>
        <w:spacing w:before="265" w:line="360" w:lineRule="auto"/>
        <w:ind w:left="27"/>
        <w:outlineLvl w:val="2"/>
        <w:rPr>
          <w:rFonts w:hint="eastAsia" w:ascii="仿宋" w:hAnsi="仿宋" w:eastAsia="仿宋" w:cs="仿宋"/>
          <w:color w:val="auto"/>
          <w:sz w:val="24"/>
          <w:szCs w:val="24"/>
          <w:highlight w:val="none"/>
        </w:rPr>
      </w:pPr>
      <w:bookmarkStart w:id="144" w:name="_Toc5746"/>
      <w:bookmarkStart w:id="145" w:name="_Toc26371"/>
      <w:bookmarkStart w:id="146" w:name="_Toc21592"/>
      <w:bookmarkStart w:id="147" w:name="_Toc110010429"/>
      <w:r>
        <w:rPr>
          <w:rFonts w:hint="eastAsia" w:ascii="仿宋" w:hAnsi="仿宋" w:eastAsia="仿宋" w:cs="仿宋"/>
          <w:color w:val="auto"/>
          <w:spacing w:val="-2"/>
          <w:position w:val="1"/>
          <w:sz w:val="24"/>
          <w:szCs w:val="24"/>
          <w:highlight w:val="none"/>
        </w:rPr>
        <w:t>一、投诉</w:t>
      </w:r>
      <w:r>
        <w:rPr>
          <w:rFonts w:hint="eastAsia" w:ascii="仿宋" w:hAnsi="仿宋" w:eastAsia="仿宋" w:cs="仿宋"/>
          <w:color w:val="auto"/>
          <w:spacing w:val="-1"/>
          <w:position w:val="1"/>
          <w:sz w:val="24"/>
          <w:szCs w:val="24"/>
          <w:highlight w:val="none"/>
        </w:rPr>
        <w:t>相关主体基本情况</w:t>
      </w:r>
      <w:bookmarkEnd w:id="144"/>
      <w:bookmarkEnd w:id="145"/>
      <w:bookmarkEnd w:id="146"/>
      <w:bookmarkEnd w:id="147"/>
    </w:p>
    <w:p>
      <w:pPr>
        <w:shd w:val="clear" w:color="auto" w:fill="auto"/>
        <w:spacing w:before="1" w:line="360" w:lineRule="auto"/>
        <w:ind w:left="508"/>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投</w:t>
      </w:r>
      <w:r>
        <w:rPr>
          <w:rFonts w:hint="eastAsia" w:ascii="仿宋" w:hAnsi="仿宋" w:eastAsia="仿宋" w:cs="仿宋"/>
          <w:color w:val="auto"/>
          <w:spacing w:val="-3"/>
          <w:sz w:val="24"/>
          <w:szCs w:val="24"/>
          <w:highlight w:val="none"/>
        </w:rPr>
        <w:t>诉人：</w:t>
      </w:r>
      <w:r>
        <w:rPr>
          <w:rFonts w:hint="eastAsia" w:ascii="仿宋" w:hAnsi="仿宋" w:eastAsia="仿宋" w:cs="仿宋"/>
          <w:color w:val="auto"/>
          <w:sz w:val="24"/>
          <w:szCs w:val="24"/>
          <w:highlight w:val="none"/>
          <w:u w:val="dotted"/>
        </w:rPr>
        <w:t xml:space="preserve">                                                 </w:t>
      </w:r>
    </w:p>
    <w:p>
      <w:pPr>
        <w:shd w:val="clear" w:color="auto" w:fill="auto"/>
        <w:spacing w:before="102" w:line="360"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地址：</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rPr>
        <w:t>邮编：</w:t>
      </w:r>
      <w:r>
        <w:rPr>
          <w:rFonts w:hint="eastAsia" w:ascii="仿宋" w:hAnsi="仿宋" w:eastAsia="仿宋" w:cs="仿宋"/>
          <w:color w:val="auto"/>
          <w:sz w:val="24"/>
          <w:szCs w:val="24"/>
          <w:highlight w:val="none"/>
          <w:u w:val="dotted"/>
        </w:rPr>
        <w:t xml:space="preserve">                   </w:t>
      </w:r>
    </w:p>
    <w:p>
      <w:pPr>
        <w:shd w:val="clear" w:color="auto" w:fill="auto"/>
        <w:spacing w:before="101" w:line="36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法定代</w:t>
      </w:r>
      <w:r>
        <w:rPr>
          <w:rFonts w:hint="eastAsia" w:ascii="仿宋" w:hAnsi="仿宋" w:eastAsia="仿宋" w:cs="仿宋"/>
          <w:color w:val="auto"/>
          <w:spacing w:val="-1"/>
          <w:sz w:val="24"/>
          <w:szCs w:val="24"/>
          <w:highlight w:val="none"/>
        </w:rPr>
        <w:t>表人/主要负责人：</w:t>
      </w:r>
      <w:r>
        <w:rPr>
          <w:rFonts w:hint="eastAsia" w:ascii="仿宋" w:hAnsi="仿宋" w:eastAsia="仿宋" w:cs="仿宋"/>
          <w:color w:val="auto"/>
          <w:sz w:val="24"/>
          <w:szCs w:val="24"/>
          <w:highlight w:val="none"/>
          <w:u w:val="dotted"/>
        </w:rPr>
        <w:t xml:space="preserve">                                  </w:t>
      </w:r>
    </w:p>
    <w:p>
      <w:pPr>
        <w:shd w:val="clear" w:color="auto" w:fill="auto"/>
        <w:spacing w:before="104" w:line="36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联系</w:t>
      </w:r>
      <w:r>
        <w:rPr>
          <w:rFonts w:hint="eastAsia" w:ascii="仿宋" w:hAnsi="仿宋" w:eastAsia="仿宋" w:cs="仿宋"/>
          <w:color w:val="auto"/>
          <w:spacing w:val="-2"/>
          <w:sz w:val="24"/>
          <w:szCs w:val="24"/>
          <w:highlight w:val="none"/>
        </w:rPr>
        <w:t>电话：</w:t>
      </w:r>
      <w:r>
        <w:rPr>
          <w:rFonts w:hint="eastAsia" w:ascii="仿宋" w:hAnsi="仿宋" w:eastAsia="仿宋" w:cs="仿宋"/>
          <w:color w:val="auto"/>
          <w:sz w:val="24"/>
          <w:szCs w:val="24"/>
          <w:highlight w:val="none"/>
          <w:u w:val="dotted"/>
        </w:rPr>
        <w:t xml:space="preserve">                                             </w:t>
      </w:r>
    </w:p>
    <w:p>
      <w:pPr>
        <w:shd w:val="clear" w:color="auto" w:fill="auto"/>
        <w:spacing w:before="99" w:line="360"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授权代表：</w:t>
      </w:r>
      <w:r>
        <w:rPr>
          <w:rFonts w:hint="eastAsia" w:ascii="仿宋" w:hAnsi="仿宋" w:eastAsia="仿宋" w:cs="仿宋"/>
          <w:color w:val="auto"/>
          <w:spacing w:val="-6"/>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u w:val="dotted"/>
          <w:lang w:val="en-US" w:eastAsia="zh-CN"/>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rPr>
        <w:t>联系电话：</w:t>
      </w:r>
      <w:r>
        <w:rPr>
          <w:rFonts w:hint="eastAsia" w:ascii="仿宋" w:hAnsi="仿宋" w:eastAsia="仿宋" w:cs="仿宋"/>
          <w:color w:val="auto"/>
          <w:sz w:val="24"/>
          <w:szCs w:val="24"/>
          <w:highlight w:val="none"/>
          <w:u w:val="dotted"/>
        </w:rPr>
        <w:t xml:space="preserve">                </w:t>
      </w:r>
    </w:p>
    <w:p>
      <w:pPr>
        <w:shd w:val="clear" w:color="auto" w:fill="auto"/>
        <w:spacing w:before="101" w:line="360"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地址：</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u w:val="dotted"/>
          <w:lang w:val="en-US" w:eastAsia="zh-CN"/>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rPr>
        <w:t>邮编：</w:t>
      </w:r>
      <w:r>
        <w:rPr>
          <w:rFonts w:hint="eastAsia" w:ascii="仿宋" w:hAnsi="仿宋" w:eastAsia="仿宋" w:cs="仿宋"/>
          <w:color w:val="auto"/>
          <w:sz w:val="24"/>
          <w:szCs w:val="24"/>
          <w:highlight w:val="none"/>
          <w:u w:val="dotted"/>
        </w:rPr>
        <w:t xml:space="preserve">                    </w:t>
      </w:r>
    </w:p>
    <w:p>
      <w:pPr>
        <w:shd w:val="clear" w:color="auto" w:fill="auto"/>
        <w:spacing w:before="103" w:line="360"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17"/>
          <w:sz w:val="24"/>
          <w:szCs w:val="24"/>
          <w:highlight w:val="none"/>
        </w:rPr>
        <w:t>被</w:t>
      </w:r>
      <w:r>
        <w:rPr>
          <w:rFonts w:hint="eastAsia" w:ascii="仿宋" w:hAnsi="仿宋" w:eastAsia="仿宋" w:cs="仿宋"/>
          <w:color w:val="auto"/>
          <w:spacing w:val="-11"/>
          <w:sz w:val="24"/>
          <w:szCs w:val="24"/>
          <w:highlight w:val="none"/>
        </w:rPr>
        <w:t>投诉人 1：</w:t>
      </w:r>
    </w:p>
    <w:p>
      <w:pPr>
        <w:shd w:val="clear" w:color="auto" w:fill="auto"/>
        <w:spacing w:before="101" w:line="360"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地址：</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u w:val="dotted"/>
          <w:lang w:val="en-US" w:eastAsia="zh-CN"/>
        </w:rPr>
        <w:t xml:space="preserve"> </w:t>
      </w:r>
      <w:r>
        <w:rPr>
          <w:rFonts w:hint="eastAsia" w:ascii="仿宋" w:hAnsi="仿宋" w:eastAsia="仿宋" w:cs="仿宋"/>
          <w:color w:val="auto"/>
          <w:spacing w:val="-4"/>
          <w:sz w:val="24"/>
          <w:szCs w:val="24"/>
          <w:highlight w:val="none"/>
        </w:rPr>
        <w:t>邮编：</w:t>
      </w:r>
      <w:r>
        <w:rPr>
          <w:rFonts w:hint="eastAsia" w:ascii="仿宋" w:hAnsi="仿宋" w:eastAsia="仿宋" w:cs="仿宋"/>
          <w:color w:val="auto"/>
          <w:sz w:val="24"/>
          <w:szCs w:val="24"/>
          <w:highlight w:val="none"/>
          <w:u w:val="dotted"/>
        </w:rPr>
        <w:t xml:space="preserve">                    </w:t>
      </w:r>
    </w:p>
    <w:p>
      <w:pPr>
        <w:shd w:val="clear" w:color="auto" w:fill="auto"/>
        <w:spacing w:line="360" w:lineRule="auto"/>
        <w:rPr>
          <w:rFonts w:hint="eastAsia" w:ascii="仿宋" w:hAnsi="仿宋" w:eastAsia="仿宋" w:cs="仿宋"/>
          <w:color w:val="auto"/>
          <w:sz w:val="24"/>
          <w:szCs w:val="24"/>
          <w:highlight w:val="none"/>
        </w:rPr>
      </w:pPr>
    </w:p>
    <w:p>
      <w:pPr>
        <w:shd w:val="clear" w:color="auto" w:fill="auto"/>
        <w:spacing w:before="103" w:line="360" w:lineRule="auto"/>
        <w:ind w:left="505"/>
        <w:rPr>
          <w:rFonts w:hint="eastAsia" w:ascii="仿宋" w:hAnsi="仿宋" w:eastAsia="仿宋" w:cs="仿宋"/>
          <w:color w:val="auto"/>
          <w:spacing w:val="-17"/>
          <w:sz w:val="24"/>
          <w:szCs w:val="24"/>
          <w:highlight w:val="none"/>
        </w:rPr>
      </w:pPr>
      <w:r>
        <w:rPr>
          <w:rFonts w:hint="eastAsia" w:ascii="仿宋" w:hAnsi="仿宋" w:eastAsia="仿宋" w:cs="仿宋"/>
          <w:color w:val="auto"/>
          <w:spacing w:val="-17"/>
          <w:sz w:val="24"/>
          <w:szCs w:val="24"/>
          <w:highlight w:val="none"/>
        </w:rPr>
        <w:t>联系人：</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17"/>
          <w:sz w:val="24"/>
          <w:szCs w:val="24"/>
          <w:highlight w:val="none"/>
        </w:rPr>
        <w:t xml:space="preserve">联系电话：                </w:t>
      </w:r>
    </w:p>
    <w:p>
      <w:pPr>
        <w:shd w:val="clear" w:color="auto" w:fill="auto"/>
        <w:spacing w:before="103" w:line="360"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17"/>
          <w:sz w:val="24"/>
          <w:szCs w:val="24"/>
          <w:highlight w:val="none"/>
        </w:rPr>
        <w:t>联系人：</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17"/>
          <w:sz w:val="24"/>
          <w:szCs w:val="24"/>
          <w:highlight w:val="none"/>
        </w:rPr>
        <w:t xml:space="preserve">联系电话：     </w:t>
      </w:r>
      <w:r>
        <w:rPr>
          <w:rFonts w:hint="eastAsia" w:ascii="仿宋" w:hAnsi="仿宋" w:eastAsia="仿宋" w:cs="仿宋"/>
          <w:color w:val="auto"/>
          <w:sz w:val="24"/>
          <w:szCs w:val="24"/>
          <w:highlight w:val="none"/>
          <w:u w:val="dotted"/>
        </w:rPr>
        <w:t xml:space="preserve">           </w:t>
      </w:r>
    </w:p>
    <w:p>
      <w:pPr>
        <w:shd w:val="clear" w:color="auto" w:fill="auto"/>
        <w:spacing w:before="100" w:line="360" w:lineRule="auto"/>
        <w:ind w:left="27"/>
        <w:outlineLvl w:val="2"/>
        <w:rPr>
          <w:rFonts w:hint="eastAsia" w:ascii="仿宋" w:hAnsi="仿宋" w:eastAsia="仿宋" w:cs="仿宋"/>
          <w:color w:val="auto"/>
          <w:sz w:val="24"/>
          <w:szCs w:val="24"/>
          <w:highlight w:val="none"/>
        </w:rPr>
      </w:pPr>
      <w:bookmarkStart w:id="148" w:name="_Toc110010430"/>
      <w:bookmarkStart w:id="149" w:name="_Toc27620"/>
      <w:bookmarkStart w:id="150" w:name="_Toc377"/>
      <w:bookmarkStart w:id="151" w:name="_Toc25199"/>
      <w:r>
        <w:rPr>
          <w:rFonts w:hint="eastAsia" w:ascii="仿宋" w:hAnsi="仿宋" w:eastAsia="仿宋" w:cs="仿宋"/>
          <w:color w:val="auto"/>
          <w:spacing w:val="-2"/>
          <w:position w:val="1"/>
          <w:sz w:val="24"/>
          <w:szCs w:val="24"/>
          <w:highlight w:val="none"/>
        </w:rPr>
        <w:t>二、投诉项目</w:t>
      </w:r>
      <w:r>
        <w:rPr>
          <w:rFonts w:hint="eastAsia" w:ascii="仿宋" w:hAnsi="仿宋" w:eastAsia="仿宋" w:cs="仿宋"/>
          <w:color w:val="auto"/>
          <w:spacing w:val="-1"/>
          <w:position w:val="1"/>
          <w:sz w:val="24"/>
          <w:szCs w:val="24"/>
          <w:highlight w:val="none"/>
        </w:rPr>
        <w:t>基本情况</w:t>
      </w:r>
      <w:bookmarkEnd w:id="148"/>
      <w:bookmarkEnd w:id="149"/>
      <w:bookmarkEnd w:id="150"/>
      <w:bookmarkEnd w:id="151"/>
    </w:p>
    <w:p>
      <w:pPr>
        <w:shd w:val="clear" w:color="auto" w:fill="auto"/>
        <w:spacing w:before="64" w:line="360"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采购项</w:t>
      </w:r>
      <w:r>
        <w:rPr>
          <w:rFonts w:hint="eastAsia" w:ascii="仿宋" w:hAnsi="仿宋" w:eastAsia="仿宋" w:cs="仿宋"/>
          <w:color w:val="auto"/>
          <w:spacing w:val="-1"/>
          <w:sz w:val="24"/>
          <w:szCs w:val="24"/>
          <w:highlight w:val="none"/>
        </w:rPr>
        <w:t>目名称：</w:t>
      </w:r>
      <w:r>
        <w:rPr>
          <w:rFonts w:hint="eastAsia" w:ascii="仿宋" w:hAnsi="仿宋" w:eastAsia="仿宋" w:cs="仿宋"/>
          <w:color w:val="auto"/>
          <w:sz w:val="24"/>
          <w:szCs w:val="24"/>
          <w:highlight w:val="none"/>
          <w:u w:val="dotted"/>
        </w:rPr>
        <w:t xml:space="preserve">                                           </w:t>
      </w:r>
    </w:p>
    <w:p>
      <w:pPr>
        <w:shd w:val="clear" w:color="auto" w:fill="auto"/>
        <w:spacing w:before="104" w:line="360"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采购项目</w:t>
      </w:r>
      <w:r>
        <w:rPr>
          <w:rFonts w:hint="eastAsia" w:ascii="仿宋" w:hAnsi="仿宋" w:eastAsia="仿宋" w:cs="仿宋"/>
          <w:color w:val="auto"/>
          <w:spacing w:val="-4"/>
          <w:sz w:val="24"/>
          <w:szCs w:val="24"/>
          <w:highlight w:val="none"/>
        </w:rPr>
        <w:t>编号：</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rPr>
        <w:t>包号：</w:t>
      </w:r>
      <w:r>
        <w:rPr>
          <w:rFonts w:hint="eastAsia" w:ascii="仿宋" w:hAnsi="仿宋" w:eastAsia="仿宋" w:cs="仿宋"/>
          <w:color w:val="auto"/>
          <w:sz w:val="24"/>
          <w:szCs w:val="24"/>
          <w:highlight w:val="none"/>
          <w:u w:val="dotted"/>
        </w:rPr>
        <w:t xml:space="preserve">              </w:t>
      </w:r>
    </w:p>
    <w:p>
      <w:pPr>
        <w:shd w:val="clear" w:color="auto" w:fill="auto"/>
        <w:spacing w:before="102" w:line="360"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采购人名</w:t>
      </w:r>
      <w:r>
        <w:rPr>
          <w:rFonts w:hint="eastAsia" w:ascii="仿宋" w:hAnsi="仿宋" w:eastAsia="仿宋" w:cs="仿宋"/>
          <w:color w:val="auto"/>
          <w:spacing w:val="-1"/>
          <w:sz w:val="24"/>
          <w:szCs w:val="24"/>
          <w:highlight w:val="none"/>
        </w:rPr>
        <w:t>称：</w:t>
      </w:r>
      <w:r>
        <w:rPr>
          <w:rFonts w:hint="eastAsia" w:ascii="仿宋" w:hAnsi="仿宋" w:eastAsia="仿宋" w:cs="仿宋"/>
          <w:color w:val="auto"/>
          <w:sz w:val="24"/>
          <w:szCs w:val="24"/>
          <w:highlight w:val="none"/>
          <w:u w:val="dotted"/>
        </w:rPr>
        <w:t xml:space="preserve">                                           </w:t>
      </w:r>
    </w:p>
    <w:p>
      <w:pPr>
        <w:shd w:val="clear" w:color="auto" w:fill="auto"/>
        <w:spacing w:before="105" w:line="360"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代理机构名</w:t>
      </w:r>
      <w:r>
        <w:rPr>
          <w:rFonts w:hint="eastAsia" w:ascii="仿宋" w:hAnsi="仿宋" w:eastAsia="仿宋" w:cs="仿宋"/>
          <w:color w:val="auto"/>
          <w:spacing w:val="-1"/>
          <w:sz w:val="24"/>
          <w:szCs w:val="24"/>
          <w:highlight w:val="none"/>
        </w:rPr>
        <w:t>称：</w:t>
      </w:r>
      <w:r>
        <w:rPr>
          <w:rFonts w:hint="eastAsia" w:ascii="仿宋" w:hAnsi="仿宋" w:eastAsia="仿宋" w:cs="仿宋"/>
          <w:color w:val="auto"/>
          <w:sz w:val="24"/>
          <w:szCs w:val="24"/>
          <w:highlight w:val="none"/>
          <w:u w:val="dotted"/>
        </w:rPr>
        <w:t xml:space="preserve">                                           </w:t>
      </w:r>
    </w:p>
    <w:p>
      <w:pPr>
        <w:shd w:val="clear" w:color="auto" w:fill="auto"/>
        <w:spacing w:before="104" w:line="360"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采购文件公告:</w:t>
      </w:r>
      <w:r>
        <w:rPr>
          <w:rFonts w:hint="eastAsia" w:ascii="仿宋" w:hAnsi="仿宋" w:eastAsia="仿宋" w:cs="仿宋"/>
          <w:color w:val="auto"/>
          <w:spacing w:val="7"/>
          <w:sz w:val="24"/>
          <w:szCs w:val="24"/>
          <w:highlight w:val="none"/>
          <w:u w:val="single"/>
        </w:rPr>
        <w:t xml:space="preserve">  是/否 </w:t>
      </w:r>
      <w:r>
        <w:rPr>
          <w:rFonts w:hint="eastAsia" w:ascii="仿宋" w:hAnsi="仿宋" w:eastAsia="仿宋" w:cs="仿宋"/>
          <w:color w:val="auto"/>
          <w:spacing w:val="7"/>
          <w:sz w:val="24"/>
          <w:szCs w:val="24"/>
          <w:highlight w:val="none"/>
        </w:rPr>
        <w:t xml:space="preserve"> 公告期限</w:t>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u w:val="dotted"/>
        </w:rPr>
        <w:t xml:space="preserve">                        </w:t>
      </w:r>
    </w:p>
    <w:p>
      <w:pPr>
        <w:shd w:val="clear" w:color="auto" w:fill="auto"/>
        <w:spacing w:before="103" w:line="360" w:lineRule="auto"/>
        <w:ind w:left="22" w:right="12" w:firstLine="48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采购结果公告：</w:t>
      </w:r>
      <w:r>
        <w:rPr>
          <w:rFonts w:hint="eastAsia" w:ascii="仿宋" w:hAnsi="仿宋" w:eastAsia="仿宋" w:cs="仿宋"/>
          <w:color w:val="auto"/>
          <w:spacing w:val="-1"/>
          <w:sz w:val="24"/>
          <w:szCs w:val="24"/>
          <w:highlight w:val="none"/>
          <w:u w:val="single"/>
        </w:rPr>
        <w:t xml:space="preserve">  是/否 </w:t>
      </w:r>
      <w:r>
        <w:rPr>
          <w:rFonts w:hint="eastAsia" w:ascii="仿宋" w:hAnsi="仿宋" w:eastAsia="仿宋" w:cs="仿宋"/>
          <w:color w:val="auto"/>
          <w:spacing w:val="-1"/>
          <w:sz w:val="24"/>
          <w:szCs w:val="24"/>
          <w:highlight w:val="none"/>
        </w:rPr>
        <w:t xml:space="preserve"> 公告期限：</w:t>
      </w:r>
      <w:r>
        <w:rPr>
          <w:rFonts w:hint="eastAsia" w:ascii="仿宋" w:hAnsi="仿宋" w:eastAsia="仿宋" w:cs="仿宋"/>
          <w:color w:val="auto"/>
          <w:spacing w:val="-1"/>
          <w:sz w:val="24"/>
          <w:szCs w:val="24"/>
          <w:highlight w:val="none"/>
          <w:u w:val="dotted"/>
        </w:rPr>
        <w:t xml:space="preserve">   </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pPr>
        <w:shd w:val="clear" w:color="auto" w:fill="auto"/>
        <w:spacing w:before="100" w:line="360" w:lineRule="auto"/>
        <w:ind w:left="27" w:right="0" w:firstLine="0"/>
        <w:outlineLvl w:val="2"/>
        <w:rPr>
          <w:rFonts w:hint="eastAsia" w:ascii="仿宋" w:hAnsi="仿宋" w:eastAsia="仿宋" w:cs="仿宋"/>
          <w:color w:val="auto"/>
          <w:spacing w:val="-2"/>
          <w:position w:val="1"/>
          <w:sz w:val="24"/>
          <w:szCs w:val="24"/>
          <w:highlight w:val="none"/>
        </w:rPr>
      </w:pPr>
      <w:r>
        <w:rPr>
          <w:rFonts w:hint="eastAsia" w:ascii="仿宋" w:hAnsi="仿宋" w:eastAsia="仿宋" w:cs="仿宋"/>
          <w:color w:val="auto"/>
          <w:spacing w:val="-2"/>
          <w:position w:val="1"/>
          <w:sz w:val="24"/>
          <w:szCs w:val="24"/>
          <w:highlight w:val="none"/>
        </w:rPr>
        <w:t>三、质疑基本情况</w:t>
      </w:r>
    </w:p>
    <w:p>
      <w:pPr>
        <w:shd w:val="clear" w:color="auto" w:fill="auto"/>
        <w:spacing w:before="1" w:line="360" w:lineRule="auto"/>
        <w:ind w:left="23" w:right="11" w:firstLine="484"/>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投</w:t>
      </w:r>
      <w:r>
        <w:rPr>
          <w:rFonts w:hint="eastAsia" w:ascii="仿宋" w:hAnsi="仿宋" w:eastAsia="仿宋" w:cs="仿宋"/>
          <w:color w:val="auto"/>
          <w:spacing w:val="-6"/>
          <w:sz w:val="24"/>
          <w:szCs w:val="24"/>
          <w:highlight w:val="none"/>
        </w:rPr>
        <w:t>诉人于</w:t>
      </w:r>
      <w:r>
        <w:rPr>
          <w:rFonts w:hint="eastAsia" w:ascii="仿宋" w:hAnsi="仿宋" w:eastAsia="仿宋" w:cs="仿宋"/>
          <w:color w:val="auto"/>
          <w:spacing w:val="-6"/>
          <w:sz w:val="24"/>
          <w:szCs w:val="24"/>
          <w:highlight w:val="none"/>
          <w:u w:val="dotted"/>
        </w:rPr>
        <w:t xml:space="preserve">           </w:t>
      </w:r>
      <w:r>
        <w:rPr>
          <w:rFonts w:hint="eastAsia" w:ascii="仿宋" w:hAnsi="仿宋" w:eastAsia="仿宋" w:cs="仿宋"/>
          <w:color w:val="auto"/>
          <w:spacing w:val="-6"/>
          <w:sz w:val="24"/>
          <w:szCs w:val="24"/>
          <w:highlight w:val="none"/>
        </w:rPr>
        <w:t>年</w:t>
      </w:r>
      <w:r>
        <w:rPr>
          <w:rFonts w:hint="eastAsia" w:ascii="仿宋" w:hAnsi="仿宋" w:eastAsia="仿宋" w:cs="仿宋"/>
          <w:color w:val="auto"/>
          <w:spacing w:val="-6"/>
          <w:sz w:val="24"/>
          <w:szCs w:val="24"/>
          <w:highlight w:val="none"/>
          <w:u w:val="dotted"/>
        </w:rPr>
        <w:t xml:space="preserve">           </w:t>
      </w:r>
      <w:r>
        <w:rPr>
          <w:rFonts w:hint="eastAsia" w:ascii="仿宋" w:hAnsi="仿宋" w:eastAsia="仿宋" w:cs="仿宋"/>
          <w:color w:val="auto"/>
          <w:spacing w:val="-6"/>
          <w:sz w:val="24"/>
          <w:szCs w:val="24"/>
          <w:highlight w:val="none"/>
        </w:rPr>
        <w:t>月</w:t>
      </w:r>
      <w:r>
        <w:rPr>
          <w:rFonts w:hint="eastAsia" w:ascii="仿宋" w:hAnsi="仿宋" w:eastAsia="仿宋" w:cs="仿宋"/>
          <w:color w:val="auto"/>
          <w:spacing w:val="-6"/>
          <w:sz w:val="24"/>
          <w:szCs w:val="24"/>
          <w:highlight w:val="none"/>
          <w:u w:val="dotted"/>
        </w:rPr>
        <w:t xml:space="preserve">            </w:t>
      </w:r>
      <w:r>
        <w:rPr>
          <w:rFonts w:hint="eastAsia" w:ascii="仿宋" w:hAnsi="仿宋" w:eastAsia="仿宋" w:cs="仿宋"/>
          <w:color w:val="auto"/>
          <w:spacing w:val="-6"/>
          <w:sz w:val="24"/>
          <w:szCs w:val="24"/>
          <w:highlight w:val="none"/>
        </w:rPr>
        <w:t>日 ，向</w:t>
      </w:r>
      <w:r>
        <w:rPr>
          <w:rFonts w:hint="eastAsia" w:ascii="仿宋" w:hAnsi="仿宋" w:eastAsia="仿宋" w:cs="仿宋"/>
          <w:color w:val="auto"/>
          <w:spacing w:val="-4"/>
          <w:sz w:val="24"/>
          <w:szCs w:val="24"/>
          <w:highlight w:val="none"/>
        </w:rPr>
        <w:t>提</w:t>
      </w:r>
      <w:r>
        <w:rPr>
          <w:rFonts w:hint="eastAsia" w:ascii="仿宋" w:hAnsi="仿宋" w:eastAsia="仿宋" w:cs="仿宋"/>
          <w:color w:val="auto"/>
          <w:spacing w:val="-2"/>
          <w:sz w:val="24"/>
          <w:szCs w:val="24"/>
          <w:highlight w:val="none"/>
        </w:rPr>
        <w:t>出质疑，</w:t>
      </w:r>
    </w:p>
    <w:p>
      <w:pPr>
        <w:shd w:val="clear" w:color="auto" w:fill="auto"/>
        <w:spacing w:before="1" w:line="36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质</w:t>
      </w:r>
      <w:r>
        <w:rPr>
          <w:rFonts w:hint="eastAsia" w:ascii="仿宋" w:hAnsi="仿宋" w:eastAsia="仿宋" w:cs="仿宋"/>
          <w:color w:val="auto"/>
          <w:spacing w:val="-2"/>
          <w:sz w:val="24"/>
          <w:szCs w:val="24"/>
          <w:highlight w:val="none"/>
        </w:rPr>
        <w:t>疑事项为：</w:t>
      </w:r>
      <w:r>
        <w:rPr>
          <w:rFonts w:hint="eastAsia" w:ascii="仿宋" w:hAnsi="仿宋" w:eastAsia="仿宋" w:cs="仿宋"/>
          <w:color w:val="auto"/>
          <w:sz w:val="24"/>
          <w:szCs w:val="24"/>
          <w:highlight w:val="none"/>
          <w:u w:val="dotted"/>
        </w:rPr>
        <w:t xml:space="preserve">                                           </w:t>
      </w:r>
    </w:p>
    <w:p>
      <w:pPr>
        <w:shd w:val="clear" w:color="auto" w:fill="auto"/>
        <w:spacing w:before="103" w:line="360" w:lineRule="auto"/>
        <w:ind w:left="459" w:right="11" w:firstLine="10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采购人/</w:t>
      </w:r>
      <w:r>
        <w:rPr>
          <w:rFonts w:hint="eastAsia" w:ascii="仿宋" w:hAnsi="仿宋" w:eastAsia="仿宋" w:cs="仿宋"/>
          <w:color w:val="auto"/>
          <w:spacing w:val="-2"/>
          <w:sz w:val="24"/>
          <w:szCs w:val="24"/>
          <w:highlight w:val="none"/>
        </w:rPr>
        <w:t>采购代理机构于</w:t>
      </w:r>
      <w:r>
        <w:rPr>
          <w:rFonts w:hint="eastAsia" w:ascii="仿宋" w:hAnsi="仿宋" w:eastAsia="仿宋" w:cs="仿宋"/>
          <w:color w:val="auto"/>
          <w:spacing w:val="-2"/>
          <w:sz w:val="24"/>
          <w:szCs w:val="24"/>
          <w:highlight w:val="none"/>
          <w:u w:val="dotted"/>
        </w:rPr>
        <w:t xml:space="preserve">      </w:t>
      </w:r>
      <w:r>
        <w:rPr>
          <w:rFonts w:hint="eastAsia" w:ascii="仿宋" w:hAnsi="仿宋" w:eastAsia="仿宋" w:cs="仿宋"/>
          <w:color w:val="auto"/>
          <w:spacing w:val="-2"/>
          <w:sz w:val="24"/>
          <w:szCs w:val="24"/>
          <w:highlight w:val="none"/>
        </w:rPr>
        <w:t xml:space="preserve"> 年</w:t>
      </w:r>
      <w:r>
        <w:rPr>
          <w:rFonts w:hint="eastAsia" w:ascii="仿宋" w:hAnsi="仿宋" w:eastAsia="仿宋" w:cs="仿宋"/>
          <w:color w:val="auto"/>
          <w:spacing w:val="-2"/>
          <w:sz w:val="24"/>
          <w:szCs w:val="24"/>
          <w:highlight w:val="none"/>
          <w:u w:val="dotted"/>
        </w:rPr>
        <w:t xml:space="preserve">      </w:t>
      </w:r>
      <w:r>
        <w:rPr>
          <w:rFonts w:hint="eastAsia" w:ascii="仿宋" w:hAnsi="仿宋" w:eastAsia="仿宋" w:cs="仿宋"/>
          <w:color w:val="auto"/>
          <w:spacing w:val="-2"/>
          <w:sz w:val="24"/>
          <w:szCs w:val="24"/>
          <w:highlight w:val="none"/>
        </w:rPr>
        <w:t xml:space="preserve"> 月</w:t>
      </w:r>
      <w:r>
        <w:rPr>
          <w:rFonts w:hint="eastAsia" w:ascii="仿宋" w:hAnsi="仿宋" w:eastAsia="仿宋" w:cs="仿宋"/>
          <w:color w:val="auto"/>
          <w:spacing w:val="-2"/>
          <w:sz w:val="24"/>
          <w:szCs w:val="24"/>
          <w:highlight w:val="none"/>
          <w:u w:val="dotted"/>
        </w:rPr>
        <w:t xml:space="preserve">      </w:t>
      </w:r>
      <w:r>
        <w:rPr>
          <w:rFonts w:hint="eastAsia" w:ascii="仿宋" w:hAnsi="仿宋" w:eastAsia="仿宋" w:cs="仿宋"/>
          <w:color w:val="auto"/>
          <w:spacing w:val="-2"/>
          <w:sz w:val="24"/>
          <w:szCs w:val="24"/>
          <w:highlight w:val="none"/>
        </w:rPr>
        <w:t xml:space="preserve"> 日，就质疑</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事项做出了答复/没有在</w:t>
      </w:r>
      <w:r>
        <w:rPr>
          <w:rFonts w:hint="eastAsia" w:ascii="仿宋" w:hAnsi="仿宋" w:eastAsia="仿宋" w:cs="仿宋"/>
          <w:color w:val="auto"/>
          <w:sz w:val="24"/>
          <w:szCs w:val="24"/>
          <w:highlight w:val="none"/>
        </w:rPr>
        <w:t>法定期限内做出答复。</w:t>
      </w:r>
    </w:p>
    <w:p>
      <w:pPr>
        <w:shd w:val="clear" w:color="auto" w:fill="auto"/>
        <w:spacing w:before="100" w:line="360" w:lineRule="auto"/>
        <w:ind w:left="27"/>
        <w:outlineLvl w:val="2"/>
        <w:rPr>
          <w:rFonts w:hint="eastAsia" w:ascii="仿宋" w:hAnsi="仿宋" w:eastAsia="仿宋" w:cs="仿宋"/>
          <w:color w:val="auto"/>
          <w:spacing w:val="-2"/>
          <w:position w:val="1"/>
          <w:sz w:val="24"/>
          <w:szCs w:val="24"/>
          <w:highlight w:val="none"/>
        </w:rPr>
      </w:pPr>
      <w:r>
        <w:rPr>
          <w:rFonts w:hint="eastAsia" w:ascii="仿宋" w:hAnsi="仿宋" w:eastAsia="仿宋" w:cs="仿宋"/>
          <w:color w:val="auto"/>
          <w:spacing w:val="-2"/>
          <w:position w:val="1"/>
          <w:sz w:val="24"/>
          <w:szCs w:val="24"/>
          <w:highlight w:val="none"/>
          <w:lang w:val="en-US" w:eastAsia="zh-CN"/>
        </w:rPr>
        <w:t>四</w:t>
      </w:r>
      <w:r>
        <w:rPr>
          <w:rFonts w:hint="eastAsia" w:ascii="仿宋" w:hAnsi="仿宋" w:eastAsia="仿宋" w:cs="仿宋"/>
          <w:color w:val="auto"/>
          <w:spacing w:val="-2"/>
          <w:position w:val="1"/>
          <w:sz w:val="24"/>
          <w:szCs w:val="24"/>
          <w:highlight w:val="none"/>
        </w:rPr>
        <w:t>、投诉事项具体内容</w:t>
      </w:r>
    </w:p>
    <w:p>
      <w:pPr>
        <w:shd w:val="clear" w:color="auto" w:fill="auto"/>
        <w:spacing w:before="98" w:line="360" w:lineRule="auto"/>
        <w:ind w:left="508"/>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rPr>
        <w:t>投</w:t>
      </w:r>
      <w:r>
        <w:rPr>
          <w:rFonts w:hint="eastAsia" w:ascii="仿宋" w:hAnsi="仿宋" w:eastAsia="仿宋" w:cs="仿宋"/>
          <w:color w:val="auto"/>
          <w:spacing w:val="-10"/>
          <w:sz w:val="24"/>
          <w:szCs w:val="24"/>
          <w:highlight w:val="none"/>
        </w:rPr>
        <w:t>诉事项 1 ：</w:t>
      </w:r>
      <w:r>
        <w:rPr>
          <w:rFonts w:hint="eastAsia" w:ascii="仿宋" w:hAnsi="仿宋" w:eastAsia="仿宋" w:cs="仿宋"/>
          <w:color w:val="auto"/>
          <w:sz w:val="24"/>
          <w:szCs w:val="24"/>
          <w:highlight w:val="none"/>
          <w:u w:val="dotted"/>
        </w:rPr>
        <w:t xml:space="preserve">                                            </w:t>
      </w:r>
    </w:p>
    <w:p>
      <w:pPr>
        <w:shd w:val="clear" w:color="auto" w:fill="auto"/>
        <w:spacing w:before="100" w:line="360"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事</w:t>
      </w:r>
      <w:r>
        <w:rPr>
          <w:rFonts w:hint="eastAsia" w:ascii="仿宋" w:hAnsi="仿宋" w:eastAsia="仿宋" w:cs="仿宋"/>
          <w:color w:val="auto"/>
          <w:spacing w:val="-2"/>
          <w:sz w:val="24"/>
          <w:szCs w:val="24"/>
          <w:highlight w:val="none"/>
        </w:rPr>
        <w:t>实依据：</w:t>
      </w:r>
      <w:r>
        <w:rPr>
          <w:rFonts w:hint="eastAsia" w:ascii="仿宋" w:hAnsi="仿宋" w:eastAsia="仿宋" w:cs="仿宋"/>
          <w:color w:val="auto"/>
          <w:sz w:val="24"/>
          <w:szCs w:val="24"/>
          <w:highlight w:val="none"/>
          <w:u w:val="dotted"/>
        </w:rPr>
        <w:t xml:space="preserve">                                             </w:t>
      </w:r>
    </w:p>
    <w:p>
      <w:pPr>
        <w:shd w:val="clear" w:color="auto" w:fill="auto"/>
        <w:tabs>
          <w:tab w:val="left" w:pos="8322"/>
        </w:tabs>
        <w:spacing w:before="179" w:line="360" w:lineRule="auto"/>
        <w:ind w:left="49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p>
    <w:p>
      <w:pPr>
        <w:shd w:val="clear" w:color="auto" w:fill="auto"/>
        <w:spacing w:before="118" w:line="36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法律</w:t>
      </w:r>
      <w:r>
        <w:rPr>
          <w:rFonts w:hint="eastAsia" w:ascii="仿宋" w:hAnsi="仿宋" w:eastAsia="仿宋" w:cs="仿宋"/>
          <w:color w:val="auto"/>
          <w:spacing w:val="-2"/>
          <w:sz w:val="24"/>
          <w:szCs w:val="24"/>
          <w:highlight w:val="none"/>
        </w:rPr>
        <w:t>依据：</w:t>
      </w:r>
      <w:r>
        <w:rPr>
          <w:rFonts w:hint="eastAsia" w:ascii="仿宋" w:hAnsi="仿宋" w:eastAsia="仿宋" w:cs="仿宋"/>
          <w:color w:val="auto"/>
          <w:sz w:val="24"/>
          <w:szCs w:val="24"/>
          <w:highlight w:val="none"/>
          <w:u w:val="dotted"/>
        </w:rPr>
        <w:t xml:space="preserve">                                             </w:t>
      </w:r>
    </w:p>
    <w:p>
      <w:pPr>
        <w:shd w:val="clear" w:color="auto" w:fill="auto"/>
        <w:tabs>
          <w:tab w:val="left" w:pos="8322"/>
        </w:tabs>
        <w:spacing w:before="179" w:line="360" w:lineRule="auto"/>
        <w:ind w:left="49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p>
    <w:p>
      <w:pPr>
        <w:shd w:val="clear" w:color="auto" w:fill="auto"/>
        <w:spacing w:before="118" w:line="360" w:lineRule="auto"/>
        <w:ind w:left="508"/>
        <w:rPr>
          <w:rFonts w:hint="eastAsia" w:ascii="仿宋" w:hAnsi="仿宋" w:eastAsia="仿宋" w:cs="仿宋"/>
          <w:color w:val="auto"/>
          <w:sz w:val="24"/>
          <w:szCs w:val="24"/>
          <w:highlight w:val="none"/>
        </w:rPr>
      </w:pPr>
      <w:r>
        <w:rPr>
          <w:rFonts w:hint="eastAsia" w:ascii="仿宋" w:hAnsi="仿宋" w:eastAsia="仿宋" w:cs="仿宋"/>
          <w:color w:val="auto"/>
          <w:spacing w:val="-13"/>
          <w:position w:val="11"/>
          <w:sz w:val="24"/>
          <w:szCs w:val="24"/>
          <w:highlight w:val="none"/>
        </w:rPr>
        <w:t>投</w:t>
      </w:r>
      <w:r>
        <w:rPr>
          <w:rFonts w:hint="eastAsia" w:ascii="仿宋" w:hAnsi="仿宋" w:eastAsia="仿宋" w:cs="仿宋"/>
          <w:color w:val="auto"/>
          <w:spacing w:val="-12"/>
          <w:position w:val="11"/>
          <w:sz w:val="24"/>
          <w:szCs w:val="24"/>
          <w:highlight w:val="none"/>
        </w:rPr>
        <w:t>诉事项 2</w:t>
      </w:r>
    </w:p>
    <w:p>
      <w:pPr>
        <w:shd w:val="clear" w:color="auto" w:fill="auto"/>
        <w:spacing w:line="360" w:lineRule="auto"/>
        <w:ind w:left="522"/>
        <w:rPr>
          <w:rFonts w:hint="eastAsia" w:ascii="仿宋" w:hAnsi="仿宋" w:eastAsia="仿宋" w:cs="仿宋"/>
          <w:color w:val="auto"/>
          <w:sz w:val="24"/>
          <w:szCs w:val="24"/>
          <w:highlight w:val="none"/>
        </w:rPr>
      </w:pPr>
      <w:r>
        <w:rPr>
          <w:rFonts w:hint="eastAsia" w:ascii="仿宋" w:hAnsi="仿宋" w:eastAsia="仿宋" w:cs="仿宋"/>
          <w:color w:val="auto"/>
          <w:position w:val="3"/>
          <w:sz w:val="24"/>
          <w:szCs w:val="24"/>
          <w:highlight w:val="none"/>
        </w:rPr>
        <w:t>……</w:t>
      </w:r>
    </w:p>
    <w:p>
      <w:pPr>
        <w:shd w:val="clear" w:color="auto" w:fill="auto"/>
        <w:spacing w:before="56" w:line="360" w:lineRule="auto"/>
        <w:ind w:left="505"/>
        <w:rPr>
          <w:rFonts w:hint="eastAsia" w:ascii="仿宋" w:hAnsi="仿宋" w:eastAsia="仿宋" w:cs="仿宋"/>
          <w:color w:val="auto"/>
          <w:spacing w:val="-1"/>
          <w:position w:val="11"/>
          <w:sz w:val="24"/>
          <w:szCs w:val="24"/>
          <w:highlight w:val="none"/>
        </w:rPr>
      </w:pPr>
      <w:r>
        <w:rPr>
          <w:rFonts w:hint="eastAsia" w:ascii="仿宋" w:hAnsi="仿宋" w:eastAsia="仿宋" w:cs="仿宋"/>
          <w:color w:val="auto"/>
          <w:spacing w:val="-2"/>
          <w:position w:val="11"/>
          <w:sz w:val="24"/>
          <w:szCs w:val="24"/>
          <w:highlight w:val="none"/>
        </w:rPr>
        <w:t>签字(签</w:t>
      </w:r>
      <w:r>
        <w:rPr>
          <w:rFonts w:hint="eastAsia" w:ascii="仿宋" w:hAnsi="仿宋" w:eastAsia="仿宋" w:cs="仿宋"/>
          <w:color w:val="auto"/>
          <w:spacing w:val="-1"/>
          <w:position w:val="11"/>
          <w:sz w:val="24"/>
          <w:szCs w:val="24"/>
          <w:highlight w:val="none"/>
        </w:rPr>
        <w:t xml:space="preserve">章)： </w:t>
      </w:r>
    </w:p>
    <w:p>
      <w:pPr>
        <w:shd w:val="clear" w:color="auto" w:fill="auto"/>
        <w:spacing w:before="56" w:line="360" w:lineRule="auto"/>
        <w:ind w:left="505"/>
        <w:rPr>
          <w:rFonts w:hint="eastAsia" w:ascii="仿宋" w:hAnsi="仿宋" w:eastAsia="仿宋" w:cs="仿宋"/>
          <w:color w:val="auto"/>
          <w:spacing w:val="-1"/>
          <w:position w:val="11"/>
          <w:sz w:val="24"/>
          <w:szCs w:val="24"/>
          <w:highlight w:val="none"/>
        </w:rPr>
      </w:pPr>
      <w:r>
        <w:rPr>
          <w:rFonts w:hint="eastAsia" w:ascii="仿宋" w:hAnsi="仿宋" w:eastAsia="仿宋" w:cs="仿宋"/>
          <w:color w:val="auto"/>
          <w:spacing w:val="-20"/>
          <w:sz w:val="24"/>
          <w:szCs w:val="24"/>
          <w:highlight w:val="none"/>
        </w:rPr>
        <w:t>日</w:t>
      </w:r>
      <w:r>
        <w:rPr>
          <w:rFonts w:hint="eastAsia" w:ascii="仿宋" w:hAnsi="仿宋" w:eastAsia="仿宋" w:cs="仿宋"/>
          <w:color w:val="auto"/>
          <w:spacing w:val="-19"/>
          <w:sz w:val="24"/>
          <w:szCs w:val="24"/>
          <w:highlight w:val="none"/>
        </w:rPr>
        <w:t>期：</w:t>
      </w:r>
      <w:r>
        <w:rPr>
          <w:rFonts w:hint="eastAsia" w:ascii="仿宋" w:hAnsi="仿宋" w:eastAsia="仿宋" w:cs="仿宋"/>
          <w:color w:val="auto"/>
          <w:spacing w:val="-1"/>
          <w:position w:val="11"/>
          <w:sz w:val="24"/>
          <w:szCs w:val="24"/>
          <w:highlight w:val="none"/>
        </w:rPr>
        <w:t xml:space="preserve"> </w:t>
      </w:r>
    </w:p>
    <w:p>
      <w:pPr>
        <w:shd w:val="clear" w:color="auto" w:fill="auto"/>
        <w:spacing w:line="360" w:lineRule="auto"/>
        <w:rPr>
          <w:rFonts w:hint="eastAsia" w:ascii="仿宋" w:hAnsi="仿宋" w:eastAsia="仿宋" w:cs="仿宋"/>
          <w:color w:val="auto"/>
          <w:sz w:val="24"/>
          <w:szCs w:val="24"/>
          <w:highlight w:val="none"/>
        </w:rPr>
      </w:pPr>
    </w:p>
    <w:p>
      <w:pPr>
        <w:shd w:val="clear" w:color="auto" w:fill="auto"/>
        <w:spacing w:before="91" w:line="360" w:lineRule="auto"/>
        <w:ind w:left="508"/>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投诉书制作说</w:t>
      </w:r>
      <w:r>
        <w:rPr>
          <w:rFonts w:hint="eastAsia" w:ascii="仿宋" w:hAnsi="仿宋" w:eastAsia="仿宋" w:cs="仿宋"/>
          <w:color w:val="auto"/>
          <w:spacing w:val="-1"/>
          <w:sz w:val="24"/>
          <w:szCs w:val="24"/>
          <w:highlight w:val="none"/>
        </w:rPr>
        <w:t>明：</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1.投诉人提起投诉时，应当提交投诉书和必要的证明材料，并按 照被投诉人和与投诉事项有关的</w:t>
      </w:r>
      <w:r>
        <w:rPr>
          <w:rFonts w:hint="eastAsia" w:ascii="仿宋" w:hAnsi="仿宋" w:eastAsia="仿宋" w:cs="仿宋"/>
          <w:color w:val="auto"/>
          <w:spacing w:val="-2"/>
          <w:sz w:val="24"/>
          <w:szCs w:val="24"/>
          <w:highlight w:val="none"/>
          <w:lang w:eastAsia="zh-CN"/>
        </w:rPr>
        <w:t>投标人</w:t>
      </w:r>
      <w:r>
        <w:rPr>
          <w:rFonts w:hint="eastAsia" w:ascii="仿宋" w:hAnsi="仿宋" w:eastAsia="仿宋" w:cs="仿宋"/>
          <w:color w:val="auto"/>
          <w:spacing w:val="-2"/>
          <w:sz w:val="24"/>
          <w:szCs w:val="24"/>
          <w:highlight w:val="none"/>
        </w:rPr>
        <w:t>数量提供投诉书副本。</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2.投诉人若委托代理人进行投诉的，投诉书应按要求列明“授权 代表”的有关内容，并在附件中提交由投诉人签署的授权委托书。授 权委托书应载明代理人的姓名或者名称、代理事项、具体权限、期限 和相关事项。</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3.投诉人若对项目的某一分包进行投诉，投诉书中应列明具体分 包号。</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4.投诉书应简要列明质疑事项，质疑函、质疑答复等作为附件材 料提供。</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5.投诉书的投诉事项应具体、明确，并有必要的事实依据和法律 依据。</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6.投诉书的投诉请求应与投诉事项相关。</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7.投诉人为自然人的，投诉书应由本人签字；投诉人为法人或者 其他组织的，投诉书应当由法定代表人、主要负责人，或者其授权代 表签字或者盖章，并加盖公章。</w:t>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8"/>
          <w:szCs w:val="28"/>
          <w:highlight w:val="none"/>
        </w:rPr>
        <w:br w:type="page"/>
      </w:r>
    </w:p>
    <w:p>
      <w:pPr>
        <w:spacing w:after="0" w:line="357" w:lineRule="exact"/>
        <w:jc w:val="left"/>
        <w:rPr>
          <w:rFonts w:hint="eastAsia" w:ascii="仿宋" w:hAnsi="仿宋" w:eastAsia="仿宋" w:cs="仿宋"/>
          <w:color w:val="auto"/>
          <w:sz w:val="28"/>
          <w:highlight w:val="none"/>
        </w:rPr>
        <w:sectPr>
          <w:footerReference r:id="rId4" w:type="default"/>
          <w:pgSz w:w="11910" w:h="16840"/>
          <w:pgMar w:top="1440" w:right="1800" w:bottom="1440" w:left="1800" w:header="0" w:footer="1037" w:gutter="0"/>
          <w:cols w:space="720" w:num="1"/>
        </w:sectPr>
      </w:pPr>
    </w:p>
    <w:p>
      <w:pPr>
        <w:keepNext w:val="0"/>
        <w:keepLines w:val="0"/>
        <w:widowControl/>
        <w:numPr>
          <w:ilvl w:val="0"/>
          <w:numId w:val="6"/>
        </w:numPr>
        <w:suppressLineNumbers w:val="0"/>
        <w:jc w:val="center"/>
        <w:rPr>
          <w:rFonts w:hint="eastAsia" w:ascii="仿宋" w:hAnsi="仿宋" w:eastAsia="仿宋" w:cs="仿宋"/>
          <w:b/>
          <w:bCs/>
          <w:color w:val="auto"/>
          <w:kern w:val="0"/>
          <w:sz w:val="36"/>
          <w:szCs w:val="36"/>
          <w:highlight w:val="none"/>
          <w:lang w:val="en-US" w:eastAsia="zh-CN" w:bidi="ar"/>
        </w:rPr>
      </w:pPr>
      <w:bookmarkStart w:id="152" w:name="_Toc29710"/>
      <w:bookmarkStart w:id="153" w:name="_Toc23028"/>
      <w:bookmarkStart w:id="154" w:name="_Toc20110"/>
      <w:bookmarkStart w:id="155" w:name="_Toc6417"/>
      <w:bookmarkStart w:id="156" w:name="_Toc1354"/>
      <w:r>
        <w:rPr>
          <w:rFonts w:hint="eastAsia" w:ascii="仿宋" w:hAnsi="仿宋" w:eastAsia="仿宋" w:cs="仿宋"/>
          <w:b/>
          <w:bCs/>
          <w:color w:val="auto"/>
          <w:kern w:val="0"/>
          <w:sz w:val="36"/>
          <w:szCs w:val="36"/>
          <w:highlight w:val="none"/>
          <w:lang w:val="en-US" w:eastAsia="zh-CN" w:bidi="ar"/>
        </w:rPr>
        <w:t xml:space="preserve"> 资格审查</w:t>
      </w:r>
    </w:p>
    <w:p>
      <w:pPr>
        <w:tabs>
          <w:tab w:val="left" w:pos="360"/>
          <w:tab w:val="left" w:pos="900"/>
        </w:tabs>
        <w:snapToGrid w:val="0"/>
        <w:spacing w:line="360" w:lineRule="auto"/>
        <w:jc w:val="center"/>
        <w:outlineLvl w:val="1"/>
        <w:rPr>
          <w:rFonts w:hint="eastAsia" w:ascii="仿宋" w:hAnsi="仿宋" w:eastAsia="仿宋" w:cs="仿宋"/>
          <w:b/>
          <w:color w:val="auto"/>
          <w:sz w:val="24"/>
          <w:highlight w:val="none"/>
        </w:rPr>
      </w:pPr>
      <w:bookmarkStart w:id="157" w:name="_Toc99301422"/>
      <w:r>
        <w:rPr>
          <w:rFonts w:hint="eastAsia" w:ascii="仿宋" w:hAnsi="仿宋" w:eastAsia="仿宋" w:cs="仿宋"/>
          <w:b/>
          <w:color w:val="auto"/>
          <w:sz w:val="24"/>
          <w:highlight w:val="none"/>
        </w:rPr>
        <w:t>一、资格审查程序</w:t>
      </w:r>
      <w:bookmarkEnd w:id="157"/>
    </w:p>
    <w:p>
      <w:pPr>
        <w:numPr>
          <w:ilvl w:val="0"/>
          <w:numId w:val="7"/>
        </w:numPr>
        <w:tabs>
          <w:tab w:val="left" w:pos="426"/>
          <w:tab w:val="left" w:pos="851"/>
          <w:tab w:val="clear" w:pos="900"/>
        </w:tabs>
        <w:snapToGrid w:val="0"/>
        <w:spacing w:line="360" w:lineRule="auto"/>
        <w:ind w:left="426" w:hanging="426"/>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开标结束后，采购人或采购代理机构将根据《资格审查要求》中的规定，对投标人进行资格审查，并形成资格审查结果。</w:t>
      </w:r>
    </w:p>
    <w:p>
      <w:pPr>
        <w:numPr>
          <w:ilvl w:val="0"/>
          <w:numId w:val="7"/>
        </w:numPr>
        <w:tabs>
          <w:tab w:val="left" w:pos="426"/>
          <w:tab w:val="left" w:pos="851"/>
          <w:tab w:val="clear" w:pos="900"/>
        </w:tabs>
        <w:snapToGrid w:val="0"/>
        <w:spacing w:line="360" w:lineRule="auto"/>
        <w:ind w:left="426" w:hanging="426"/>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《资格审查要求》中对格式有要求的，除招标文件另有规定外，均为“实质性格式”文件。</w:t>
      </w:r>
    </w:p>
    <w:p>
      <w:pPr>
        <w:numPr>
          <w:ilvl w:val="0"/>
          <w:numId w:val="7"/>
        </w:numPr>
        <w:tabs>
          <w:tab w:val="left" w:pos="426"/>
          <w:tab w:val="left" w:pos="851"/>
          <w:tab w:val="clear" w:pos="900"/>
        </w:tabs>
        <w:snapToGrid w:val="0"/>
        <w:spacing w:line="360" w:lineRule="auto"/>
        <w:ind w:left="426" w:hanging="426"/>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投标人《资格证明文件》有任何一项不符合《资格审查要求》的，资格审查不合格，其</w:t>
      </w:r>
      <w:r>
        <w:rPr>
          <w:rFonts w:hint="eastAsia" w:ascii="仿宋" w:hAnsi="仿宋" w:eastAsia="仿宋" w:cs="仿宋"/>
          <w:b/>
          <w:color w:val="auto"/>
          <w:sz w:val="24"/>
          <w:highlight w:val="none"/>
        </w:rPr>
        <w:t>投标无效</w:t>
      </w:r>
      <w:r>
        <w:rPr>
          <w:rFonts w:hint="eastAsia" w:ascii="仿宋" w:hAnsi="仿宋" w:eastAsia="仿宋" w:cs="仿宋"/>
          <w:color w:val="auto"/>
          <w:sz w:val="24"/>
          <w:highlight w:val="none"/>
        </w:rPr>
        <w:t>。</w:t>
      </w:r>
    </w:p>
    <w:p>
      <w:pPr>
        <w:numPr>
          <w:ilvl w:val="0"/>
          <w:numId w:val="7"/>
        </w:numPr>
        <w:tabs>
          <w:tab w:val="left" w:pos="426"/>
          <w:tab w:val="left" w:pos="851"/>
          <w:tab w:val="clear" w:pos="900"/>
        </w:tabs>
        <w:snapToGrid w:val="0"/>
        <w:spacing w:line="360" w:lineRule="auto"/>
        <w:ind w:left="426" w:hanging="426"/>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资格审查合格的投标人不足3家的，不进行评标。</w:t>
      </w:r>
    </w:p>
    <w:p>
      <w:pPr>
        <w:tabs>
          <w:tab w:val="left" w:pos="360"/>
          <w:tab w:val="left" w:pos="900"/>
        </w:tabs>
        <w:snapToGrid w:val="0"/>
        <w:spacing w:line="360" w:lineRule="auto"/>
        <w:jc w:val="center"/>
        <w:outlineLvl w:val="1"/>
        <w:rPr>
          <w:rFonts w:hint="eastAsia" w:ascii="仿宋" w:hAnsi="仿宋" w:eastAsia="仿宋" w:cs="仿宋"/>
          <w:color w:val="auto"/>
          <w:sz w:val="24"/>
          <w:highlight w:val="none"/>
        </w:rPr>
      </w:pPr>
      <w:r>
        <w:rPr>
          <w:rFonts w:hint="eastAsia" w:ascii="仿宋" w:hAnsi="仿宋" w:eastAsia="仿宋" w:cs="仿宋"/>
          <w:b/>
          <w:color w:val="auto"/>
          <w:sz w:val="24"/>
          <w:highlight w:val="none"/>
        </w:rPr>
        <w:t>二、资格审查要求</w:t>
      </w:r>
    </w:p>
    <w:tbl>
      <w:tblPr>
        <w:tblStyle w:val="44"/>
        <w:tblW w:w="8738" w:type="dxa"/>
        <w:tblInd w:w="-2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6"/>
        <w:gridCol w:w="859"/>
        <w:gridCol w:w="5911"/>
        <w:gridCol w:w="619"/>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486" w:type="dxa"/>
            <w:vMerge w:val="restart"/>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资格性评审</w:t>
            </w:r>
          </w:p>
        </w:tc>
        <w:tc>
          <w:tcPr>
            <w:tcW w:w="859" w:type="dxa"/>
            <w:vMerge w:val="restart"/>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序号</w:t>
            </w:r>
          </w:p>
        </w:tc>
        <w:tc>
          <w:tcPr>
            <w:tcW w:w="5911" w:type="dxa"/>
            <w:vMerge w:val="restart"/>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评审内容</w:t>
            </w:r>
          </w:p>
        </w:tc>
        <w:tc>
          <w:tcPr>
            <w:tcW w:w="1482" w:type="dxa"/>
            <w:gridSpan w:val="2"/>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评审方法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486" w:type="dxa"/>
            <w:vMerge w:val="continue"/>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vMerge w:val="continue"/>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5911" w:type="dxa"/>
            <w:vMerge w:val="continue"/>
            <w:vAlign w:val="center"/>
          </w:tcPr>
          <w:p>
            <w:pPr>
              <w:pStyle w:val="143"/>
              <w:spacing w:before="138" w:line="240" w:lineRule="auto"/>
              <w:ind w:left="107"/>
              <w:jc w:val="left"/>
              <w:rPr>
                <w:rFonts w:hint="eastAsia" w:ascii="仿宋" w:hAnsi="仿宋" w:eastAsia="仿宋" w:cs="仿宋"/>
                <w:i w:val="0"/>
                <w:iCs w:val="0"/>
                <w:caps w:val="0"/>
                <w:color w:val="000000"/>
                <w:spacing w:val="0"/>
                <w:sz w:val="24"/>
                <w:szCs w:val="24"/>
                <w:highlight w:val="none"/>
                <w:lang w:val="en-US" w:eastAsia="zh-CN"/>
              </w:rPr>
            </w:pP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通过</w:t>
            </w: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486" w:type="dxa"/>
            <w:vMerge w:val="continue"/>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w:t>
            </w:r>
          </w:p>
        </w:tc>
        <w:tc>
          <w:tcPr>
            <w:tcW w:w="5911"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提供经年审合格（三证合一）的营业执照；</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486" w:type="dxa"/>
            <w:vMerge w:val="continue"/>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w:t>
            </w:r>
          </w:p>
        </w:tc>
        <w:tc>
          <w:tcPr>
            <w:tcW w:w="5911"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有效的法定代表人身份证明（法人）及身份证 或具有法定效力的法人授权委托书（非法人，须明确 采购项目及包段名称、授权事项、权限、期限等）、 被委托人身份证；</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486" w:type="dxa"/>
            <w:vMerge w:val="continue"/>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3</w:t>
            </w:r>
          </w:p>
        </w:tc>
        <w:tc>
          <w:tcPr>
            <w:tcW w:w="5911"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需提供公司近三个月社保证明（缴费凭证及明细）（新成立时间少于3个月的公司，按实际发生提供）；</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486" w:type="dxa"/>
            <w:vMerge w:val="continue"/>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4</w:t>
            </w:r>
          </w:p>
        </w:tc>
        <w:tc>
          <w:tcPr>
            <w:tcW w:w="5911"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投标人需提供税务部门出具近三个月依法缴纳税收的完税证明（新成立不足3个月的按实际情况发生提供，需含增值税、印花 税等税种；如当月无需缴税需提供税务机关出具的无欠税证明），完税证明日期是指税款缴纳所属日期；</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486" w:type="dxa"/>
            <w:vMerge w:val="continue"/>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5</w:t>
            </w:r>
          </w:p>
        </w:tc>
        <w:tc>
          <w:tcPr>
            <w:tcW w:w="5911"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i w:val="0"/>
                <w:iCs w:val="0"/>
                <w:caps w:val="0"/>
                <w:color w:val="000000"/>
                <w:spacing w:val="0"/>
                <w:sz w:val="24"/>
                <w:szCs w:val="24"/>
                <w:highlight w:val="none"/>
                <w:lang w:val="zh-CN" w:eastAsia="zh-CN"/>
              </w:rPr>
            </w:pPr>
            <w:r>
              <w:rPr>
                <w:rFonts w:hint="eastAsia" w:ascii="仿宋" w:hAnsi="仿宋" w:eastAsia="仿宋" w:cs="仿宋"/>
                <w:i w:val="0"/>
                <w:iCs w:val="0"/>
                <w:caps w:val="0"/>
                <w:color w:val="000000"/>
                <w:spacing w:val="0"/>
                <w:sz w:val="24"/>
                <w:szCs w:val="24"/>
                <w:highlight w:val="none"/>
                <w:lang w:val="zh-CN" w:eastAsia="zh-CN"/>
              </w:rPr>
              <w:t>提供2022年度的财务审计报告（2023年8月后成立的公司可不提供但需提供银行出具的近三个月的资信证明）；</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486" w:type="dxa"/>
            <w:vMerge w:val="continue"/>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6</w:t>
            </w:r>
          </w:p>
        </w:tc>
        <w:tc>
          <w:tcPr>
            <w:tcW w:w="5911"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提供参加政府采购活动前 3 年内在经营活动中没有重大违法记录的书面声明；</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486" w:type="dxa"/>
            <w:vMerge w:val="continue"/>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tcBorders>
              <w:bottom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7</w:t>
            </w:r>
          </w:p>
        </w:tc>
        <w:tc>
          <w:tcPr>
            <w:tcW w:w="5911" w:type="dxa"/>
            <w:tcBorders>
              <w:bottom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投标人是否提供投标保证金缴纳凭证或电子保函；</w:t>
            </w:r>
          </w:p>
        </w:tc>
        <w:tc>
          <w:tcPr>
            <w:tcW w:w="619" w:type="dxa"/>
            <w:tcBorders>
              <w:bottom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tcBorders>
              <w:bottom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486" w:type="dxa"/>
            <w:vMerge w:val="restart"/>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tcBorders>
              <w:bottom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8</w:t>
            </w:r>
          </w:p>
        </w:tc>
        <w:tc>
          <w:tcPr>
            <w:tcW w:w="5911" w:type="dxa"/>
            <w:tcBorders>
              <w:bottom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企业负责人为同一人或者存在直接控股、管理关系的不同投标人，不得参加同一合同项下的政府采购活动的声明函；否则，皆取消投标资格；</w:t>
            </w:r>
          </w:p>
        </w:tc>
        <w:tc>
          <w:tcPr>
            <w:tcW w:w="619" w:type="dxa"/>
            <w:tcBorders>
              <w:bottom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tcBorders>
              <w:bottom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486" w:type="dxa"/>
            <w:vMerge w:val="continue"/>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tcBorders>
              <w:bottom w:val="single" w:color="auto" w:sz="4" w:space="0"/>
            </w:tcBorders>
            <w:vAlign w:val="center"/>
          </w:tcPr>
          <w:p>
            <w:pPr>
              <w:pStyle w:val="143"/>
              <w:spacing w:before="138" w:line="240" w:lineRule="auto"/>
              <w:ind w:left="107"/>
              <w:jc w:val="center"/>
              <w:rPr>
                <w:rFonts w:hint="default"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9</w:t>
            </w:r>
          </w:p>
        </w:tc>
        <w:tc>
          <w:tcPr>
            <w:tcW w:w="5911" w:type="dxa"/>
            <w:tcBorders>
              <w:bottom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提供有效的中小企业声明函。</w:t>
            </w:r>
          </w:p>
        </w:tc>
        <w:tc>
          <w:tcPr>
            <w:tcW w:w="619" w:type="dxa"/>
            <w:tcBorders>
              <w:bottom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tcBorders>
              <w:bottom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8738" w:type="dxa"/>
            <w:gridSpan w:val="5"/>
            <w:tcBorders>
              <w:top w:val="single" w:color="auto" w:sz="4" w:space="0"/>
              <w:left w:val="nil"/>
              <w:bottom w:val="single" w:color="auto" w:sz="4" w:space="0"/>
              <w:right w:val="nil"/>
            </w:tcBorders>
            <w:vAlign w:val="center"/>
          </w:tcPr>
          <w:p>
            <w:pPr>
              <w:spacing w:line="360" w:lineRule="auto"/>
              <w:jc w:val="center"/>
              <w:outlineLvl w:val="0"/>
              <w:rPr>
                <w:rFonts w:hint="eastAsia" w:ascii="仿宋" w:hAnsi="仿宋" w:eastAsia="仿宋" w:cs="仿宋"/>
                <w:b/>
                <w:color w:val="auto"/>
                <w:sz w:val="36"/>
                <w:szCs w:val="36"/>
                <w:highlight w:val="none"/>
              </w:rPr>
            </w:pPr>
          </w:p>
          <w:p>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评标程序、评标方法和评标标准</w:t>
            </w:r>
          </w:p>
          <w:p>
            <w:pPr>
              <w:tabs>
                <w:tab w:val="left" w:pos="360"/>
                <w:tab w:val="left" w:pos="900"/>
              </w:tabs>
              <w:snapToGrid w:val="0"/>
              <w:spacing w:line="360" w:lineRule="auto"/>
              <w:jc w:val="center"/>
              <w:outlineLvl w:val="1"/>
              <w:rPr>
                <w:rFonts w:hint="eastAsia" w:ascii="仿宋" w:hAnsi="仿宋" w:eastAsia="仿宋" w:cs="仿宋"/>
                <w:b/>
                <w:color w:val="auto"/>
                <w:highlight w:val="none"/>
              </w:rPr>
            </w:pPr>
            <w:r>
              <w:rPr>
                <w:rFonts w:hint="eastAsia" w:ascii="仿宋" w:hAnsi="仿宋" w:eastAsia="仿宋" w:cs="仿宋"/>
                <w:b/>
                <w:color w:val="auto"/>
                <w:sz w:val="24"/>
                <w:highlight w:val="none"/>
              </w:rPr>
              <w:t>一、评标方法</w:t>
            </w:r>
          </w:p>
          <w:p>
            <w:pPr>
              <w:numPr>
                <w:ilvl w:val="0"/>
                <w:numId w:val="8"/>
              </w:numPr>
              <w:tabs>
                <w:tab w:val="left" w:pos="360"/>
              </w:tabs>
              <w:snapToGrid w:val="0"/>
              <w:spacing w:line="360" w:lineRule="auto"/>
              <w:outlineLvl w:val="1"/>
              <w:rPr>
                <w:rFonts w:hint="eastAsia" w:ascii="仿宋" w:hAnsi="仿宋" w:eastAsia="仿宋" w:cs="仿宋"/>
                <w:color w:val="auto"/>
                <w:sz w:val="24"/>
                <w:szCs w:val="24"/>
                <w:highlight w:val="none"/>
              </w:rPr>
            </w:pPr>
            <w:bookmarkStart w:id="158" w:name="_Toc150480779"/>
            <w:bookmarkStart w:id="159" w:name="_Toc127151742"/>
            <w:bookmarkStart w:id="160" w:name="_Toc150774641"/>
            <w:bookmarkStart w:id="161" w:name="_Toc151190168"/>
            <w:bookmarkStart w:id="162" w:name="_Toc164229236"/>
            <w:bookmarkStart w:id="163" w:name="_Toc164608655"/>
            <w:bookmarkStart w:id="164" w:name="_Toc226965814"/>
            <w:bookmarkStart w:id="165" w:name="_Toc265228379"/>
            <w:bookmarkStart w:id="166" w:name="_Toc151193929"/>
            <w:bookmarkStart w:id="167" w:name="_Toc151193711"/>
            <w:bookmarkStart w:id="168" w:name="_Toc150774746"/>
            <w:bookmarkStart w:id="169" w:name="_Toc149720834"/>
            <w:bookmarkStart w:id="170" w:name="_Toc127161455"/>
            <w:bookmarkStart w:id="171" w:name="_Toc164229382"/>
            <w:bookmarkStart w:id="172" w:name="_Toc151193855"/>
            <w:bookmarkStart w:id="173" w:name="_Toc151193639"/>
            <w:bookmarkStart w:id="174" w:name="_Toc226965731"/>
            <w:bookmarkStart w:id="175" w:name="_Toc195842906"/>
            <w:bookmarkStart w:id="176" w:name="_Toc226337237"/>
            <w:bookmarkStart w:id="177" w:name="_Toc164608810"/>
            <w:bookmarkStart w:id="178" w:name="_Toc226309785"/>
            <w:bookmarkStart w:id="179" w:name="_Toc142311043"/>
            <w:bookmarkStart w:id="180" w:name="_Toc127151541"/>
            <w:bookmarkStart w:id="181" w:name="_Toc264969231"/>
            <w:bookmarkStart w:id="182" w:name="_Toc151193783"/>
            <w:bookmarkStart w:id="183" w:name="_Toc305158883"/>
            <w:bookmarkStart w:id="184" w:name="_Toc164351635"/>
            <w:bookmarkStart w:id="185" w:name="_Toc305158809"/>
            <w:bookmarkStart w:id="186" w:name="_Toc150509292"/>
            <w:r>
              <w:rPr>
                <w:rFonts w:hint="eastAsia" w:ascii="仿宋" w:hAnsi="仿宋" w:eastAsia="仿宋" w:cs="仿宋"/>
                <w:color w:val="auto"/>
                <w:sz w:val="24"/>
                <w:szCs w:val="24"/>
                <w:highlight w:val="none"/>
              </w:rPr>
              <w:t>投标文件的符合性审查</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pPr>
              <w:numPr>
                <w:ilvl w:val="1"/>
                <w:numId w:val="8"/>
              </w:numPr>
              <w:tabs>
                <w:tab w:val="left" w:pos="1080"/>
              </w:tabs>
              <w:snapToGrid w:val="0"/>
              <w:spacing w:line="360" w:lineRule="auto"/>
              <w:ind w:left="1077" w:hanging="7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评标委员会对资格审查合格的投标人的投标文件进行符合性审查，以确定其是否满足招标文件的实质性要求。</w:t>
            </w:r>
            <w:bookmarkStart w:id="187" w:name="_Toc520356167"/>
          </w:p>
          <w:p>
            <w:pPr>
              <w:numPr>
                <w:ilvl w:val="1"/>
                <w:numId w:val="8"/>
              </w:numPr>
              <w:tabs>
                <w:tab w:val="left" w:pos="1080"/>
              </w:tabs>
              <w:snapToGrid w:val="0"/>
              <w:spacing w:line="360" w:lineRule="auto"/>
              <w:ind w:left="1077" w:hanging="7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187"/>
            <w:r>
              <w:rPr>
                <w:rFonts w:hint="eastAsia" w:ascii="仿宋" w:hAnsi="仿宋" w:eastAsia="仿宋" w:cs="仿宋"/>
                <w:color w:val="auto"/>
                <w:sz w:val="24"/>
                <w:szCs w:val="24"/>
                <w:highlight w:val="none"/>
              </w:rPr>
              <w:t>要求的，</w:t>
            </w:r>
            <w:r>
              <w:rPr>
                <w:rFonts w:hint="eastAsia" w:ascii="仿宋" w:hAnsi="仿宋" w:eastAsia="仿宋" w:cs="仿宋"/>
                <w:b/>
                <w:color w:val="auto"/>
                <w:sz w:val="24"/>
                <w:szCs w:val="24"/>
                <w:highlight w:val="none"/>
              </w:rPr>
              <w:t>投标无效</w:t>
            </w:r>
            <w:r>
              <w:rPr>
                <w:rFonts w:hint="eastAsia" w:ascii="仿宋" w:hAnsi="仿宋" w:eastAsia="仿宋" w:cs="仿宋"/>
                <w:color w:val="auto"/>
                <w:sz w:val="24"/>
                <w:szCs w:val="24"/>
                <w:highlight w:val="none"/>
              </w:rPr>
              <w:t>。</w:t>
            </w:r>
          </w:p>
          <w:p>
            <w:pPr>
              <w:tabs>
                <w:tab w:val="left" w:pos="900"/>
                <w:tab w:val="left" w:pos="1080"/>
                <w:tab w:val="left" w:pos="1589"/>
              </w:tabs>
              <w:snapToGrid w:val="0"/>
              <w:spacing w:line="360" w:lineRule="auto"/>
              <w:ind w:leftChars="-170" w:hanging="357" w:hangingChars="148"/>
              <w:jc w:val="center"/>
              <w:rPr>
                <w:rFonts w:hint="eastAsia" w:ascii="仿宋" w:hAnsi="仿宋" w:eastAsia="仿宋" w:cs="仿宋"/>
                <w:b/>
                <w:color w:val="auto"/>
                <w:sz w:val="24"/>
                <w:szCs w:val="24"/>
                <w:highlight w:val="none"/>
              </w:rPr>
            </w:pPr>
          </w:p>
          <w:p>
            <w:pPr>
              <w:tabs>
                <w:tab w:val="left" w:pos="900"/>
                <w:tab w:val="left" w:pos="1080"/>
                <w:tab w:val="left" w:pos="1589"/>
              </w:tabs>
              <w:snapToGrid w:val="0"/>
              <w:spacing w:line="360" w:lineRule="auto"/>
              <w:ind w:leftChars="-170" w:hanging="357" w:hangingChars="148"/>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b/>
                <w:color w:val="auto"/>
                <w:sz w:val="24"/>
                <w:szCs w:val="24"/>
                <w:highlight w:val="none"/>
              </w:rPr>
              <w:t>符合性审查要求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符合性评审</w:t>
            </w:r>
          </w:p>
        </w:tc>
        <w:tc>
          <w:tcPr>
            <w:tcW w:w="859"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zh-CN" w:eastAsia="zh-CN"/>
              </w:rPr>
            </w:pPr>
            <w:r>
              <w:rPr>
                <w:rFonts w:hint="eastAsia" w:ascii="仿宋" w:hAnsi="仿宋" w:eastAsia="仿宋" w:cs="仿宋"/>
                <w:i w:val="0"/>
                <w:iCs w:val="0"/>
                <w:caps w:val="0"/>
                <w:color w:val="auto"/>
                <w:spacing w:val="0"/>
                <w:sz w:val="24"/>
                <w:szCs w:val="24"/>
                <w:highlight w:val="none"/>
                <w:lang w:val="en-US" w:eastAsia="zh-CN"/>
              </w:rPr>
              <w:t>1</w:t>
            </w:r>
          </w:p>
        </w:tc>
        <w:tc>
          <w:tcPr>
            <w:tcW w:w="591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zh-CN" w:eastAsia="zh-CN" w:bidi="ar-SA"/>
              </w:rPr>
            </w:pPr>
            <w:r>
              <w:rPr>
                <w:rFonts w:hint="eastAsia" w:ascii="仿宋" w:hAnsi="仿宋" w:eastAsia="仿宋" w:cs="仿宋"/>
                <w:b w:val="0"/>
                <w:bCs w:val="0"/>
                <w:color w:val="auto"/>
                <w:kern w:val="2"/>
                <w:sz w:val="24"/>
                <w:szCs w:val="24"/>
                <w:highlight w:val="none"/>
                <w:lang w:val="en-US" w:eastAsia="zh-CN" w:bidi="ar-SA"/>
              </w:rPr>
              <w:t>投标报价高于设定的采购最高限价的；</w:t>
            </w:r>
          </w:p>
        </w:tc>
        <w:tc>
          <w:tcPr>
            <w:tcW w:w="619"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486" w:type="dxa"/>
            <w:vMerge w:val="continue"/>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zh-CN" w:eastAsia="zh-CN"/>
              </w:rPr>
            </w:pPr>
            <w:r>
              <w:rPr>
                <w:rFonts w:hint="eastAsia" w:ascii="仿宋" w:hAnsi="仿宋" w:eastAsia="仿宋" w:cs="仿宋"/>
                <w:i w:val="0"/>
                <w:iCs w:val="0"/>
                <w:caps w:val="0"/>
                <w:color w:val="auto"/>
                <w:spacing w:val="0"/>
                <w:sz w:val="24"/>
                <w:szCs w:val="24"/>
                <w:highlight w:val="none"/>
                <w:lang w:val="en-US" w:eastAsia="zh-CN"/>
              </w:rPr>
              <w:t>2</w:t>
            </w:r>
          </w:p>
        </w:tc>
        <w:tc>
          <w:tcPr>
            <w:tcW w:w="591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投标报价为唯一报价，有不同报价时是否明确有效力的报价；</w:t>
            </w:r>
          </w:p>
        </w:tc>
        <w:tc>
          <w:tcPr>
            <w:tcW w:w="619"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486" w:type="dxa"/>
            <w:vMerge w:val="continue"/>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3</w:t>
            </w:r>
          </w:p>
        </w:tc>
        <w:tc>
          <w:tcPr>
            <w:tcW w:w="591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投标文件是否不齐全或者内容虚假的；</w:t>
            </w:r>
          </w:p>
        </w:tc>
        <w:tc>
          <w:tcPr>
            <w:tcW w:w="619"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86" w:type="dxa"/>
            <w:vMerge w:val="continue"/>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4</w:t>
            </w:r>
          </w:p>
        </w:tc>
        <w:tc>
          <w:tcPr>
            <w:tcW w:w="591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投标文件应由企业法人或法人授权代表在凡规定签字处 签字并加盖电子签章；</w:t>
            </w:r>
          </w:p>
        </w:tc>
        <w:tc>
          <w:tcPr>
            <w:tcW w:w="619"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486" w:type="dxa"/>
            <w:vMerge w:val="continue"/>
            <w:tcBorders>
              <w:top w:val="single" w:color="auto" w:sz="4" w:space="0"/>
              <w:lef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tcBorders>
              <w:top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5</w:t>
            </w:r>
          </w:p>
        </w:tc>
        <w:tc>
          <w:tcPr>
            <w:tcW w:w="5911" w:type="dxa"/>
            <w:tcBorders>
              <w:top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改变招标文件提供的清单中的计量单位、数量的；</w:t>
            </w:r>
          </w:p>
        </w:tc>
        <w:tc>
          <w:tcPr>
            <w:tcW w:w="619" w:type="dxa"/>
            <w:tcBorders>
              <w:top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tcBorders>
              <w:top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486" w:type="dxa"/>
            <w:vMerge w:val="continue"/>
            <w:tcBorders>
              <w:lef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6</w:t>
            </w:r>
          </w:p>
        </w:tc>
        <w:tc>
          <w:tcPr>
            <w:tcW w:w="5911"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格式填写是否按规定的格式填写，没有内容不全或关键字迹模糊、无法辨认的；</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486" w:type="dxa"/>
            <w:vMerge w:val="continue"/>
            <w:tcBorders>
              <w:lef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7</w:t>
            </w:r>
          </w:p>
        </w:tc>
        <w:tc>
          <w:tcPr>
            <w:tcW w:w="5911"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实质性条款的响应是否有不符合招标文件中规定的其他实质性要求；</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486" w:type="dxa"/>
            <w:vMerge w:val="continue"/>
            <w:tcBorders>
              <w:lef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8</w:t>
            </w:r>
          </w:p>
        </w:tc>
        <w:tc>
          <w:tcPr>
            <w:tcW w:w="5911"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评标委员会共同确定有实质上不响应招标文件要求的；</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486" w:type="dxa"/>
            <w:vMerge w:val="continue"/>
            <w:tcBorders>
              <w:lef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9</w:t>
            </w:r>
          </w:p>
        </w:tc>
        <w:tc>
          <w:tcPr>
            <w:tcW w:w="5911"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是否存在法律、法规和招标文件规定的其他无效情形；</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486" w:type="dxa"/>
            <w:vMerge w:val="continue"/>
            <w:tcBorders>
              <w:lef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10</w:t>
            </w:r>
          </w:p>
        </w:tc>
        <w:tc>
          <w:tcPr>
            <w:tcW w:w="5911"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投标文件载明的技术规格等，不符合招标文件要求的；</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486" w:type="dxa"/>
            <w:vMerge w:val="continue"/>
            <w:tcBorders>
              <w:lef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11</w:t>
            </w:r>
          </w:p>
        </w:tc>
        <w:tc>
          <w:tcPr>
            <w:tcW w:w="5911"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不满足招标文件实质性要求的其他情形。</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486" w:type="dxa"/>
            <w:vMerge w:val="continue"/>
            <w:tcBorders>
              <w:lef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12</w:t>
            </w:r>
          </w:p>
        </w:tc>
        <w:tc>
          <w:tcPr>
            <w:tcW w:w="5911"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交货期是否满足采购文件规定交货期限；</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8738" w:type="dxa"/>
            <w:gridSpan w:val="5"/>
            <w:vAlign w:val="center"/>
          </w:tcPr>
          <w:p>
            <w:pPr>
              <w:pStyle w:val="143"/>
              <w:spacing w:before="138" w:line="240" w:lineRule="auto"/>
              <w:ind w:left="107"/>
              <w:jc w:val="left"/>
              <w:rPr>
                <w:rFonts w:hint="eastAsia" w:ascii="仿宋" w:hAnsi="仿宋" w:eastAsia="仿宋" w:cs="仿宋"/>
                <w:b/>
                <w:bCs/>
                <w:i w:val="0"/>
                <w:iCs w:val="0"/>
                <w:caps w:val="0"/>
                <w:color w:val="000000"/>
                <w:spacing w:val="0"/>
                <w:sz w:val="24"/>
                <w:szCs w:val="24"/>
                <w:highlight w:val="none"/>
                <w:lang w:val="en-US" w:eastAsia="zh-CN"/>
              </w:rPr>
            </w:pPr>
            <w:r>
              <w:rPr>
                <w:rFonts w:hint="eastAsia" w:ascii="仿宋" w:hAnsi="仿宋" w:eastAsia="仿宋" w:cs="仿宋"/>
                <w:b/>
                <w:bCs/>
                <w:i w:val="0"/>
                <w:iCs w:val="0"/>
                <w:caps w:val="0"/>
                <w:color w:val="000000"/>
                <w:spacing w:val="0"/>
                <w:sz w:val="24"/>
                <w:szCs w:val="24"/>
                <w:highlight w:val="none"/>
                <w:lang w:val="en-US" w:eastAsia="zh-CN"/>
              </w:rPr>
              <w:t>注：以上有一项不通过结论为不通过，投标人将拒绝进行下一阶段评审！</w:t>
            </w:r>
          </w:p>
          <w:p>
            <w:pPr>
              <w:pStyle w:val="143"/>
              <w:spacing w:before="138" w:line="240" w:lineRule="auto"/>
              <w:ind w:left="107"/>
              <w:jc w:val="left"/>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b/>
                <w:bCs/>
                <w:i w:val="0"/>
                <w:iCs w:val="0"/>
                <w:caps w:val="0"/>
                <w:color w:val="000000"/>
                <w:spacing w:val="0"/>
                <w:sz w:val="24"/>
                <w:szCs w:val="24"/>
                <w:highlight w:val="none"/>
                <w:lang w:val="en-US" w:eastAsia="zh-CN"/>
              </w:rPr>
              <w:t>请投标人特别注意！</w:t>
            </w:r>
          </w:p>
        </w:tc>
      </w:tr>
    </w:tbl>
    <w:p>
      <w:pPr>
        <w:numPr>
          <w:ilvl w:val="0"/>
          <w:numId w:val="8"/>
        </w:numPr>
        <w:tabs>
          <w:tab w:val="left" w:pos="360"/>
        </w:tabs>
        <w:snapToGrid w:val="0"/>
        <w:spacing w:line="360" w:lineRule="auto"/>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投标文件有关事项的澄清或者说明</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仿宋" w:hAnsi="仿宋" w:eastAsia="仿宋" w:cs="仿宋"/>
          <w:b/>
          <w:color w:val="auto"/>
          <w:sz w:val="24"/>
          <w:highlight w:val="none"/>
        </w:rPr>
        <w:t>无效投标处理</w:t>
      </w:r>
      <w:r>
        <w:rPr>
          <w:rFonts w:hint="eastAsia" w:ascii="仿宋" w:hAnsi="仿宋" w:eastAsia="仿宋" w:cs="仿宋"/>
          <w:color w:val="auto"/>
          <w:sz w:val="24"/>
          <w:highlight w:val="none"/>
        </w:rPr>
        <w:t>。</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投标无效。</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投标文件报价出现前后不一致的，按照下列规定修正：</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2.4.1</w:t>
      </w:r>
      <w:r>
        <w:rPr>
          <w:rFonts w:hint="eastAsia" w:ascii="仿宋" w:hAnsi="仿宋" w:eastAsia="仿宋" w:cs="仿宋"/>
          <w:color w:val="auto"/>
          <w:sz w:val="24"/>
          <w:highlight w:val="none"/>
        </w:rPr>
        <w:t>招标文件对于报价修正是否另有规定：</w:t>
      </w:r>
    </w:p>
    <w:p>
      <w:pPr>
        <w:numPr>
          <w:ilvl w:val="0"/>
          <w:numId w:val="0"/>
        </w:numPr>
        <w:tabs>
          <w:tab w:val="left" w:pos="1080"/>
        </w:tabs>
        <w:snapToGrid w:val="0"/>
        <w:spacing w:line="360" w:lineRule="auto"/>
        <w:ind w:leftChars="-50" w:right="62"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□有，具体规定为：______________</w:t>
      </w:r>
    </w:p>
    <w:p>
      <w:pPr>
        <w:numPr>
          <w:ilvl w:val="0"/>
          <w:numId w:val="0"/>
        </w:numPr>
        <w:tabs>
          <w:tab w:val="left" w:pos="1080"/>
        </w:tabs>
        <w:snapToGrid w:val="0"/>
        <w:spacing w:line="360" w:lineRule="auto"/>
        <w:ind w:leftChars="-50" w:right="62"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□无，按下述2.4.2-2.4.7项规定修正。</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2.4.2</w:t>
      </w:r>
      <w:r>
        <w:rPr>
          <w:rFonts w:hint="eastAsia" w:ascii="仿宋" w:hAnsi="仿宋" w:eastAsia="仿宋" w:cs="仿宋"/>
          <w:color w:val="auto"/>
          <w:sz w:val="24"/>
          <w:highlight w:val="none"/>
        </w:rPr>
        <w:t>单独递交的开标一览表（报价表）与投标文件中开标一览表（报价表）内容不一致的，以单独递交的开标一览表（报价表）为准；</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2.4.3</w:t>
      </w:r>
      <w:r>
        <w:rPr>
          <w:rFonts w:hint="eastAsia" w:ascii="仿宋" w:hAnsi="仿宋" w:eastAsia="仿宋" w:cs="仿宋"/>
          <w:color w:val="auto"/>
          <w:sz w:val="24"/>
          <w:highlight w:val="none"/>
        </w:rPr>
        <w:t>投标文件中开标一览表（报价表）内容与投标文件中相应内容不一致的，以开标一览表（报价表）为准；</w:t>
      </w:r>
    </w:p>
    <w:p>
      <w:pPr>
        <w:numPr>
          <w:ilvl w:val="0"/>
          <w:numId w:val="0"/>
        </w:numPr>
        <w:tabs>
          <w:tab w:val="left" w:pos="2035"/>
          <w:tab w:val="left" w:pos="2114"/>
          <w:tab w:val="left" w:pos="2977"/>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2.4.4</w:t>
      </w:r>
      <w:r>
        <w:rPr>
          <w:rFonts w:hint="eastAsia" w:ascii="仿宋" w:hAnsi="仿宋" w:eastAsia="仿宋" w:cs="仿宋"/>
          <w:color w:val="auto"/>
          <w:sz w:val="24"/>
          <w:highlight w:val="none"/>
        </w:rPr>
        <w:t>大写金额和小写金额不一致的，以大写金额为准；</w:t>
      </w:r>
    </w:p>
    <w:p>
      <w:pPr>
        <w:numPr>
          <w:ilvl w:val="0"/>
          <w:numId w:val="0"/>
        </w:numPr>
        <w:tabs>
          <w:tab w:val="left" w:pos="2035"/>
          <w:tab w:val="left" w:pos="2114"/>
          <w:tab w:val="left" w:pos="2977"/>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2.4.5</w:t>
      </w:r>
      <w:r>
        <w:rPr>
          <w:rFonts w:hint="eastAsia" w:ascii="仿宋" w:hAnsi="仿宋" w:eastAsia="仿宋" w:cs="仿宋"/>
          <w:color w:val="auto"/>
          <w:sz w:val="24"/>
          <w:highlight w:val="none"/>
        </w:rPr>
        <w:t>单价金额小数点或者百分比有明显错位的，以开标一览表的总价为准，并修改单价；</w:t>
      </w:r>
    </w:p>
    <w:p>
      <w:pPr>
        <w:numPr>
          <w:ilvl w:val="0"/>
          <w:numId w:val="0"/>
        </w:numPr>
        <w:tabs>
          <w:tab w:val="left" w:pos="2035"/>
          <w:tab w:val="left" w:pos="2114"/>
          <w:tab w:val="left" w:pos="2977"/>
        </w:tabs>
        <w:snapToGrid w:val="0"/>
        <w:spacing w:line="360" w:lineRule="auto"/>
        <w:ind w:leftChars="-50" w:right="62" w:righ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2.4.6</w:t>
      </w:r>
      <w:r>
        <w:rPr>
          <w:rFonts w:hint="eastAsia" w:ascii="仿宋" w:hAnsi="仿宋" w:eastAsia="仿宋" w:cs="仿宋"/>
          <w:color w:val="auto"/>
          <w:sz w:val="24"/>
          <w:highlight w:val="none"/>
        </w:rPr>
        <w:t>总价金额与按单价汇总金额不一致的，以单价金额计算结果为准。</w:t>
      </w:r>
    </w:p>
    <w:p>
      <w:pPr>
        <w:numPr>
          <w:ilvl w:val="0"/>
          <w:numId w:val="0"/>
        </w:numPr>
        <w:tabs>
          <w:tab w:val="left" w:pos="1080"/>
          <w:tab w:val="left" w:pos="1589"/>
          <w:tab w:val="left" w:pos="2035"/>
          <w:tab w:val="left" w:pos="2114"/>
        </w:tabs>
        <w:snapToGrid w:val="0"/>
        <w:spacing w:line="360" w:lineRule="auto"/>
        <w:ind w:leftChars="-50" w:right="62" w:righ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2.4.7</w:t>
      </w:r>
      <w:r>
        <w:rPr>
          <w:rFonts w:hint="eastAsia" w:ascii="仿宋" w:hAnsi="仿宋" w:eastAsia="仿宋" w:cs="仿宋"/>
          <w:color w:val="auto"/>
          <w:sz w:val="24"/>
          <w:highlight w:val="none"/>
        </w:rPr>
        <w:t>同时出现两种以上不一致的，按照前款规定的顺序修正。修正后的报价经投标人书面确认后产生约束力，投标人不确认的，其</w:t>
      </w:r>
      <w:r>
        <w:rPr>
          <w:rFonts w:hint="eastAsia" w:ascii="仿宋" w:hAnsi="仿宋" w:eastAsia="仿宋" w:cs="仿宋"/>
          <w:b/>
          <w:color w:val="auto"/>
          <w:sz w:val="24"/>
          <w:highlight w:val="none"/>
        </w:rPr>
        <w:t>投标无效</w:t>
      </w:r>
      <w:r>
        <w:rPr>
          <w:rFonts w:hint="eastAsia" w:ascii="仿宋" w:hAnsi="仿宋" w:eastAsia="仿宋" w:cs="仿宋"/>
          <w:color w:val="auto"/>
          <w:sz w:val="24"/>
          <w:highlight w:val="none"/>
        </w:rPr>
        <w:t>。</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落实政府采购政策的价格调整：只有符合第二章《投标人须知》规定情形的，可以享受中小企业扶持政策，用扣除后的价格参加评审；否则，评标时价格不予扣除。</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2.5.1</w:t>
      </w:r>
      <w:r>
        <w:rPr>
          <w:rFonts w:hint="eastAsia" w:ascii="仿宋" w:hAnsi="仿宋" w:eastAsia="仿宋" w:cs="仿宋"/>
          <w:color w:val="auto"/>
          <w:sz w:val="24"/>
          <w:highlight w:val="none"/>
        </w:rPr>
        <w:t>对于未预留份额专门面向中小企业采购的采购项目，以及预留份额项目中的非预留部分采购包，对小微企业报价给予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rPr>
        <w:t>的扣除，用扣除后的价格参加评审。</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2.5.2</w:t>
      </w:r>
      <w:r>
        <w:rPr>
          <w:rFonts w:hint="eastAsia" w:ascii="仿宋" w:hAnsi="仿宋" w:eastAsia="仿宋" w:cs="仿宋"/>
          <w:color w:val="auto"/>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仿宋" w:hAnsi="仿宋" w:eastAsia="仿宋" w:cs="仿宋"/>
          <w:color w:val="auto"/>
          <w:sz w:val="24"/>
          <w:highlight w:val="none"/>
          <w:lang w:val="en-US" w:eastAsia="zh-CN"/>
        </w:rPr>
        <w:t>40</w:t>
      </w:r>
      <w:r>
        <w:rPr>
          <w:rFonts w:hint="eastAsia" w:ascii="仿宋" w:hAnsi="仿宋" w:eastAsia="仿宋" w:cs="仿宋"/>
          <w:color w:val="auto"/>
          <w:sz w:val="24"/>
          <w:highlight w:val="none"/>
        </w:rPr>
        <w:t>%以上的联合体或者大中型企业的报价给予</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rPr>
        <w:t>的扣除，用扣除后的价格参加评审。</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2.5.3</w:t>
      </w:r>
      <w:r>
        <w:rPr>
          <w:rFonts w:hint="eastAsia" w:ascii="仿宋" w:hAnsi="仿宋" w:eastAsia="仿宋" w:cs="仿宋"/>
          <w:color w:val="auto"/>
          <w:sz w:val="24"/>
          <w:highlight w:val="none"/>
        </w:rPr>
        <w:t>组成联合体或者接受分包的小微企业与联合体内其他企业、分包企业之间存在直接控股、管理关系的，不享受价格扣除优惠政策。</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2.5.4</w:t>
      </w:r>
      <w:r>
        <w:rPr>
          <w:rFonts w:hint="eastAsia" w:ascii="仿宋" w:hAnsi="仿宋" w:eastAsia="仿宋" w:cs="仿宋"/>
          <w:color w:val="auto"/>
          <w:sz w:val="24"/>
          <w:highlight w:val="none"/>
        </w:rPr>
        <w:t>价格扣除比例对小型企业和微型企业同等对待，不作区分。</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2.5.5</w:t>
      </w:r>
      <w:r>
        <w:rPr>
          <w:rFonts w:hint="eastAsia" w:ascii="仿宋" w:hAnsi="仿宋" w:eastAsia="仿宋" w:cs="仿宋"/>
          <w:color w:val="auto"/>
          <w:sz w:val="24"/>
          <w:highlight w:val="none"/>
        </w:rPr>
        <w:t>中小企业参加政府采购活动，应当按照招标文件给定的格式出具《中小企业声明函》，</w:t>
      </w:r>
      <w:r>
        <w:rPr>
          <w:rFonts w:hint="eastAsia" w:ascii="仿宋" w:hAnsi="仿宋" w:eastAsia="仿宋" w:cs="仿宋"/>
          <w:color w:val="auto"/>
          <w:sz w:val="24"/>
          <w:highlight w:val="none"/>
          <w:lang w:val="en-US" w:eastAsia="zh-CN"/>
        </w:rPr>
        <w:t>☑本项目专门面向 ☑中小企业 ☑小微企业采购。即：提供的货物或服务全部由符合政策要求的中小/小微企业制造、服务全部由符合政策要求的中小/小微企业承接。</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2.5.6</w:t>
      </w:r>
      <w:r>
        <w:rPr>
          <w:rFonts w:hint="eastAsia" w:ascii="仿宋" w:hAnsi="仿宋" w:eastAsia="仿宋" w:cs="仿宋"/>
          <w:color w:val="auto"/>
          <w:sz w:val="24"/>
          <w:highlight w:val="none"/>
        </w:rPr>
        <w:t>监狱企业提供了由省级以上监狱管理局（北京市含教育矫治局）、戒毒管理局（含新疆生产建设兵团）出具的属于监狱企业的证明文件的，视同小微企业。</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2.5.7</w:t>
      </w:r>
      <w:r>
        <w:rPr>
          <w:rFonts w:hint="eastAsia" w:ascii="仿宋" w:hAnsi="仿宋" w:eastAsia="仿宋" w:cs="仿宋"/>
          <w:color w:val="auto"/>
          <w:sz w:val="24"/>
          <w:highlight w:val="none"/>
        </w:rPr>
        <w:t>残疾人福利性单位按招标文件要求提供了《残疾人福利性单位声明函》（见附件）的，视同小微企业。</w:t>
      </w:r>
    </w:p>
    <w:p>
      <w:pPr>
        <w:numPr>
          <w:ilvl w:val="0"/>
          <w:numId w:val="0"/>
        </w:numPr>
        <w:tabs>
          <w:tab w:val="left" w:pos="1080"/>
          <w:tab w:val="left" w:pos="1589"/>
          <w:tab w:val="left" w:pos="2014"/>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2.5.8</w:t>
      </w:r>
      <w:r>
        <w:rPr>
          <w:rFonts w:hint="eastAsia" w:ascii="仿宋" w:hAnsi="仿宋" w:eastAsia="仿宋" w:cs="仿宋"/>
          <w:color w:val="auto"/>
          <w:sz w:val="24"/>
          <w:highlight w:val="none"/>
        </w:rPr>
        <w:t>若投标人同时属于小型或微型企业、监狱企业、残疾人福利性单位中的两种及以上，将不重复享受小微企业价格扣减的优惠政策。</w:t>
      </w:r>
    </w:p>
    <w:p>
      <w:pPr>
        <w:numPr>
          <w:ilvl w:val="0"/>
          <w:numId w:val="0"/>
        </w:numPr>
        <w:tabs>
          <w:tab w:val="left" w:pos="360"/>
        </w:tabs>
        <w:snapToGrid w:val="0"/>
        <w:spacing w:line="360" w:lineRule="auto"/>
        <w:ind w:leftChars="-50" w:right="62" w:rightChars="0" w:firstLine="480" w:firstLineChars="2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投标文件的比较和评价</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3.1</w:t>
      </w:r>
      <w:r>
        <w:rPr>
          <w:rFonts w:hint="eastAsia" w:ascii="仿宋" w:hAnsi="仿宋" w:eastAsia="仿宋" w:cs="仿宋"/>
          <w:color w:val="auto"/>
          <w:sz w:val="24"/>
          <w:highlight w:val="none"/>
        </w:rPr>
        <w:t>评标委员会将按照招标文件中规定的评标方法和标准，对符合性审查合格的投标文件进行商务和技术评估，综合比较与评价；未通过符合性审查的投标文件不得进入比较与评价。</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3.2</w:t>
      </w:r>
      <w:r>
        <w:rPr>
          <w:rFonts w:hint="eastAsia" w:ascii="仿宋" w:hAnsi="仿宋" w:eastAsia="仿宋" w:cs="仿宋"/>
          <w:color w:val="auto"/>
          <w:sz w:val="24"/>
          <w:highlight w:val="none"/>
        </w:rPr>
        <w:t>评标方法和评标标准</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3.2.1</w:t>
      </w:r>
      <w:r>
        <w:rPr>
          <w:rFonts w:hint="eastAsia" w:ascii="仿宋" w:hAnsi="仿宋" w:eastAsia="仿宋" w:cs="仿宋"/>
          <w:color w:val="auto"/>
          <w:sz w:val="24"/>
          <w:highlight w:val="none"/>
        </w:rPr>
        <w:t>本项目采用的评标方法为：</w:t>
      </w:r>
    </w:p>
    <w:p>
      <w:pPr>
        <w:numPr>
          <w:ilvl w:val="0"/>
          <w:numId w:val="0"/>
        </w:numPr>
        <w:tabs>
          <w:tab w:val="left" w:pos="1080"/>
          <w:tab w:val="left" w:pos="1589"/>
          <w:tab w:val="left" w:pos="2035"/>
        </w:tabs>
        <w:snapToGrid w:val="0"/>
        <w:spacing w:line="360" w:lineRule="auto"/>
        <w:ind w:leftChars="-50" w:right="62" w:rightChars="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sym w:font="Wingdings 2" w:char="0052"/>
      </w:r>
      <w:r>
        <w:rPr>
          <w:rFonts w:hint="eastAsia" w:ascii="仿宋" w:hAnsi="仿宋" w:eastAsia="仿宋" w:cs="仿宋"/>
          <w:color w:val="auto"/>
          <w:sz w:val="24"/>
          <w:highlight w:val="none"/>
          <w:u w:val="single"/>
          <w:lang w:val="en-US" w:eastAsia="zh-CN"/>
        </w:rPr>
        <w:t>综合评分法，指投标文件满足招标文件全部实质性要求，且按照评审因素的量化指标评审得分最高的投标人为中标候选人的评标方法，见《评标标准》，招标文件中没有规定的评标标准不得作为评审的依据。</w:t>
      </w:r>
    </w:p>
    <w:p>
      <w:pPr>
        <w:numPr>
          <w:ilvl w:val="0"/>
          <w:numId w:val="0"/>
        </w:numPr>
        <w:tabs>
          <w:tab w:val="left" w:pos="1080"/>
          <w:tab w:val="left" w:pos="1589"/>
          <w:tab w:val="left" w:pos="2035"/>
        </w:tabs>
        <w:snapToGrid w:val="0"/>
        <w:spacing w:line="360" w:lineRule="auto"/>
        <w:ind w:leftChars="-50" w:right="62" w:rightChars="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□最低评标价法，指投标文件满足招标文件全部实质性要求，且投标报价最低的投标人为中标候选人的评标方法。</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3.2.2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pPr>
        <w:numPr>
          <w:ilvl w:val="0"/>
          <w:numId w:val="0"/>
        </w:numPr>
        <w:tabs>
          <w:tab w:val="left" w:pos="1080"/>
          <w:tab w:val="left" w:pos="1589"/>
          <w:tab w:val="left" w:pos="2035"/>
        </w:tabs>
        <w:snapToGrid w:val="0"/>
        <w:spacing w:line="360" w:lineRule="auto"/>
        <w:ind w:leftChars="-50" w:right="62" w:rightChars="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sym w:font="Wingdings" w:char="00A8"/>
      </w:r>
      <w:r>
        <w:rPr>
          <w:rFonts w:hint="eastAsia" w:ascii="仿宋" w:hAnsi="仿宋" w:eastAsia="仿宋" w:cs="仿宋"/>
          <w:color w:val="auto"/>
          <w:sz w:val="24"/>
          <w:highlight w:val="none"/>
          <w:u w:val="single"/>
          <w:lang w:val="en-US" w:eastAsia="zh-CN"/>
        </w:rPr>
        <w:t>随机抽取</w:t>
      </w:r>
    </w:p>
    <w:p>
      <w:pPr>
        <w:numPr>
          <w:ilvl w:val="0"/>
          <w:numId w:val="0"/>
        </w:numPr>
        <w:tabs>
          <w:tab w:val="left" w:pos="1080"/>
          <w:tab w:val="left" w:pos="1589"/>
          <w:tab w:val="left" w:pos="2035"/>
        </w:tabs>
        <w:snapToGrid w:val="0"/>
        <w:spacing w:line="360" w:lineRule="auto"/>
        <w:ind w:leftChars="-50" w:right="62" w:rightChars="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□其他方式，具体要求：_____</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3.2.3非政府强制采购的节能产品或环境标志产品，依据品目清单和认证证书实施政府优先采购。优先采购的具体规定（如涉及）_____。</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3.2.4关于无线局域网认证产品政府采购清单中的产品，优先采购的具体规定（如涉及）_____。</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4确定</w:t>
      </w:r>
      <w:bookmarkStart w:id="188" w:name="_Toc151190173"/>
      <w:bookmarkStart w:id="189" w:name="_Toc142311048"/>
      <w:bookmarkStart w:id="190" w:name="_Toc149720839"/>
      <w:bookmarkStart w:id="191" w:name="_Toc150480784"/>
      <w:bookmarkStart w:id="192" w:name="_Toc264969236"/>
      <w:bookmarkStart w:id="193" w:name="_Toc151193788"/>
      <w:bookmarkStart w:id="194" w:name="_Toc226309790"/>
      <w:bookmarkStart w:id="195" w:name="_Toc265228384"/>
      <w:bookmarkStart w:id="196" w:name="_Ref467307010"/>
      <w:bookmarkStart w:id="197" w:name="_Toc226337242"/>
      <w:bookmarkStart w:id="198" w:name="_Toc164229241"/>
      <w:bookmarkStart w:id="199" w:name="_Toc195842911"/>
      <w:bookmarkStart w:id="200" w:name="_Toc127151747"/>
      <w:bookmarkStart w:id="201" w:name="_Toc226965819"/>
      <w:bookmarkStart w:id="202" w:name="_Toc151193934"/>
      <w:bookmarkStart w:id="203" w:name="_Toc127151546"/>
      <w:bookmarkStart w:id="204" w:name="_Toc164351640"/>
      <w:bookmarkStart w:id="205" w:name="_Toc164608815"/>
      <w:bookmarkStart w:id="206" w:name="_Toc150509297"/>
      <w:bookmarkStart w:id="207" w:name="_Toc127161460"/>
      <w:bookmarkStart w:id="208" w:name="_Toc164229387"/>
      <w:bookmarkStart w:id="209" w:name="_Toc150774751"/>
      <w:bookmarkStart w:id="210" w:name="_Toc305158888"/>
      <w:bookmarkStart w:id="211" w:name="_Toc151193716"/>
      <w:bookmarkStart w:id="212" w:name="_Toc151193860"/>
      <w:bookmarkStart w:id="213" w:name="_Toc520356170"/>
      <w:bookmarkStart w:id="214" w:name="_Toc150774646"/>
      <w:bookmarkStart w:id="215" w:name="_Toc226965736"/>
      <w:bookmarkStart w:id="216" w:name="_Toc164608660"/>
      <w:bookmarkStart w:id="217" w:name="_Toc305158814"/>
      <w:bookmarkStart w:id="218" w:name="_Toc151193644"/>
      <w:r>
        <w:rPr>
          <w:rFonts w:hint="eastAsia" w:ascii="仿宋" w:hAnsi="仿宋" w:eastAsia="仿宋" w:cs="仿宋"/>
          <w:color w:val="auto"/>
          <w:sz w:val="24"/>
          <w:highlight w:val="none"/>
          <w:u w:val="single"/>
          <w:lang w:val="en-US" w:eastAsia="zh-CN"/>
        </w:rPr>
        <w:t>中标候选人名单</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numPr>
          <w:ilvl w:val="0"/>
          <w:numId w:val="0"/>
        </w:numPr>
        <w:tabs>
          <w:tab w:val="left" w:pos="1080"/>
          <w:tab w:val="left" w:pos="1589"/>
          <w:tab w:val="left" w:pos="2035"/>
        </w:tabs>
        <w:snapToGrid w:val="0"/>
        <w:spacing w:line="360" w:lineRule="auto"/>
        <w:ind w:leftChars="-50" w:right="62" w:rightChars="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sym w:font="Wingdings" w:char="00FE"/>
      </w:r>
      <w:r>
        <w:rPr>
          <w:rFonts w:hint="eastAsia" w:ascii="仿宋" w:hAnsi="仿宋" w:eastAsia="仿宋" w:cs="仿宋"/>
          <w:color w:val="auto"/>
          <w:sz w:val="24"/>
          <w:highlight w:val="none"/>
          <w:u w:val="single"/>
          <w:lang w:val="en-US" w:eastAsia="zh-CN"/>
        </w:rPr>
        <w:t>随机抽取</w:t>
      </w:r>
    </w:p>
    <w:p>
      <w:pPr>
        <w:pStyle w:val="24"/>
        <w:tabs>
          <w:tab w:val="left" w:pos="900"/>
          <w:tab w:val="left" w:pos="2127"/>
        </w:tabs>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□其他方式，具体要求：_____</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4.2</w:t>
      </w:r>
      <w:r>
        <w:rPr>
          <w:rFonts w:hint="eastAsia" w:ascii="仿宋" w:hAnsi="仿宋" w:eastAsia="仿宋" w:cs="仿宋"/>
          <w:color w:val="auto"/>
          <w:sz w:val="24"/>
          <w:highlight w:val="none"/>
        </w:rPr>
        <w:t>采用综合评分法时，评标结果按评审后得分由高到低顺序排列。得分相同的，按投标报价由低到高顺序排列。得分且投标报价相同的，按技术指标优劣顺序排列,如果这些指标都相同，由评标委员会集体讨论确定排名。投标文件满足招标文件全部实质性要求，且按照评审因素的量化指标评审得分最高的投标人为排名第一的中标候选人。评分分值计算保留小数点后两位，第三位四舍五入。</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4.3</w:t>
      </w:r>
      <w:r>
        <w:rPr>
          <w:rFonts w:hint="eastAsia" w:ascii="仿宋" w:hAnsi="仿宋" w:eastAsia="仿宋" w:cs="仿宋"/>
          <w:color w:val="auto"/>
          <w:sz w:val="24"/>
          <w:highlight w:val="none"/>
        </w:rPr>
        <w:t>采用最低评标价法时，评标结果按本章2.4、2.5调整后的投标报价由低到高顺序排列。投标报价相同的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按技术指标优劣顺序排列,如果这些指标都相同，由评标委员会集体讨论确定排名。投标文件满足招标文件全部实质性要求且投标报价最低的投标人为排名第一的中标候选人。</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4.4</w:t>
      </w:r>
      <w:r>
        <w:rPr>
          <w:rFonts w:hint="eastAsia" w:ascii="仿宋" w:hAnsi="仿宋" w:eastAsia="仿宋" w:cs="仿宋"/>
          <w:color w:val="auto"/>
          <w:sz w:val="24"/>
          <w:highlight w:val="none"/>
        </w:rPr>
        <w:t>评标委员会要对评分汇总情况进行复核，特别是对排名第一的、报价最低的、投标或响应文件被认定为无效的情形进行重点复核。</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rPr>
        <w:t>评标委员会将根据各投标人的评标排序，依次推荐本项目（各采购包）的中标候选人，起草并签署评标报告。本项目（各采购包）评标委员会共（各）推荐</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rPr>
        <w:t>名中标候选人。</w:t>
      </w:r>
    </w:p>
    <w:p>
      <w:pPr>
        <w:numPr>
          <w:ilvl w:val="0"/>
          <w:numId w:val="0"/>
        </w:numPr>
        <w:tabs>
          <w:tab w:val="left" w:pos="360"/>
        </w:tabs>
        <w:snapToGrid w:val="0"/>
        <w:spacing w:line="360" w:lineRule="auto"/>
        <w:ind w:leftChars="-50" w:right="62" w:rightChars="0" w:firstLine="480" w:firstLineChars="2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报告违法行为</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5.1</w:t>
      </w:r>
      <w:r>
        <w:rPr>
          <w:rFonts w:hint="eastAsia" w:ascii="仿宋" w:hAnsi="仿宋" w:eastAsia="仿宋" w:cs="仿宋"/>
          <w:color w:val="auto"/>
          <w:sz w:val="24"/>
          <w:highlight w:val="none"/>
        </w:rPr>
        <w:t>评标委员会在评标过程中发现投标人有行贿、提供虚假材料或者串通等违法行为时，有向采购人、采购代理机构或者有关部门报告的职责。</w:t>
      </w:r>
    </w:p>
    <w:p>
      <w:pPr>
        <w:spacing w:line="360" w:lineRule="auto"/>
        <w:rPr>
          <w:rFonts w:hint="eastAsia" w:ascii="仿宋" w:hAnsi="仿宋" w:eastAsia="仿宋" w:cs="仿宋"/>
          <w:b/>
          <w:bCs/>
          <w:color w:val="auto"/>
          <w:kern w:val="0"/>
          <w:sz w:val="36"/>
          <w:szCs w:val="36"/>
          <w:highlight w:val="none"/>
          <w:lang w:val="en-US" w:eastAsia="zh-CN" w:bidi="ar"/>
        </w:rPr>
      </w:pPr>
      <w:r>
        <w:rPr>
          <w:rFonts w:hint="eastAsia" w:ascii="仿宋" w:hAnsi="仿宋" w:eastAsia="仿宋" w:cs="仿宋"/>
          <w:b/>
          <w:bCs/>
          <w:color w:val="auto"/>
          <w:kern w:val="0"/>
          <w:sz w:val="36"/>
          <w:szCs w:val="36"/>
          <w:highlight w:val="none"/>
          <w:lang w:val="en-US" w:eastAsia="zh-CN" w:bidi="ar"/>
        </w:rPr>
        <w:br w:type="page"/>
      </w:r>
    </w:p>
    <w:p>
      <w:pPr>
        <w:pStyle w:val="19"/>
        <w:jc w:val="center"/>
        <w:rPr>
          <w:rFonts w:hint="eastAsia" w:ascii="仿宋" w:hAnsi="仿宋" w:eastAsia="仿宋" w:cs="仿宋"/>
          <w:b/>
          <w:color w:val="auto"/>
          <w:sz w:val="24"/>
          <w:szCs w:val="24"/>
          <w:highlight w:val="none"/>
          <w:lang w:bidi="ar-SA"/>
        </w:rPr>
      </w:pPr>
      <w:r>
        <w:rPr>
          <w:rFonts w:hint="eastAsia" w:ascii="仿宋" w:hAnsi="仿宋" w:eastAsia="仿宋" w:cs="仿宋"/>
          <w:b/>
          <w:color w:val="auto"/>
          <w:spacing w:val="4"/>
          <w:sz w:val="28"/>
          <w:szCs w:val="28"/>
          <w:highlight w:val="none"/>
          <w:lang w:val="en-US" w:eastAsia="zh-CN" w:bidi="ar-SA"/>
        </w:rPr>
        <w:t>评标标准打分表</w:t>
      </w:r>
    </w:p>
    <w:tbl>
      <w:tblPr>
        <w:tblStyle w:val="44"/>
        <w:tblW w:w="8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452"/>
        <w:gridCol w:w="788"/>
        <w:gridCol w:w="1431"/>
        <w:gridCol w:w="5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750" w:hRule="atLeast"/>
          <w:jc w:val="center"/>
        </w:trPr>
        <w:tc>
          <w:tcPr>
            <w:tcW w:w="1240" w:type="dxa"/>
            <w:gridSpan w:val="2"/>
            <w:tcBorders>
              <w:bottom w:val="single" w:color="auto" w:sz="4" w:space="0"/>
            </w:tcBorders>
            <w:noWrap w:val="0"/>
            <w:vAlign w:val="center"/>
          </w:tcPr>
          <w:p>
            <w:pPr>
              <w:pStyle w:val="7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评分因素</w:t>
            </w:r>
          </w:p>
        </w:tc>
        <w:tc>
          <w:tcPr>
            <w:tcW w:w="1431" w:type="dxa"/>
            <w:noWrap w:val="0"/>
            <w:vAlign w:val="center"/>
          </w:tcPr>
          <w:p>
            <w:pPr>
              <w:pStyle w:val="7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评分点</w:t>
            </w:r>
          </w:p>
        </w:tc>
        <w:tc>
          <w:tcPr>
            <w:tcW w:w="5425" w:type="dxa"/>
            <w:noWrap w:val="0"/>
            <w:vAlign w:val="center"/>
          </w:tcPr>
          <w:p>
            <w:pPr>
              <w:pStyle w:val="7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313" w:hRule="atLeast"/>
          <w:jc w:val="center"/>
        </w:trPr>
        <w:tc>
          <w:tcPr>
            <w:tcW w:w="452" w:type="dxa"/>
            <w:vMerge w:val="restart"/>
            <w:tcBorders>
              <w:top w:val="single" w:color="auto" w:sz="4" w:space="0"/>
              <w:left w:val="single" w:color="auto" w:sz="4" w:space="0"/>
              <w:bottom w:val="nil"/>
            </w:tcBorders>
            <w:noWrap w:val="0"/>
            <w:vAlign w:val="center"/>
          </w:tcPr>
          <w:p>
            <w:pPr>
              <w:pStyle w:val="7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详细评审</w:t>
            </w:r>
          </w:p>
        </w:tc>
        <w:tc>
          <w:tcPr>
            <w:tcW w:w="788" w:type="dxa"/>
            <w:tcBorders>
              <w:top w:val="single" w:color="auto" w:sz="4" w:space="0"/>
              <w:right w:val="single" w:color="auto" w:sz="4" w:space="0"/>
            </w:tcBorders>
            <w:noWrap w:val="0"/>
            <w:vAlign w:val="center"/>
          </w:tcPr>
          <w:p>
            <w:pPr>
              <w:pStyle w:val="70"/>
              <w:rPr>
                <w:rFonts w:hint="eastAsia" w:ascii="仿宋" w:hAnsi="仿宋" w:eastAsia="仿宋" w:cs="仿宋"/>
                <w:b w:val="0"/>
                <w:bCs/>
                <w:color w:val="auto"/>
                <w:sz w:val="20"/>
                <w:szCs w:val="20"/>
                <w:highlight w:val="none"/>
              </w:rPr>
            </w:pPr>
            <w:r>
              <w:rPr>
                <w:rFonts w:hint="eastAsia" w:ascii="仿宋" w:hAnsi="仿宋" w:eastAsia="仿宋" w:cs="仿宋"/>
                <w:b w:val="0"/>
                <w:bCs/>
                <w:color w:val="auto"/>
                <w:sz w:val="20"/>
                <w:szCs w:val="20"/>
                <w:highlight w:val="none"/>
              </w:rPr>
              <w:t>价格评审（</w:t>
            </w:r>
            <w:r>
              <w:rPr>
                <w:rFonts w:hint="eastAsia" w:ascii="仿宋" w:hAnsi="仿宋" w:eastAsia="仿宋" w:cs="仿宋"/>
                <w:b w:val="0"/>
                <w:bCs/>
                <w:color w:val="auto"/>
                <w:sz w:val="20"/>
                <w:szCs w:val="20"/>
                <w:highlight w:val="none"/>
                <w:lang w:val="en-US" w:eastAsia="zh-CN"/>
              </w:rPr>
              <w:t>40</w:t>
            </w:r>
            <w:r>
              <w:rPr>
                <w:rFonts w:hint="eastAsia" w:ascii="仿宋" w:hAnsi="仿宋" w:eastAsia="仿宋" w:cs="仿宋"/>
                <w:b w:val="0"/>
                <w:bCs/>
                <w:color w:val="auto"/>
                <w:sz w:val="20"/>
                <w:szCs w:val="20"/>
                <w:highlight w:val="none"/>
              </w:rPr>
              <w:t>分）</w:t>
            </w:r>
          </w:p>
        </w:tc>
        <w:tc>
          <w:tcPr>
            <w:tcW w:w="1431" w:type="dxa"/>
            <w:tcBorders>
              <w:left w:val="single" w:color="auto" w:sz="4" w:space="0"/>
            </w:tcBorders>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投标报价   （40分）</w:t>
            </w:r>
          </w:p>
        </w:tc>
        <w:tc>
          <w:tcPr>
            <w:tcW w:w="5425" w:type="dxa"/>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满足招标文件要求且投标价格最低的投标报价为评标基准价，其价格分为满分。其他投标人的价格分统一按照下列公式计算：</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投标报价得分＝（评标基准价/投标报价）×分值。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835" w:hRule="atLeast"/>
          <w:jc w:val="center"/>
        </w:trPr>
        <w:tc>
          <w:tcPr>
            <w:tcW w:w="452" w:type="dxa"/>
            <w:vMerge w:val="continue"/>
            <w:tcBorders>
              <w:left w:val="single" w:color="auto" w:sz="4" w:space="0"/>
              <w:bottom w:val="single" w:color="auto" w:sz="4" w:space="0"/>
            </w:tcBorders>
            <w:noWrap w:val="0"/>
            <w:vAlign w:val="center"/>
          </w:tcPr>
          <w:p>
            <w:pPr>
              <w:pStyle w:val="70"/>
              <w:jc w:val="center"/>
              <w:rPr>
                <w:rFonts w:hint="eastAsia" w:ascii="仿宋" w:hAnsi="仿宋" w:eastAsia="仿宋" w:cs="仿宋"/>
                <w:b w:val="0"/>
                <w:bCs/>
                <w:color w:val="auto"/>
                <w:sz w:val="21"/>
                <w:szCs w:val="21"/>
                <w:highlight w:val="none"/>
              </w:rPr>
            </w:pPr>
          </w:p>
        </w:tc>
        <w:tc>
          <w:tcPr>
            <w:tcW w:w="788" w:type="dxa"/>
            <w:vMerge w:val="restart"/>
            <w:tcBorders>
              <w:bottom w:val="single" w:color="auto" w:sz="4" w:space="0"/>
              <w:right w:val="single" w:color="auto" w:sz="4" w:space="0"/>
            </w:tcBorders>
            <w:noWrap w:val="0"/>
            <w:vAlign w:val="center"/>
          </w:tcPr>
          <w:p>
            <w:pPr>
              <w:pStyle w:val="70"/>
              <w:rPr>
                <w:rFonts w:hint="eastAsia" w:ascii="仿宋" w:hAnsi="仿宋" w:eastAsia="仿宋" w:cs="仿宋"/>
                <w:b w:val="0"/>
                <w:bCs/>
                <w:color w:val="auto"/>
                <w:sz w:val="20"/>
                <w:szCs w:val="20"/>
                <w:highlight w:val="none"/>
              </w:rPr>
            </w:pPr>
            <w:r>
              <w:rPr>
                <w:rFonts w:hint="eastAsia" w:ascii="仿宋" w:hAnsi="仿宋" w:eastAsia="仿宋" w:cs="仿宋"/>
                <w:b w:val="0"/>
                <w:bCs/>
                <w:color w:val="auto"/>
                <w:sz w:val="20"/>
                <w:szCs w:val="20"/>
                <w:highlight w:val="none"/>
              </w:rPr>
              <w:t>商务标</w:t>
            </w:r>
            <w:r>
              <w:rPr>
                <w:rFonts w:hint="eastAsia" w:ascii="仿宋" w:hAnsi="仿宋" w:eastAsia="仿宋" w:cs="仿宋"/>
                <w:b w:val="0"/>
                <w:bCs/>
                <w:color w:val="auto"/>
                <w:sz w:val="20"/>
                <w:szCs w:val="20"/>
                <w:highlight w:val="none"/>
                <w:lang w:val="en-US" w:eastAsia="zh-CN"/>
              </w:rPr>
              <w:t>技术标</w:t>
            </w:r>
            <w:r>
              <w:rPr>
                <w:rFonts w:hint="eastAsia" w:ascii="仿宋" w:hAnsi="仿宋" w:eastAsia="仿宋" w:cs="仿宋"/>
                <w:b w:val="0"/>
                <w:bCs/>
                <w:color w:val="auto"/>
                <w:sz w:val="20"/>
                <w:szCs w:val="20"/>
                <w:highlight w:val="none"/>
              </w:rPr>
              <w:t>评审（</w:t>
            </w:r>
            <w:r>
              <w:rPr>
                <w:rFonts w:hint="eastAsia" w:ascii="仿宋" w:hAnsi="仿宋" w:eastAsia="仿宋" w:cs="仿宋"/>
                <w:b w:val="0"/>
                <w:bCs/>
                <w:color w:val="auto"/>
                <w:sz w:val="20"/>
                <w:szCs w:val="20"/>
                <w:highlight w:val="none"/>
                <w:lang w:val="en-US" w:eastAsia="zh-CN"/>
              </w:rPr>
              <w:t>60</w:t>
            </w:r>
            <w:r>
              <w:rPr>
                <w:rFonts w:hint="eastAsia" w:ascii="仿宋" w:hAnsi="仿宋" w:eastAsia="仿宋" w:cs="仿宋"/>
                <w:b w:val="0"/>
                <w:bCs/>
                <w:color w:val="auto"/>
                <w:sz w:val="20"/>
                <w:szCs w:val="20"/>
                <w:highlight w:val="none"/>
              </w:rPr>
              <w:t>分）</w:t>
            </w:r>
          </w:p>
        </w:tc>
        <w:tc>
          <w:tcPr>
            <w:tcW w:w="1431" w:type="dxa"/>
            <w:tcBorders>
              <w:left w:val="single" w:color="auto" w:sz="4" w:space="0"/>
            </w:tcBorders>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供培训工作和进度计划</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（5分）</w:t>
            </w:r>
          </w:p>
        </w:tc>
        <w:tc>
          <w:tcPr>
            <w:tcW w:w="5425" w:type="dxa"/>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1、投标企业需提供培训工作和进度计划，2、投标企业需提供培训内容和培训保证措施，提供一条得2.5分，满分5分，不提供不得分。</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每缺少一项扣2.5分，扣完为止。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835" w:hRule="atLeast"/>
          <w:jc w:val="center"/>
        </w:trPr>
        <w:tc>
          <w:tcPr>
            <w:tcW w:w="452" w:type="dxa"/>
            <w:vMerge w:val="continue"/>
            <w:tcBorders>
              <w:left w:val="single" w:color="auto" w:sz="4" w:space="0"/>
              <w:bottom w:val="single" w:color="auto" w:sz="4" w:space="0"/>
            </w:tcBorders>
            <w:noWrap w:val="0"/>
            <w:vAlign w:val="center"/>
          </w:tcPr>
          <w:p>
            <w:pPr>
              <w:pStyle w:val="70"/>
              <w:jc w:val="center"/>
              <w:rPr>
                <w:rFonts w:hint="eastAsia" w:ascii="仿宋" w:hAnsi="仿宋" w:eastAsia="仿宋" w:cs="仿宋"/>
                <w:b w:val="0"/>
                <w:bCs/>
                <w:color w:val="auto"/>
                <w:sz w:val="21"/>
                <w:szCs w:val="21"/>
                <w:highlight w:val="none"/>
              </w:rPr>
            </w:pPr>
          </w:p>
        </w:tc>
        <w:tc>
          <w:tcPr>
            <w:tcW w:w="788" w:type="dxa"/>
            <w:vMerge w:val="continue"/>
            <w:tcBorders>
              <w:right w:val="single" w:color="auto" w:sz="4" w:space="0"/>
            </w:tcBorders>
            <w:noWrap w:val="0"/>
            <w:vAlign w:val="center"/>
          </w:tcPr>
          <w:p>
            <w:pPr>
              <w:pStyle w:val="70"/>
              <w:rPr>
                <w:rFonts w:hint="eastAsia" w:ascii="仿宋" w:hAnsi="仿宋" w:eastAsia="仿宋" w:cs="仿宋"/>
                <w:b w:val="0"/>
                <w:bCs/>
                <w:color w:val="auto"/>
                <w:sz w:val="20"/>
                <w:szCs w:val="20"/>
                <w:highlight w:val="none"/>
              </w:rPr>
            </w:pPr>
          </w:p>
        </w:tc>
        <w:tc>
          <w:tcPr>
            <w:tcW w:w="1431" w:type="dxa"/>
            <w:tcBorders>
              <w:left w:val="single" w:color="auto" w:sz="4" w:space="0"/>
            </w:tcBorders>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zh-CN" w:eastAsia="zh-CN"/>
              </w:rPr>
              <w:t>质量保证措施（</w:t>
            </w:r>
            <w:r>
              <w:rPr>
                <w:rFonts w:hint="eastAsia" w:ascii="仿宋" w:hAnsi="仿宋" w:eastAsia="仿宋" w:cs="仿宋"/>
                <w:b w:val="0"/>
                <w:bCs/>
                <w:color w:val="auto"/>
                <w:sz w:val="20"/>
                <w:szCs w:val="20"/>
                <w:highlight w:val="none"/>
                <w:lang w:val="en-US" w:eastAsia="zh-CN"/>
              </w:rPr>
              <w:t>5分</w:t>
            </w:r>
            <w:r>
              <w:rPr>
                <w:rFonts w:hint="eastAsia" w:ascii="仿宋" w:hAnsi="仿宋" w:eastAsia="仿宋" w:cs="仿宋"/>
                <w:b w:val="0"/>
                <w:bCs/>
                <w:color w:val="auto"/>
                <w:sz w:val="20"/>
                <w:szCs w:val="20"/>
                <w:highlight w:val="none"/>
                <w:lang w:val="zh-CN" w:eastAsia="zh-CN"/>
              </w:rPr>
              <w:t>）</w:t>
            </w:r>
          </w:p>
        </w:tc>
        <w:tc>
          <w:tcPr>
            <w:tcW w:w="5425" w:type="dxa"/>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1、投标企业需提供</w:t>
            </w:r>
            <w:r>
              <w:rPr>
                <w:rFonts w:hint="eastAsia" w:ascii="仿宋" w:hAnsi="仿宋" w:eastAsia="仿宋" w:cs="仿宋"/>
                <w:b w:val="0"/>
                <w:bCs/>
                <w:color w:val="auto"/>
                <w:sz w:val="20"/>
                <w:szCs w:val="20"/>
                <w:highlight w:val="none"/>
                <w:lang w:val="zh-CN" w:eastAsia="zh-CN"/>
              </w:rPr>
              <w:t>质量保证措施：制定完全满足招标要求的</w:t>
            </w:r>
            <w:r>
              <w:rPr>
                <w:rFonts w:hint="eastAsia" w:ascii="仿宋" w:hAnsi="仿宋" w:eastAsia="仿宋" w:cs="仿宋"/>
                <w:b w:val="0"/>
                <w:bCs/>
                <w:color w:val="auto"/>
                <w:sz w:val="20"/>
                <w:szCs w:val="20"/>
                <w:highlight w:val="none"/>
                <w:lang w:val="en-US" w:eastAsia="zh-CN"/>
              </w:rPr>
              <w:t>质量保证措施</w:t>
            </w:r>
            <w:r>
              <w:rPr>
                <w:rFonts w:hint="eastAsia" w:ascii="仿宋" w:hAnsi="仿宋" w:eastAsia="仿宋" w:cs="仿宋"/>
                <w:b w:val="0"/>
                <w:bCs/>
                <w:color w:val="auto"/>
                <w:sz w:val="20"/>
                <w:szCs w:val="20"/>
                <w:highlight w:val="none"/>
                <w:lang w:val="zh-CN" w:eastAsia="zh-CN"/>
              </w:rPr>
              <w:t>，</w:t>
            </w:r>
            <w:r>
              <w:rPr>
                <w:rFonts w:hint="eastAsia" w:ascii="仿宋" w:hAnsi="仿宋" w:eastAsia="仿宋" w:cs="仿宋"/>
                <w:b w:val="0"/>
                <w:bCs/>
                <w:color w:val="auto"/>
                <w:sz w:val="20"/>
                <w:szCs w:val="20"/>
                <w:highlight w:val="none"/>
                <w:lang w:val="en-US" w:eastAsia="zh-CN"/>
              </w:rPr>
              <w:t>提供一条得2.5分，满分5分，不提供不得分。</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2、每缺少一项扣2.5分。扣完为止。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807" w:hRule="atLeast"/>
          <w:jc w:val="center"/>
        </w:trPr>
        <w:tc>
          <w:tcPr>
            <w:tcW w:w="452" w:type="dxa"/>
            <w:vMerge w:val="continue"/>
            <w:tcBorders>
              <w:top w:val="single" w:color="auto" w:sz="4" w:space="0"/>
              <w:left w:val="single" w:color="auto" w:sz="4" w:space="0"/>
              <w:bottom w:val="single" w:color="auto" w:sz="4" w:space="0"/>
            </w:tcBorders>
            <w:noWrap w:val="0"/>
            <w:vAlign w:val="center"/>
          </w:tcPr>
          <w:p>
            <w:pPr>
              <w:pStyle w:val="70"/>
              <w:jc w:val="center"/>
              <w:rPr>
                <w:rFonts w:hint="eastAsia" w:ascii="仿宋" w:hAnsi="仿宋" w:eastAsia="仿宋" w:cs="仿宋"/>
                <w:b w:val="0"/>
                <w:bCs/>
                <w:color w:val="auto"/>
                <w:sz w:val="21"/>
                <w:szCs w:val="21"/>
                <w:highlight w:val="none"/>
              </w:rPr>
            </w:pPr>
          </w:p>
        </w:tc>
        <w:tc>
          <w:tcPr>
            <w:tcW w:w="788" w:type="dxa"/>
            <w:vMerge w:val="continue"/>
            <w:tcBorders>
              <w:top w:val="single" w:color="auto" w:sz="4" w:space="0"/>
              <w:bottom w:val="single" w:color="auto" w:sz="4" w:space="0"/>
              <w:right w:val="single" w:color="auto" w:sz="4" w:space="0"/>
            </w:tcBorders>
            <w:noWrap w:val="0"/>
            <w:vAlign w:val="center"/>
          </w:tcPr>
          <w:p>
            <w:pPr>
              <w:pStyle w:val="70"/>
              <w:rPr>
                <w:rFonts w:hint="eastAsia" w:ascii="仿宋" w:hAnsi="仿宋" w:eastAsia="仿宋" w:cs="仿宋"/>
                <w:b w:val="0"/>
                <w:bCs/>
                <w:color w:val="auto"/>
                <w:sz w:val="20"/>
                <w:szCs w:val="20"/>
                <w:highlight w:val="none"/>
              </w:rPr>
            </w:pPr>
          </w:p>
        </w:tc>
        <w:tc>
          <w:tcPr>
            <w:tcW w:w="1431" w:type="dxa"/>
            <w:tcBorders>
              <w:left w:val="single" w:color="auto" w:sz="4" w:space="0"/>
            </w:tcBorders>
            <w:noWrap w:val="0"/>
            <w:vAlign w:val="center"/>
          </w:tcPr>
          <w:p>
            <w:pPr>
              <w:pStyle w:val="154"/>
              <w:jc w:val="left"/>
              <w:rPr>
                <w:rFonts w:hint="eastAsia" w:ascii="仿宋" w:hAnsi="仿宋" w:eastAsia="仿宋" w:cs="仿宋"/>
                <w:b w:val="0"/>
                <w:bCs/>
                <w:color w:val="auto"/>
                <w:sz w:val="20"/>
                <w:szCs w:val="20"/>
                <w:highlight w:val="none"/>
                <w:lang w:val="en-US" w:eastAsia="zh-CN"/>
              </w:rPr>
            </w:pP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项目实施方案（12分）</w:t>
            </w:r>
          </w:p>
        </w:tc>
        <w:tc>
          <w:tcPr>
            <w:tcW w:w="5425" w:type="dxa"/>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评标委员会根据投标文件对项目实施方案的完整性、技术要求说明情况，重点是货物技术参数、功能的叙述，优点特点介绍详细，描述清晰；项目实施方案符 合规定、切合实际等方面情况进行打分；（满分 3分）</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 xml:space="preserve">（2）根据本项目具体特点及实际需求、货物质量、各个阶段进度、紧急保障措施及运储、方案等方面情况 进行打分；（满分3分） </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 xml:space="preserve">（3）根据本项目实际情况，对运输方案、货物调配、货物交接、清单安排等方面情况进行打分；（满分3分） </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（4）供货期安排须详细阐述从货物发货时间、货物交接等各个阶段时间安排。不可预见突发处理时间，完工验收时间等进行合理计划等方面情况进行打分，供货期安排方案 合理等方面情况进行打分，（满分 3 分）（满分12 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882" w:hRule="atLeast"/>
          <w:jc w:val="center"/>
        </w:trPr>
        <w:tc>
          <w:tcPr>
            <w:tcW w:w="452" w:type="dxa"/>
            <w:vMerge w:val="continue"/>
            <w:tcBorders>
              <w:top w:val="single" w:color="auto" w:sz="4" w:space="0"/>
              <w:left w:val="single" w:color="auto" w:sz="4" w:space="0"/>
              <w:bottom w:val="single" w:color="auto" w:sz="4" w:space="0"/>
            </w:tcBorders>
            <w:noWrap w:val="0"/>
            <w:vAlign w:val="center"/>
          </w:tcPr>
          <w:p>
            <w:pPr>
              <w:pStyle w:val="70"/>
              <w:rPr>
                <w:rFonts w:hint="eastAsia" w:ascii="仿宋" w:hAnsi="仿宋" w:eastAsia="仿宋" w:cs="仿宋"/>
                <w:b w:val="0"/>
                <w:bCs/>
                <w:color w:val="auto"/>
                <w:sz w:val="21"/>
                <w:szCs w:val="21"/>
                <w:highlight w:val="none"/>
              </w:rPr>
            </w:pPr>
          </w:p>
        </w:tc>
        <w:tc>
          <w:tcPr>
            <w:tcW w:w="788" w:type="dxa"/>
            <w:vMerge w:val="continue"/>
            <w:tcBorders>
              <w:top w:val="single" w:color="auto" w:sz="4" w:space="0"/>
              <w:bottom w:val="single" w:color="auto" w:sz="4" w:space="0"/>
              <w:right w:val="single" w:color="auto" w:sz="4" w:space="0"/>
            </w:tcBorders>
            <w:noWrap w:val="0"/>
            <w:vAlign w:val="center"/>
          </w:tcPr>
          <w:p>
            <w:pPr>
              <w:pStyle w:val="70"/>
              <w:rPr>
                <w:rFonts w:hint="eastAsia" w:ascii="仿宋" w:hAnsi="仿宋" w:eastAsia="仿宋" w:cs="仿宋"/>
                <w:b w:val="0"/>
                <w:bCs/>
                <w:color w:val="auto"/>
                <w:sz w:val="20"/>
                <w:szCs w:val="20"/>
                <w:highlight w:val="none"/>
              </w:rPr>
            </w:pPr>
          </w:p>
        </w:tc>
        <w:tc>
          <w:tcPr>
            <w:tcW w:w="1431" w:type="dxa"/>
            <w:tcBorders>
              <w:left w:val="single" w:color="auto" w:sz="4" w:space="0"/>
            </w:tcBorders>
            <w:noWrap w:val="0"/>
            <w:vAlign w:val="center"/>
          </w:tcPr>
          <w:p>
            <w:pPr>
              <w:pStyle w:val="154"/>
              <w:jc w:val="left"/>
              <w:rPr>
                <w:rFonts w:hint="eastAsia" w:ascii="仿宋" w:hAnsi="仿宋" w:eastAsia="仿宋" w:cs="仿宋"/>
                <w:b w:val="0"/>
                <w:bCs/>
                <w:color w:val="auto"/>
                <w:sz w:val="20"/>
                <w:szCs w:val="20"/>
                <w:highlight w:val="none"/>
                <w:lang w:val="en-US" w:eastAsia="zh-CN"/>
              </w:rPr>
            </w:pPr>
          </w:p>
          <w:p>
            <w:pPr>
              <w:pStyle w:val="154"/>
              <w:jc w:val="left"/>
              <w:rPr>
                <w:rFonts w:hint="eastAsia" w:ascii="仿宋" w:hAnsi="仿宋" w:eastAsia="仿宋" w:cs="仿宋"/>
                <w:b w:val="0"/>
                <w:bCs/>
                <w:color w:val="auto"/>
                <w:sz w:val="20"/>
                <w:szCs w:val="20"/>
                <w:highlight w:val="none"/>
                <w:lang w:val="en-US" w:eastAsia="zh-CN"/>
              </w:rPr>
            </w:pPr>
          </w:p>
          <w:p>
            <w:pPr>
              <w:pStyle w:val="154"/>
              <w:jc w:val="left"/>
              <w:rPr>
                <w:rFonts w:hint="eastAsia" w:ascii="仿宋" w:hAnsi="仿宋" w:eastAsia="仿宋" w:cs="仿宋"/>
                <w:b w:val="0"/>
                <w:bCs/>
                <w:color w:val="auto"/>
                <w:sz w:val="20"/>
                <w:szCs w:val="20"/>
                <w:highlight w:val="none"/>
                <w:lang w:val="en-US" w:eastAsia="zh-CN"/>
              </w:rPr>
            </w:pP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保证措施及售后服务（10分）</w:t>
            </w:r>
          </w:p>
        </w:tc>
        <w:tc>
          <w:tcPr>
            <w:tcW w:w="5425" w:type="dxa"/>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 xml:space="preserve">投标企业需产品供货商售后服务体系完善，提供相关的印证材料或承诺 （满分 2 分） </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 xml:space="preserve">服务承诺：接到故障电话后 2 小时内能抵达现场并解除 故障得 2 分；4 小时内抵达现场并解除故障得 1 分；6 小时内 抵达现场并解除故障得 0.5 分；其余情形不得分；（满分 2 分） </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 xml:space="preserve">质保期：优于招标文件要求，即：超过招标文件要求的 质保期 2 年以上的得 2 分，超过招标文件要求的质保期 1年 以上的得 1 分，不满足采购单位免费质保期要求的为无效投标；（满分 2 分） </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货物包退包换承诺（满分 2 分） 违约处罚承诺（满分 2 分）；（满分 10 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452" w:type="dxa"/>
            <w:vMerge w:val="continue"/>
            <w:tcBorders>
              <w:top w:val="single" w:color="auto" w:sz="4" w:space="0"/>
              <w:left w:val="single" w:color="auto" w:sz="4" w:space="0"/>
              <w:bottom w:val="single" w:color="auto" w:sz="4" w:space="0"/>
            </w:tcBorders>
            <w:noWrap w:val="0"/>
            <w:vAlign w:val="center"/>
          </w:tcPr>
          <w:p>
            <w:pPr>
              <w:pStyle w:val="70"/>
              <w:rPr>
                <w:rFonts w:hint="eastAsia" w:ascii="仿宋" w:hAnsi="仿宋" w:eastAsia="仿宋" w:cs="仿宋"/>
                <w:b w:val="0"/>
                <w:bCs/>
                <w:color w:val="auto"/>
                <w:sz w:val="21"/>
                <w:szCs w:val="21"/>
                <w:highlight w:val="none"/>
              </w:rPr>
            </w:pPr>
          </w:p>
        </w:tc>
        <w:tc>
          <w:tcPr>
            <w:tcW w:w="788" w:type="dxa"/>
            <w:vMerge w:val="continue"/>
            <w:tcBorders>
              <w:top w:val="single" w:color="auto" w:sz="4" w:space="0"/>
              <w:bottom w:val="single" w:color="auto" w:sz="4" w:space="0"/>
              <w:right w:val="single" w:color="auto" w:sz="4" w:space="0"/>
            </w:tcBorders>
            <w:noWrap w:val="0"/>
            <w:vAlign w:val="center"/>
          </w:tcPr>
          <w:p>
            <w:pPr>
              <w:pStyle w:val="70"/>
              <w:rPr>
                <w:rFonts w:hint="eastAsia" w:ascii="仿宋" w:hAnsi="仿宋" w:eastAsia="仿宋" w:cs="仿宋"/>
                <w:b w:val="0"/>
                <w:bCs/>
                <w:color w:val="auto"/>
                <w:sz w:val="20"/>
                <w:szCs w:val="20"/>
                <w:highlight w:val="none"/>
              </w:rPr>
            </w:pPr>
          </w:p>
        </w:tc>
        <w:tc>
          <w:tcPr>
            <w:tcW w:w="1431" w:type="dxa"/>
            <w:tcBorders>
              <w:left w:val="single" w:color="auto" w:sz="4" w:space="0"/>
            </w:tcBorders>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类似项目业绩（8分）</w:t>
            </w:r>
          </w:p>
        </w:tc>
        <w:tc>
          <w:tcPr>
            <w:tcW w:w="5425" w:type="dxa"/>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投标企业</w:t>
            </w:r>
            <w:r>
              <w:rPr>
                <w:rFonts w:hint="eastAsia" w:ascii="仿宋" w:hAnsi="仿宋" w:eastAsia="仿宋" w:cs="仿宋"/>
                <w:b w:val="0"/>
                <w:bCs/>
                <w:color w:val="auto"/>
                <w:sz w:val="20"/>
                <w:szCs w:val="20"/>
                <w:highlight w:val="none"/>
              </w:rPr>
              <w:t>近三年（</w:t>
            </w:r>
            <w:r>
              <w:rPr>
                <w:rFonts w:hint="eastAsia" w:ascii="仿宋" w:hAnsi="仿宋" w:eastAsia="仿宋" w:cs="仿宋"/>
                <w:b w:val="0"/>
                <w:bCs/>
                <w:color w:val="auto"/>
                <w:sz w:val="20"/>
                <w:szCs w:val="20"/>
                <w:highlight w:val="none"/>
                <w:lang w:val="en-US" w:eastAsia="zh-CN"/>
              </w:rPr>
              <w:t>2020</w:t>
            </w:r>
            <w:r>
              <w:rPr>
                <w:rFonts w:hint="eastAsia" w:ascii="仿宋" w:hAnsi="仿宋" w:eastAsia="仿宋" w:cs="仿宋"/>
                <w:b w:val="0"/>
                <w:bCs/>
                <w:color w:val="auto"/>
                <w:sz w:val="20"/>
                <w:szCs w:val="20"/>
                <w:highlight w:val="none"/>
              </w:rPr>
              <w:t>年</w:t>
            </w:r>
            <w:r>
              <w:rPr>
                <w:rFonts w:hint="eastAsia" w:ascii="仿宋" w:hAnsi="仿宋" w:eastAsia="仿宋" w:cs="仿宋"/>
                <w:b w:val="0"/>
                <w:bCs/>
                <w:color w:val="auto"/>
                <w:sz w:val="20"/>
                <w:szCs w:val="20"/>
                <w:highlight w:val="none"/>
                <w:lang w:eastAsia="zh-CN"/>
              </w:rPr>
              <w:t>至今</w:t>
            </w:r>
            <w:r>
              <w:rPr>
                <w:rFonts w:hint="eastAsia" w:ascii="仿宋" w:hAnsi="仿宋" w:eastAsia="仿宋" w:cs="仿宋"/>
                <w:b w:val="0"/>
                <w:bCs/>
                <w:color w:val="auto"/>
                <w:sz w:val="20"/>
                <w:szCs w:val="20"/>
                <w:highlight w:val="none"/>
              </w:rPr>
              <w:t>）完成的类似项目</w:t>
            </w:r>
            <w:r>
              <w:rPr>
                <w:rFonts w:hint="eastAsia" w:ascii="仿宋" w:hAnsi="仿宋" w:eastAsia="仿宋" w:cs="仿宋"/>
                <w:b w:val="0"/>
                <w:bCs/>
                <w:color w:val="auto"/>
                <w:sz w:val="20"/>
                <w:szCs w:val="20"/>
                <w:highlight w:val="none"/>
                <w:lang w:eastAsia="zh-CN"/>
              </w:rPr>
              <w:t>（类似项目是指在类型、性能功能等类似的）货物</w:t>
            </w:r>
            <w:r>
              <w:rPr>
                <w:rFonts w:hint="eastAsia" w:ascii="仿宋" w:hAnsi="仿宋" w:eastAsia="仿宋" w:cs="仿宋"/>
                <w:b w:val="0"/>
                <w:bCs/>
                <w:color w:val="auto"/>
                <w:sz w:val="20"/>
                <w:szCs w:val="20"/>
                <w:highlight w:val="none"/>
              </w:rPr>
              <w:t>业绩</w:t>
            </w:r>
            <w:r>
              <w:rPr>
                <w:rFonts w:hint="eastAsia" w:ascii="仿宋" w:hAnsi="仿宋" w:eastAsia="仿宋" w:cs="仿宋"/>
                <w:b w:val="0"/>
                <w:bCs/>
                <w:color w:val="auto"/>
                <w:sz w:val="20"/>
                <w:szCs w:val="20"/>
                <w:highlight w:val="none"/>
                <w:lang w:eastAsia="zh-CN"/>
              </w:rPr>
              <w:t>，</w:t>
            </w:r>
            <w:r>
              <w:rPr>
                <w:rFonts w:hint="eastAsia" w:ascii="仿宋" w:hAnsi="仿宋" w:eastAsia="仿宋" w:cs="仿宋"/>
                <w:b w:val="0"/>
                <w:bCs/>
                <w:color w:val="auto"/>
                <w:sz w:val="20"/>
                <w:szCs w:val="20"/>
                <w:highlight w:val="none"/>
                <w:lang w:val="en-US" w:eastAsia="zh-CN"/>
              </w:rPr>
              <w:t>需提供合同及中标通知书复印件</w:t>
            </w:r>
            <w:r>
              <w:rPr>
                <w:rFonts w:hint="eastAsia" w:ascii="仿宋" w:hAnsi="仿宋" w:eastAsia="仿宋" w:cs="仿宋"/>
                <w:b w:val="0"/>
                <w:bCs/>
                <w:color w:val="auto"/>
                <w:sz w:val="20"/>
                <w:szCs w:val="20"/>
                <w:highlight w:val="none"/>
              </w:rPr>
              <w:t>，每有一项得</w:t>
            </w:r>
            <w:r>
              <w:rPr>
                <w:rFonts w:hint="eastAsia" w:ascii="仿宋" w:hAnsi="仿宋" w:eastAsia="仿宋" w:cs="仿宋"/>
                <w:b w:val="0"/>
                <w:bCs/>
                <w:color w:val="auto"/>
                <w:sz w:val="20"/>
                <w:szCs w:val="20"/>
                <w:highlight w:val="none"/>
                <w:lang w:val="en-US" w:eastAsia="zh-CN"/>
              </w:rPr>
              <w:t>2</w:t>
            </w:r>
            <w:r>
              <w:rPr>
                <w:rFonts w:hint="eastAsia" w:ascii="仿宋" w:hAnsi="仿宋" w:eastAsia="仿宋" w:cs="仿宋"/>
                <w:b w:val="0"/>
                <w:bCs/>
                <w:color w:val="auto"/>
                <w:sz w:val="20"/>
                <w:szCs w:val="20"/>
                <w:highlight w:val="none"/>
              </w:rPr>
              <w:t>分，最高得</w:t>
            </w:r>
            <w:r>
              <w:rPr>
                <w:rFonts w:hint="eastAsia" w:ascii="仿宋" w:hAnsi="仿宋" w:eastAsia="仿宋" w:cs="仿宋"/>
                <w:b w:val="0"/>
                <w:bCs/>
                <w:color w:val="auto"/>
                <w:sz w:val="20"/>
                <w:szCs w:val="20"/>
                <w:highlight w:val="none"/>
                <w:lang w:val="en-US" w:eastAsia="zh-CN"/>
              </w:rPr>
              <w:t>8</w:t>
            </w:r>
            <w:r>
              <w:rPr>
                <w:rFonts w:hint="eastAsia" w:ascii="仿宋" w:hAnsi="仿宋" w:eastAsia="仿宋" w:cs="仿宋"/>
                <w:b w:val="0"/>
                <w:bCs/>
                <w:color w:val="auto"/>
                <w:sz w:val="20"/>
                <w:szCs w:val="20"/>
                <w:highlight w:val="none"/>
              </w:rPr>
              <w:t>分（如提供虚假业绩资料一经查出做否决投标处理）；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452" w:type="dxa"/>
            <w:vMerge w:val="continue"/>
            <w:tcBorders>
              <w:top w:val="single" w:color="auto" w:sz="4" w:space="0"/>
              <w:left w:val="single" w:color="auto" w:sz="4" w:space="0"/>
              <w:bottom w:val="single" w:color="auto" w:sz="4" w:space="0"/>
            </w:tcBorders>
            <w:noWrap w:val="0"/>
            <w:vAlign w:val="center"/>
          </w:tcPr>
          <w:p>
            <w:pPr>
              <w:pStyle w:val="70"/>
              <w:rPr>
                <w:rFonts w:hint="eastAsia" w:ascii="仿宋" w:hAnsi="仿宋" w:eastAsia="仿宋" w:cs="仿宋"/>
                <w:b w:val="0"/>
                <w:bCs/>
                <w:color w:val="auto"/>
                <w:sz w:val="21"/>
                <w:szCs w:val="21"/>
                <w:highlight w:val="none"/>
              </w:rPr>
            </w:pPr>
          </w:p>
        </w:tc>
        <w:tc>
          <w:tcPr>
            <w:tcW w:w="788" w:type="dxa"/>
            <w:vMerge w:val="continue"/>
            <w:tcBorders>
              <w:top w:val="single" w:color="auto" w:sz="4" w:space="0"/>
              <w:bottom w:val="single" w:color="auto" w:sz="4" w:space="0"/>
              <w:right w:val="single" w:color="auto" w:sz="4" w:space="0"/>
            </w:tcBorders>
            <w:noWrap w:val="0"/>
            <w:vAlign w:val="center"/>
          </w:tcPr>
          <w:p>
            <w:pPr>
              <w:pStyle w:val="70"/>
              <w:rPr>
                <w:rFonts w:hint="eastAsia" w:ascii="仿宋" w:hAnsi="仿宋" w:eastAsia="仿宋" w:cs="仿宋"/>
                <w:b w:val="0"/>
                <w:bCs/>
                <w:color w:val="auto"/>
                <w:sz w:val="20"/>
                <w:szCs w:val="20"/>
                <w:highlight w:val="none"/>
              </w:rPr>
            </w:pPr>
          </w:p>
        </w:tc>
        <w:tc>
          <w:tcPr>
            <w:tcW w:w="1431" w:type="dxa"/>
            <w:tcBorders>
              <w:left w:val="single" w:color="auto" w:sz="4" w:space="0"/>
            </w:tcBorders>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技术方案及售后服务方案</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（4分）</w:t>
            </w:r>
          </w:p>
        </w:tc>
        <w:tc>
          <w:tcPr>
            <w:tcW w:w="5425" w:type="dxa"/>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根据投标人①项目技术实施方案②质量管理措施、安全管理措施③服务人员团队及技术实力（投标企业须提供服务人员身份证、劳动合同）④售后服务方案等进行评比，每一项得1分，最多得 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452" w:type="dxa"/>
            <w:vMerge w:val="continue"/>
            <w:tcBorders>
              <w:top w:val="single" w:color="auto" w:sz="4" w:space="0"/>
              <w:left w:val="single" w:color="auto" w:sz="4" w:space="0"/>
              <w:bottom w:val="single" w:color="auto" w:sz="4" w:space="0"/>
            </w:tcBorders>
            <w:noWrap w:val="0"/>
            <w:vAlign w:val="center"/>
          </w:tcPr>
          <w:p>
            <w:pPr>
              <w:pStyle w:val="70"/>
              <w:rPr>
                <w:rFonts w:hint="eastAsia" w:ascii="仿宋" w:hAnsi="仿宋" w:eastAsia="仿宋" w:cs="仿宋"/>
                <w:b w:val="0"/>
                <w:bCs/>
                <w:color w:val="auto"/>
                <w:sz w:val="21"/>
                <w:szCs w:val="21"/>
                <w:highlight w:val="none"/>
              </w:rPr>
            </w:pPr>
          </w:p>
        </w:tc>
        <w:tc>
          <w:tcPr>
            <w:tcW w:w="788" w:type="dxa"/>
            <w:vMerge w:val="continue"/>
            <w:tcBorders>
              <w:top w:val="single" w:color="auto" w:sz="4" w:space="0"/>
              <w:bottom w:val="single" w:color="auto" w:sz="4" w:space="0"/>
              <w:right w:val="single" w:color="auto" w:sz="4" w:space="0"/>
            </w:tcBorders>
            <w:noWrap w:val="0"/>
            <w:vAlign w:val="center"/>
          </w:tcPr>
          <w:p>
            <w:pPr>
              <w:pStyle w:val="70"/>
              <w:rPr>
                <w:rFonts w:hint="eastAsia" w:ascii="仿宋" w:hAnsi="仿宋" w:eastAsia="仿宋" w:cs="仿宋"/>
                <w:b w:val="0"/>
                <w:bCs/>
                <w:color w:val="auto"/>
                <w:sz w:val="20"/>
                <w:szCs w:val="20"/>
                <w:highlight w:val="none"/>
              </w:rPr>
            </w:pPr>
          </w:p>
        </w:tc>
        <w:tc>
          <w:tcPr>
            <w:tcW w:w="1431" w:type="dxa"/>
            <w:tcBorders>
              <w:left w:val="single" w:color="auto" w:sz="4" w:space="0"/>
            </w:tcBorders>
            <w:noWrap w:val="0"/>
            <w:vAlign w:val="center"/>
          </w:tcPr>
          <w:p>
            <w:pPr>
              <w:pStyle w:val="154"/>
              <w:jc w:val="left"/>
              <w:rPr>
                <w:rFonts w:hint="eastAsia" w:ascii="仿宋" w:hAnsi="仿宋" w:eastAsia="仿宋" w:cs="仿宋"/>
                <w:b w:val="0"/>
                <w:bCs/>
                <w:color w:val="auto"/>
                <w:sz w:val="20"/>
                <w:szCs w:val="20"/>
                <w:highlight w:val="none"/>
                <w:lang w:val="zh-CN" w:eastAsia="zh-CN"/>
              </w:rPr>
            </w:pPr>
            <w:r>
              <w:rPr>
                <w:rFonts w:hint="eastAsia" w:ascii="仿宋" w:hAnsi="仿宋" w:eastAsia="仿宋" w:cs="仿宋"/>
                <w:b w:val="0"/>
                <w:bCs/>
                <w:color w:val="auto"/>
                <w:sz w:val="20"/>
                <w:szCs w:val="20"/>
                <w:highlight w:val="none"/>
                <w:lang w:val="zh-CN" w:eastAsia="zh-CN"/>
              </w:rPr>
              <w:t>合理化建议</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zh-CN" w:eastAsia="zh-CN"/>
              </w:rPr>
              <w:t>（</w:t>
            </w:r>
            <w:r>
              <w:rPr>
                <w:rFonts w:hint="eastAsia" w:ascii="仿宋" w:hAnsi="仿宋" w:eastAsia="仿宋" w:cs="仿宋"/>
                <w:b w:val="0"/>
                <w:bCs/>
                <w:color w:val="auto"/>
                <w:sz w:val="20"/>
                <w:szCs w:val="20"/>
                <w:highlight w:val="none"/>
                <w:lang w:val="en-US" w:eastAsia="zh-CN"/>
              </w:rPr>
              <w:t>4分</w:t>
            </w:r>
            <w:r>
              <w:rPr>
                <w:rFonts w:hint="eastAsia" w:ascii="仿宋" w:hAnsi="仿宋" w:eastAsia="仿宋" w:cs="仿宋"/>
                <w:b w:val="0"/>
                <w:bCs/>
                <w:color w:val="auto"/>
                <w:sz w:val="20"/>
                <w:szCs w:val="20"/>
                <w:highlight w:val="none"/>
                <w:lang w:val="zh-CN" w:eastAsia="zh-CN"/>
              </w:rPr>
              <w:t>）</w:t>
            </w:r>
          </w:p>
        </w:tc>
        <w:tc>
          <w:tcPr>
            <w:tcW w:w="5425" w:type="dxa"/>
            <w:noWrap w:val="0"/>
            <w:vAlign w:val="center"/>
          </w:tcPr>
          <w:p>
            <w:pPr>
              <w:pStyle w:val="154"/>
              <w:jc w:val="left"/>
              <w:rPr>
                <w:rFonts w:hint="eastAsia" w:ascii="仿宋" w:hAnsi="仿宋" w:eastAsia="仿宋" w:cs="仿宋"/>
                <w:b w:val="0"/>
                <w:bCs/>
                <w:color w:val="auto"/>
                <w:sz w:val="20"/>
                <w:szCs w:val="20"/>
                <w:highlight w:val="none"/>
              </w:rPr>
            </w:pPr>
            <w:r>
              <w:rPr>
                <w:rFonts w:hint="eastAsia" w:ascii="仿宋" w:hAnsi="仿宋" w:eastAsia="仿宋" w:cs="仿宋"/>
                <w:b w:val="0"/>
                <w:bCs/>
                <w:color w:val="auto"/>
                <w:sz w:val="20"/>
                <w:szCs w:val="20"/>
                <w:highlight w:val="none"/>
                <w:lang w:val="zh-CN" w:eastAsia="zh-CN"/>
              </w:rPr>
              <w:t>投标人对本项目的合理化建议：</w:t>
            </w:r>
            <w:r>
              <w:rPr>
                <w:rFonts w:hint="eastAsia" w:ascii="仿宋" w:hAnsi="仿宋" w:eastAsia="仿宋" w:cs="仿宋"/>
                <w:b w:val="0"/>
                <w:bCs/>
                <w:color w:val="auto"/>
                <w:sz w:val="20"/>
                <w:szCs w:val="20"/>
                <w:highlight w:val="none"/>
                <w:lang w:val="en-US" w:eastAsia="zh-CN"/>
              </w:rPr>
              <w:t>提供一条得1分，满分4分，不提供不得分。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452" w:type="dxa"/>
            <w:vMerge w:val="continue"/>
            <w:tcBorders>
              <w:top w:val="single" w:color="auto" w:sz="4" w:space="0"/>
              <w:left w:val="single" w:color="auto" w:sz="4" w:space="0"/>
              <w:bottom w:val="single" w:color="auto" w:sz="4" w:space="0"/>
            </w:tcBorders>
            <w:noWrap w:val="0"/>
            <w:vAlign w:val="center"/>
          </w:tcPr>
          <w:p>
            <w:pPr>
              <w:pStyle w:val="70"/>
              <w:rPr>
                <w:rFonts w:hint="eastAsia" w:ascii="仿宋" w:hAnsi="仿宋" w:eastAsia="仿宋" w:cs="仿宋"/>
                <w:b w:val="0"/>
                <w:bCs/>
                <w:color w:val="auto"/>
                <w:sz w:val="21"/>
                <w:szCs w:val="21"/>
                <w:highlight w:val="none"/>
              </w:rPr>
            </w:pPr>
          </w:p>
        </w:tc>
        <w:tc>
          <w:tcPr>
            <w:tcW w:w="788" w:type="dxa"/>
            <w:vMerge w:val="continue"/>
            <w:tcBorders>
              <w:top w:val="single" w:color="auto" w:sz="4" w:space="0"/>
              <w:bottom w:val="single" w:color="auto" w:sz="4" w:space="0"/>
              <w:right w:val="single" w:color="auto" w:sz="4" w:space="0"/>
            </w:tcBorders>
            <w:noWrap w:val="0"/>
            <w:vAlign w:val="center"/>
          </w:tcPr>
          <w:p>
            <w:pPr>
              <w:pStyle w:val="70"/>
              <w:rPr>
                <w:rFonts w:hint="eastAsia" w:ascii="仿宋" w:hAnsi="仿宋" w:eastAsia="仿宋" w:cs="仿宋"/>
                <w:b w:val="0"/>
                <w:bCs/>
                <w:color w:val="auto"/>
                <w:sz w:val="20"/>
                <w:szCs w:val="20"/>
                <w:highlight w:val="none"/>
              </w:rPr>
            </w:pPr>
          </w:p>
        </w:tc>
        <w:tc>
          <w:tcPr>
            <w:tcW w:w="1431" w:type="dxa"/>
            <w:tcBorders>
              <w:left w:val="single" w:color="auto" w:sz="4" w:space="0"/>
            </w:tcBorders>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企业的承诺、优惠性条件</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（6 分）</w:t>
            </w:r>
          </w:p>
        </w:tc>
        <w:tc>
          <w:tcPr>
            <w:tcW w:w="5425" w:type="dxa"/>
            <w:noWrap w:val="0"/>
            <w:vAlign w:val="center"/>
          </w:tcPr>
          <w:p>
            <w:pPr>
              <w:pStyle w:val="154"/>
              <w:jc w:val="left"/>
              <w:rPr>
                <w:rFonts w:hint="eastAsia" w:ascii="仿宋" w:hAnsi="仿宋" w:eastAsia="仿宋" w:cs="仿宋"/>
                <w:b w:val="0"/>
                <w:bCs/>
                <w:color w:val="auto"/>
                <w:sz w:val="20"/>
                <w:szCs w:val="20"/>
                <w:highlight w:val="none"/>
              </w:rPr>
            </w:pPr>
            <w:r>
              <w:rPr>
                <w:rFonts w:hint="eastAsia" w:ascii="仿宋" w:hAnsi="仿宋" w:eastAsia="仿宋" w:cs="仿宋"/>
                <w:b w:val="0"/>
                <w:bCs/>
                <w:color w:val="auto"/>
                <w:sz w:val="20"/>
                <w:szCs w:val="20"/>
                <w:highlight w:val="none"/>
                <w:lang w:val="en-US" w:eastAsia="zh-CN"/>
              </w:rPr>
              <w:t>针对本项目的需求及实际情况，承诺有相关优惠条件。评委根据优惠程度有 承诺、有优惠一项或一条得 1 分，最多3分。对工期承诺早完成一天得 0.5 分，最多 3 分；无优惠条件或承诺不得分。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452" w:type="dxa"/>
            <w:vMerge w:val="continue"/>
            <w:tcBorders>
              <w:top w:val="single" w:color="auto" w:sz="4" w:space="0"/>
              <w:left w:val="single" w:color="auto" w:sz="4" w:space="0"/>
              <w:bottom w:val="single" w:color="auto" w:sz="4" w:space="0"/>
            </w:tcBorders>
            <w:noWrap w:val="0"/>
            <w:vAlign w:val="center"/>
          </w:tcPr>
          <w:p>
            <w:pPr>
              <w:pStyle w:val="70"/>
              <w:rPr>
                <w:rFonts w:hint="eastAsia" w:ascii="仿宋" w:hAnsi="仿宋" w:eastAsia="仿宋" w:cs="仿宋"/>
                <w:b w:val="0"/>
                <w:bCs/>
                <w:color w:val="auto"/>
                <w:sz w:val="21"/>
                <w:szCs w:val="21"/>
                <w:highlight w:val="none"/>
              </w:rPr>
            </w:pPr>
          </w:p>
        </w:tc>
        <w:tc>
          <w:tcPr>
            <w:tcW w:w="788" w:type="dxa"/>
            <w:vMerge w:val="continue"/>
            <w:tcBorders>
              <w:top w:val="single" w:color="auto" w:sz="4" w:space="0"/>
              <w:bottom w:val="single" w:color="auto" w:sz="4" w:space="0"/>
              <w:right w:val="single" w:color="auto" w:sz="4" w:space="0"/>
            </w:tcBorders>
            <w:noWrap w:val="0"/>
            <w:vAlign w:val="center"/>
          </w:tcPr>
          <w:p>
            <w:pPr>
              <w:pStyle w:val="70"/>
              <w:rPr>
                <w:rFonts w:hint="eastAsia" w:ascii="仿宋" w:hAnsi="仿宋" w:eastAsia="仿宋" w:cs="仿宋"/>
                <w:b w:val="0"/>
                <w:bCs/>
                <w:color w:val="auto"/>
                <w:sz w:val="21"/>
                <w:szCs w:val="21"/>
                <w:highlight w:val="none"/>
              </w:rPr>
            </w:pPr>
          </w:p>
        </w:tc>
        <w:tc>
          <w:tcPr>
            <w:tcW w:w="1431" w:type="dxa"/>
            <w:tcBorders>
              <w:left w:val="single" w:color="auto" w:sz="4" w:space="0"/>
            </w:tcBorders>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应急预案及应急措施</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eastAsia="zh-CN"/>
              </w:rPr>
              <w:t>（</w:t>
            </w:r>
            <w:r>
              <w:rPr>
                <w:rFonts w:hint="eastAsia" w:ascii="仿宋" w:hAnsi="仿宋" w:eastAsia="仿宋" w:cs="仿宋"/>
                <w:b w:val="0"/>
                <w:bCs/>
                <w:color w:val="auto"/>
                <w:sz w:val="20"/>
                <w:szCs w:val="20"/>
                <w:highlight w:val="none"/>
                <w:lang w:val="en-US" w:eastAsia="zh-CN"/>
              </w:rPr>
              <w:t>6分</w:t>
            </w:r>
            <w:r>
              <w:rPr>
                <w:rFonts w:hint="eastAsia" w:ascii="仿宋" w:hAnsi="仿宋" w:eastAsia="仿宋" w:cs="仿宋"/>
                <w:b w:val="0"/>
                <w:bCs/>
                <w:color w:val="auto"/>
                <w:sz w:val="20"/>
                <w:szCs w:val="20"/>
                <w:highlight w:val="none"/>
                <w:lang w:eastAsia="zh-CN"/>
              </w:rPr>
              <w:t>）</w:t>
            </w:r>
          </w:p>
        </w:tc>
        <w:tc>
          <w:tcPr>
            <w:tcW w:w="5425" w:type="dxa"/>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关于临时突发性特殊状况，针对本项目制定合理完善的应急预案和应急措施：提供一条得3分，满分6分，不提供不得分。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24" w:hRule="atLeast"/>
          <w:jc w:val="center"/>
        </w:trPr>
        <w:tc>
          <w:tcPr>
            <w:tcW w:w="8096" w:type="dxa"/>
            <w:gridSpan w:val="4"/>
            <w:tcBorders>
              <w:top w:val="nil"/>
              <w:left w:val="single" w:color="auto" w:sz="4" w:space="0"/>
            </w:tcBorders>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合计100分</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注：1、计算过程中，算术平均值保留2位小数（百分比亦取2位小数），第三位小数四舍五入。</w:t>
            </w:r>
          </w:p>
          <w:p>
            <w:pPr>
              <w:pStyle w:val="154"/>
              <w:ind w:firstLine="400" w:firstLineChars="200"/>
              <w:jc w:val="left"/>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0"/>
                <w:szCs w:val="20"/>
                <w:highlight w:val="none"/>
                <w:lang w:val="en-US" w:eastAsia="zh-CN"/>
              </w:rPr>
              <w:t>2、投标人的最终得分为：所有评委对其评分的算术平均值。</w:t>
            </w:r>
          </w:p>
        </w:tc>
      </w:tr>
    </w:tbl>
    <w:p>
      <w:pPr>
        <w:pStyle w:val="36"/>
        <w:spacing w:line="360" w:lineRule="auto"/>
        <w:ind w:left="0" w:leftChars="0" w:firstLine="0" w:firstLineChars="0"/>
        <w:rPr>
          <w:rFonts w:hint="eastAsia" w:ascii="仿宋" w:hAnsi="仿宋" w:eastAsia="仿宋" w:cs="仿宋"/>
          <w:b/>
          <w:color w:val="auto"/>
          <w:sz w:val="24"/>
          <w:szCs w:val="24"/>
          <w:highlight w:val="none"/>
          <w:lang w:bidi="ar-SA"/>
        </w:rPr>
      </w:pPr>
      <w:r>
        <w:rPr>
          <w:rFonts w:hint="eastAsia" w:ascii="仿宋" w:hAnsi="仿宋" w:eastAsia="仿宋" w:cs="仿宋"/>
          <w:b/>
          <w:color w:val="auto"/>
          <w:sz w:val="24"/>
          <w:szCs w:val="24"/>
          <w:highlight w:val="none"/>
          <w:lang w:val="en-US" w:eastAsia="zh-CN" w:bidi="ar-SA"/>
        </w:rPr>
        <w:t>一</w:t>
      </w:r>
      <w:r>
        <w:rPr>
          <w:rFonts w:hint="eastAsia" w:ascii="仿宋" w:hAnsi="仿宋" w:eastAsia="仿宋" w:cs="仿宋"/>
          <w:b/>
          <w:color w:val="auto"/>
          <w:sz w:val="24"/>
          <w:szCs w:val="24"/>
          <w:highlight w:val="none"/>
          <w:lang w:bidi="ar-SA"/>
        </w:rPr>
        <w:t>、成交：</w:t>
      </w:r>
    </w:p>
    <w:p>
      <w:pPr>
        <w:spacing w:line="360" w:lineRule="auto"/>
        <w:ind w:firstLine="248" w:firstLineChars="100"/>
        <w:rPr>
          <w:rFonts w:hint="eastAsia" w:ascii="仿宋" w:hAnsi="仿宋" w:eastAsia="仿宋" w:cs="仿宋"/>
          <w:color w:val="auto"/>
          <w:spacing w:val="4"/>
          <w:sz w:val="24"/>
          <w:szCs w:val="24"/>
          <w:highlight w:val="none"/>
          <w:lang w:bidi="ar-SA"/>
        </w:rPr>
      </w:pPr>
      <w:r>
        <w:rPr>
          <w:rFonts w:hint="eastAsia" w:ascii="仿宋" w:hAnsi="仿宋" w:eastAsia="仿宋" w:cs="仿宋"/>
          <w:color w:val="auto"/>
          <w:spacing w:val="4"/>
          <w:sz w:val="24"/>
          <w:szCs w:val="24"/>
          <w:highlight w:val="none"/>
          <w:lang w:bidi="ar-SA"/>
        </w:rPr>
        <w:t>1、</w:t>
      </w:r>
      <w:r>
        <w:rPr>
          <w:rFonts w:hint="eastAsia" w:ascii="仿宋" w:hAnsi="仿宋" w:eastAsia="仿宋" w:cs="仿宋"/>
          <w:color w:val="auto"/>
          <w:spacing w:val="4"/>
          <w:sz w:val="24"/>
          <w:szCs w:val="24"/>
          <w:highlight w:val="none"/>
          <w:lang w:eastAsia="zh-CN" w:bidi="ar-SA"/>
        </w:rPr>
        <w:t>评审</w:t>
      </w:r>
      <w:r>
        <w:rPr>
          <w:rFonts w:hint="eastAsia" w:ascii="仿宋" w:hAnsi="仿宋" w:eastAsia="仿宋" w:cs="仿宋"/>
          <w:color w:val="auto"/>
          <w:spacing w:val="4"/>
          <w:sz w:val="24"/>
          <w:szCs w:val="24"/>
          <w:highlight w:val="none"/>
          <w:lang w:bidi="ar-SA"/>
        </w:rPr>
        <w:t>结果报告由</w:t>
      </w:r>
      <w:r>
        <w:rPr>
          <w:rFonts w:hint="eastAsia" w:ascii="仿宋" w:hAnsi="仿宋" w:eastAsia="仿宋" w:cs="仿宋"/>
          <w:color w:val="auto"/>
          <w:spacing w:val="4"/>
          <w:sz w:val="24"/>
          <w:szCs w:val="24"/>
          <w:highlight w:val="none"/>
          <w:lang w:eastAsia="zh-CN" w:bidi="ar-SA"/>
        </w:rPr>
        <w:t>评审</w:t>
      </w:r>
      <w:r>
        <w:rPr>
          <w:rFonts w:hint="eastAsia" w:ascii="仿宋" w:hAnsi="仿宋" w:eastAsia="仿宋" w:cs="仿宋"/>
          <w:color w:val="auto"/>
          <w:spacing w:val="4"/>
          <w:sz w:val="24"/>
          <w:szCs w:val="24"/>
          <w:highlight w:val="none"/>
          <w:lang w:bidi="ar-SA"/>
        </w:rPr>
        <w:t>小组全体成员签字确认。</w:t>
      </w:r>
    </w:p>
    <w:p>
      <w:pPr>
        <w:spacing w:line="360" w:lineRule="auto"/>
        <w:ind w:firstLine="248" w:firstLineChars="100"/>
        <w:rPr>
          <w:rFonts w:hint="eastAsia" w:ascii="仿宋" w:hAnsi="仿宋" w:eastAsia="仿宋" w:cs="仿宋"/>
          <w:color w:val="auto"/>
          <w:spacing w:val="4"/>
          <w:sz w:val="24"/>
          <w:szCs w:val="24"/>
          <w:highlight w:val="none"/>
          <w:lang w:bidi="ar-SA"/>
        </w:rPr>
      </w:pPr>
      <w:r>
        <w:rPr>
          <w:rFonts w:hint="eastAsia" w:ascii="仿宋" w:hAnsi="仿宋" w:eastAsia="仿宋" w:cs="仿宋"/>
          <w:color w:val="auto"/>
          <w:spacing w:val="4"/>
          <w:sz w:val="24"/>
          <w:szCs w:val="24"/>
          <w:highlight w:val="none"/>
          <w:lang w:bidi="ar-SA"/>
        </w:rPr>
        <w:t>2、采购人根据</w:t>
      </w:r>
      <w:r>
        <w:rPr>
          <w:rFonts w:hint="eastAsia" w:ascii="仿宋" w:hAnsi="仿宋" w:eastAsia="仿宋" w:cs="仿宋"/>
          <w:color w:val="auto"/>
          <w:spacing w:val="4"/>
          <w:sz w:val="24"/>
          <w:szCs w:val="24"/>
          <w:highlight w:val="none"/>
          <w:lang w:eastAsia="zh-CN" w:bidi="ar-SA"/>
        </w:rPr>
        <w:t>评审</w:t>
      </w:r>
      <w:r>
        <w:rPr>
          <w:rFonts w:hint="eastAsia" w:ascii="仿宋" w:hAnsi="仿宋" w:eastAsia="仿宋" w:cs="仿宋"/>
          <w:color w:val="auto"/>
          <w:spacing w:val="4"/>
          <w:sz w:val="24"/>
          <w:szCs w:val="24"/>
          <w:highlight w:val="none"/>
          <w:lang w:bidi="ar-SA"/>
        </w:rPr>
        <w:t>结果报告中推荐的成交候选</w:t>
      </w:r>
      <w:r>
        <w:rPr>
          <w:rFonts w:hint="eastAsia" w:ascii="仿宋" w:hAnsi="仿宋" w:eastAsia="仿宋" w:cs="仿宋"/>
          <w:color w:val="auto"/>
          <w:spacing w:val="4"/>
          <w:sz w:val="24"/>
          <w:szCs w:val="24"/>
          <w:highlight w:val="none"/>
          <w:lang w:eastAsia="zh-CN" w:bidi="ar-SA"/>
        </w:rPr>
        <w:t>人</w:t>
      </w:r>
      <w:r>
        <w:rPr>
          <w:rFonts w:hint="eastAsia" w:ascii="仿宋" w:hAnsi="仿宋" w:eastAsia="仿宋" w:cs="仿宋"/>
          <w:color w:val="auto"/>
          <w:spacing w:val="4"/>
          <w:sz w:val="24"/>
          <w:szCs w:val="24"/>
          <w:highlight w:val="none"/>
          <w:lang w:bidi="ar-SA"/>
        </w:rPr>
        <w:t>确定</w:t>
      </w:r>
      <w:r>
        <w:rPr>
          <w:rFonts w:hint="eastAsia" w:ascii="仿宋" w:hAnsi="仿宋" w:eastAsia="仿宋" w:cs="仿宋"/>
          <w:color w:val="auto"/>
          <w:spacing w:val="4"/>
          <w:sz w:val="24"/>
          <w:szCs w:val="24"/>
          <w:highlight w:val="none"/>
          <w:lang w:eastAsia="zh-CN" w:bidi="ar-SA"/>
        </w:rPr>
        <w:t>成交投标人</w:t>
      </w:r>
      <w:r>
        <w:rPr>
          <w:rFonts w:hint="eastAsia" w:ascii="仿宋" w:hAnsi="仿宋" w:eastAsia="仿宋" w:cs="仿宋"/>
          <w:color w:val="auto"/>
          <w:spacing w:val="4"/>
          <w:sz w:val="24"/>
          <w:szCs w:val="24"/>
          <w:highlight w:val="none"/>
          <w:lang w:bidi="ar-SA"/>
        </w:rPr>
        <w:t>，以复函通知采购代理机构。</w:t>
      </w:r>
    </w:p>
    <w:p>
      <w:pPr>
        <w:spacing w:line="360" w:lineRule="auto"/>
        <w:rPr>
          <w:rFonts w:hint="eastAsia" w:ascii="仿宋" w:hAnsi="仿宋" w:eastAsia="仿宋" w:cs="仿宋"/>
          <w:b/>
          <w:bCs/>
          <w:color w:val="auto"/>
          <w:spacing w:val="4"/>
          <w:kern w:val="2"/>
          <w:sz w:val="24"/>
          <w:szCs w:val="24"/>
          <w:highlight w:val="none"/>
          <w:lang w:val="en-US" w:eastAsia="zh-CN" w:bidi="ar-SA"/>
        </w:rPr>
      </w:pPr>
      <w:r>
        <w:rPr>
          <w:rFonts w:hint="eastAsia" w:ascii="仿宋" w:hAnsi="仿宋" w:eastAsia="仿宋" w:cs="仿宋"/>
          <w:b/>
          <w:bCs/>
          <w:color w:val="auto"/>
          <w:spacing w:val="4"/>
          <w:kern w:val="2"/>
          <w:sz w:val="24"/>
          <w:szCs w:val="24"/>
          <w:highlight w:val="none"/>
          <w:lang w:val="en-US" w:eastAsia="zh-CN" w:bidi="ar-SA"/>
        </w:rPr>
        <w:t>二、特殊情况的处理</w:t>
      </w:r>
    </w:p>
    <w:p>
      <w:pPr>
        <w:spacing w:line="360" w:lineRule="auto"/>
        <w:ind w:firstLine="496" w:firstLineChars="200"/>
        <w:rPr>
          <w:rFonts w:hint="eastAsia" w:ascii="仿宋" w:hAnsi="仿宋" w:eastAsia="仿宋" w:cs="仿宋"/>
          <w:b/>
          <w:color w:val="auto"/>
          <w:sz w:val="36"/>
          <w:szCs w:val="36"/>
          <w:highlight w:val="none"/>
          <w:lang w:eastAsia="zh-CN"/>
        </w:rPr>
      </w:pPr>
      <w:r>
        <w:rPr>
          <w:rFonts w:hint="eastAsia" w:ascii="仿宋" w:hAnsi="仿宋" w:eastAsia="仿宋" w:cs="仿宋"/>
          <w:color w:val="auto"/>
          <w:spacing w:val="4"/>
          <w:sz w:val="24"/>
          <w:szCs w:val="24"/>
          <w:highlight w:val="none"/>
          <w:lang w:val="en-US" w:eastAsia="zh-CN" w:bidi="ar-SA"/>
        </w:rPr>
        <w:t>评审过程中，若出现本评审方法以外的特殊情况时，将暂停评审，待评审小组商榷后，再进行评定。</w:t>
      </w:r>
    </w:p>
    <w:p>
      <w:pPr>
        <w:pStyle w:val="19"/>
        <w:spacing w:line="360" w:lineRule="auto"/>
        <w:rPr>
          <w:rFonts w:hint="eastAsia" w:ascii="仿宋" w:hAnsi="仿宋" w:eastAsia="仿宋" w:cs="仿宋"/>
          <w:highlight w:val="none"/>
          <w:lang w:val="en-US" w:eastAsia="zh-CN"/>
        </w:rPr>
      </w:pPr>
    </w:p>
    <w:p>
      <w:pPr>
        <w:jc w:val="center"/>
        <w:rPr>
          <w:rFonts w:hint="eastAsia" w:ascii="仿宋" w:hAnsi="仿宋" w:eastAsia="仿宋" w:cs="仿宋"/>
          <w:b/>
          <w:bCs/>
          <w:color w:val="auto"/>
          <w:sz w:val="36"/>
          <w:szCs w:val="56"/>
          <w:highlight w:val="none"/>
        </w:rPr>
        <w:sectPr>
          <w:headerReference r:id="rId5" w:type="default"/>
          <w:footerReference r:id="rId6" w:type="default"/>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p>
    <w:p>
      <w:pPr>
        <w:numPr>
          <w:ilvl w:val="0"/>
          <w:numId w:val="9"/>
        </w:numPr>
        <w:jc w:val="center"/>
        <w:rPr>
          <w:rFonts w:hint="eastAsia" w:ascii="仿宋" w:hAnsi="仿宋" w:eastAsia="仿宋" w:cs="仿宋"/>
          <w:b/>
          <w:bCs/>
          <w:color w:val="auto"/>
          <w:sz w:val="36"/>
          <w:szCs w:val="56"/>
          <w:highlight w:val="none"/>
        </w:rPr>
      </w:pPr>
      <w:r>
        <w:rPr>
          <w:rFonts w:hint="eastAsia" w:ascii="仿宋" w:hAnsi="仿宋" w:eastAsia="仿宋" w:cs="仿宋"/>
          <w:b/>
          <w:bCs/>
          <w:color w:val="auto"/>
          <w:sz w:val="36"/>
          <w:szCs w:val="56"/>
          <w:highlight w:val="none"/>
          <w:lang w:val="en-US" w:eastAsia="zh-CN"/>
        </w:rPr>
        <w:t xml:space="preserve"> </w:t>
      </w:r>
      <w:r>
        <w:rPr>
          <w:rFonts w:hint="eastAsia" w:ascii="仿宋" w:hAnsi="仿宋" w:eastAsia="仿宋" w:cs="仿宋"/>
          <w:b/>
          <w:bCs/>
          <w:color w:val="auto"/>
          <w:sz w:val="36"/>
          <w:szCs w:val="56"/>
          <w:highlight w:val="none"/>
        </w:rPr>
        <w:t>采购需求、技术参数、规格</w:t>
      </w:r>
      <w:bookmarkEnd w:id="152"/>
      <w:bookmarkEnd w:id="153"/>
      <w:bookmarkEnd w:id="154"/>
      <w:bookmarkEnd w:id="155"/>
      <w:bookmarkEnd w:id="156"/>
    </w:p>
    <w:tbl>
      <w:tblPr>
        <w:tblStyle w:val="44"/>
        <w:tblW w:w="139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2"/>
        <w:gridCol w:w="1413"/>
        <w:gridCol w:w="10798"/>
        <w:gridCol w:w="619"/>
        <w:gridCol w:w="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6" w:hRule="atLeast"/>
        </w:trPr>
        <w:tc>
          <w:tcPr>
            <w:tcW w:w="1396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494"/>
              </w:tabs>
              <w:jc w:val="center"/>
              <w:textAlignment w:val="center"/>
              <w:rPr>
                <w:rFonts w:hint="eastAsia" w:ascii="宋体" w:hAnsi="宋体" w:eastAsia="宋体" w:cs="宋体"/>
                <w:b/>
                <w:i w:val="0"/>
                <w:color w:val="000000"/>
                <w:sz w:val="22"/>
                <w:szCs w:val="22"/>
                <w:u w:val="none"/>
                <w:lang w:eastAsia="zh-CN"/>
              </w:rPr>
            </w:pPr>
            <w:r>
              <w:rPr>
                <w:rFonts w:hint="eastAsia" w:ascii="宋体" w:hAnsi="宋体" w:eastAsia="宋体" w:cs="宋体"/>
                <w:b/>
                <w:i w:val="0"/>
                <w:color w:val="000000"/>
                <w:kern w:val="0"/>
                <w:sz w:val="44"/>
                <w:szCs w:val="44"/>
                <w:u w:val="none"/>
                <w:lang w:val="en-US" w:eastAsia="zh-CN" w:bidi="ar"/>
              </w:rPr>
              <w:t>生活类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序号</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项目名称</w:t>
            </w:r>
          </w:p>
        </w:tc>
        <w:tc>
          <w:tcPr>
            <w:tcW w:w="10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参数</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数量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床上用品</w:t>
            </w:r>
          </w:p>
        </w:tc>
        <w:tc>
          <w:tcPr>
            <w:tcW w:w="10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被褥、枕芯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被子规格：200*150cm，重量3公斤；</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褥子规格：200*85cm，重量：2.5公斤；</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枕芯规格：65*40cm，重量：200克；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被褥网套使用新疆本地2级全新棉花，外部用本白色纯棉包裹；枕芯布包裹，填充丝绵，所有产品为零甲醛,验收必须符合国标和采购方要求的抽检检验报告为准。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床上三件套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被套规格：210*160cm，床单规格：230*160cm，枕套规格：65*42cm,枕巾规格：80*50cm,整套均为纯棉面料。</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净水器</w:t>
            </w:r>
          </w:p>
        </w:tc>
        <w:tc>
          <w:tcPr>
            <w:tcW w:w="10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1.尺寸：1100*460*1450（水杯打水）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2.容量：35L水胆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3.功率：380V电源，4.5KW功率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4.出水方式：一开水，两温开水，一直饮水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5.龙头：轻触按键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6.过滤：五级过滤（反渗透）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7.纯水系统;内置400G纯水机+11.G压力桶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8.板材：两侧围板，前门板为黑钛无指纹，前上板为铝框，钢化玻璃，中板，水槽为304拉丝板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机脚：Φ50圆形机脚</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窗帘</w:t>
            </w:r>
          </w:p>
        </w:tc>
        <w:tc>
          <w:tcPr>
            <w:tcW w:w="10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面料:蓝色阻燃遮光布100%涤纶幅宽2.8米;阻燃:阻燃性能符合国内标准。</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防暴头盔</w:t>
            </w:r>
          </w:p>
        </w:tc>
        <w:tc>
          <w:tcPr>
            <w:tcW w:w="10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型号：HW-GK-001Q，材质：钢，尺寸：290*245*155（mm），重量：1.1kg，颜色：黑色</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橡胶警棍</w:t>
            </w:r>
          </w:p>
        </w:tc>
        <w:tc>
          <w:tcPr>
            <w:tcW w:w="10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黑色，橡胶材质，60cm</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9"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盾牌</w:t>
            </w:r>
          </w:p>
        </w:tc>
        <w:tc>
          <w:tcPr>
            <w:tcW w:w="10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4.0厚度长方形PC透明手持防护防暴盾牌</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防刺服</w:t>
            </w:r>
          </w:p>
        </w:tc>
        <w:tc>
          <w:tcPr>
            <w:tcW w:w="10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48片钨钢片，防水，防刺，防砍，黑色</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安保服（作训服）</w:t>
            </w:r>
          </w:p>
        </w:tc>
        <w:tc>
          <w:tcPr>
            <w:tcW w:w="10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户外长袖翻领保安服，涤棉材质</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一键式报警器</w:t>
            </w:r>
          </w:p>
        </w:tc>
        <w:tc>
          <w:tcPr>
            <w:tcW w:w="10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用户联防</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9"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U型叉</w:t>
            </w:r>
          </w:p>
        </w:tc>
        <w:tc>
          <w:tcPr>
            <w:tcW w:w="10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优质不锈钢，净重1公斤，收缩1.1米伸展1.95米，上管直径22mm，下管直径25mm</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安检门</w:t>
            </w:r>
          </w:p>
        </w:tc>
        <w:tc>
          <w:tcPr>
            <w:tcW w:w="10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一、功能及特点介绍: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（1）探测区内无盲区，探测区内各点探测均匀性好；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（2）精确定位：六个平均分布的独立探测区域划分，探测到目标物时，声光同时报警，当某一区位有金属时,控制面板上的LED矩阵灯板相应位置发光,精确而直观显示目标物的位置。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（3）模块化设计：采用模块化设计，安装方便，故障易于排除。</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（4）微处理器技术：控制更加灵活，通过控制面板可对全部参数进行编程预设，以满足用户的各种使用要求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（5）复合电路设计，红外装置，电脑自动识别，可有效降低误报和漏报，并能自动统计报警次数、通过人数。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（6）具有DSP信号处理数字过滤系统，有极佳的抗电磁干扰能力和较强的耐触摸和碰 撞能力，可在人多拥挤情况下正常运行。</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（7）灵敏度可调节器：每个探测区们有100个灵敏度级别，可根据探测要求调节到适当灵敏度．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（8）具有连续工作性能，任何时候不可能逃脱探测。能够自动测量和显示周围环境的干扰情况，有助于选择安装场地。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（9）密码保护设置：具有密码保护功能，只有输入正确的密码才能修改参数，非操作人员无法改变安检门参数设置，便于管理。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（10）符合当前所采用的国际安全标准，采用弱磁声发射技术，对心脏起搏本事者，孕妇，软盘，录像带等无损害．</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二、技术标准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（1）企业通过ISO9001:2008质量管理体系认证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（2）严格执行《GB 15210-1994. 通过式金属探测门通用技术条件》国家标准。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（3）基本安全：满足GB4793要求。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（4）人身安全：满足NILECJ-0601标准。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（5）辐射参照EN50081-1标准执行</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三、技术参数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（1）探测程序：100级灵敏度调节，可分别满足不同场合需要。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（2）人员通过率：大于40人次／每分钟。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（3）电源：220V AC，50/60Hz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（4）功耗: 35W。</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（5）工作环境：-10℃~45℃，≤95%RH。</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（6）通道尺寸：200（高）*68（宽）*56（深）CM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(7)外形尺寸：222（高）*80（宽）*67（深）CM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(8)包装尺寸：门板：230*72*25CM（2块/箱）</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主机箱：78*47*28CM（1个/箱）</w:t>
            </w:r>
            <w:bookmarkStart w:id="268" w:name="_GoBack"/>
            <w:bookmarkEnd w:id="268"/>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(9)净重：51kg/套 毛重：70kg/套</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人脸识别访客机</w:t>
            </w:r>
          </w:p>
        </w:tc>
        <w:tc>
          <w:tcPr>
            <w:tcW w:w="10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身份证登记，人证对比，打印访客单，</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x光机5030</w:t>
            </w:r>
          </w:p>
        </w:tc>
        <w:tc>
          <w:tcPr>
            <w:tcW w:w="10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  通道尺寸   500（宽）×300（高）mm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  传送带速度   0.2m/s</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  传送带额定负荷  150 kg</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  单次检查剂量    0.99</w:t>
            </w:r>
            <w:r>
              <w:rPr>
                <w:rStyle w:val="104"/>
                <w:lang w:val="en-US" w:eastAsia="zh-CN" w:bidi="ar"/>
              </w:rPr>
              <w:t>µ</w:t>
            </w:r>
            <w:r>
              <w:rPr>
                <w:rStyle w:val="124"/>
                <w:lang w:val="en-US" w:eastAsia="zh-CN" w:bidi="ar"/>
              </w:rPr>
              <w:t>Gy/h</w:t>
            </w:r>
            <w:r>
              <w:rPr>
                <w:rStyle w:val="124"/>
                <w:lang w:val="en-US" w:eastAsia="zh-CN" w:bidi="ar"/>
              </w:rPr>
              <w:br w:type="textWrapping"/>
            </w:r>
            <w:r>
              <w:rPr>
                <w:rStyle w:val="124"/>
                <w:lang w:val="en-US" w:eastAsia="zh-CN" w:bidi="ar"/>
              </w:rPr>
              <w:t>5  分辨力   直径0.0787mm金属线</w:t>
            </w:r>
            <w:r>
              <w:rPr>
                <w:rStyle w:val="124"/>
                <w:lang w:val="en-US" w:eastAsia="zh-CN" w:bidi="ar"/>
              </w:rPr>
              <w:br w:type="textWrapping"/>
            </w:r>
            <w:r>
              <w:rPr>
                <w:rStyle w:val="124"/>
                <w:lang w:val="en-US" w:eastAsia="zh-CN" w:bidi="ar"/>
              </w:rPr>
              <w:t>6  穿透分辨率         直径0.202mm金属丝</w:t>
            </w:r>
            <w:r>
              <w:rPr>
                <w:rStyle w:val="124"/>
                <w:lang w:val="en-US" w:eastAsia="zh-CN" w:bidi="ar"/>
              </w:rPr>
              <w:br w:type="textWrapping"/>
            </w:r>
            <w:r>
              <w:rPr>
                <w:rStyle w:val="124"/>
                <w:lang w:val="en-US" w:eastAsia="zh-CN" w:bidi="ar"/>
              </w:rPr>
              <w:t>7  穿透力   14mm钢板</w:t>
            </w:r>
            <w:r>
              <w:rPr>
                <w:rStyle w:val="124"/>
                <w:lang w:val="en-US" w:eastAsia="zh-CN" w:bidi="ar"/>
              </w:rPr>
              <w:br w:type="textWrapping"/>
            </w:r>
            <w:r>
              <w:rPr>
                <w:rStyle w:val="124"/>
                <w:lang w:val="en-US" w:eastAsia="zh-CN" w:bidi="ar"/>
              </w:rPr>
              <w:t>8  胶卷安全性  对ISO1600胶卷安全</w:t>
            </w:r>
            <w:r>
              <w:rPr>
                <w:rStyle w:val="124"/>
                <w:lang w:val="en-US" w:eastAsia="zh-CN" w:bidi="ar"/>
              </w:rPr>
              <w:br w:type="textWrapping"/>
            </w:r>
            <w:r>
              <w:rPr>
                <w:rStyle w:val="124"/>
                <w:lang w:val="en-US" w:eastAsia="zh-CN" w:bidi="ar"/>
              </w:rPr>
              <w:t>9  泄漏剂量   &lt;0.05</w:t>
            </w:r>
            <w:r>
              <w:rPr>
                <w:rStyle w:val="104"/>
                <w:lang w:val="en-US" w:eastAsia="zh-CN" w:bidi="ar"/>
              </w:rPr>
              <w:t>µ</w:t>
            </w:r>
            <w:r>
              <w:rPr>
                <w:rStyle w:val="124"/>
                <w:lang w:val="en-US" w:eastAsia="zh-CN" w:bidi="ar"/>
              </w:rPr>
              <w:t>Gy/h</w:t>
            </w:r>
            <w:r>
              <w:rPr>
                <w:rStyle w:val="124"/>
                <w:lang w:val="en-US" w:eastAsia="zh-CN" w:bidi="ar"/>
              </w:rPr>
              <w:br w:type="textWrapping"/>
            </w:r>
            <w:r>
              <w:rPr>
                <w:rStyle w:val="124"/>
                <w:lang w:val="en-US" w:eastAsia="zh-CN" w:bidi="ar"/>
              </w:rPr>
              <w:t>10  空间分辨力       水平：Φ1.0mm，垂直：Φ1.0mm</w:t>
            </w:r>
            <w:r>
              <w:rPr>
                <w:rStyle w:val="124"/>
                <w:lang w:val="en-US" w:eastAsia="zh-CN" w:bidi="ar"/>
              </w:rPr>
              <w:br w:type="textWrapping"/>
            </w:r>
            <w:r>
              <w:rPr>
                <w:rStyle w:val="124"/>
                <w:lang w:val="en-US" w:eastAsia="zh-CN" w:bidi="ar"/>
              </w:rPr>
              <w:t>三、X射线发生器</w:t>
            </w:r>
            <w:r>
              <w:rPr>
                <w:rStyle w:val="124"/>
                <w:lang w:val="en-US" w:eastAsia="zh-CN" w:bidi="ar"/>
              </w:rPr>
              <w:br w:type="textWrapping"/>
            </w:r>
            <w:r>
              <w:rPr>
                <w:rStyle w:val="124"/>
                <w:lang w:val="en-US" w:eastAsia="zh-CN" w:bidi="ar"/>
              </w:rPr>
              <w:t>1、射线束方向 底照式</w:t>
            </w:r>
            <w:r>
              <w:rPr>
                <w:rStyle w:val="124"/>
                <w:lang w:val="en-US" w:eastAsia="zh-CN" w:bidi="ar"/>
              </w:rPr>
              <w:br w:type="textWrapping"/>
            </w:r>
            <w:r>
              <w:rPr>
                <w:rStyle w:val="124"/>
                <w:lang w:val="en-US" w:eastAsia="zh-CN" w:bidi="ar"/>
              </w:rPr>
              <w:t>2、管电流    0.6mA</w:t>
            </w:r>
            <w:r>
              <w:rPr>
                <w:rStyle w:val="124"/>
                <w:lang w:val="en-US" w:eastAsia="zh-CN" w:bidi="ar"/>
              </w:rPr>
              <w:br w:type="textWrapping"/>
            </w:r>
            <w:r>
              <w:rPr>
                <w:rStyle w:val="124"/>
                <w:lang w:val="en-US" w:eastAsia="zh-CN" w:bidi="ar"/>
              </w:rPr>
              <w:t>3、管电压    80kV</w:t>
            </w:r>
            <w:r>
              <w:rPr>
                <w:rStyle w:val="124"/>
                <w:lang w:val="en-US" w:eastAsia="zh-CN" w:bidi="ar"/>
              </w:rPr>
              <w:br w:type="textWrapping"/>
            </w:r>
            <w:r>
              <w:rPr>
                <w:rStyle w:val="124"/>
                <w:lang w:val="en-US" w:eastAsia="zh-CN" w:bidi="ar"/>
              </w:rPr>
              <w:t>4、射线束发散角 60°</w:t>
            </w:r>
            <w:r>
              <w:rPr>
                <w:rStyle w:val="124"/>
                <w:lang w:val="en-US" w:eastAsia="zh-CN" w:bidi="ar"/>
              </w:rPr>
              <w:br w:type="textWrapping"/>
            </w:r>
            <w:r>
              <w:rPr>
                <w:rStyle w:val="124"/>
                <w:lang w:val="en-US" w:eastAsia="zh-CN" w:bidi="ar"/>
              </w:rPr>
              <w:t>5、冷却／工作周期 密封式油冷／100％</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安防辣椒水</w:t>
            </w:r>
          </w:p>
        </w:tc>
        <w:tc>
          <w:tcPr>
            <w:tcW w:w="10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催泪喷射器主要技术性能，成分：强烈的辛辣素CS混合刺激剂，110ml尺寸：35*150mm，质量110g，60ml尺寸：35*117mm质量60g，喷射距离：大于3米，喷射时间：大于4S，喷射速度：大于8.5g/s，使用环境温度：-30～45摄氏度</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微型消防站</w:t>
            </w:r>
          </w:p>
        </w:tc>
        <w:tc>
          <w:tcPr>
            <w:tcW w:w="10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高度：180CM,长度：100CM,宽度：40CM，内外喷塑防火漆，柜内垫隔板加折型受力超过1.3板的受力。</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备注：根据消防及学校要求，配齐消防站里所需的物品，不产生额外的费用</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道闸</w:t>
            </w:r>
          </w:p>
        </w:tc>
        <w:tc>
          <w:tcPr>
            <w:tcW w:w="10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低功耗电机，带防砸功能、匀速道闸机。桔红色，3秒起落杆，一体机快速道闸，送遥控器，根据现场配置5.8米以下伸缩杆。</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1"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打印机</w:t>
            </w:r>
          </w:p>
        </w:tc>
        <w:tc>
          <w:tcPr>
            <w:tcW w:w="10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一、主要参数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最大打印幅面：A4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是否支持自动双面打印：是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是否支持网络打印：是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能效等级：未知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接口类型：USB 2.0(附带连接线）/100Base-TX(RJ-45网络接口）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耗材类型：鼓粉分离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产品类型：黑白激光</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二、技术参数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最大分辨率（dpl)：HQ1200、600×600dpi</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支持操作系统：Windows XP Home Edition. XP Professional Edition, XP Professional x64 Edition, Server 2003. Server 2003 x64 E dition, Vista, Server 2008, server 2008 R2. 7.8, 8.1, Serv er 2012. Server 2012 R2 Mac OS X v10.7.5.10.8.x.10.9x(Download only) CUPS, LPD/LPRng (x86/X64 environm ent)</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网络功能：无线网络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首页打印时间：8.5秒</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内存容里（MB)：32MB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黑白打印速度（页/分钟）：30页/分钟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供纸盒容量（张）：250页张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电源电压（V);220V</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打印幅面:A4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处理器频率（MHZ):266MHz</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出低盒容量（页）:100页</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三、服务信息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质保时间 (个月)：36个月</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A4打印复印机</w:t>
            </w:r>
          </w:p>
        </w:tc>
        <w:tc>
          <w:tcPr>
            <w:tcW w:w="10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一、一般特性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1.打印引擎：黑白激光</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2.接口：高速VSB2.0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3.内存：32MB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4.纸张处理：1页</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5.标准纸盒输入量：250页</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6.介质类型：普通纸、薄纸、再生纸</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7.介质尺寸：A4,B5(JIS),A5,letter,A5(长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边）,Executive,A6,16K(195x270mm),16K(184x260mm),16K(197x273mm)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8.液晶显示：10汉字（20字符）x2行</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9.支持操作系统：Windows:Windows XP Home Edition,XP Professional Edition, XP professional x64 Edition, Windows Vista, Windows 7, 8, 8.1: Macintosh: 0S X v10.7.5, 10.8.x,10.9.x(仅下载）,Linux:CUPS,LPD/LPRng(x86/x64环境）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二、复印参数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1.复印速度：30ppm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2.分辨率：600x600dpi</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3.放大缩小复印：25%-400%(调整为1%)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4.N合1复印：有</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三、扫描参数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1.扫描分辨率（光学）:高达600x2400dpi</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2.扫描分辨率（插值）:高达19,200x19,200dpi</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3.灰度等级：10位输入/8位输出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4.色深：30位输入/24位输出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四、打印参数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1.打印速度：30cpm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2.首页打印输出时间：少于8.5秒</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3.分辨率：600*600dpi,HQ1200dpi</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4.打印仿真语言：GDI</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五、电话、传真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1.调制解调器速度：33,600bps(Fax)</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2.单键拨号：可存储8个号码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3.速拨号：可存储200个号码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4.组拨号：高达20组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5.多址发送：同一份传真可同时发送给258个地址</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6.内存发送/无纸接收：高达400页（ITU-T测试样张，辨率，JBIG)</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7.PC-FAX:从计算机上发送和接收传真（在Macintos.Linux系统下仅支持发送）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六、其他参数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1.尺寸和重量：481x398.5x316.5mm/11.9kg</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2.耗电量：打印/待机/深度休眠：510瓦/6.6瓦/1.1瓦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3.噪音等级：LpAm=50.0 dB(A)/LpAm=33.0 dB(A</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4.中国节能认证：有</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1"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A3打印复印机</w:t>
            </w:r>
          </w:p>
        </w:tc>
        <w:tc>
          <w:tcPr>
            <w:tcW w:w="10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一、复印参数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类型：A3黑白多功能复合机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内存：32MB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原稿类型：纸张，书本</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输出幅面：A3至A5(11"X17"至5-1/2"*8-1/2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纸张容量：350张（纸盒250张+多功能手送托盘100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预热时间：低于29秒</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复印速度：18张/分钟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连续复印：1-99张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浓度模式：文本模式/图片模式/自动模式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功耗：≤800W</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体积（宽X深X高）:570MM*531MM*449MM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标准功能：数码复印机/打印机/扫描仪</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灰阶：256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原稿幅面：A3(11"*17")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非复印区域：顶部&amp;底部边缘：4MM/右侧&amp;左侧边缘：4MM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纸张克重：64~157g/m2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首页复印时间：低于8秒</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分辨率：600dpiX600dpi</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复印缩放倍率：50-200%(以1%为增量）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要求：AC220-240V 3.5A(50/60Hz)</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重量：23.6KG</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二、打印参数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类型：内置式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打印速度：18页/分钟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内存：与复合机共享</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打印分辨率：：300X600DP1,600X600DPI</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操作系统：Windows server 2008/Server 2008 64bit/Vista/Vista/64bit/7/7 64bit/8/8 64bit8.1/8.1 64bit Red Hat Enterprise Linux 5(CUPS Ver1.2.4)/Red Hat Enterprise Linux 5(CUPS Vdr1.2.4)64bit，SUSE Linux Enterprise Desktop (CUPS V1J.23)，SUSE Linux Enterprise Desktop (CUPS V1J.23) 64bit</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接口：USB1.1/2.0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三、扫描参数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类型：台式扫描仪</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扫描幅面：A3(11"*17")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扫描分辨率：150dpi*150dpi，300dpi*300dpi，600dpi*600dpi</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驱动：TWAIN驱动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接口：USB1.1/2.0</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1" w:hRule="atLeast"/>
        </w:trPr>
        <w:tc>
          <w:tcPr>
            <w:tcW w:w="1396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床上用品：</w:t>
            </w:r>
            <w:r>
              <w:rPr>
                <w:rFonts w:hint="default" w:ascii="宋体" w:hAnsi="宋体" w:eastAsia="宋体" w:cs="宋体"/>
                <w:i w:val="0"/>
                <w:iCs w:val="0"/>
                <w:color w:val="000000"/>
                <w:kern w:val="0"/>
                <w:sz w:val="22"/>
                <w:szCs w:val="22"/>
                <w:u w:val="none"/>
                <w:lang w:val="en-US" w:eastAsia="zh-CN" w:bidi="ar"/>
              </w:rPr>
              <w:t>其他要求:</w:t>
            </w:r>
          </w:p>
          <w:p>
            <w:pPr>
              <w:keepNext w:val="0"/>
              <w:keepLines w:val="0"/>
              <w:widowControl/>
              <w:suppressLineNumbers w:val="0"/>
              <w:ind w:firstLine="440" w:firstLineChars="20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床上用品要求:生产企业应严格执行国家相关标准要求组织生产，床单被罩安全及质量应符合GB18401-2010《国家纺织产品基本安全技术规范》、GB31701-2015《婴幼儿及儿童纺织产品安全技术规范》、GB18383-2007等国家标准。</w:t>
            </w:r>
          </w:p>
          <w:p>
            <w:pPr>
              <w:keepNext w:val="0"/>
              <w:keepLines w:val="0"/>
              <w:widowControl/>
              <w:suppressLineNumbers w:val="0"/>
              <w:ind w:firstLine="440" w:firstLineChars="20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2.其他要求:中标企业提供的床上用品必须持有和田地区纤检所出具的本次所供校服的检测报告，中标企业必须落实“双备案、双送检”的制度要求，所有检测所需费用全部由中标企业承担。</w:t>
            </w:r>
          </w:p>
          <w:p>
            <w:pPr>
              <w:keepNext w:val="0"/>
              <w:keepLines w:val="0"/>
              <w:widowControl/>
              <w:suppressLineNumbers w:val="0"/>
              <w:ind w:firstLine="440" w:firstLineChars="20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备注： </w:t>
            </w:r>
            <w:r>
              <w:rPr>
                <w:rFonts w:hint="eastAsia" w:ascii="宋体" w:hAnsi="宋体" w:cs="宋体"/>
                <w:i w:val="0"/>
                <w:iCs w:val="0"/>
                <w:color w:val="000000"/>
                <w:kern w:val="0"/>
                <w:sz w:val="22"/>
                <w:szCs w:val="22"/>
                <w:u w:val="none"/>
                <w:lang w:val="en-US" w:eastAsia="zh-CN" w:bidi="ar"/>
              </w:rPr>
              <w:t xml:space="preserve">  </w:t>
            </w:r>
          </w:p>
          <w:p>
            <w:pPr>
              <w:keepNext w:val="0"/>
              <w:keepLines w:val="0"/>
              <w:widowControl/>
              <w:suppressLineNumbers w:val="0"/>
              <w:ind w:firstLine="440" w:firstLineChars="20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上述技术指标中凡有品牌描述或指向某品牌均为参考指标，但所投产品参数不得低于上述要求。</w:t>
            </w:r>
          </w:p>
          <w:p>
            <w:pPr>
              <w:keepNext w:val="0"/>
              <w:keepLines w:val="0"/>
              <w:widowControl/>
              <w:suppressLineNumbers w:val="0"/>
              <w:ind w:firstLine="440" w:firstLineChars="20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default" w:ascii="宋体" w:hAnsi="宋体" w:eastAsia="宋体" w:cs="宋体"/>
                <w:i w:val="0"/>
                <w:iCs w:val="0"/>
                <w:color w:val="000000"/>
                <w:kern w:val="0"/>
                <w:sz w:val="22"/>
                <w:szCs w:val="22"/>
                <w:u w:val="none"/>
                <w:lang w:val="en-US" w:eastAsia="zh-CN" w:bidi="ar"/>
              </w:rPr>
              <w:t>货物的供应、运输、装卸、安装、调试、使用操作培训和相关服务等。</w:t>
            </w:r>
          </w:p>
          <w:p>
            <w:pPr>
              <w:keepNext w:val="0"/>
              <w:keepLines w:val="0"/>
              <w:widowControl/>
              <w:suppressLineNumbers w:val="0"/>
              <w:ind w:firstLine="440" w:firstLineChars="20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r>
              <w:rPr>
                <w:rFonts w:hint="default" w:ascii="宋体" w:hAnsi="宋体" w:eastAsia="宋体" w:cs="宋体"/>
                <w:i w:val="0"/>
                <w:iCs w:val="0"/>
                <w:color w:val="000000"/>
                <w:kern w:val="0"/>
                <w:sz w:val="22"/>
                <w:szCs w:val="22"/>
                <w:u w:val="none"/>
                <w:lang w:val="en-US" w:eastAsia="zh-CN" w:bidi="ar"/>
              </w:rPr>
              <w:t>、税费、运输、保险费及安装调试费的其它费用均含在单项报价中。</w:t>
            </w:r>
          </w:p>
        </w:tc>
      </w:tr>
    </w:tbl>
    <w:p>
      <w:pPr>
        <w:widowControl w:val="0"/>
        <w:numPr>
          <w:ilvl w:val="0"/>
          <w:numId w:val="0"/>
        </w:numPr>
        <w:jc w:val="center"/>
        <w:rPr>
          <w:rFonts w:hint="eastAsia" w:ascii="仿宋" w:hAnsi="仿宋" w:eastAsia="仿宋" w:cs="仿宋"/>
          <w:b/>
          <w:bCs/>
          <w:color w:val="auto"/>
          <w:sz w:val="36"/>
          <w:szCs w:val="56"/>
          <w:highlight w:val="none"/>
        </w:rPr>
      </w:pPr>
    </w:p>
    <w:p>
      <w:pPr>
        <w:widowControl w:val="0"/>
        <w:numPr>
          <w:ilvl w:val="0"/>
          <w:numId w:val="0"/>
        </w:numPr>
        <w:jc w:val="center"/>
        <w:rPr>
          <w:rFonts w:hint="eastAsia" w:ascii="仿宋" w:hAnsi="仿宋" w:eastAsia="仿宋" w:cs="仿宋"/>
          <w:b/>
          <w:bCs/>
          <w:color w:val="auto"/>
          <w:sz w:val="36"/>
          <w:szCs w:val="56"/>
          <w:highlight w:val="none"/>
        </w:rPr>
      </w:pPr>
    </w:p>
    <w:p>
      <w:pPr>
        <w:widowControl w:val="0"/>
        <w:numPr>
          <w:ilvl w:val="0"/>
          <w:numId w:val="0"/>
        </w:numPr>
        <w:jc w:val="center"/>
        <w:rPr>
          <w:rFonts w:hint="eastAsia" w:ascii="仿宋" w:hAnsi="仿宋" w:eastAsia="仿宋" w:cs="仿宋"/>
          <w:b/>
          <w:bCs/>
          <w:color w:val="auto"/>
          <w:sz w:val="36"/>
          <w:szCs w:val="56"/>
          <w:highlight w:val="none"/>
        </w:rPr>
      </w:pPr>
    </w:p>
    <w:p>
      <w:pPr>
        <w:widowControl w:val="0"/>
        <w:numPr>
          <w:ilvl w:val="0"/>
          <w:numId w:val="0"/>
        </w:numPr>
        <w:jc w:val="center"/>
        <w:rPr>
          <w:rFonts w:hint="eastAsia" w:ascii="仿宋" w:hAnsi="仿宋" w:eastAsia="仿宋" w:cs="仿宋"/>
          <w:b/>
          <w:bCs/>
          <w:color w:val="auto"/>
          <w:sz w:val="36"/>
          <w:szCs w:val="56"/>
          <w:highlight w:val="none"/>
        </w:rPr>
      </w:pPr>
    </w:p>
    <w:p>
      <w:pPr>
        <w:widowControl w:val="0"/>
        <w:numPr>
          <w:ilvl w:val="0"/>
          <w:numId w:val="0"/>
        </w:numPr>
        <w:jc w:val="center"/>
        <w:rPr>
          <w:rFonts w:hint="eastAsia" w:ascii="仿宋" w:hAnsi="仿宋" w:eastAsia="仿宋" w:cs="仿宋"/>
          <w:b/>
          <w:bCs/>
          <w:color w:val="auto"/>
          <w:sz w:val="36"/>
          <w:szCs w:val="56"/>
          <w:highlight w:val="none"/>
        </w:rPr>
      </w:pPr>
    </w:p>
    <w:p>
      <w:pPr>
        <w:widowControl w:val="0"/>
        <w:numPr>
          <w:ilvl w:val="0"/>
          <w:numId w:val="0"/>
        </w:numPr>
        <w:jc w:val="center"/>
        <w:rPr>
          <w:rFonts w:hint="eastAsia" w:ascii="仿宋" w:hAnsi="仿宋" w:eastAsia="仿宋" w:cs="仿宋"/>
          <w:b/>
          <w:bCs/>
          <w:color w:val="auto"/>
          <w:sz w:val="36"/>
          <w:szCs w:val="56"/>
          <w:highlight w:val="none"/>
        </w:rPr>
      </w:pPr>
    </w:p>
    <w:p>
      <w:pPr>
        <w:widowControl w:val="0"/>
        <w:numPr>
          <w:ilvl w:val="0"/>
          <w:numId w:val="0"/>
        </w:numPr>
        <w:jc w:val="center"/>
        <w:rPr>
          <w:rFonts w:hint="eastAsia" w:ascii="仿宋" w:hAnsi="仿宋" w:eastAsia="仿宋" w:cs="仿宋"/>
          <w:b/>
          <w:bCs/>
          <w:color w:val="auto"/>
          <w:sz w:val="36"/>
          <w:szCs w:val="56"/>
          <w:highlight w:val="none"/>
        </w:rPr>
      </w:pPr>
    </w:p>
    <w:tbl>
      <w:tblPr>
        <w:tblStyle w:val="44"/>
        <w:tblW w:w="139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533"/>
        <w:gridCol w:w="2010"/>
        <w:gridCol w:w="1256"/>
        <w:gridCol w:w="6815"/>
        <w:gridCol w:w="832"/>
        <w:gridCol w:w="668"/>
        <w:gridCol w:w="18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10" w:hRule="atLeast"/>
        </w:trPr>
        <w:tc>
          <w:tcPr>
            <w:tcW w:w="13988" w:type="dxa"/>
            <w:gridSpan w:val="7"/>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校园文化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12" w:hRule="atLeast"/>
        </w:trPr>
        <w:tc>
          <w:tcPr>
            <w:tcW w:w="533" w:type="dxa"/>
            <w:vMerge w:val="restar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201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256" w:type="dxa"/>
            <w:vMerge w:val="restar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规格尺寸</w:t>
            </w:r>
          </w:p>
        </w:tc>
        <w:tc>
          <w:tcPr>
            <w:tcW w:w="681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工艺材质</w:t>
            </w:r>
          </w:p>
        </w:tc>
        <w:tc>
          <w:tcPr>
            <w:tcW w:w="832" w:type="dxa"/>
            <w:vMerge w:val="restar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668" w:type="dxa"/>
            <w:vMerge w:val="restar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87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12" w:hRule="atLeast"/>
        </w:trPr>
        <w:tc>
          <w:tcPr>
            <w:tcW w:w="533"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1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256"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81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32"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68"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7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1" w:hRule="atLeast"/>
        </w:trPr>
        <w:tc>
          <w:tcPr>
            <w:tcW w:w="533"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081" w:type="dxa"/>
            <w:gridSpan w:val="3"/>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班级</w:t>
            </w:r>
          </w:p>
        </w:tc>
        <w:tc>
          <w:tcPr>
            <w:tcW w:w="832"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68"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7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00" w:hRule="atLeast"/>
        </w:trPr>
        <w:tc>
          <w:tcPr>
            <w:tcW w:w="53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1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班级信息栏</w:t>
            </w:r>
          </w:p>
        </w:tc>
        <w:tc>
          <w:tcPr>
            <w:tcW w:w="125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40*60</w:t>
            </w:r>
          </w:p>
        </w:tc>
        <w:tc>
          <w:tcPr>
            <w:tcW w:w="68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8mmPVC UV制作加5寸亚克力套子1个，8寸亚克力套子2个，A4亚克力套子1个，异性亚克力套子1个</w:t>
            </w:r>
          </w:p>
        </w:tc>
        <w:tc>
          <w:tcPr>
            <w:tcW w:w="83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6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874" w:type="dxa"/>
            <w:tcBorders>
              <w:tl2br w:val="nil"/>
              <w:tr2bl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8" w:hRule="atLeast"/>
        </w:trPr>
        <w:tc>
          <w:tcPr>
            <w:tcW w:w="53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1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班级前后标语</w:t>
            </w:r>
          </w:p>
        </w:tc>
        <w:tc>
          <w:tcPr>
            <w:tcW w:w="125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50*50</w:t>
            </w:r>
          </w:p>
        </w:tc>
        <w:tc>
          <w:tcPr>
            <w:tcW w:w="68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1cm红色PVC雕刻</w:t>
            </w:r>
          </w:p>
        </w:tc>
        <w:tc>
          <w:tcPr>
            <w:tcW w:w="83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w:t>
            </w:r>
          </w:p>
        </w:tc>
        <w:tc>
          <w:tcPr>
            <w:tcW w:w="66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874" w:type="dxa"/>
            <w:tcBorders>
              <w:tl2br w:val="nil"/>
              <w:tr2bl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93" w:hRule="atLeast"/>
        </w:trPr>
        <w:tc>
          <w:tcPr>
            <w:tcW w:w="53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01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班务栏</w:t>
            </w:r>
          </w:p>
        </w:tc>
        <w:tc>
          <w:tcPr>
            <w:tcW w:w="125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60*80</w:t>
            </w:r>
          </w:p>
        </w:tc>
        <w:tc>
          <w:tcPr>
            <w:tcW w:w="68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8mmPVC UV制作加A4亚克力套子4个</w:t>
            </w:r>
          </w:p>
        </w:tc>
        <w:tc>
          <w:tcPr>
            <w:tcW w:w="83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6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874" w:type="dxa"/>
            <w:tcBorders>
              <w:tl2br w:val="nil"/>
              <w:tr2bl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11" w:hRule="atLeast"/>
        </w:trPr>
        <w:tc>
          <w:tcPr>
            <w:tcW w:w="53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01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世界地图</w:t>
            </w:r>
          </w:p>
        </w:tc>
        <w:tc>
          <w:tcPr>
            <w:tcW w:w="125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150*120</w:t>
            </w:r>
          </w:p>
        </w:tc>
        <w:tc>
          <w:tcPr>
            <w:tcW w:w="68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背胶覆膜或成品，直接购买使用</w:t>
            </w:r>
          </w:p>
        </w:tc>
        <w:tc>
          <w:tcPr>
            <w:tcW w:w="83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6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874" w:type="dxa"/>
            <w:tcBorders>
              <w:tl2br w:val="nil"/>
              <w:tr2bl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46" w:hRule="atLeast"/>
        </w:trPr>
        <w:tc>
          <w:tcPr>
            <w:tcW w:w="53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01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中国地图</w:t>
            </w:r>
          </w:p>
        </w:tc>
        <w:tc>
          <w:tcPr>
            <w:tcW w:w="125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150*120</w:t>
            </w:r>
          </w:p>
        </w:tc>
        <w:tc>
          <w:tcPr>
            <w:tcW w:w="68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背胶覆膜或成品，直接购买使用</w:t>
            </w:r>
          </w:p>
        </w:tc>
        <w:tc>
          <w:tcPr>
            <w:tcW w:w="83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6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874" w:type="dxa"/>
            <w:tcBorders>
              <w:tl2br w:val="nil"/>
              <w:tr2bl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00" w:hRule="atLeast"/>
        </w:trPr>
        <w:tc>
          <w:tcPr>
            <w:tcW w:w="53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01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习近平合影</w:t>
            </w:r>
          </w:p>
        </w:tc>
        <w:tc>
          <w:tcPr>
            <w:tcW w:w="125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44*66</w:t>
            </w:r>
          </w:p>
        </w:tc>
        <w:tc>
          <w:tcPr>
            <w:tcW w:w="68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写真覆KT板</w:t>
            </w:r>
          </w:p>
        </w:tc>
        <w:tc>
          <w:tcPr>
            <w:tcW w:w="83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6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874" w:type="dxa"/>
            <w:tcBorders>
              <w:tl2br w:val="nil"/>
              <w:tr2bl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3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01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国旗</w:t>
            </w:r>
          </w:p>
        </w:tc>
        <w:tc>
          <w:tcPr>
            <w:tcW w:w="125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44*66</w:t>
            </w:r>
          </w:p>
        </w:tc>
        <w:tc>
          <w:tcPr>
            <w:tcW w:w="68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写真覆KT板</w:t>
            </w:r>
          </w:p>
        </w:tc>
        <w:tc>
          <w:tcPr>
            <w:tcW w:w="83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6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874" w:type="dxa"/>
            <w:tcBorders>
              <w:tl2br w:val="nil"/>
              <w:tr2bl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3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01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课前誓词一分钟</w:t>
            </w:r>
          </w:p>
        </w:tc>
        <w:tc>
          <w:tcPr>
            <w:tcW w:w="125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60*80</w:t>
            </w:r>
          </w:p>
        </w:tc>
        <w:tc>
          <w:tcPr>
            <w:tcW w:w="68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写真覆KT板加仿金属边框</w:t>
            </w:r>
          </w:p>
        </w:tc>
        <w:tc>
          <w:tcPr>
            <w:tcW w:w="83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6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874" w:type="dxa"/>
            <w:tcBorders>
              <w:tl2br w:val="nil"/>
              <w:tr2bl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3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01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社会主义核心价值观</w:t>
            </w:r>
          </w:p>
        </w:tc>
        <w:tc>
          <w:tcPr>
            <w:tcW w:w="125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60*80</w:t>
            </w:r>
          </w:p>
        </w:tc>
        <w:tc>
          <w:tcPr>
            <w:tcW w:w="68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写真覆KT板加仿金属边框</w:t>
            </w:r>
          </w:p>
        </w:tc>
        <w:tc>
          <w:tcPr>
            <w:tcW w:w="83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6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874" w:type="dxa"/>
            <w:tcBorders>
              <w:tl2br w:val="nil"/>
              <w:tr2bl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3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01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中小学生守则</w:t>
            </w:r>
          </w:p>
        </w:tc>
        <w:tc>
          <w:tcPr>
            <w:tcW w:w="125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60*80</w:t>
            </w:r>
          </w:p>
        </w:tc>
        <w:tc>
          <w:tcPr>
            <w:tcW w:w="68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写真覆KT板加仿金属边框</w:t>
            </w:r>
          </w:p>
        </w:tc>
        <w:tc>
          <w:tcPr>
            <w:tcW w:w="83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6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874" w:type="dxa"/>
            <w:tcBorders>
              <w:tl2br w:val="nil"/>
              <w:tr2bl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3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01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中小学生日常行为规范</w:t>
            </w:r>
          </w:p>
        </w:tc>
        <w:tc>
          <w:tcPr>
            <w:tcW w:w="1256"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1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3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6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874" w:type="dxa"/>
            <w:tcBorders>
              <w:tl2br w:val="nil"/>
              <w:tr2bl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3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01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眼保健操图解</w:t>
            </w:r>
          </w:p>
        </w:tc>
        <w:tc>
          <w:tcPr>
            <w:tcW w:w="125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60*80</w:t>
            </w:r>
          </w:p>
        </w:tc>
        <w:tc>
          <w:tcPr>
            <w:tcW w:w="68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写真覆KT板加仿金属边框</w:t>
            </w:r>
          </w:p>
        </w:tc>
        <w:tc>
          <w:tcPr>
            <w:tcW w:w="83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6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874" w:type="dxa"/>
            <w:tcBorders>
              <w:tl2br w:val="nil"/>
              <w:tr2bl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53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01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8071" w:type="dxa"/>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写真覆KT板、pvc等用海绵胶加玻璃胶安装或镜钉安装</w:t>
            </w:r>
          </w:p>
        </w:tc>
        <w:tc>
          <w:tcPr>
            <w:tcW w:w="83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w:t>
            </w:r>
          </w:p>
        </w:tc>
        <w:tc>
          <w:tcPr>
            <w:tcW w:w="66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874" w:type="dxa"/>
            <w:tcBorders>
              <w:tl2br w:val="nil"/>
              <w:tr2bl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53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81" w:type="dxa"/>
            <w:gridSpan w:val="3"/>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其他</w:t>
            </w:r>
          </w:p>
        </w:tc>
        <w:tc>
          <w:tcPr>
            <w:tcW w:w="83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6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874" w:type="dxa"/>
            <w:tcBorders>
              <w:tl2br w:val="nil"/>
              <w:tr2bl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tbl>
      <w:tblPr>
        <w:tblStyle w:val="44"/>
        <w:tblpPr w:leftFromText="180" w:rightFromText="180" w:vertAnchor="text" w:horzAnchor="page" w:tblpX="1462" w:tblpY="93"/>
        <w:tblOverlap w:val="never"/>
        <w:tblW w:w="139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14"/>
        <w:gridCol w:w="1869"/>
        <w:gridCol w:w="1800"/>
        <w:gridCol w:w="6294"/>
        <w:gridCol w:w="831"/>
        <w:gridCol w:w="685"/>
        <w:gridCol w:w="1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1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8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8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规格尺寸</w:t>
            </w:r>
          </w:p>
        </w:tc>
        <w:tc>
          <w:tcPr>
            <w:tcW w:w="629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工艺材质</w:t>
            </w:r>
          </w:p>
        </w:tc>
        <w:tc>
          <w:tcPr>
            <w:tcW w:w="831"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68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896"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00" w:hRule="atLeast"/>
        </w:trPr>
        <w:tc>
          <w:tcPr>
            <w:tcW w:w="61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6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宿舍制度</w:t>
            </w:r>
          </w:p>
        </w:tc>
        <w:tc>
          <w:tcPr>
            <w:tcW w:w="18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60*80</w:t>
            </w:r>
          </w:p>
        </w:tc>
        <w:tc>
          <w:tcPr>
            <w:tcW w:w="629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写真覆KT板加仿金属边框</w:t>
            </w:r>
          </w:p>
        </w:tc>
        <w:tc>
          <w:tcPr>
            <w:tcW w:w="831"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c>
          <w:tcPr>
            <w:tcW w:w="68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89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根据学校要求制定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00" w:hRule="atLeast"/>
        </w:trPr>
        <w:tc>
          <w:tcPr>
            <w:tcW w:w="61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6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食堂文化</w:t>
            </w:r>
          </w:p>
        </w:tc>
        <w:tc>
          <w:tcPr>
            <w:tcW w:w="18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50*100</w:t>
            </w:r>
          </w:p>
        </w:tc>
        <w:tc>
          <w:tcPr>
            <w:tcW w:w="629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1.2cmPVC UV制作</w:t>
            </w:r>
          </w:p>
        </w:tc>
        <w:tc>
          <w:tcPr>
            <w:tcW w:w="831"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68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89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根据学校要求制定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00" w:hRule="atLeast"/>
        </w:trPr>
        <w:tc>
          <w:tcPr>
            <w:tcW w:w="61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6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食堂标语</w:t>
            </w:r>
          </w:p>
        </w:tc>
        <w:tc>
          <w:tcPr>
            <w:tcW w:w="18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60*60</w:t>
            </w:r>
          </w:p>
        </w:tc>
        <w:tc>
          <w:tcPr>
            <w:tcW w:w="629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1.2cm红色PVC雕刻装方式：玻璃胶固定</w:t>
            </w:r>
          </w:p>
        </w:tc>
        <w:tc>
          <w:tcPr>
            <w:tcW w:w="831"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68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89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根据学校要求制定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00" w:hRule="atLeast"/>
        </w:trPr>
        <w:tc>
          <w:tcPr>
            <w:tcW w:w="61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6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食堂制度</w:t>
            </w:r>
          </w:p>
        </w:tc>
        <w:tc>
          <w:tcPr>
            <w:tcW w:w="18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60*80</w:t>
            </w:r>
          </w:p>
        </w:tc>
        <w:tc>
          <w:tcPr>
            <w:tcW w:w="629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写真覆KT板加仿金属边框</w:t>
            </w:r>
          </w:p>
        </w:tc>
        <w:tc>
          <w:tcPr>
            <w:tcW w:w="831"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8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89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根据学校要求制定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00" w:hRule="atLeast"/>
        </w:trPr>
        <w:tc>
          <w:tcPr>
            <w:tcW w:w="61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教学楼楼过道文化墙</w:t>
            </w:r>
          </w:p>
        </w:tc>
        <w:tc>
          <w:tcPr>
            <w:tcW w:w="18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根据现场尺寸和要求</w:t>
            </w:r>
          </w:p>
        </w:tc>
        <w:tc>
          <w:tcPr>
            <w:tcW w:w="629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1.5cmPVC雕刻+UV打印部分做立体效果；安装方式：玻璃胶固定</w:t>
            </w:r>
          </w:p>
        </w:tc>
        <w:tc>
          <w:tcPr>
            <w:tcW w:w="831"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8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w:t>
            </w:r>
          </w:p>
        </w:tc>
        <w:tc>
          <w:tcPr>
            <w:tcW w:w="189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根据学校要求制定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00" w:hRule="atLeast"/>
        </w:trPr>
        <w:tc>
          <w:tcPr>
            <w:tcW w:w="61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8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综合楼楼过道文化墙</w:t>
            </w:r>
          </w:p>
        </w:tc>
        <w:tc>
          <w:tcPr>
            <w:tcW w:w="18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根据现场尺寸和要求</w:t>
            </w:r>
          </w:p>
        </w:tc>
        <w:tc>
          <w:tcPr>
            <w:tcW w:w="629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1.6cmPVC雕刻+UV打印部分做立体效果；安装方式：玻璃胶固定</w:t>
            </w:r>
          </w:p>
        </w:tc>
        <w:tc>
          <w:tcPr>
            <w:tcW w:w="831"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8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w:t>
            </w:r>
          </w:p>
        </w:tc>
        <w:tc>
          <w:tcPr>
            <w:tcW w:w="189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根据学校要求制定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00" w:hRule="atLeast"/>
        </w:trPr>
        <w:tc>
          <w:tcPr>
            <w:tcW w:w="61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8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党建活动室文化墙</w:t>
            </w:r>
          </w:p>
        </w:tc>
        <w:tc>
          <w:tcPr>
            <w:tcW w:w="18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根据现场尺寸和要求</w:t>
            </w:r>
          </w:p>
        </w:tc>
        <w:tc>
          <w:tcPr>
            <w:tcW w:w="629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1.5cmPVC雕刻+UV打印部分做立体效果；安装方式：玻璃胶固定</w:t>
            </w:r>
          </w:p>
        </w:tc>
        <w:tc>
          <w:tcPr>
            <w:tcW w:w="831"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68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w:t>
            </w:r>
          </w:p>
        </w:tc>
        <w:tc>
          <w:tcPr>
            <w:tcW w:w="189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与党建有关内容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00" w:hRule="atLeast"/>
        </w:trPr>
        <w:tc>
          <w:tcPr>
            <w:tcW w:w="61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8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大门门垛校名钛金字</w:t>
            </w:r>
          </w:p>
        </w:tc>
        <w:tc>
          <w:tcPr>
            <w:tcW w:w="18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60cm*60cm</w:t>
            </w:r>
          </w:p>
        </w:tc>
        <w:tc>
          <w:tcPr>
            <w:tcW w:w="629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精工钛金立体字，激光切割，氩弧焊接，精工打磨，氟碳烤漆。</w:t>
            </w:r>
          </w:p>
        </w:tc>
        <w:tc>
          <w:tcPr>
            <w:tcW w:w="831"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8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89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根据学校要求制定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00" w:hRule="atLeast"/>
        </w:trPr>
        <w:tc>
          <w:tcPr>
            <w:tcW w:w="61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8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校园文化宣传栏</w:t>
            </w:r>
          </w:p>
        </w:tc>
        <w:tc>
          <w:tcPr>
            <w:tcW w:w="18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整体尺寸：280cm*250cm15cm、箱体尺寸：240cm*120cm</w:t>
            </w:r>
          </w:p>
        </w:tc>
        <w:tc>
          <w:tcPr>
            <w:tcW w:w="629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采用钢制镀锌材质，激光切割数控折弯，150*150立柱壁厚1.5，汽车烤漆工艺，高温静电喷塑5mm钢化玻璃面板，液压式开启画面，雨棚为飘带样式设计尺寸：10-30cm高*40*80cm宽*3-10cm厚，安装方式：混凝土预埋</w:t>
            </w:r>
          </w:p>
        </w:tc>
        <w:tc>
          <w:tcPr>
            <w:tcW w:w="831"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68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w:t>
            </w:r>
          </w:p>
        </w:tc>
        <w:tc>
          <w:tcPr>
            <w:tcW w:w="189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根据学校要求制定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00" w:hRule="atLeast"/>
        </w:trPr>
        <w:tc>
          <w:tcPr>
            <w:tcW w:w="13989" w:type="dxa"/>
            <w:gridSpan w:val="7"/>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bookmarkStart w:id="219" w:name="_Toc381970843"/>
            <w:bookmarkStart w:id="220" w:name="_Toc25217"/>
            <w:bookmarkStart w:id="221" w:name="_Toc29040"/>
            <w:bookmarkStart w:id="222" w:name="_Toc17546"/>
            <w:r>
              <w:rPr>
                <w:rFonts w:hint="default" w:ascii="宋体" w:hAnsi="宋体" w:eastAsia="宋体" w:cs="宋体"/>
                <w:i w:val="0"/>
                <w:iCs w:val="0"/>
                <w:color w:val="000000"/>
                <w:kern w:val="0"/>
                <w:sz w:val="22"/>
                <w:szCs w:val="22"/>
                <w:u w:val="none"/>
                <w:lang w:val="en-US" w:eastAsia="zh-CN" w:bidi="ar"/>
              </w:rPr>
              <w:t xml:space="preserve">备注： </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上述技术指标中凡有品牌描述或指向某品牌均为参考指标，但所投产品参数不得低于上述要求。</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default" w:ascii="宋体" w:hAnsi="宋体" w:eastAsia="宋体" w:cs="宋体"/>
                <w:i w:val="0"/>
                <w:iCs w:val="0"/>
                <w:color w:val="000000"/>
                <w:kern w:val="0"/>
                <w:sz w:val="22"/>
                <w:szCs w:val="22"/>
                <w:u w:val="none"/>
                <w:lang w:val="en-US" w:eastAsia="zh-CN" w:bidi="ar"/>
              </w:rPr>
              <w:t>货物的供应、运输、装卸、安装、调试、使用操作培训和相关服务等。</w:t>
            </w:r>
          </w:p>
          <w:p>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r>
              <w:rPr>
                <w:rFonts w:hint="default" w:ascii="宋体" w:hAnsi="宋体" w:eastAsia="宋体" w:cs="宋体"/>
                <w:i w:val="0"/>
                <w:iCs w:val="0"/>
                <w:color w:val="000000"/>
                <w:kern w:val="0"/>
                <w:sz w:val="22"/>
                <w:szCs w:val="22"/>
                <w:u w:val="none"/>
                <w:lang w:val="en-US" w:eastAsia="zh-CN" w:bidi="ar"/>
              </w:rPr>
              <w:t>、税费、运输、保险费及安装调试费的其它费用均含在单项报价中。</w:t>
            </w:r>
          </w:p>
        </w:tc>
      </w:tr>
      <w:bookmarkEnd w:id="36"/>
      <w:bookmarkEnd w:id="37"/>
      <w:bookmarkEnd w:id="38"/>
      <w:bookmarkEnd w:id="39"/>
      <w:bookmarkEnd w:id="40"/>
      <w:bookmarkEnd w:id="41"/>
      <w:bookmarkEnd w:id="42"/>
      <w:bookmarkEnd w:id="43"/>
      <w:bookmarkEnd w:id="44"/>
      <w:bookmarkEnd w:id="45"/>
      <w:bookmarkEnd w:id="46"/>
      <w:bookmarkEnd w:id="47"/>
      <w:bookmarkEnd w:id="48"/>
    </w:tbl>
    <w:p>
      <w:pPr>
        <w:spacing w:line="240" w:lineRule="auto"/>
        <w:rPr>
          <w:rFonts w:hint="eastAsia" w:ascii="宋体" w:hAnsi="宋体" w:eastAsia="宋体" w:cs="宋体"/>
          <w:color w:val="auto"/>
          <w:sz w:val="24"/>
          <w:szCs w:val="24"/>
          <w:highlight w:val="none"/>
        </w:rPr>
      </w:pPr>
    </w:p>
    <w:p>
      <w:pPr>
        <w:spacing w:line="240" w:lineRule="auto"/>
        <w:rPr>
          <w:rFonts w:hint="eastAsia" w:ascii="宋体" w:hAnsi="宋体" w:eastAsia="宋体" w:cs="宋体"/>
          <w:color w:val="auto"/>
          <w:sz w:val="24"/>
          <w:szCs w:val="24"/>
          <w:highlight w:val="none"/>
        </w:rPr>
        <w:sectPr>
          <w:headerReference r:id="rId7" w:type="default"/>
          <w:footerReference r:id="rId8" w:type="default"/>
          <w:pgSz w:w="16838" w:h="11906" w:orient="landscape"/>
          <w:pgMar w:top="1803" w:right="1440" w:bottom="1287" w:left="1440" w:header="851" w:footer="992" w:gutter="0"/>
          <w:pgBorders>
            <w:top w:val="none" w:sz="0" w:space="0"/>
            <w:left w:val="none" w:sz="0" w:space="0"/>
            <w:bottom w:val="none" w:sz="0" w:space="0"/>
            <w:right w:val="none" w:sz="0" w:space="0"/>
          </w:pgBorders>
          <w:pgNumType w:fmt="chineseCounting" w:start="1"/>
          <w:cols w:space="0" w:num="1"/>
          <w:rtlGutter w:val="0"/>
          <w:docGrid w:type="lines" w:linePitch="314" w:charSpace="0"/>
        </w:sectPr>
      </w:pPr>
    </w:p>
    <w:p>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u w:val="single"/>
        </w:rPr>
        <w:t xml:space="preserve">           </w:t>
      </w:r>
    </w:p>
    <w:p>
      <w:pPr>
        <w:spacing w:line="480" w:lineRule="auto"/>
        <w:jc w:val="both"/>
        <w:rPr>
          <w:rFonts w:hint="eastAsia" w:ascii="宋体" w:hAnsi="宋体" w:eastAsia="宋体" w:cs="宋体"/>
          <w:b/>
          <w:color w:val="auto"/>
          <w:sz w:val="24"/>
          <w:szCs w:val="24"/>
          <w:highlight w:val="none"/>
        </w:rPr>
      </w:pPr>
    </w:p>
    <w:p>
      <w:pPr>
        <w:spacing w:line="480" w:lineRule="auto"/>
        <w:jc w:val="center"/>
        <w:rPr>
          <w:rFonts w:hint="eastAsia" w:ascii="宋体" w:hAnsi="宋体" w:eastAsia="宋体" w:cs="宋体"/>
          <w:b/>
          <w:bCs/>
          <w:color w:val="auto"/>
          <w:sz w:val="48"/>
          <w:szCs w:val="56"/>
          <w:highlight w:val="none"/>
        </w:rPr>
      </w:pPr>
      <w:r>
        <w:rPr>
          <w:rFonts w:hint="eastAsia" w:ascii="宋体" w:hAnsi="宋体" w:eastAsia="宋体" w:cs="宋体"/>
          <w:b/>
          <w:bCs/>
          <w:color w:val="auto"/>
          <w:sz w:val="48"/>
          <w:szCs w:val="56"/>
          <w:highlight w:val="none"/>
        </w:rPr>
        <w:t>第</w:t>
      </w:r>
      <w:r>
        <w:rPr>
          <w:rFonts w:hint="eastAsia" w:ascii="宋体" w:hAnsi="宋体" w:eastAsia="宋体" w:cs="宋体"/>
          <w:b/>
          <w:bCs/>
          <w:color w:val="auto"/>
          <w:sz w:val="48"/>
          <w:szCs w:val="56"/>
          <w:highlight w:val="none"/>
          <w:lang w:val="en-US" w:eastAsia="zh-CN"/>
        </w:rPr>
        <w:t>五</w:t>
      </w:r>
      <w:r>
        <w:rPr>
          <w:rFonts w:hint="eastAsia" w:ascii="宋体" w:hAnsi="宋体" w:eastAsia="宋体" w:cs="宋体"/>
          <w:b/>
          <w:bCs/>
          <w:color w:val="auto"/>
          <w:sz w:val="48"/>
          <w:szCs w:val="56"/>
          <w:highlight w:val="none"/>
        </w:rPr>
        <w:t>章政府采购合同参考范本</w:t>
      </w:r>
    </w:p>
    <w:p>
      <w:pPr>
        <w:tabs>
          <w:tab w:val="center" w:pos="4214"/>
          <w:tab w:val="right" w:pos="8306"/>
        </w:tabs>
        <w:spacing w:line="600" w:lineRule="auto"/>
        <w:ind w:left="0" w:leftChars="0" w:firstLine="2530" w:firstLineChars="1050"/>
        <w:jc w:val="left"/>
        <w:rPr>
          <w:rFonts w:hint="eastAsia" w:ascii="黑体" w:hAnsi="黑体" w:eastAsia="黑体" w:cs="黑体"/>
          <w:b/>
          <w:bCs/>
          <w:color w:val="auto"/>
          <w:sz w:val="24"/>
          <w:szCs w:val="24"/>
          <w:lang w:val="en-US" w:eastAsia="zh-CN"/>
        </w:rPr>
      </w:pPr>
    </w:p>
    <w:p>
      <w:pPr>
        <w:tabs>
          <w:tab w:val="center" w:pos="4214"/>
          <w:tab w:val="right" w:pos="8306"/>
        </w:tabs>
        <w:spacing w:line="600" w:lineRule="auto"/>
        <w:ind w:left="0" w:leftChars="0" w:firstLine="2530" w:firstLineChars="1050"/>
        <w:jc w:val="left"/>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项目编码</w:t>
      </w:r>
      <w:r>
        <w:rPr>
          <w:rFonts w:hint="eastAsia" w:ascii="黑体" w:hAnsi="黑体" w:eastAsia="黑体" w:cs="黑体"/>
          <w:b/>
          <w:bCs/>
          <w:color w:val="auto"/>
          <w:sz w:val="24"/>
          <w:szCs w:val="24"/>
          <w:lang w:eastAsia="zh-CN"/>
        </w:rPr>
        <w:t>：</w:t>
      </w:r>
      <w:r>
        <w:rPr>
          <w:rFonts w:hint="eastAsia" w:ascii="黑体" w:hAnsi="黑体" w:eastAsia="黑体" w:cs="黑体"/>
          <w:b/>
          <w:bCs/>
          <w:color w:val="auto"/>
          <w:sz w:val="24"/>
          <w:szCs w:val="24"/>
          <w:lang w:val="en-US" w:eastAsia="zh-CN"/>
        </w:rPr>
        <w:t xml:space="preserve"> </w:t>
      </w:r>
    </w:p>
    <w:p>
      <w:pPr>
        <w:pStyle w:val="31"/>
        <w:ind w:left="0" w:leftChars="0" w:firstLine="2530" w:firstLineChars="1050"/>
        <w:jc w:val="left"/>
        <w:rPr>
          <w:rFonts w:hint="default"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 xml:space="preserve">合同编码： </w:t>
      </w:r>
    </w:p>
    <w:p>
      <w:pPr>
        <w:pStyle w:val="2"/>
        <w:rPr>
          <w:rFonts w:hint="default"/>
          <w:color w:val="auto"/>
          <w:lang w:val="en-US" w:eastAsia="zh-CN"/>
        </w:rPr>
      </w:pPr>
    </w:p>
    <w:p>
      <w:pPr>
        <w:tabs>
          <w:tab w:val="center" w:pos="4214"/>
          <w:tab w:val="right" w:pos="8306"/>
        </w:tabs>
        <w:spacing w:line="600" w:lineRule="auto"/>
        <w:jc w:val="center"/>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w:t>
      </w:r>
      <w:r>
        <w:rPr>
          <w:rFonts w:hint="eastAsia" w:ascii="黑体" w:hAnsi="黑体" w:eastAsia="黑体" w:cs="黑体"/>
          <w:b/>
          <w:bCs/>
          <w:color w:val="auto"/>
          <w:sz w:val="32"/>
          <w:szCs w:val="32"/>
          <w:lang w:val="en-US" w:eastAsia="zh-CN"/>
        </w:rPr>
        <w:t>2024年</w:t>
      </w:r>
      <w:r>
        <w:rPr>
          <w:rFonts w:hint="eastAsia" w:ascii="黑体" w:hAnsi="黑体" w:eastAsia="黑体" w:cs="黑体"/>
          <w:b/>
          <w:bCs/>
          <w:color w:val="auto"/>
          <w:sz w:val="32"/>
          <w:szCs w:val="32"/>
          <w:lang w:eastAsia="zh-CN"/>
        </w:rPr>
        <w:t>】</w:t>
      </w:r>
    </w:p>
    <w:p>
      <w:pPr>
        <w:pStyle w:val="43"/>
        <w:rPr>
          <w:rFonts w:hint="default" w:ascii="黑体" w:hAnsi="黑体" w:eastAsia="黑体" w:cs="黑体"/>
          <w:b/>
          <w:bCs/>
          <w:color w:val="auto"/>
          <w:sz w:val="24"/>
          <w:szCs w:val="24"/>
          <w:lang w:val="en-US" w:eastAsia="zh-CN"/>
        </w:rPr>
      </w:pPr>
    </w:p>
    <w:p>
      <w:pPr>
        <w:tabs>
          <w:tab w:val="center" w:pos="4214"/>
          <w:tab w:val="right" w:pos="8306"/>
        </w:tabs>
        <w:jc w:val="center"/>
        <w:rPr>
          <w:b/>
          <w:bCs/>
          <w:color w:val="auto"/>
          <w:sz w:val="24"/>
          <w:szCs w:val="24"/>
        </w:rPr>
      </w:pPr>
    </w:p>
    <w:p>
      <w:pPr>
        <w:rPr>
          <w:rFonts w:ascii="Trebuchet MS"/>
          <w:b/>
          <w:color w:val="auto"/>
          <w:szCs w:val="21"/>
        </w:rPr>
      </w:pPr>
    </w:p>
    <w:p>
      <w:pPr>
        <w:pStyle w:val="2"/>
        <w:rPr>
          <w:rFonts w:ascii="Trebuchet MS"/>
          <w:b/>
          <w:color w:val="auto"/>
          <w:szCs w:val="21"/>
        </w:rPr>
      </w:pPr>
    </w:p>
    <w:p>
      <w:pPr>
        <w:rPr>
          <w:rFonts w:ascii="Trebuchet MS"/>
          <w:b/>
          <w:color w:val="auto"/>
          <w:szCs w:val="21"/>
        </w:rPr>
      </w:pPr>
    </w:p>
    <w:p>
      <w:pPr>
        <w:pStyle w:val="2"/>
        <w:rPr>
          <w:color w:val="auto"/>
        </w:rPr>
      </w:pPr>
    </w:p>
    <w:p>
      <w:pPr>
        <w:tabs>
          <w:tab w:val="left" w:pos="850"/>
        </w:tabs>
        <w:autoSpaceDE w:val="0"/>
        <w:autoSpaceDN w:val="0"/>
        <w:ind w:left="1928" w:hanging="1687" w:hangingChars="600"/>
        <w:textAlignment w:val="bottom"/>
        <w:rPr>
          <w:rFonts w:hint="eastAsia" w:ascii="Trebuchet MS" w:eastAsia="宋体"/>
          <w:b/>
          <w:color w:val="auto"/>
          <w:sz w:val="28"/>
          <w:szCs w:val="28"/>
          <w:u w:val="single"/>
          <w:lang w:eastAsia="zh-CN"/>
        </w:rPr>
      </w:pPr>
      <w:r>
        <w:rPr>
          <w:rFonts w:hint="eastAsia" w:ascii="Trebuchet MS"/>
          <w:b/>
          <w:color w:val="auto"/>
          <w:sz w:val="28"/>
          <w:szCs w:val="28"/>
        </w:rPr>
        <w:t>甲方(需方)：</w:t>
      </w:r>
      <w:r>
        <w:rPr>
          <w:rFonts w:hint="eastAsia" w:ascii="Trebuchet MS"/>
          <w:b/>
          <w:color w:val="auto"/>
          <w:sz w:val="28"/>
          <w:szCs w:val="28"/>
          <w:u w:val="single"/>
          <w:lang w:eastAsia="zh-CN"/>
        </w:rPr>
        <w:t>墨玉县教育局</w:t>
      </w:r>
    </w:p>
    <w:p>
      <w:pPr>
        <w:tabs>
          <w:tab w:val="left" w:pos="850"/>
        </w:tabs>
        <w:autoSpaceDE w:val="0"/>
        <w:autoSpaceDN w:val="0"/>
        <w:textAlignment w:val="bottom"/>
        <w:rPr>
          <w:rFonts w:hint="eastAsia" w:ascii="Trebuchet MS"/>
          <w:b/>
          <w:color w:val="auto"/>
          <w:sz w:val="28"/>
          <w:szCs w:val="28"/>
          <w:u w:val="single"/>
        </w:rPr>
      </w:pPr>
    </w:p>
    <w:p>
      <w:pPr>
        <w:pStyle w:val="34"/>
        <w:rPr>
          <w:color w:val="auto"/>
        </w:rPr>
      </w:pPr>
    </w:p>
    <w:p>
      <w:pPr>
        <w:pStyle w:val="34"/>
        <w:rPr>
          <w:color w:val="auto"/>
        </w:rPr>
      </w:pPr>
    </w:p>
    <w:p>
      <w:pPr>
        <w:pStyle w:val="34"/>
        <w:rPr>
          <w:color w:val="auto"/>
        </w:rPr>
      </w:pPr>
    </w:p>
    <w:p>
      <w:pPr>
        <w:tabs>
          <w:tab w:val="left" w:pos="850"/>
        </w:tabs>
        <w:autoSpaceDE w:val="0"/>
        <w:autoSpaceDN w:val="0"/>
        <w:textAlignment w:val="bottom"/>
        <w:rPr>
          <w:rFonts w:hint="default" w:eastAsiaTheme="minorEastAsia"/>
          <w:b/>
          <w:bCs/>
          <w:color w:val="auto"/>
          <w:sz w:val="44"/>
          <w:szCs w:val="44"/>
          <w:lang w:val="en-US" w:eastAsia="zh-CN"/>
        </w:rPr>
      </w:pPr>
      <w:r>
        <w:rPr>
          <w:rFonts w:hint="eastAsia" w:ascii="Trebuchet MS"/>
          <w:b/>
          <w:color w:val="auto"/>
          <w:sz w:val="28"/>
          <w:szCs w:val="28"/>
        </w:rPr>
        <w:t>乙方(供方)：</w:t>
      </w:r>
      <w:r>
        <w:rPr>
          <w:rFonts w:hint="eastAsia" w:ascii="Trebuchet MS"/>
          <w:b/>
          <w:color w:val="auto"/>
          <w:sz w:val="28"/>
          <w:szCs w:val="28"/>
          <w:highlight w:val="none"/>
          <w:lang w:val="en-US" w:eastAsia="zh-CN"/>
        </w:rPr>
        <w:t>中标单位名称</w:t>
      </w:r>
    </w:p>
    <w:p>
      <w:pPr>
        <w:pStyle w:val="2"/>
        <w:rPr>
          <w:rFonts w:hint="eastAsia"/>
          <w:color w:val="auto"/>
        </w:rPr>
        <w:sectPr>
          <w:pgSz w:w="11906" w:h="16838"/>
          <w:pgMar w:top="1440" w:right="1287" w:bottom="1440" w:left="1803" w:header="851" w:footer="992" w:gutter="0"/>
          <w:pgBorders>
            <w:top w:val="none" w:sz="0" w:space="0"/>
            <w:left w:val="none" w:sz="0" w:space="0"/>
            <w:bottom w:val="none" w:sz="0" w:space="0"/>
            <w:right w:val="none" w:sz="0" w:space="0"/>
          </w:pgBorders>
          <w:pgNumType w:fmt="chineseCounting" w:start="1"/>
          <w:cols w:space="0" w:num="1"/>
          <w:rtlGutter w:val="0"/>
          <w:docGrid w:type="lines" w:linePitch="314" w:charSpace="0"/>
        </w:sect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contextualSpacing/>
        <w:jc w:val="center"/>
        <w:textAlignment w:val="auto"/>
        <w:rPr>
          <w:rFonts w:hint="eastAsia" w:ascii="仿宋" w:hAnsi="仿宋" w:eastAsia="仿宋" w:cs="仿宋"/>
          <w:b/>
          <w:color w:val="auto"/>
          <w:szCs w:val="21"/>
        </w:rPr>
      </w:pPr>
      <w:r>
        <w:rPr>
          <w:rFonts w:hint="eastAsia" w:ascii="黑体" w:hAnsi="黑体" w:eastAsia="黑体" w:cs="黑体"/>
          <w:b/>
          <w:bCs/>
          <w:color w:val="FF0000"/>
          <w:sz w:val="44"/>
          <w:szCs w:val="44"/>
          <w:lang w:val="en-US" w:eastAsia="zh-CN"/>
        </w:rPr>
        <w:t>项目名称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contextualSpacing/>
        <w:textAlignment w:val="auto"/>
        <w:rPr>
          <w:rFonts w:hint="eastAsia" w:ascii="仿宋" w:hAnsi="仿宋" w:eastAsia="仿宋" w:cs="仿宋"/>
          <w:b/>
          <w:color w:val="auto"/>
          <w:sz w:val="22"/>
          <w:szCs w:val="22"/>
          <w:lang w:eastAsia="zh-CN"/>
        </w:rPr>
      </w:pPr>
      <w:r>
        <w:rPr>
          <w:rFonts w:hint="eastAsia" w:ascii="仿宋" w:hAnsi="仿宋" w:eastAsia="仿宋" w:cs="仿宋"/>
          <w:b/>
          <w:color w:val="auto"/>
          <w:sz w:val="22"/>
          <w:szCs w:val="22"/>
        </w:rPr>
        <w:t>甲方(需方)：</w:t>
      </w:r>
      <w:r>
        <w:rPr>
          <w:rFonts w:hint="eastAsia" w:ascii="仿宋" w:hAnsi="仿宋" w:eastAsia="仿宋" w:cs="仿宋"/>
          <w:b/>
          <w:color w:val="auto"/>
          <w:sz w:val="22"/>
          <w:szCs w:val="22"/>
          <w:lang w:eastAsia="zh-CN"/>
        </w:rPr>
        <w:t>墨玉县教育局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contextualSpacing/>
        <w:textAlignment w:val="auto"/>
        <w:rPr>
          <w:rFonts w:hint="eastAsia" w:ascii="仿宋" w:hAnsi="仿宋" w:eastAsia="仿宋" w:cs="仿宋"/>
          <w:b/>
          <w:color w:val="auto"/>
          <w:sz w:val="22"/>
          <w:szCs w:val="22"/>
          <w:lang w:val="en-US" w:eastAsia="zh-CN"/>
        </w:rPr>
      </w:pPr>
      <w:r>
        <w:rPr>
          <w:rFonts w:hint="eastAsia" w:ascii="仿宋" w:hAnsi="仿宋" w:eastAsia="仿宋" w:cs="仿宋"/>
          <w:b/>
          <w:color w:val="auto"/>
          <w:sz w:val="22"/>
          <w:szCs w:val="22"/>
        </w:rPr>
        <w:t>乙方(供方)：</w:t>
      </w:r>
      <w:r>
        <w:rPr>
          <w:rFonts w:hint="eastAsia" w:ascii="仿宋" w:hAnsi="仿宋" w:eastAsia="仿宋" w:cs="仿宋"/>
          <w:b/>
          <w:color w:val="FF0000"/>
          <w:sz w:val="22"/>
          <w:szCs w:val="22"/>
          <w:lang w:val="en-US" w:eastAsia="zh-CN"/>
        </w:rPr>
        <w:t>中标单位名称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contextualSpacing/>
        <w:textAlignment w:val="auto"/>
        <w:rPr>
          <w:rFonts w:hint="eastAsia" w:ascii="仿宋" w:hAnsi="仿宋" w:eastAsia="仿宋" w:cs="仿宋"/>
          <w:b/>
          <w:color w:val="auto"/>
          <w:w w:val="100"/>
          <w:sz w:val="22"/>
          <w:szCs w:val="22"/>
          <w:lang w:val="en-US" w:eastAsia="zh-CN"/>
        </w:rPr>
      </w:pPr>
      <w:r>
        <w:rPr>
          <w:rFonts w:hint="eastAsia" w:ascii="仿宋" w:hAnsi="仿宋" w:eastAsia="仿宋" w:cs="仿宋"/>
          <w:b/>
          <w:color w:val="auto"/>
          <w:sz w:val="22"/>
          <w:szCs w:val="22"/>
          <w:lang w:val="en-US" w:eastAsia="zh-CN"/>
        </w:rPr>
        <w:t>项目编码：</w:t>
      </w:r>
      <w:r>
        <w:rPr>
          <w:rFonts w:hint="eastAsia" w:ascii="仿宋" w:hAnsi="仿宋" w:eastAsia="仿宋" w:cs="仿宋"/>
          <w:b/>
          <w:color w:val="auto"/>
          <w:w w:val="100"/>
          <w:sz w:val="22"/>
          <w:szCs w:val="22"/>
          <w:lang w:val="en-US" w:eastAsia="zh-CN"/>
        </w:rPr>
        <w:t xml:space="preserve"> </w:t>
      </w:r>
    </w:p>
    <w:p>
      <w:pPr>
        <w:pStyle w:val="31"/>
        <w:spacing w:line="360" w:lineRule="auto"/>
        <w:rPr>
          <w:rFonts w:hint="default"/>
          <w:color w:val="auto"/>
          <w:lang w:val="en-US" w:eastAsia="zh-CN"/>
        </w:rPr>
      </w:pPr>
      <w:r>
        <w:rPr>
          <w:rFonts w:hint="eastAsia" w:ascii="仿宋" w:hAnsi="仿宋" w:eastAsia="仿宋" w:cs="仿宋"/>
          <w:b/>
          <w:color w:val="auto"/>
          <w:w w:val="100"/>
          <w:sz w:val="22"/>
          <w:szCs w:val="22"/>
          <w:lang w:val="en-US" w:eastAsia="zh-CN"/>
        </w:rPr>
        <w:t xml:space="preserve">合同编码：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contextualSpacing/>
        <w:textAlignment w:val="auto"/>
        <w:rPr>
          <w:rFonts w:hint="eastAsia" w:ascii="仿宋" w:hAnsi="仿宋" w:eastAsia="仿宋" w:cs="仿宋"/>
          <w:b/>
          <w:color w:val="auto"/>
          <w:sz w:val="22"/>
          <w:szCs w:val="22"/>
          <w:lang w:val="en-US" w:eastAsia="zh-CN"/>
        </w:rPr>
      </w:pPr>
      <w:r>
        <w:rPr>
          <w:rFonts w:hint="eastAsia" w:ascii="仿宋" w:hAnsi="仿宋" w:eastAsia="仿宋" w:cs="仿宋"/>
          <w:b/>
          <w:color w:val="auto"/>
          <w:sz w:val="22"/>
          <w:szCs w:val="22"/>
          <w:lang w:val="en-US" w:eastAsia="zh-CN"/>
        </w:rPr>
        <w:t xml:space="preserve">采购方式：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contextualSpacing/>
        <w:textAlignment w:val="auto"/>
        <w:rPr>
          <w:rFonts w:hint="default" w:ascii="仿宋" w:hAnsi="仿宋" w:eastAsia="仿宋" w:cs="仿宋"/>
          <w:b/>
          <w:color w:val="auto"/>
          <w:sz w:val="22"/>
          <w:szCs w:val="22"/>
          <w:lang w:val="en-US" w:eastAsia="zh-CN"/>
        </w:rPr>
      </w:pPr>
      <w:r>
        <w:rPr>
          <w:rFonts w:hint="eastAsia" w:ascii="仿宋" w:hAnsi="仿宋" w:eastAsia="仿宋" w:cs="仿宋"/>
          <w:b/>
          <w:color w:val="auto"/>
          <w:sz w:val="22"/>
          <w:szCs w:val="22"/>
          <w:lang w:val="en-US" w:eastAsia="zh-CN"/>
        </w:rPr>
        <w:t xml:space="preserve">资金来源： </w:t>
      </w:r>
    </w:p>
    <w:p>
      <w:pPr>
        <w:pStyle w:val="31"/>
        <w:spacing w:line="360" w:lineRule="auto"/>
        <w:rPr>
          <w:rFonts w:hint="eastAsia" w:eastAsia="仿宋"/>
          <w:color w:val="auto"/>
          <w:lang w:val="en-US" w:eastAsia="zh-CN"/>
        </w:rPr>
      </w:pPr>
      <w:r>
        <w:rPr>
          <w:rFonts w:hint="eastAsia" w:eastAsia="仿宋"/>
          <w:color w:val="auto"/>
          <w:spacing w:val="-6"/>
          <w:lang w:val="en-US" w:eastAsia="zh-CN"/>
        </w:rPr>
        <w:t>甲方印花税：完税凭证号                     ；缴纳税额：        ；缴纳时间：    年   月  日；</w:t>
      </w:r>
    </w:p>
    <w:p>
      <w:pPr>
        <w:pStyle w:val="31"/>
        <w:spacing w:line="360" w:lineRule="auto"/>
        <w:rPr>
          <w:rFonts w:hint="eastAsia" w:eastAsia="仿宋"/>
          <w:color w:val="auto"/>
          <w:lang w:val="en-US" w:eastAsia="zh-CN"/>
        </w:rPr>
      </w:pPr>
      <w:r>
        <w:rPr>
          <w:rFonts w:hint="eastAsia" w:eastAsia="仿宋"/>
          <w:color w:val="auto"/>
          <w:lang w:val="en-US" w:eastAsia="zh-CN"/>
        </w:rPr>
        <w:t>乙方</w:t>
      </w:r>
      <w:r>
        <w:rPr>
          <w:rFonts w:hint="eastAsia" w:eastAsia="仿宋"/>
          <w:color w:val="auto"/>
          <w:spacing w:val="-6"/>
          <w:lang w:val="en-US" w:eastAsia="zh-CN"/>
        </w:rPr>
        <w:t>印花税：完税凭证号                     ；缴纳税额：        ；缴纳时间：    年   月  日；</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采购方作为本合同的需方，中标人是本合同的供方，按合同相关条款履行其义务。双方宗旨是严格履行合同。根据《中华人民共和国民法典》及相关法律法规、招标文件、投标文件及相关文件的有关条款为基础，双方达成如下协议：</w:t>
      </w:r>
    </w:p>
    <w:p>
      <w:pPr>
        <w:numPr>
          <w:ilvl w:val="0"/>
          <w:numId w:val="10"/>
        </w:numPr>
        <w:spacing w:line="360" w:lineRule="exact"/>
        <w:ind w:left="6" w:leftChars="0" w:firstLine="380" w:firstLineChars="172"/>
        <w:rPr>
          <w:rFonts w:hint="eastAsia" w:ascii="宋体" w:hAnsi="宋体" w:cs="宋体"/>
          <w:color w:val="auto"/>
          <w:sz w:val="28"/>
          <w:szCs w:val="24"/>
        </w:rPr>
      </w:pPr>
      <w:r>
        <w:rPr>
          <w:rFonts w:hint="eastAsia" w:ascii="仿宋" w:hAnsi="仿宋" w:eastAsia="仿宋" w:cs="仿宋"/>
          <w:b/>
          <w:color w:val="auto"/>
          <w:sz w:val="22"/>
          <w:szCs w:val="22"/>
        </w:rPr>
        <w:t>报价一览表：</w:t>
      </w:r>
    </w:p>
    <w:p>
      <w:pPr>
        <w:spacing w:line="65" w:lineRule="exact"/>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6" w:leftChars="0" w:firstLine="380" w:firstLineChars="172"/>
        <w:contextualSpacing/>
        <w:jc w:val="left"/>
        <w:textAlignment w:val="auto"/>
        <w:outlineLvl w:val="9"/>
        <w:rPr>
          <w:rFonts w:hint="eastAsia"/>
          <w:b/>
          <w:bCs/>
          <w:color w:val="auto"/>
          <w:sz w:val="22"/>
          <w:szCs w:val="22"/>
          <w:lang w:eastAsia="zh-CN"/>
        </w:rPr>
      </w:pPr>
      <w:r>
        <w:rPr>
          <w:rFonts w:hint="eastAsia" w:ascii="仿宋" w:hAnsi="仿宋" w:eastAsia="仿宋" w:cs="仿宋"/>
          <w:b/>
          <w:color w:val="auto"/>
          <w:sz w:val="22"/>
          <w:szCs w:val="22"/>
        </w:rPr>
        <w:t>合同价款：</w:t>
      </w:r>
      <w:r>
        <w:rPr>
          <w:rFonts w:hint="eastAsia" w:ascii="仿宋" w:hAnsi="仿宋" w:eastAsia="仿宋" w:cs="仿宋"/>
          <w:b/>
          <w:color w:val="FF0000"/>
          <w:sz w:val="22"/>
          <w:szCs w:val="22"/>
          <w:lang w:val="en-US" w:eastAsia="zh-CN"/>
        </w:rPr>
        <w:t xml:space="preserve">       </w:t>
      </w:r>
      <w:r>
        <w:rPr>
          <w:rFonts w:hint="eastAsia" w:ascii="仿宋" w:hAnsi="仿宋" w:eastAsia="仿宋" w:cs="仿宋"/>
          <w:b/>
          <w:color w:val="FF0000"/>
          <w:sz w:val="22"/>
          <w:szCs w:val="22"/>
          <w:lang w:eastAsia="zh-CN"/>
        </w:rPr>
        <w:t>（</w:t>
      </w:r>
      <w:r>
        <w:rPr>
          <w:rFonts w:hint="eastAsia" w:ascii="仿宋" w:hAnsi="仿宋" w:eastAsia="仿宋" w:cs="仿宋"/>
          <w:b/>
          <w:color w:val="FF0000"/>
          <w:sz w:val="22"/>
          <w:szCs w:val="22"/>
          <w:lang w:val="en-US" w:eastAsia="zh-CN"/>
        </w:rPr>
        <w:t>大写：***元整</w:t>
      </w:r>
      <w:r>
        <w:rPr>
          <w:rFonts w:hint="eastAsia" w:ascii="仿宋" w:hAnsi="仿宋" w:eastAsia="仿宋" w:cs="仿宋"/>
          <w:b/>
          <w:color w:val="FF0000"/>
          <w:sz w:val="22"/>
          <w:szCs w:val="22"/>
          <w:lang w:eastAsia="zh-CN"/>
        </w:rPr>
        <w:t>）</w:t>
      </w:r>
      <w:r>
        <w:rPr>
          <w:rFonts w:hint="eastAsia" w:ascii="仿宋" w:hAnsi="仿宋" w:eastAsia="仿宋" w:cs="仿宋"/>
          <w:b/>
          <w:color w:val="auto"/>
          <w:sz w:val="22"/>
          <w:szCs w:val="22"/>
          <w:lang w:eastAsia="zh-CN"/>
        </w:rPr>
        <w:t>。</w:t>
      </w:r>
    </w:p>
    <w:p>
      <w:pPr>
        <w:spacing w:line="360" w:lineRule="auto"/>
        <w:ind w:firstLine="402" w:firstLineChars="183"/>
        <w:contextualSpacing/>
        <w:jc w:val="left"/>
        <w:rPr>
          <w:rFonts w:hint="eastAsia" w:ascii="仿宋" w:hAnsi="仿宋" w:eastAsia="仿宋" w:cs="仿宋"/>
          <w:color w:val="auto"/>
          <w:sz w:val="22"/>
          <w:szCs w:val="22"/>
        </w:rPr>
      </w:pPr>
      <w:r>
        <w:rPr>
          <w:rFonts w:hint="eastAsia" w:ascii="仿宋" w:hAnsi="仿宋" w:eastAsia="仿宋" w:cs="仿宋"/>
          <w:color w:val="auto"/>
          <w:sz w:val="22"/>
          <w:szCs w:val="22"/>
        </w:rPr>
        <w:t>合同总金额包含备品、备件、专用工具、安装、调试、检验、技术培训及技术资料和运输保险、税费</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售后服务</w:t>
      </w:r>
      <w:r>
        <w:rPr>
          <w:rFonts w:hint="eastAsia" w:ascii="仿宋" w:hAnsi="仿宋" w:eastAsia="仿宋" w:cs="仿宋"/>
          <w:color w:val="auto"/>
          <w:sz w:val="22"/>
          <w:szCs w:val="22"/>
        </w:rPr>
        <w:t>等一切费用。</w:t>
      </w:r>
    </w:p>
    <w:p>
      <w:pPr>
        <w:spacing w:line="360" w:lineRule="auto"/>
        <w:ind w:firstLine="404" w:firstLineChars="183"/>
        <w:contextualSpacing/>
        <w:jc w:val="left"/>
        <w:rPr>
          <w:rFonts w:hint="eastAsia" w:ascii="仿宋" w:hAnsi="仿宋" w:eastAsia="仿宋" w:cs="仿宋"/>
          <w:b/>
          <w:color w:val="auto"/>
          <w:sz w:val="22"/>
          <w:szCs w:val="22"/>
        </w:rPr>
      </w:pPr>
      <w:r>
        <w:rPr>
          <w:rFonts w:hint="eastAsia" w:ascii="仿宋" w:hAnsi="仿宋" w:eastAsia="仿宋" w:cs="仿宋"/>
          <w:b/>
          <w:color w:val="auto"/>
          <w:sz w:val="22"/>
          <w:szCs w:val="22"/>
        </w:rPr>
        <w:t>2、交（提）货方式、时间</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双方签订合同之日起</w:t>
      </w:r>
      <w:r>
        <w:rPr>
          <w:rFonts w:hint="eastAsia" w:ascii="仿宋" w:hAnsi="仿宋" w:eastAsia="仿宋" w:cs="仿宋"/>
          <w:b/>
          <w:bCs/>
          <w:color w:val="FF0000"/>
          <w:sz w:val="22"/>
          <w:szCs w:val="22"/>
          <w:u w:val="single"/>
          <w:lang w:val="en-US" w:eastAsia="zh-CN"/>
        </w:rPr>
        <w:t xml:space="preserve">            </w:t>
      </w:r>
      <w:r>
        <w:rPr>
          <w:rFonts w:hint="eastAsia" w:ascii="仿宋" w:hAnsi="仿宋" w:eastAsia="仿宋" w:cs="仿宋"/>
          <w:color w:val="auto"/>
          <w:sz w:val="22"/>
          <w:szCs w:val="22"/>
        </w:rPr>
        <w:t>内按照甲方指定的地点进行供货，并完成所采购全部产品的安装调试及</w:t>
      </w:r>
      <w:r>
        <w:rPr>
          <w:rFonts w:hint="eastAsia" w:ascii="仿宋" w:hAnsi="仿宋" w:eastAsia="仿宋" w:cs="仿宋"/>
          <w:color w:val="auto"/>
          <w:sz w:val="22"/>
          <w:szCs w:val="22"/>
          <w:lang w:val="en-US" w:eastAsia="zh-CN"/>
        </w:rPr>
        <w:t>验收工作</w:t>
      </w:r>
      <w:r>
        <w:rPr>
          <w:rFonts w:hint="eastAsia" w:ascii="仿宋" w:hAnsi="仿宋" w:eastAsia="仿宋" w:cs="仿宋"/>
          <w:color w:val="auto"/>
          <w:sz w:val="22"/>
          <w:szCs w:val="22"/>
        </w:rPr>
        <w:t>。</w:t>
      </w:r>
    </w:p>
    <w:p>
      <w:pPr>
        <w:keepNext w:val="0"/>
        <w:keepLines w:val="0"/>
        <w:pageBreakBefore w:val="0"/>
        <w:widowControl w:val="0"/>
        <w:kinsoku/>
        <w:wordWrap/>
        <w:overflowPunct/>
        <w:topLinePunct w:val="0"/>
        <w:autoSpaceDE/>
        <w:autoSpaceDN/>
        <w:bidi w:val="0"/>
        <w:adjustRightInd/>
        <w:snapToGrid/>
        <w:spacing w:line="400" w:lineRule="exact"/>
        <w:ind w:firstLine="442" w:firstLineChars="200"/>
        <w:contextualSpacing/>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3、付款方式</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rPr>
        <w:t>）乙方按照合同</w:t>
      </w:r>
      <w:r>
        <w:rPr>
          <w:rFonts w:hint="eastAsia" w:ascii="仿宋" w:hAnsi="仿宋" w:eastAsia="仿宋" w:cs="仿宋"/>
          <w:color w:val="auto"/>
          <w:sz w:val="22"/>
          <w:szCs w:val="22"/>
          <w:lang w:val="en-US" w:eastAsia="zh-CN"/>
        </w:rPr>
        <w:t>约定</w:t>
      </w:r>
      <w:r>
        <w:rPr>
          <w:rFonts w:hint="eastAsia" w:ascii="仿宋" w:hAnsi="仿宋" w:eastAsia="仿宋" w:cs="仿宋"/>
          <w:color w:val="auto"/>
          <w:sz w:val="22"/>
          <w:szCs w:val="22"/>
        </w:rPr>
        <w:t>清单</w:t>
      </w:r>
      <w:r>
        <w:rPr>
          <w:rFonts w:hint="eastAsia" w:ascii="仿宋" w:hAnsi="仿宋" w:eastAsia="仿宋" w:cs="仿宋"/>
          <w:color w:val="auto"/>
          <w:sz w:val="22"/>
          <w:szCs w:val="22"/>
          <w:lang w:val="en-US" w:eastAsia="zh-CN"/>
        </w:rPr>
        <w:t>上的</w:t>
      </w:r>
      <w:r>
        <w:rPr>
          <w:rFonts w:hint="eastAsia" w:ascii="仿宋" w:hAnsi="仿宋" w:eastAsia="仿宋" w:cs="仿宋"/>
          <w:color w:val="auto"/>
          <w:sz w:val="22"/>
          <w:szCs w:val="22"/>
        </w:rPr>
        <w:t>设备</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组件</w:t>
      </w:r>
      <w:r>
        <w:rPr>
          <w:rFonts w:hint="eastAsia" w:ascii="仿宋" w:hAnsi="仿宋" w:eastAsia="仿宋" w:cs="仿宋"/>
          <w:color w:val="auto"/>
          <w:sz w:val="22"/>
          <w:szCs w:val="22"/>
        </w:rPr>
        <w:t>配送到甲方指定地点</w:t>
      </w:r>
      <w:r>
        <w:rPr>
          <w:rFonts w:hint="eastAsia" w:ascii="仿宋" w:hAnsi="仿宋" w:eastAsia="仿宋" w:cs="仿宋"/>
          <w:color w:val="auto"/>
          <w:sz w:val="22"/>
          <w:szCs w:val="22"/>
          <w:lang w:val="en-US" w:eastAsia="zh-CN"/>
        </w:rPr>
        <w:t>，由甲、乙双方共同验收，签字确认，</w:t>
      </w:r>
      <w:r>
        <w:rPr>
          <w:rFonts w:hint="eastAsia" w:ascii="仿宋" w:hAnsi="仿宋" w:eastAsia="仿宋" w:cs="仿宋"/>
          <w:color w:val="auto"/>
          <w:sz w:val="22"/>
          <w:szCs w:val="22"/>
        </w:rPr>
        <w:t>乙方</w:t>
      </w:r>
      <w:r>
        <w:rPr>
          <w:rFonts w:hint="eastAsia" w:ascii="仿宋" w:hAnsi="仿宋" w:eastAsia="仿宋" w:cs="仿宋"/>
          <w:color w:val="auto"/>
          <w:sz w:val="22"/>
          <w:szCs w:val="22"/>
          <w:lang w:val="en-US" w:eastAsia="zh-CN"/>
        </w:rPr>
        <w:t>向甲方提供相关证明材料，甲方向乙方支付合同总价的80%设备款；</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rPr>
        <w:t>乙方</w:t>
      </w:r>
      <w:r>
        <w:rPr>
          <w:rFonts w:hint="eastAsia" w:ascii="仿宋" w:hAnsi="仿宋" w:eastAsia="仿宋" w:cs="仿宋"/>
          <w:color w:val="auto"/>
          <w:sz w:val="22"/>
          <w:szCs w:val="22"/>
          <w:lang w:val="en-US" w:eastAsia="zh-CN"/>
        </w:rPr>
        <w:t>将货物</w:t>
      </w:r>
      <w:r>
        <w:rPr>
          <w:rFonts w:hint="eastAsia" w:ascii="仿宋" w:hAnsi="仿宋" w:eastAsia="仿宋" w:cs="仿宋"/>
          <w:color w:val="auto"/>
          <w:sz w:val="22"/>
          <w:szCs w:val="22"/>
        </w:rPr>
        <w:t>安装完毕</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验收</w:t>
      </w:r>
      <w:r>
        <w:rPr>
          <w:rFonts w:hint="eastAsia" w:ascii="仿宋" w:hAnsi="仿宋" w:eastAsia="仿宋" w:cs="仿宋"/>
          <w:color w:val="auto"/>
          <w:sz w:val="22"/>
          <w:szCs w:val="22"/>
          <w:lang w:val="en-US" w:eastAsia="zh-CN"/>
        </w:rPr>
        <w:t>完成并向甲方提供</w:t>
      </w:r>
      <w:r>
        <w:rPr>
          <w:rFonts w:hint="eastAsia" w:ascii="仿宋" w:hAnsi="仿宋" w:eastAsia="仿宋" w:cs="仿宋"/>
          <w:color w:val="auto"/>
          <w:sz w:val="22"/>
          <w:szCs w:val="22"/>
        </w:rPr>
        <w:t>验收合格证明</w:t>
      </w:r>
      <w:r>
        <w:rPr>
          <w:rFonts w:hint="eastAsia" w:ascii="仿宋" w:hAnsi="仿宋" w:eastAsia="仿宋" w:cs="仿宋"/>
          <w:color w:val="auto"/>
          <w:sz w:val="22"/>
          <w:szCs w:val="22"/>
          <w:lang w:val="en-US" w:eastAsia="zh-CN"/>
        </w:rPr>
        <w:t>后，验收合格证书上应有甲、乙双方授权代表的签字或盖章，</w:t>
      </w:r>
      <w:r>
        <w:rPr>
          <w:rFonts w:hint="eastAsia" w:ascii="仿宋" w:hAnsi="仿宋" w:eastAsia="仿宋" w:cs="仿宋"/>
          <w:color w:val="auto"/>
          <w:sz w:val="22"/>
          <w:szCs w:val="22"/>
        </w:rPr>
        <w:t>甲方</w:t>
      </w:r>
      <w:r>
        <w:rPr>
          <w:rFonts w:hint="eastAsia" w:ascii="仿宋" w:hAnsi="仿宋" w:eastAsia="仿宋" w:cs="仿宋"/>
          <w:color w:val="auto"/>
          <w:sz w:val="22"/>
          <w:szCs w:val="22"/>
          <w:lang w:val="en-US" w:eastAsia="zh-CN"/>
        </w:rPr>
        <w:t>向乙方</w:t>
      </w:r>
      <w:r>
        <w:rPr>
          <w:rFonts w:hint="eastAsia" w:ascii="仿宋" w:hAnsi="仿宋" w:eastAsia="仿宋" w:cs="仿宋"/>
          <w:color w:val="auto"/>
          <w:sz w:val="22"/>
          <w:szCs w:val="22"/>
        </w:rPr>
        <w:t>支付</w:t>
      </w:r>
      <w:r>
        <w:rPr>
          <w:rFonts w:hint="eastAsia" w:ascii="仿宋" w:hAnsi="仿宋" w:eastAsia="仿宋" w:cs="仿宋"/>
          <w:color w:val="auto"/>
          <w:sz w:val="22"/>
          <w:szCs w:val="22"/>
          <w:lang w:val="en-US" w:eastAsia="zh-CN"/>
        </w:rPr>
        <w:t>合同总价的17</w:t>
      </w:r>
      <w:r>
        <w:rPr>
          <w:rFonts w:hint="eastAsia" w:ascii="仿宋" w:hAnsi="仿宋" w:eastAsia="仿宋" w:cs="仿宋"/>
          <w:color w:val="auto"/>
          <w:sz w:val="22"/>
          <w:szCs w:val="22"/>
        </w:rPr>
        <w:t>%设备款</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如乙方根据实际情况，没有向甲方要求支付第一笔80%货物款，</w:t>
      </w:r>
      <w:r>
        <w:rPr>
          <w:rFonts w:hint="eastAsia" w:ascii="仿宋" w:hAnsi="仿宋" w:eastAsia="仿宋" w:cs="仿宋"/>
          <w:color w:val="auto"/>
          <w:sz w:val="22"/>
          <w:szCs w:val="22"/>
        </w:rPr>
        <w:t>乙方</w:t>
      </w:r>
      <w:r>
        <w:rPr>
          <w:rFonts w:hint="eastAsia" w:ascii="仿宋" w:hAnsi="仿宋" w:eastAsia="仿宋" w:cs="仿宋"/>
          <w:color w:val="auto"/>
          <w:sz w:val="22"/>
          <w:szCs w:val="22"/>
          <w:lang w:val="en-US" w:eastAsia="zh-CN"/>
        </w:rPr>
        <w:t>将所货物安装调试及质量验收完成并向甲方提供</w:t>
      </w:r>
      <w:r>
        <w:rPr>
          <w:rFonts w:hint="eastAsia" w:ascii="仿宋" w:hAnsi="仿宋" w:eastAsia="仿宋" w:cs="仿宋"/>
          <w:color w:val="auto"/>
          <w:sz w:val="22"/>
          <w:szCs w:val="22"/>
        </w:rPr>
        <w:t>验收合格证明</w:t>
      </w:r>
      <w:r>
        <w:rPr>
          <w:rFonts w:hint="eastAsia" w:ascii="仿宋" w:hAnsi="仿宋" w:eastAsia="仿宋" w:cs="仿宋"/>
          <w:color w:val="auto"/>
          <w:sz w:val="22"/>
          <w:szCs w:val="22"/>
          <w:lang w:val="en-US" w:eastAsia="zh-CN"/>
        </w:rPr>
        <w:t>，甲方向乙方一次性支付合同总价的97</w:t>
      </w:r>
      <w:r>
        <w:rPr>
          <w:rFonts w:hint="eastAsia" w:ascii="仿宋" w:hAnsi="仿宋" w:eastAsia="仿宋" w:cs="仿宋"/>
          <w:color w:val="auto"/>
          <w:sz w:val="22"/>
          <w:szCs w:val="22"/>
        </w:rPr>
        <w:t>%设备款</w:t>
      </w:r>
      <w:r>
        <w:rPr>
          <w:rFonts w:hint="eastAsia" w:ascii="仿宋" w:hAnsi="仿宋" w:eastAsia="仿宋" w:cs="仿宋"/>
          <w:color w:val="auto"/>
          <w:sz w:val="22"/>
          <w:szCs w:val="22"/>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剩余</w:t>
      </w:r>
      <w:r>
        <w:rPr>
          <w:rFonts w:hint="eastAsia" w:ascii="仿宋" w:hAnsi="仿宋" w:eastAsia="仿宋" w:cs="仿宋"/>
          <w:color w:val="auto"/>
          <w:sz w:val="22"/>
          <w:szCs w:val="22"/>
          <w:lang w:val="en-US" w:eastAsia="zh-CN"/>
        </w:rPr>
        <w:t>的</w:t>
      </w:r>
      <w:r>
        <w:rPr>
          <w:rFonts w:hint="eastAsia" w:ascii="仿宋" w:hAnsi="仿宋" w:eastAsia="仿宋" w:cs="仿宋"/>
          <w:color w:val="auto"/>
          <w:sz w:val="22"/>
          <w:szCs w:val="22"/>
        </w:rPr>
        <w:t>3%</w:t>
      </w:r>
      <w:r>
        <w:rPr>
          <w:rFonts w:hint="eastAsia" w:ascii="仿宋" w:hAnsi="仿宋" w:eastAsia="仿宋" w:cs="仿宋"/>
          <w:color w:val="auto"/>
          <w:sz w:val="22"/>
          <w:szCs w:val="22"/>
          <w:lang w:val="en-US" w:eastAsia="zh-CN"/>
        </w:rPr>
        <w:t>设备款</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剩余的3%设备款，需大于财务审计报告总金额的3%设备款，如剩余的设备款未达到财务审计报告总金额的3%设备款，甲方预留财务审计报告总金额的3%设备款或乙方向甲方支付不到财务审计报告总金额的3%设备款部分</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为质保金，</w:t>
      </w:r>
      <w:r>
        <w:rPr>
          <w:rFonts w:hint="eastAsia" w:ascii="仿宋" w:hAnsi="仿宋" w:eastAsia="仿宋" w:cs="仿宋"/>
          <w:color w:val="auto"/>
          <w:sz w:val="22"/>
          <w:szCs w:val="22"/>
          <w:lang w:val="en-US" w:eastAsia="zh-CN"/>
        </w:rPr>
        <w:t>质保期满后，如</w:t>
      </w:r>
      <w:r>
        <w:rPr>
          <w:rFonts w:hint="eastAsia" w:ascii="仿宋" w:hAnsi="仿宋" w:eastAsia="仿宋" w:cs="仿宋"/>
          <w:color w:val="auto"/>
          <w:sz w:val="22"/>
          <w:szCs w:val="22"/>
        </w:rPr>
        <w:t>没有质量问题</w:t>
      </w:r>
      <w:r>
        <w:rPr>
          <w:rFonts w:hint="eastAsia" w:ascii="仿宋" w:hAnsi="仿宋" w:eastAsia="仿宋" w:cs="仿宋"/>
          <w:color w:val="auto"/>
          <w:sz w:val="22"/>
          <w:szCs w:val="22"/>
          <w:lang w:val="en-US" w:eastAsia="zh-CN"/>
        </w:rPr>
        <w:t>的</w:t>
      </w:r>
      <w:r>
        <w:rPr>
          <w:rFonts w:hint="eastAsia" w:ascii="仿宋" w:hAnsi="仿宋" w:eastAsia="仿宋" w:cs="仿宋"/>
          <w:color w:val="auto"/>
          <w:sz w:val="22"/>
          <w:szCs w:val="22"/>
        </w:rPr>
        <w:t>情况下，</w:t>
      </w:r>
      <w:r>
        <w:rPr>
          <w:rFonts w:hint="eastAsia" w:ascii="仿宋" w:hAnsi="仿宋" w:eastAsia="仿宋" w:cs="仿宋"/>
          <w:color w:val="auto"/>
          <w:sz w:val="22"/>
          <w:szCs w:val="22"/>
          <w:lang w:val="en-US" w:eastAsia="zh-CN"/>
        </w:rPr>
        <w:t>乙方向甲方提供相关证明材料，剩余的设备款甲方向乙方</w:t>
      </w:r>
      <w:r>
        <w:rPr>
          <w:rFonts w:hint="eastAsia" w:ascii="仿宋" w:hAnsi="仿宋" w:eastAsia="仿宋" w:cs="仿宋"/>
          <w:color w:val="auto"/>
          <w:sz w:val="22"/>
          <w:szCs w:val="22"/>
        </w:rPr>
        <w:t>一次性付清</w:t>
      </w:r>
      <w:r>
        <w:rPr>
          <w:rFonts w:hint="eastAsia" w:ascii="仿宋" w:hAnsi="仿宋" w:eastAsia="仿宋" w:cs="仿宋"/>
          <w:color w:val="auto"/>
          <w:sz w:val="22"/>
          <w:szCs w:val="22"/>
          <w:lang w:val="en-US" w:eastAsia="zh-CN"/>
        </w:rPr>
        <w:t>尾款（无息）</w:t>
      </w:r>
      <w:r>
        <w:rPr>
          <w:rFonts w:hint="eastAsia" w:ascii="仿宋" w:hAnsi="仿宋" w:eastAsia="仿宋" w:cs="仿宋"/>
          <w:color w:val="auto"/>
          <w:sz w:val="22"/>
          <w:szCs w:val="22"/>
        </w:rPr>
        <w:t>。</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rPr>
        <w:t>）所有货物验收合格后，乙方</w:t>
      </w:r>
      <w:r>
        <w:rPr>
          <w:rFonts w:hint="eastAsia" w:ascii="仿宋" w:hAnsi="仿宋" w:eastAsia="仿宋" w:cs="仿宋"/>
          <w:color w:val="auto"/>
          <w:sz w:val="22"/>
          <w:szCs w:val="22"/>
          <w:lang w:val="en-US" w:eastAsia="zh-CN"/>
        </w:rPr>
        <w:t>向甲方提供</w:t>
      </w:r>
      <w:r>
        <w:rPr>
          <w:rFonts w:hint="eastAsia" w:ascii="仿宋" w:hAnsi="仿宋" w:eastAsia="仿宋" w:cs="仿宋"/>
          <w:color w:val="auto"/>
          <w:sz w:val="22"/>
          <w:szCs w:val="22"/>
        </w:rPr>
        <w:t>验收合格证明</w:t>
      </w:r>
      <w:r>
        <w:rPr>
          <w:rFonts w:hint="eastAsia" w:ascii="仿宋" w:hAnsi="仿宋" w:eastAsia="仿宋" w:cs="仿宋"/>
          <w:color w:val="auto"/>
          <w:sz w:val="22"/>
          <w:szCs w:val="22"/>
          <w:lang w:val="en-US" w:eastAsia="zh-CN"/>
        </w:rPr>
        <w:t>后</w:t>
      </w:r>
      <w:r>
        <w:rPr>
          <w:rFonts w:hint="eastAsia" w:ascii="仿宋" w:hAnsi="仿宋" w:eastAsia="仿宋" w:cs="仿宋"/>
          <w:color w:val="auto"/>
          <w:sz w:val="22"/>
          <w:szCs w:val="22"/>
        </w:rPr>
        <w:t>，甲方无息退还乙方履约保证金。如乙方交付的货物未通过验收或货物质量不能达到甲方招标质量要求的，</w:t>
      </w:r>
      <w:r>
        <w:rPr>
          <w:rFonts w:hint="eastAsia" w:ascii="仿宋" w:hAnsi="仿宋" w:eastAsia="仿宋" w:cs="仿宋"/>
          <w:color w:val="auto"/>
          <w:sz w:val="22"/>
          <w:szCs w:val="22"/>
          <w:lang w:val="en-US" w:eastAsia="zh-CN"/>
        </w:rPr>
        <w:t>甲方</w:t>
      </w:r>
      <w:r>
        <w:rPr>
          <w:rFonts w:hint="eastAsia" w:ascii="仿宋" w:hAnsi="仿宋" w:eastAsia="仿宋" w:cs="仿宋"/>
          <w:color w:val="auto"/>
          <w:sz w:val="22"/>
          <w:szCs w:val="22"/>
        </w:rPr>
        <w:t>拒绝退还履约保证金。</w:t>
      </w:r>
    </w:p>
    <w:p>
      <w:pPr>
        <w:pStyle w:val="24"/>
        <w:ind w:firstLine="420"/>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（3）如甲方因发生资金相关手续原因没能按照以上方式与乙方达成协议后，甲方采用其他付款方式向乙方进行付款。</w:t>
      </w:r>
    </w:p>
    <w:p>
      <w:pPr>
        <w:pStyle w:val="24"/>
        <w:ind w:firstLine="420"/>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（4）甲方向乙方支付设备款进度不影响合同约定交货、安装调试及验收期限。</w:t>
      </w:r>
    </w:p>
    <w:p>
      <w:pPr>
        <w:pStyle w:val="24"/>
        <w:ind w:firstLine="420"/>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（5）乙方应在向甲方付款前，向甲方开具等额、正规的增值税发票，否则甲方有权拒绝付款，并不因此承担违约责任。</w:t>
      </w:r>
    </w:p>
    <w:p>
      <w:pPr>
        <w:pStyle w:val="24"/>
        <w:ind w:firstLine="420"/>
        <w:rPr>
          <w:rFonts w:hint="eastAsia"/>
          <w:lang w:val="en-US" w:eastAsia="zh-CN"/>
        </w:rPr>
      </w:pPr>
      <w:r>
        <w:rPr>
          <w:rFonts w:hint="eastAsia" w:ascii="仿宋" w:hAnsi="仿宋" w:eastAsia="仿宋" w:cs="仿宋"/>
          <w:color w:val="auto"/>
          <w:kern w:val="2"/>
          <w:sz w:val="22"/>
          <w:szCs w:val="22"/>
          <w:lang w:val="en-US" w:eastAsia="zh-CN" w:bidi="ar-SA"/>
        </w:rPr>
        <w:t>（6）以转账方式支付货款时，甲方将货款汇至乙方提供的指定账户，如乙方提供的以下银行账户有变动，应提前以书面形式通知甲方，取得甲方书面认可后方可执行。</w:t>
      </w:r>
    </w:p>
    <w:p>
      <w:pPr>
        <w:keepNext w:val="0"/>
        <w:keepLines w:val="0"/>
        <w:pageBreakBefore w:val="0"/>
        <w:widowControl w:val="0"/>
        <w:kinsoku/>
        <w:wordWrap/>
        <w:overflowPunct/>
        <w:topLinePunct w:val="0"/>
        <w:autoSpaceDE/>
        <w:autoSpaceDN/>
        <w:bidi w:val="0"/>
        <w:adjustRightInd/>
        <w:snapToGrid/>
        <w:spacing w:line="400" w:lineRule="exact"/>
        <w:ind w:left="386"/>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4、现场交货条件下，乙方要求付款应提交下列单证和文件。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中标通知书原件；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（2）合同原件；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3</w:t>
      </w: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使用单位交接（初验）单原件；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rPr>
        <w:t>（4）质量技术监督部门认可的检测报告书或验收单</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支付</w:t>
      </w:r>
      <w:r>
        <w:rPr>
          <w:rFonts w:hint="eastAsia" w:ascii="仿宋" w:hAnsi="仿宋" w:eastAsia="仿宋" w:cs="仿宋"/>
          <w:color w:val="auto"/>
          <w:sz w:val="22"/>
          <w:szCs w:val="22"/>
          <w:lang w:eastAsia="zh-CN"/>
        </w:rPr>
        <w:t>第二笔</w:t>
      </w:r>
      <w:r>
        <w:rPr>
          <w:rFonts w:hint="eastAsia" w:ascii="仿宋" w:hAnsi="仿宋" w:eastAsia="仿宋" w:cs="仿宋"/>
          <w:color w:val="auto"/>
          <w:sz w:val="22"/>
          <w:szCs w:val="22"/>
          <w:lang w:val="en-US" w:eastAsia="zh-CN"/>
        </w:rPr>
        <w:t>时需提交</w:t>
      </w:r>
      <w:r>
        <w:rPr>
          <w:rFonts w:hint="eastAsia" w:ascii="仿宋" w:hAnsi="仿宋" w:eastAsia="仿宋" w:cs="仿宋"/>
          <w:color w:val="auto"/>
          <w:sz w:val="22"/>
          <w:szCs w:val="22"/>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5</w:t>
      </w:r>
      <w:r>
        <w:rPr>
          <w:rFonts w:hint="eastAsia" w:ascii="仿宋" w:hAnsi="仿宋" w:eastAsia="仿宋" w:cs="仿宋"/>
          <w:color w:val="auto"/>
          <w:sz w:val="22"/>
          <w:szCs w:val="22"/>
        </w:rPr>
        <w:t>）金额为有关合同货物价格的发票</w:t>
      </w:r>
      <w:r>
        <w:rPr>
          <w:rFonts w:hint="eastAsia" w:ascii="仿宋" w:hAnsi="仿宋" w:eastAsia="仿宋" w:cs="仿宋"/>
          <w:color w:val="auto"/>
          <w:sz w:val="22"/>
          <w:szCs w:val="22"/>
          <w:lang w:val="en-US" w:eastAsia="zh-CN"/>
        </w:rPr>
        <w:t>原件（包含票据号、金额及数量的统计表）；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6</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开户许可证复印件；</w:t>
      </w:r>
    </w:p>
    <w:p>
      <w:pPr>
        <w:keepNext w:val="0"/>
        <w:keepLines w:val="0"/>
        <w:pageBreakBefore w:val="0"/>
        <w:widowControl w:val="0"/>
        <w:kinsoku/>
        <w:wordWrap/>
        <w:overflowPunct/>
        <w:topLinePunct w:val="0"/>
        <w:autoSpaceDE/>
        <w:autoSpaceDN/>
        <w:bidi w:val="0"/>
        <w:adjustRightInd/>
        <w:snapToGrid/>
        <w:spacing w:line="400" w:lineRule="exact"/>
        <w:ind w:left="386"/>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5、质量要求和技术标准</w:t>
      </w:r>
    </w:p>
    <w:p>
      <w:pPr>
        <w:keepNext w:val="0"/>
        <w:keepLines w:val="0"/>
        <w:spacing w:line="400" w:lineRule="exact"/>
        <w:ind w:left="386" w:firstLine="440" w:firstLineChars="200"/>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质量条款可细分为产品质量、包装质量、技术资料质量等内容。（质量要求和技术标准应按招标文件要求一致。）</w:t>
      </w:r>
    </w:p>
    <w:p>
      <w:pPr>
        <w:keepNext w:val="0"/>
        <w:keepLines w:val="0"/>
        <w:spacing w:line="400" w:lineRule="exact"/>
        <w:ind w:left="386" w:firstLine="440" w:firstLineChars="200"/>
        <w:rPr>
          <w:rFonts w:hint="eastAsia" w:ascii="仿宋" w:hAnsi="仿宋" w:eastAsia="仿宋" w:cs="仿宋"/>
          <w:b w:val="0"/>
          <w:bCs/>
          <w:color w:val="auto"/>
          <w:sz w:val="22"/>
          <w:szCs w:val="22"/>
          <w:lang w:eastAsia="zh-CN"/>
        </w:rPr>
      </w:pPr>
      <w:r>
        <w:rPr>
          <w:rFonts w:hint="eastAsia" w:ascii="仿宋" w:hAnsi="仿宋" w:eastAsia="仿宋" w:cs="仿宋"/>
          <w:b w:val="0"/>
          <w:bCs/>
          <w:color w:val="auto"/>
          <w:sz w:val="22"/>
          <w:szCs w:val="22"/>
          <w:lang w:eastAsia="zh-CN"/>
        </w:rPr>
        <w:t>（</w:t>
      </w:r>
      <w:r>
        <w:rPr>
          <w:rFonts w:hint="eastAsia" w:ascii="仿宋" w:hAnsi="仿宋" w:eastAsia="仿宋" w:cs="仿宋"/>
          <w:b w:val="0"/>
          <w:bCs/>
          <w:color w:val="auto"/>
          <w:sz w:val="22"/>
          <w:szCs w:val="22"/>
          <w:lang w:val="en-US" w:eastAsia="zh-CN"/>
        </w:rPr>
        <w:t>1</w:t>
      </w:r>
      <w:r>
        <w:rPr>
          <w:rFonts w:hint="eastAsia" w:ascii="仿宋" w:hAnsi="仿宋" w:eastAsia="仿宋" w:cs="仿宋"/>
          <w:b w:val="0"/>
          <w:bCs/>
          <w:color w:val="auto"/>
          <w:sz w:val="22"/>
          <w:szCs w:val="22"/>
          <w:lang w:eastAsia="zh-CN"/>
        </w:rPr>
        <w:t>）</w:t>
      </w:r>
      <w:r>
        <w:rPr>
          <w:rFonts w:hint="eastAsia" w:ascii="仿宋" w:hAnsi="仿宋" w:eastAsia="仿宋" w:cs="仿宋"/>
          <w:b w:val="0"/>
          <w:bCs/>
          <w:color w:val="auto"/>
          <w:sz w:val="22"/>
          <w:szCs w:val="22"/>
          <w:lang w:val="en-US" w:eastAsia="zh-CN"/>
        </w:rPr>
        <w:t>乙方</w:t>
      </w:r>
      <w:r>
        <w:rPr>
          <w:rFonts w:hint="eastAsia" w:ascii="仿宋" w:hAnsi="仿宋" w:eastAsia="仿宋" w:cs="仿宋"/>
          <w:b w:val="0"/>
          <w:bCs/>
          <w:color w:val="auto"/>
          <w:sz w:val="22"/>
          <w:szCs w:val="22"/>
          <w:lang w:eastAsia="zh-CN"/>
        </w:rPr>
        <w:t>提供的货物（含备品配件、专用工具等）必须是合同约定的厂家生产的全新、表面和内部均无瑕疵的货物。未经</w:t>
      </w:r>
      <w:r>
        <w:rPr>
          <w:rFonts w:hint="eastAsia" w:ascii="仿宋" w:hAnsi="仿宋" w:eastAsia="仿宋" w:cs="仿宋"/>
          <w:b w:val="0"/>
          <w:bCs/>
          <w:color w:val="auto"/>
          <w:sz w:val="22"/>
          <w:szCs w:val="22"/>
          <w:lang w:val="en-US" w:eastAsia="zh-CN"/>
        </w:rPr>
        <w:t>甲方</w:t>
      </w:r>
      <w:r>
        <w:rPr>
          <w:rFonts w:hint="eastAsia" w:ascii="仿宋" w:hAnsi="仿宋" w:eastAsia="仿宋" w:cs="仿宋"/>
          <w:b w:val="0"/>
          <w:bCs/>
          <w:color w:val="auto"/>
          <w:sz w:val="22"/>
          <w:szCs w:val="22"/>
          <w:lang w:eastAsia="zh-CN"/>
        </w:rPr>
        <w:t>书面许可，</w:t>
      </w:r>
      <w:r>
        <w:rPr>
          <w:rFonts w:hint="eastAsia" w:ascii="仿宋" w:hAnsi="仿宋" w:eastAsia="仿宋" w:cs="仿宋"/>
          <w:b w:val="0"/>
          <w:bCs/>
          <w:color w:val="auto"/>
          <w:sz w:val="22"/>
          <w:szCs w:val="22"/>
          <w:lang w:val="en-US" w:eastAsia="zh-CN"/>
        </w:rPr>
        <w:t>乙方</w:t>
      </w:r>
      <w:r>
        <w:rPr>
          <w:rFonts w:hint="eastAsia" w:ascii="仿宋" w:hAnsi="仿宋" w:eastAsia="仿宋" w:cs="仿宋"/>
          <w:b w:val="0"/>
          <w:bCs/>
          <w:color w:val="auto"/>
          <w:sz w:val="22"/>
          <w:szCs w:val="22"/>
          <w:lang w:eastAsia="zh-CN"/>
        </w:rPr>
        <w:t>不得以任何形式更换生产厂家或标的物。</w:t>
      </w:r>
    </w:p>
    <w:p>
      <w:pPr>
        <w:keepNext w:val="0"/>
        <w:keepLines w:val="0"/>
        <w:spacing w:line="400" w:lineRule="exact"/>
        <w:ind w:left="386" w:firstLine="440" w:firstLineChars="200"/>
        <w:rPr>
          <w:rFonts w:hint="eastAsia" w:ascii="仿宋" w:hAnsi="仿宋" w:eastAsia="仿宋" w:cs="仿宋"/>
          <w:b w:val="0"/>
          <w:bCs/>
          <w:color w:val="auto"/>
          <w:sz w:val="22"/>
          <w:szCs w:val="22"/>
          <w:lang w:eastAsia="zh-CN"/>
        </w:rPr>
      </w:pPr>
      <w:r>
        <w:rPr>
          <w:rFonts w:hint="eastAsia" w:ascii="仿宋" w:hAnsi="仿宋" w:eastAsia="仿宋" w:cs="仿宋"/>
          <w:b w:val="0"/>
          <w:bCs/>
          <w:color w:val="auto"/>
          <w:sz w:val="22"/>
          <w:szCs w:val="22"/>
          <w:lang w:eastAsia="zh-CN"/>
        </w:rPr>
        <w:t>（</w:t>
      </w:r>
      <w:r>
        <w:rPr>
          <w:rFonts w:hint="eastAsia" w:ascii="仿宋" w:hAnsi="仿宋" w:eastAsia="仿宋" w:cs="仿宋"/>
          <w:b w:val="0"/>
          <w:bCs/>
          <w:color w:val="auto"/>
          <w:sz w:val="22"/>
          <w:szCs w:val="22"/>
          <w:lang w:val="en-US" w:eastAsia="zh-CN"/>
        </w:rPr>
        <w:t>2</w:t>
      </w:r>
      <w:r>
        <w:rPr>
          <w:rFonts w:hint="eastAsia" w:ascii="仿宋" w:hAnsi="仿宋" w:eastAsia="仿宋" w:cs="仿宋"/>
          <w:b w:val="0"/>
          <w:bCs/>
          <w:color w:val="auto"/>
          <w:sz w:val="22"/>
          <w:szCs w:val="22"/>
          <w:lang w:eastAsia="zh-CN"/>
        </w:rPr>
        <w:t>）乙方所提供的全部商品，应符合国家或者商品销售当地有关部门关于商品商标、标签、标识、卫生、安全、环保、保质期及知识产权等要求。</w:t>
      </w:r>
    </w:p>
    <w:p>
      <w:pPr>
        <w:keepNext w:val="0"/>
        <w:keepLines w:val="0"/>
        <w:spacing w:line="400" w:lineRule="exact"/>
        <w:ind w:left="386" w:firstLine="440" w:firstLineChars="200"/>
        <w:rPr>
          <w:rFonts w:hint="eastAsia" w:ascii="仿宋" w:hAnsi="仿宋" w:eastAsia="仿宋" w:cs="仿宋"/>
          <w:b w:val="0"/>
          <w:bCs/>
          <w:color w:val="auto"/>
          <w:sz w:val="22"/>
          <w:szCs w:val="22"/>
          <w:lang w:eastAsia="zh-CN"/>
        </w:rPr>
      </w:pPr>
      <w:r>
        <w:rPr>
          <w:rFonts w:hint="eastAsia" w:ascii="仿宋" w:hAnsi="仿宋" w:eastAsia="仿宋" w:cs="仿宋"/>
          <w:b w:val="0"/>
          <w:bCs/>
          <w:color w:val="auto"/>
          <w:sz w:val="22"/>
          <w:szCs w:val="22"/>
          <w:lang w:eastAsia="zh-CN"/>
        </w:rPr>
        <w:t>（</w:t>
      </w:r>
      <w:r>
        <w:rPr>
          <w:rFonts w:hint="eastAsia" w:ascii="仿宋" w:hAnsi="仿宋" w:eastAsia="仿宋" w:cs="仿宋"/>
          <w:b w:val="0"/>
          <w:bCs/>
          <w:color w:val="auto"/>
          <w:sz w:val="22"/>
          <w:szCs w:val="22"/>
          <w:lang w:val="en-US" w:eastAsia="zh-CN"/>
        </w:rPr>
        <w:t>3</w:t>
      </w:r>
      <w:r>
        <w:rPr>
          <w:rFonts w:hint="eastAsia" w:ascii="仿宋" w:hAnsi="仿宋" w:eastAsia="仿宋" w:cs="仿宋"/>
          <w:b w:val="0"/>
          <w:bCs/>
          <w:color w:val="auto"/>
          <w:sz w:val="22"/>
          <w:szCs w:val="22"/>
          <w:lang w:eastAsia="zh-CN"/>
        </w:rPr>
        <w:t>）</w:t>
      </w:r>
      <w:r>
        <w:rPr>
          <w:rFonts w:hint="eastAsia" w:ascii="仿宋" w:hAnsi="仿宋" w:eastAsia="仿宋" w:cs="仿宋"/>
          <w:b w:val="0"/>
          <w:bCs/>
          <w:color w:val="auto"/>
          <w:sz w:val="22"/>
          <w:szCs w:val="22"/>
          <w:lang w:val="en-US" w:eastAsia="zh-CN"/>
        </w:rPr>
        <w:t>乙方</w:t>
      </w:r>
      <w:r>
        <w:rPr>
          <w:rFonts w:hint="eastAsia" w:ascii="仿宋" w:hAnsi="仿宋" w:eastAsia="仿宋" w:cs="仿宋"/>
          <w:b w:val="0"/>
          <w:bCs/>
          <w:color w:val="auto"/>
          <w:sz w:val="22"/>
          <w:szCs w:val="22"/>
          <w:lang w:eastAsia="zh-CN"/>
        </w:rPr>
        <w:t>应采取相应措施对货物进行包装，确保货物在正常运输和装卸条件下安全无损地到达合同指定地点。包装物不计价、不返还。包装箱应由</w:t>
      </w:r>
      <w:r>
        <w:rPr>
          <w:rFonts w:hint="eastAsia" w:ascii="仿宋" w:hAnsi="仿宋" w:eastAsia="仿宋" w:cs="仿宋"/>
          <w:b w:val="0"/>
          <w:bCs/>
          <w:color w:val="auto"/>
          <w:sz w:val="22"/>
          <w:szCs w:val="22"/>
          <w:lang w:val="en-US" w:eastAsia="zh-CN"/>
        </w:rPr>
        <w:t>乙方</w:t>
      </w:r>
      <w:r>
        <w:rPr>
          <w:rFonts w:hint="eastAsia" w:ascii="仿宋" w:hAnsi="仿宋" w:eastAsia="仿宋" w:cs="仿宋"/>
          <w:b w:val="0"/>
          <w:bCs/>
          <w:color w:val="auto"/>
          <w:sz w:val="22"/>
          <w:szCs w:val="22"/>
          <w:lang w:eastAsia="zh-CN"/>
        </w:rPr>
        <w:t>注明生产厂家、生产许可证号、货物批准文号、生产批号、生产日期等。</w:t>
      </w:r>
    </w:p>
    <w:p>
      <w:pPr>
        <w:keepNext w:val="0"/>
        <w:keepLines w:val="0"/>
        <w:pageBreakBefore w:val="0"/>
        <w:widowControl w:val="0"/>
        <w:kinsoku/>
        <w:wordWrap/>
        <w:overflowPunct/>
        <w:topLinePunct w:val="0"/>
        <w:autoSpaceDE/>
        <w:autoSpaceDN/>
        <w:bidi w:val="0"/>
        <w:adjustRightInd/>
        <w:snapToGrid/>
        <w:spacing w:line="400" w:lineRule="exact"/>
        <w:ind w:left="0" w:firstLine="442" w:firstLineChars="200"/>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6、验收</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乙方送货时应提供相应的《商品订货单》或发货清单与相应检验证书等，否则甲方有权拒收；货物到货后7日内，甲、乙双方对实际交付货物的外观质量、数量、品种、型号或规格进行初步检验，</w:t>
      </w:r>
      <w:r>
        <w:rPr>
          <w:rFonts w:hint="eastAsia" w:ascii="仿宋" w:hAnsi="仿宋" w:eastAsia="仿宋" w:cs="仿宋"/>
          <w:color w:val="auto"/>
          <w:sz w:val="22"/>
          <w:szCs w:val="22"/>
        </w:rPr>
        <w:t>验收结果经双方确认后，双方负责验收的代表人员必须按规定，将验收交接单上的事项对照本合同填好验收结果签名并加盖公章（乙方供货、调试、安装完毕之后并投入正常使用之前，必须3个工作日内，邀请甲方进行验收。</w:t>
      </w:r>
      <w:r>
        <w:rPr>
          <w:rFonts w:hint="eastAsia" w:ascii="仿宋" w:hAnsi="仿宋" w:eastAsia="仿宋" w:cs="仿宋"/>
          <w:color w:val="auto"/>
          <w:sz w:val="22"/>
          <w:szCs w:val="22"/>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若验收不合格或验收发现货物有与合同约定、投标文件、招标文件等文件规定不符之处，乙方应在2日内负责处理，否则视为默认甲方提出的异议及处理意见。因此产生的延期供货责任依据本合同第九条约定处理。甲方对货物外观和数量的检验不视为对货物质量的确认。</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部分设备根据甲方要求，乙方必须5个工作日内，自行跟技术监督部门进行联系并邀请甲方、质量技术监督</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或有资质的第三方</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等部门进行质量检测、设备质量验收。如已供的设备因各种原因无法进行质量验收或质量验收不合格，一切后果由乙方承担）。在验收通过后，由乙方收集验收、签收、合格证、检测报告等有关质量、数量的文件资料，共计</w:t>
      </w:r>
      <w:r>
        <w:rPr>
          <w:rFonts w:hint="eastAsia" w:ascii="仿宋" w:hAnsi="仿宋" w:eastAsia="仿宋" w:cs="仿宋"/>
          <w:color w:val="auto"/>
          <w:sz w:val="22"/>
          <w:szCs w:val="22"/>
          <w:lang w:val="en-US" w:eastAsia="zh-CN"/>
        </w:rPr>
        <w:t>4</w:t>
      </w:r>
      <w:r>
        <w:rPr>
          <w:rFonts w:hint="eastAsia" w:ascii="仿宋" w:hAnsi="仿宋" w:eastAsia="仿宋" w:cs="仿宋"/>
          <w:color w:val="auto"/>
          <w:sz w:val="22"/>
          <w:szCs w:val="22"/>
        </w:rPr>
        <w:t>套。（若原件数量不足可提供彩印件加盖公章）</w:t>
      </w:r>
    </w:p>
    <w:p>
      <w:pPr>
        <w:keepNext w:val="0"/>
        <w:keepLines w:val="0"/>
        <w:pageBreakBefore w:val="0"/>
        <w:widowControl w:val="0"/>
        <w:kinsoku/>
        <w:wordWrap/>
        <w:overflowPunct/>
        <w:topLinePunct w:val="0"/>
        <w:autoSpaceDE/>
        <w:autoSpaceDN/>
        <w:bidi w:val="0"/>
        <w:adjustRightInd/>
        <w:snapToGrid/>
        <w:spacing w:line="400" w:lineRule="exact"/>
        <w:ind w:left="386"/>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7、质量保证</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合同货物质保期要求均为货物经最终验收合格按乙方的投标文件约定执行，在质量保证期内货物运行发生故障时，乙方在接到甲方故障通知后响应时间、故障排除均为投标文件约定执行。</w:t>
      </w:r>
    </w:p>
    <w:p>
      <w:pPr>
        <w:pStyle w:val="43"/>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 xml:space="preserve">甲方指定联系人：             ；联系方式：               </w:t>
      </w:r>
    </w:p>
    <w:p>
      <w:pPr>
        <w:pStyle w:val="43"/>
        <w:rPr>
          <w:rFonts w:hint="default"/>
          <w:color w:val="auto"/>
          <w:lang w:val="en-US" w:eastAsia="zh-CN"/>
        </w:rPr>
      </w:pPr>
      <w:r>
        <w:rPr>
          <w:rFonts w:hint="eastAsia" w:ascii="仿宋" w:hAnsi="仿宋" w:eastAsia="仿宋" w:cs="仿宋"/>
          <w:color w:val="auto"/>
          <w:sz w:val="22"/>
          <w:szCs w:val="22"/>
          <w:lang w:val="en-US" w:eastAsia="zh-CN"/>
        </w:rPr>
        <w:t xml:space="preserve">乙方指定联系人：             ；联系方式：               </w:t>
      </w:r>
    </w:p>
    <w:p>
      <w:pPr>
        <w:keepNext w:val="0"/>
        <w:keepLines w:val="0"/>
        <w:pageBreakBefore w:val="0"/>
        <w:widowControl w:val="0"/>
        <w:kinsoku/>
        <w:wordWrap/>
        <w:overflowPunct/>
        <w:topLinePunct w:val="0"/>
        <w:autoSpaceDE/>
        <w:autoSpaceDN/>
        <w:bidi w:val="0"/>
        <w:adjustRightInd/>
        <w:snapToGrid/>
        <w:spacing w:line="400" w:lineRule="exact"/>
        <w:ind w:left="386"/>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8、知识产权</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且乙方应承担（20）万元/次的违约金</w:t>
      </w:r>
      <w:r>
        <w:rPr>
          <w:rFonts w:hint="eastAsia" w:ascii="仿宋" w:hAnsi="仿宋" w:eastAsia="仿宋" w:cs="仿宋"/>
          <w:color w:val="auto"/>
          <w:sz w:val="22"/>
          <w:szCs w:val="22"/>
        </w:rPr>
        <w:t>。</w:t>
      </w:r>
    </w:p>
    <w:p>
      <w:pPr>
        <w:keepNext w:val="0"/>
        <w:keepLines w:val="0"/>
        <w:pageBreakBefore w:val="0"/>
        <w:widowControl w:val="0"/>
        <w:kinsoku/>
        <w:wordWrap/>
        <w:overflowPunct/>
        <w:topLinePunct w:val="0"/>
        <w:autoSpaceDE/>
        <w:autoSpaceDN/>
        <w:bidi w:val="0"/>
        <w:adjustRightInd/>
        <w:snapToGrid/>
        <w:spacing w:line="400" w:lineRule="exact"/>
        <w:ind w:left="386"/>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9、违约责任</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rPr>
        <w:t>如果乙方未能按合同规定的时间内足额交货（因甲方原因或者不可抗力除外），在乙方书面同意支付延期交货违约金的条件下，甲方有权选择同意延长交货期还是不予延长交货期，甲方同意延长交货期的，延期交货的时间由双方另行确定。延期交货违约金的支付甲方有权从未付的合同货款中扣除。延期交货违约金为每迟交1天，按迟交货中标价额的</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计算</w:t>
      </w:r>
      <w:r>
        <w:rPr>
          <w:rFonts w:hint="eastAsia" w:ascii="仿宋" w:hAnsi="仿宋" w:eastAsia="仿宋" w:cs="仿宋"/>
          <w:color w:val="auto"/>
          <w:sz w:val="22"/>
          <w:szCs w:val="22"/>
        </w:rPr>
        <w:t>。但是，延期交货违约金的支付总额不得超过迟交货物中标价的</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rPr>
        <w:t>0％，超过</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rPr>
        <w:t>0%时甲方有权单方解除此合同，若因此给甲方造成损失的，还应赔偿甲方所受的损失，甲方有权向有关单位申请处理乙方。</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如果乙方未能按双方另行确定的延期交货期内足额交货的（因甲方原因或者不可抗力除外），每逾期1天，按迟交货中标价额的1‰向甲方支付逾期交货的违约金。逾期交货违约金的支付甲方有权从未付的合同货款中予以扣除。若乙方逾期交货达30天（含30天）以上的，甲方有权单方解除本合同，乙方仍应按上述约定支付延期交货违约金。若因此给甲方造成损失的，还应赔偿甲方所受的损失，甲方有权向有关单位申请处理乙方。</w:t>
      </w:r>
    </w:p>
    <w:p>
      <w:pPr>
        <w:pStyle w:val="39"/>
        <w:keepNext w:val="0"/>
        <w:keepLines w:val="0"/>
        <w:pageBreakBefore w:val="0"/>
        <w:widowControl/>
        <w:kinsoku/>
        <w:wordWrap/>
        <w:overflowPunct/>
        <w:topLinePunct w:val="0"/>
        <w:autoSpaceDE/>
        <w:autoSpaceDN/>
        <w:bidi w:val="0"/>
        <w:adjustRightInd w:val="0"/>
        <w:snapToGrid/>
        <w:spacing w:after="0" w:line="500" w:lineRule="exact"/>
        <w:ind w:firstLine="440" w:firstLineChars="200"/>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rPr>
        <w:t>若乙方不能交货的（因甲方原因或者不可抗拒的因素除外）或交货不合格从而影响甲方正常使用的，乙方应向甲方偿付合同金额的10％的违约金。违约金不足以补偿损失的，甲方有权要求乙方赔偿损失，甲方有权向有关单位申请处理乙方。</w:t>
      </w:r>
      <w:r>
        <w:rPr>
          <w:rFonts w:hint="eastAsia" w:ascii="仿宋" w:hAnsi="仿宋" w:eastAsia="仿宋" w:cs="仿宋"/>
          <w:color w:val="auto"/>
          <w:sz w:val="22"/>
          <w:szCs w:val="22"/>
          <w:lang w:val="en-US" w:eastAsia="zh-CN"/>
        </w:rPr>
        <w:t xml:space="preserve">乙方所供货物质量不符合有关规定而造成后果的， 因此产生的赔偿责任由乙方全部承担，且乙方应承担20万元违约金。 </w:t>
      </w:r>
    </w:p>
    <w:p>
      <w:pPr>
        <w:pStyle w:val="39"/>
        <w:widowControl/>
        <w:adjustRightInd w:val="0"/>
        <w:spacing w:line="500" w:lineRule="exact"/>
        <w:ind w:firstLine="440" w:firstLineChars="200"/>
        <w:outlineLvl w:val="9"/>
        <w:rPr>
          <w:rFonts w:hint="default"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（2）因乙方提供的货物存在质量问题等原因，致使甲方或第三方因此遭受人身或财产损失，由此产生的赔偿责任由乙方承担，且乙方应赔偿甲方20万元违约金。</w:t>
      </w:r>
    </w:p>
    <w:p>
      <w:pPr>
        <w:pStyle w:val="39"/>
        <w:widowControl/>
        <w:adjustRightInd w:val="0"/>
        <w:spacing w:line="500" w:lineRule="exact"/>
        <w:ind w:firstLine="440" w:firstLineChars="200"/>
        <w:outlineLvl w:val="9"/>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（3）若发生退货情形，乙方未按甲方要求退还已支付货款的，乙方除应立即退还货款外，还应承担（20）万元违约金。</w:t>
      </w:r>
    </w:p>
    <w:p>
      <w:pPr>
        <w:pStyle w:val="39"/>
        <w:widowControl/>
        <w:adjustRightInd w:val="0"/>
        <w:spacing w:line="500" w:lineRule="exact"/>
        <w:ind w:firstLine="440" w:firstLineChars="200"/>
        <w:outlineLvl w:val="9"/>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（4）乙方出现违反本合同约定或违反投标文件、招标文件等内容时，甲方有权要求乙方立即整改，并有权要求乙方承担20万元/次的违约金。</w:t>
      </w:r>
    </w:p>
    <w:p>
      <w:pPr>
        <w:pStyle w:val="39"/>
        <w:widowControl/>
        <w:adjustRightInd w:val="0"/>
        <w:spacing w:line="500" w:lineRule="exact"/>
        <w:ind w:firstLine="440" w:firstLineChars="200"/>
        <w:outlineLvl w:val="9"/>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（5）乙方交付的货物与合同要求不符，甲方有权拒绝接收，所有费用由乙方承担，逾期不到货，每逾期一日应承担当批次货物对应价款每日万分之五的违约金。逾期超过10天，甲方有权单方解除合同。</w:t>
      </w:r>
    </w:p>
    <w:p>
      <w:pPr>
        <w:pStyle w:val="39"/>
        <w:widowControl/>
        <w:adjustRightInd w:val="0"/>
        <w:spacing w:line="500" w:lineRule="exact"/>
        <w:ind w:firstLine="440" w:firstLineChars="200"/>
        <w:outlineLvl w:val="9"/>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6）乙方确认甲方发出的订单通知后拒绝供货的，应承担违约责任。乙方拒绝供货，每发生一次此种情形，乙方应承担【】元违约金。乙方拒绝供货超过2次或违约金达到5000元，甲方有权解除合同，并有权要求乙方承担【】元违约金。</w:t>
      </w:r>
    </w:p>
    <w:p>
      <w:pPr>
        <w:pStyle w:val="39"/>
        <w:widowControl/>
        <w:adjustRightInd w:val="0"/>
        <w:spacing w:line="500" w:lineRule="exact"/>
        <w:ind w:firstLine="440" w:firstLineChars="200"/>
        <w:outlineLvl w:val="9"/>
        <w:rPr>
          <w:rFonts w:hint="eastAsia"/>
          <w:color w:val="auto"/>
          <w:sz w:val="22"/>
          <w:szCs w:val="22"/>
        </w:rPr>
      </w:pPr>
      <w:r>
        <w:rPr>
          <w:rFonts w:hint="eastAsia" w:ascii="仿宋" w:hAnsi="仿宋" w:eastAsia="仿宋" w:cs="仿宋"/>
          <w:color w:val="auto"/>
          <w:kern w:val="2"/>
          <w:sz w:val="22"/>
          <w:szCs w:val="22"/>
          <w:lang w:val="en-US" w:eastAsia="zh-CN" w:bidi="ar-SA"/>
        </w:rPr>
        <w:t>（7）乙方除不可抗力因素外，应按照本合同约定完成项下义务，否则视为乙方违约，甲方有权拒付费用，并有权要求乙方赔偿由此造成的全部损失。</w:t>
      </w:r>
    </w:p>
    <w:p>
      <w:pPr>
        <w:keepNext w:val="0"/>
        <w:keepLines w:val="0"/>
        <w:pageBreakBefore w:val="0"/>
        <w:widowControl w:val="0"/>
        <w:kinsoku/>
        <w:wordWrap/>
        <w:overflowPunct/>
        <w:topLinePunct w:val="0"/>
        <w:autoSpaceDE/>
        <w:autoSpaceDN/>
        <w:bidi w:val="0"/>
        <w:adjustRightInd/>
        <w:snapToGrid/>
        <w:spacing w:line="400" w:lineRule="exact"/>
        <w:ind w:left="386"/>
        <w:textAlignment w:val="auto"/>
        <w:rPr>
          <w:rFonts w:hint="eastAsia" w:ascii="仿宋" w:hAnsi="仿宋" w:eastAsia="仿宋" w:cs="仿宋"/>
          <w:b/>
          <w:bCs/>
          <w:color w:val="auto"/>
          <w:sz w:val="22"/>
          <w:szCs w:val="22"/>
        </w:rPr>
      </w:pPr>
      <w:r>
        <w:rPr>
          <w:rFonts w:hint="eastAsia" w:ascii="仿宋" w:hAnsi="仿宋" w:eastAsia="仿宋" w:cs="仿宋"/>
          <w:b/>
          <w:bCs/>
          <w:color w:val="auto"/>
          <w:sz w:val="22"/>
          <w:szCs w:val="22"/>
        </w:rPr>
        <w:t>10、违约终止合同</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在补救违约而采取的任何其他措施未能实现的情况下，即在守约方发出的违约通知后10天内（或经守约方书面确认的更长时间内），违约方仍未纠正其下述任何一种违约行为，守约方有权向违约方发出书面解约通知，提前解除本合同。</w:t>
      </w:r>
    </w:p>
    <w:p>
      <w:pPr>
        <w:keepNext w:val="0"/>
        <w:keepLines w:val="0"/>
        <w:spacing w:line="400" w:lineRule="exact"/>
        <w:ind w:firstLine="440" w:firstLineChars="200"/>
        <w:contextualSpacing/>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除本合同另有约定外，违约方未能如约履行合同项下的任何义务</w:t>
      </w:r>
      <w:r>
        <w:rPr>
          <w:rFonts w:hint="eastAsia" w:ascii="仿宋" w:hAnsi="仿宋" w:eastAsia="仿宋" w:cs="仿宋"/>
          <w:color w:val="auto"/>
          <w:sz w:val="22"/>
          <w:szCs w:val="22"/>
          <w:lang w:val="en-US" w:eastAsia="zh-CN"/>
        </w:rPr>
        <w:t>守约方可单方解除本合同。</w:t>
      </w:r>
    </w:p>
    <w:p>
      <w:pPr>
        <w:keepNext w:val="0"/>
        <w:keepLines w:val="0"/>
        <w:spacing w:line="400" w:lineRule="exact"/>
        <w:ind w:firstLine="440" w:firstLineChars="200"/>
        <w:contextualSpacing/>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（3）经双方协商一致或因不可抗力不能实现合同目的时可以书面形式解除合同。</w:t>
      </w:r>
    </w:p>
    <w:p>
      <w:pPr>
        <w:keepNext w:val="0"/>
        <w:keepLines w:val="0"/>
        <w:spacing w:line="400" w:lineRule="exact"/>
        <w:ind w:firstLine="440" w:firstLineChars="200"/>
        <w:contextualSpacing/>
        <w:rPr>
          <w:rFonts w:hint="default"/>
          <w:lang w:val="en-US" w:eastAsia="zh-CN"/>
        </w:rPr>
      </w:pPr>
      <w:r>
        <w:rPr>
          <w:rFonts w:hint="eastAsia" w:ascii="仿宋" w:hAnsi="仿宋" w:eastAsia="仿宋" w:cs="仿宋"/>
          <w:color w:val="auto"/>
          <w:sz w:val="22"/>
          <w:szCs w:val="22"/>
          <w:lang w:val="en-US" w:eastAsia="zh-CN"/>
        </w:rPr>
        <w:t>（4）甲方有证据表明乙方丧失或可能丧失商业信誉或履行义务能力的，甲方有权单方面解除本合同，并要求乙方退回已付款、支付合同总价款20%的违约金。</w:t>
      </w:r>
    </w:p>
    <w:p>
      <w:pPr>
        <w:keepNext w:val="0"/>
        <w:keepLines w:val="0"/>
        <w:pageBreakBefore w:val="0"/>
        <w:widowControl w:val="0"/>
        <w:kinsoku/>
        <w:wordWrap/>
        <w:overflowPunct/>
        <w:topLinePunct w:val="0"/>
        <w:autoSpaceDE/>
        <w:autoSpaceDN/>
        <w:bidi w:val="0"/>
        <w:adjustRightInd/>
        <w:snapToGrid/>
        <w:spacing w:line="400" w:lineRule="exact"/>
        <w:ind w:left="386"/>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11、不可抗力</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本合同中的不可抗力指人为不能预见、不能避免并不能克服的客观情况。包括（但不限于）：自然灾害如地震、台风、洪水、火灾；重大传染病问题、政府行为、法律规定、其适用的变化、国家规定节假日前后导致的物流停运（乙方务必书面申请延迟交货并书面申请写清楚延迟供货日期）或者其他任何无法预见、避免或者控制的事件。</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firstLine="442" w:firstLineChars="200"/>
        <w:textAlignment w:val="auto"/>
        <w:rPr>
          <w:rFonts w:hint="eastAsia" w:ascii="仿宋" w:hAnsi="仿宋" w:eastAsia="仿宋" w:cs="仿宋"/>
          <w:b/>
          <w:bCs/>
          <w:color w:val="auto"/>
          <w:sz w:val="22"/>
          <w:szCs w:val="22"/>
        </w:rPr>
      </w:pPr>
      <w:r>
        <w:rPr>
          <w:rFonts w:hint="eastAsia" w:ascii="仿宋" w:hAnsi="仿宋" w:eastAsia="仿宋" w:cs="仿宋"/>
          <w:b/>
          <w:bCs/>
          <w:color w:val="auto"/>
          <w:sz w:val="22"/>
          <w:szCs w:val="22"/>
        </w:rPr>
        <w:t>合同纠纷处理方式：</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40" w:firstLineChars="20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因本合同或与本合同有关的一切事项发生争议，由双方友好协商解决。协商不成的，任何一方</w:t>
      </w:r>
      <w:r>
        <w:rPr>
          <w:rFonts w:hint="eastAsia" w:ascii="仿宋" w:hAnsi="仿宋" w:eastAsia="仿宋" w:cs="仿宋"/>
          <w:color w:val="auto"/>
          <w:sz w:val="22"/>
          <w:szCs w:val="22"/>
          <w:lang w:val="en-US" w:eastAsia="zh-CN"/>
        </w:rPr>
        <w:t>可在和田市</w:t>
      </w:r>
      <w:r>
        <w:rPr>
          <w:rFonts w:hint="eastAsia" w:ascii="仿宋" w:hAnsi="仿宋" w:eastAsia="仿宋" w:cs="仿宋"/>
          <w:color w:val="auto"/>
          <w:sz w:val="22"/>
          <w:szCs w:val="22"/>
        </w:rPr>
        <w:t>人民法院提起诉讼。</w:t>
      </w:r>
      <w:r>
        <w:rPr>
          <w:rFonts w:hint="eastAsia" w:ascii="仿宋" w:hAnsi="仿宋" w:eastAsia="仿宋" w:cs="仿宋"/>
          <w:color w:val="auto"/>
          <w:sz w:val="22"/>
          <w:lang w:val="en-US" w:eastAsia="zh-CN"/>
        </w:rPr>
        <w:t>违约方/败诉方应承担为解决本次争议而产生的合理费用，包括但不限于诉讼费、律师费、鉴定费、保全费、保全担保费等费用。</w:t>
      </w:r>
    </w:p>
    <w:p>
      <w:pPr>
        <w:keepNext w:val="0"/>
        <w:keepLines w:val="0"/>
        <w:pageBreakBefore w:val="0"/>
        <w:widowControl w:val="0"/>
        <w:kinsoku/>
        <w:wordWrap/>
        <w:overflowPunct/>
        <w:topLinePunct w:val="0"/>
        <w:autoSpaceDE/>
        <w:autoSpaceDN/>
        <w:bidi w:val="0"/>
        <w:adjustRightInd/>
        <w:snapToGrid/>
        <w:spacing w:line="400" w:lineRule="exact"/>
        <w:ind w:left="386"/>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13、质保期、范围、保修条件及方式</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rPr>
        <w:t>设备质保期为</w:t>
      </w:r>
      <w:r>
        <w:rPr>
          <w:rFonts w:hint="eastAsia" w:ascii="仿宋" w:hAnsi="仿宋" w:eastAsia="仿宋" w:cs="仿宋"/>
          <w:color w:val="auto"/>
          <w:sz w:val="22"/>
          <w:szCs w:val="22"/>
          <w:u w:val="none"/>
          <w:lang w:val="en-US" w:eastAsia="zh-CN"/>
        </w:rPr>
        <w:t xml:space="preserve"> </w:t>
      </w:r>
      <w:r>
        <w:rPr>
          <w:rFonts w:hint="eastAsia" w:ascii="仿宋" w:hAnsi="仿宋" w:eastAsia="仿宋" w:cs="仿宋"/>
          <w:b/>
          <w:bCs/>
          <w:color w:val="FF0000"/>
          <w:sz w:val="22"/>
          <w:szCs w:val="22"/>
          <w:u w:val="single"/>
          <w:lang w:val="en-US" w:eastAsia="zh-CN"/>
        </w:rPr>
        <w:t xml:space="preserve">              </w:t>
      </w:r>
      <w:r>
        <w:rPr>
          <w:rFonts w:hint="eastAsia" w:ascii="仿宋" w:hAnsi="仿宋" w:eastAsia="仿宋" w:cs="仿宋"/>
          <w:color w:val="auto"/>
          <w:sz w:val="22"/>
          <w:szCs w:val="22"/>
          <w:u w:val="none"/>
          <w:lang w:val="en-US" w:eastAsia="zh-CN"/>
        </w:rPr>
        <w:t xml:space="preserve"> </w:t>
      </w:r>
      <w:r>
        <w:rPr>
          <w:rFonts w:hint="eastAsia" w:ascii="仿宋" w:hAnsi="仿宋" w:eastAsia="仿宋" w:cs="仿宋"/>
          <w:color w:val="auto"/>
          <w:sz w:val="22"/>
          <w:szCs w:val="22"/>
        </w:rPr>
        <w:t>年，自货物验收合格之日起算。质保期限之内出现任何质量问题由乙方负责</w:t>
      </w:r>
      <w:r>
        <w:rPr>
          <w:rFonts w:hint="eastAsia" w:ascii="仿宋" w:hAnsi="仿宋" w:eastAsia="仿宋" w:cs="仿宋"/>
          <w:color w:val="FF0000"/>
          <w:sz w:val="22"/>
          <w:szCs w:val="22"/>
          <w:u w:val="single"/>
          <w:lang w:val="en-US" w:eastAsia="zh-CN"/>
        </w:rPr>
        <w:t xml:space="preserve">            </w:t>
      </w:r>
      <w:r>
        <w:rPr>
          <w:rFonts w:hint="eastAsia" w:ascii="仿宋" w:hAnsi="仿宋" w:eastAsia="仿宋" w:cs="仿宋"/>
          <w:color w:val="auto"/>
          <w:sz w:val="22"/>
          <w:szCs w:val="22"/>
        </w:rPr>
        <w:t>调换</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维修。如出现非质量问题或者因人为原因、不可抗力等导致的问题，维修的材料费由甲方承担（甲方可指示具体签收货物的学校代为支付），乙方提供免费维修。免费保修期到后维修收取材料费</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只收服务费（服务费具体签收货物的学校与投标人协商并自行承担）。质保期内，若乙方拖延或拒不履行质保义务，甲方有权寻找第三方进行调换、维修，由此产生的费用由乙方承担，甲方有权从保证金中扣除。</w:t>
      </w:r>
    </w:p>
    <w:p>
      <w:pPr>
        <w:spacing w:line="400" w:lineRule="exact"/>
        <w:ind w:firstLine="440"/>
        <w:contextualSpacing/>
        <w:rPr>
          <w:rFonts w:hint="eastAsia" w:ascii="仿宋" w:hAnsi="仿宋" w:eastAsia="仿宋" w:cs="仿宋"/>
          <w:b/>
          <w:bCs/>
          <w:color w:val="auto"/>
          <w:sz w:val="22"/>
          <w:lang w:val="en-US" w:eastAsia="zh-CN"/>
        </w:rPr>
      </w:pPr>
      <w:r>
        <w:rPr>
          <w:rFonts w:hint="eastAsia" w:ascii="仿宋" w:hAnsi="仿宋" w:eastAsia="仿宋" w:cs="仿宋"/>
          <w:b/>
          <w:bCs/>
          <w:color w:val="auto"/>
          <w:sz w:val="22"/>
          <w:lang w:val="en-US" w:eastAsia="zh-CN"/>
        </w:rPr>
        <w:t>14、通知及送达</w:t>
      </w:r>
    </w:p>
    <w:p>
      <w:pPr>
        <w:pStyle w:val="43"/>
        <w:ind w:left="0" w:leftChars="0" w:firstLine="440" w:firstLineChars="200"/>
        <w:rPr>
          <w:rFonts w:hint="default"/>
          <w:color w:val="auto"/>
          <w:u w:val="none"/>
          <w:lang w:val="en-US" w:eastAsia="zh-CN"/>
        </w:rPr>
      </w:pPr>
      <w:r>
        <w:rPr>
          <w:rFonts w:hint="eastAsia" w:ascii="仿宋" w:hAnsi="仿宋" w:eastAsia="仿宋" w:cs="仿宋"/>
          <w:color w:val="auto"/>
          <w:spacing w:val="0"/>
          <w:kern w:val="2"/>
          <w:sz w:val="22"/>
          <w:u w:val="none"/>
          <w:lang w:val="en-US" w:eastAsia="zh-CN"/>
        </w:rPr>
        <w:t>双方关于本合同履行及相关事宜的通知，应当按照本合同尾部载明的地址发出。通知一般以对方或授权代表签名或者盖章确认为准。如果以特快专递或者挂号信形式寄送的，自发出之日起第四日视为送达之日。在合同有效期内，任何一方的联系方式发生变更的，应当及时书面通知对方，否则应承担因此产生的不利后果。双方因本合同发生纠纷的，本合同尾部双方确认的地址可作为司法机关诉讼送达法律文书的地址。</w:t>
      </w:r>
    </w:p>
    <w:p>
      <w:pPr>
        <w:keepNext w:val="0"/>
        <w:keepLines w:val="0"/>
        <w:pageBreakBefore w:val="0"/>
        <w:widowControl w:val="0"/>
        <w:kinsoku/>
        <w:wordWrap/>
        <w:overflowPunct/>
        <w:topLinePunct w:val="0"/>
        <w:autoSpaceDE/>
        <w:autoSpaceDN/>
        <w:bidi w:val="0"/>
        <w:adjustRightInd/>
        <w:snapToGrid/>
        <w:spacing w:line="400" w:lineRule="exact"/>
        <w:ind w:left="386"/>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lang w:val="en-US" w:eastAsia="zh-CN"/>
        </w:rPr>
        <w:t xml:space="preserve"> 15</w:t>
      </w:r>
      <w:r>
        <w:rPr>
          <w:rFonts w:hint="eastAsia" w:ascii="仿宋" w:hAnsi="仿宋" w:eastAsia="仿宋" w:cs="仿宋"/>
          <w:b/>
          <w:color w:val="auto"/>
          <w:sz w:val="22"/>
          <w:szCs w:val="22"/>
        </w:rPr>
        <w:t>、其他约定</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本招标项目的招标文件、中标人的投标文件以及相关的澄清确认函（如果有的话）均为本合同不可分割的一部分，与本合同具有同等法律效力。</w:t>
      </w:r>
    </w:p>
    <w:p>
      <w:pPr>
        <w:pStyle w:val="39"/>
        <w:keepNext w:val="0"/>
        <w:keepLines w:val="0"/>
        <w:pageBreakBefore w:val="0"/>
        <w:widowControl/>
        <w:kinsoku/>
        <w:wordWrap/>
        <w:overflowPunct/>
        <w:topLinePunct w:val="0"/>
        <w:autoSpaceDE/>
        <w:autoSpaceDN/>
        <w:bidi w:val="0"/>
        <w:adjustRightInd/>
        <w:snapToGrid/>
        <w:spacing w:line="360" w:lineRule="auto"/>
        <w:ind w:firstLine="440" w:firstLineChars="200"/>
        <w:contextualSpacing/>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本合同未尽事宜，</w:t>
      </w:r>
      <w:r>
        <w:rPr>
          <w:rFonts w:hint="eastAsia" w:ascii="仿宋" w:hAnsi="仿宋" w:eastAsia="仿宋" w:cs="仿宋"/>
          <w:color w:val="auto"/>
          <w:sz w:val="22"/>
          <w:szCs w:val="22"/>
          <w:lang w:val="en-US" w:eastAsia="zh-CN"/>
        </w:rPr>
        <w:t>由</w:t>
      </w:r>
      <w:r>
        <w:rPr>
          <w:rFonts w:hint="eastAsia" w:ascii="仿宋" w:hAnsi="仿宋" w:eastAsia="仿宋" w:cs="仿宋"/>
          <w:color w:val="auto"/>
          <w:sz w:val="22"/>
          <w:szCs w:val="22"/>
        </w:rPr>
        <w:t>双方另行</w:t>
      </w:r>
      <w:r>
        <w:rPr>
          <w:rFonts w:hint="eastAsia" w:ascii="仿宋" w:hAnsi="仿宋" w:eastAsia="仿宋" w:cs="仿宋"/>
          <w:color w:val="auto"/>
          <w:sz w:val="22"/>
          <w:szCs w:val="22"/>
          <w:lang w:val="en-US" w:eastAsia="zh-CN"/>
        </w:rPr>
        <w:t>商定，并以书面形式</w:t>
      </w:r>
      <w:r>
        <w:rPr>
          <w:rFonts w:hint="eastAsia" w:ascii="仿宋" w:hAnsi="仿宋" w:eastAsia="仿宋" w:cs="仿宋"/>
          <w:color w:val="auto"/>
          <w:sz w:val="22"/>
          <w:szCs w:val="22"/>
        </w:rPr>
        <w:t>补充。补充协议与本合同具有同等效力。</w:t>
      </w:r>
      <w:r>
        <w:rPr>
          <w:rFonts w:hint="eastAsia" w:ascii="仿宋" w:hAnsi="仿宋" w:eastAsia="仿宋" w:cs="仿宋"/>
          <w:b w:val="0"/>
          <w:bCs w:val="0"/>
          <w:color w:val="auto"/>
          <w:sz w:val="22"/>
          <w:szCs w:val="22"/>
        </w:rPr>
        <w:t>本补充协议未</w:t>
      </w:r>
      <w:r>
        <w:rPr>
          <w:rFonts w:hint="eastAsia" w:ascii="仿宋" w:hAnsi="仿宋" w:eastAsia="仿宋" w:cs="仿宋"/>
          <w:b w:val="0"/>
          <w:bCs w:val="0"/>
          <w:color w:val="auto"/>
          <w:sz w:val="22"/>
          <w:szCs w:val="22"/>
          <w:lang w:val="en-US" w:eastAsia="zh-CN"/>
        </w:rPr>
        <w:t>涉及</w:t>
      </w:r>
      <w:r>
        <w:rPr>
          <w:rFonts w:hint="eastAsia" w:ascii="仿宋" w:hAnsi="仿宋" w:eastAsia="仿宋" w:cs="仿宋"/>
          <w:b w:val="0"/>
          <w:bCs w:val="0"/>
          <w:color w:val="auto"/>
          <w:sz w:val="22"/>
          <w:szCs w:val="22"/>
        </w:rPr>
        <w:t>的</w:t>
      </w:r>
      <w:r>
        <w:rPr>
          <w:rFonts w:hint="eastAsia" w:ascii="仿宋" w:hAnsi="仿宋" w:eastAsia="仿宋" w:cs="仿宋"/>
          <w:b w:val="0"/>
          <w:bCs w:val="0"/>
          <w:color w:val="auto"/>
          <w:sz w:val="22"/>
          <w:szCs w:val="22"/>
          <w:lang w:val="en-US" w:eastAsia="zh-CN"/>
        </w:rPr>
        <w:t>内容</w:t>
      </w:r>
      <w:r>
        <w:rPr>
          <w:rFonts w:hint="eastAsia" w:ascii="仿宋" w:hAnsi="仿宋" w:eastAsia="仿宋" w:cs="仿宋"/>
          <w:b w:val="0"/>
          <w:bCs w:val="0"/>
          <w:color w:val="auto"/>
          <w:sz w:val="22"/>
          <w:szCs w:val="22"/>
        </w:rPr>
        <w:t>，以原合同的约定为准；</w:t>
      </w:r>
      <w:r>
        <w:rPr>
          <w:rFonts w:hint="eastAsia" w:ascii="仿宋" w:hAnsi="仿宋" w:eastAsia="仿宋" w:cs="仿宋"/>
          <w:color w:val="auto"/>
          <w:sz w:val="22"/>
          <w:szCs w:val="22"/>
        </w:rPr>
        <w:t>补充协议与本</w:t>
      </w:r>
      <w:r>
        <w:rPr>
          <w:rFonts w:hint="eastAsia" w:ascii="仿宋" w:hAnsi="仿宋" w:eastAsia="仿宋" w:cs="仿宋"/>
          <w:color w:val="auto"/>
          <w:sz w:val="22"/>
          <w:szCs w:val="22"/>
          <w:lang w:val="en-US" w:eastAsia="zh-CN"/>
        </w:rPr>
        <w:t>合同</w:t>
      </w:r>
      <w:r>
        <w:rPr>
          <w:rFonts w:hint="eastAsia" w:ascii="仿宋" w:hAnsi="仿宋" w:eastAsia="仿宋" w:cs="仿宋"/>
          <w:color w:val="auto"/>
          <w:sz w:val="22"/>
          <w:szCs w:val="22"/>
        </w:rPr>
        <w:t>不一致的，以补充协议为准。</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firstLine="442" w:firstLineChars="200"/>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lang w:val="en-US" w:eastAsia="zh-CN"/>
        </w:rPr>
        <w:t>16、</w:t>
      </w:r>
      <w:r>
        <w:rPr>
          <w:rFonts w:hint="eastAsia" w:ascii="仿宋" w:hAnsi="仿宋" w:eastAsia="仿宋" w:cs="仿宋"/>
          <w:b/>
          <w:color w:val="auto"/>
          <w:sz w:val="22"/>
          <w:szCs w:val="22"/>
        </w:rPr>
        <w:t>本合同一式陆份，甲方执肆份、乙方执贰份，经双方</w:t>
      </w:r>
      <w:r>
        <w:rPr>
          <w:rFonts w:hint="eastAsia" w:ascii="仿宋" w:hAnsi="仿宋" w:eastAsia="仿宋" w:cs="仿宋"/>
          <w:b/>
          <w:color w:val="auto"/>
          <w:sz w:val="22"/>
          <w:szCs w:val="22"/>
          <w:lang w:val="en-US" w:eastAsia="zh-CN"/>
        </w:rPr>
        <w:t>法定代表人或授权代表</w:t>
      </w:r>
      <w:r>
        <w:rPr>
          <w:rFonts w:hint="eastAsia" w:ascii="仿宋" w:hAnsi="仿宋" w:eastAsia="仿宋" w:cs="仿宋"/>
          <w:b/>
          <w:color w:val="auto"/>
          <w:sz w:val="22"/>
          <w:szCs w:val="22"/>
        </w:rPr>
        <w:t>签字</w:t>
      </w:r>
      <w:r>
        <w:rPr>
          <w:rFonts w:hint="eastAsia" w:ascii="仿宋" w:hAnsi="仿宋" w:eastAsia="仿宋" w:cs="仿宋"/>
          <w:b/>
          <w:color w:val="auto"/>
          <w:sz w:val="22"/>
          <w:szCs w:val="22"/>
          <w:lang w:val="en-US" w:eastAsia="zh-CN"/>
        </w:rPr>
        <w:t>并加</w:t>
      </w:r>
      <w:r>
        <w:rPr>
          <w:rFonts w:hint="eastAsia" w:ascii="仿宋" w:hAnsi="仿宋" w:eastAsia="仿宋" w:cs="仿宋"/>
          <w:b/>
          <w:color w:val="auto"/>
          <w:sz w:val="22"/>
          <w:szCs w:val="22"/>
        </w:rPr>
        <w:t>盖</w:t>
      </w:r>
      <w:r>
        <w:rPr>
          <w:rFonts w:hint="eastAsia" w:ascii="仿宋" w:hAnsi="仿宋" w:eastAsia="仿宋" w:cs="仿宋"/>
          <w:b/>
          <w:color w:val="auto"/>
          <w:sz w:val="22"/>
          <w:szCs w:val="22"/>
          <w:lang w:val="en-US" w:eastAsia="zh-CN"/>
        </w:rPr>
        <w:t>公</w:t>
      </w:r>
      <w:r>
        <w:rPr>
          <w:rFonts w:hint="eastAsia" w:ascii="仿宋" w:hAnsi="仿宋" w:eastAsia="仿宋" w:cs="仿宋"/>
          <w:b/>
          <w:color w:val="auto"/>
          <w:sz w:val="22"/>
          <w:szCs w:val="22"/>
        </w:rPr>
        <w:t>章后生效。</w:t>
      </w:r>
    </w:p>
    <w:p>
      <w:pPr>
        <w:spacing w:line="360" w:lineRule="auto"/>
        <w:ind w:left="0" w:leftChars="0" w:firstLine="0" w:firstLineChars="0"/>
        <w:contextualSpacing/>
        <w:rPr>
          <w:rFonts w:hint="eastAsia" w:ascii="仿宋" w:hAnsi="仿宋" w:eastAsia="仿宋" w:cs="仿宋"/>
          <w:color w:val="auto"/>
          <w:sz w:val="22"/>
          <w:szCs w:val="22"/>
        </w:rPr>
      </w:pPr>
      <w:r>
        <w:rPr>
          <w:rFonts w:hint="eastAsia" w:ascii="仿宋" w:hAnsi="仿宋" w:eastAsia="仿宋" w:cs="仿宋"/>
          <w:color w:val="auto"/>
          <w:sz w:val="22"/>
          <w:szCs w:val="22"/>
        </w:rPr>
        <w:t>甲    方：</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lang w:eastAsia="zh-CN"/>
        </w:rPr>
        <w:t>墨玉县教育局</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rPr>
        <w:t xml:space="preserve">   </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pacing w:val="159"/>
          <w:sz w:val="22"/>
          <w:szCs w:val="22"/>
        </w:rPr>
        <w:t>乙方</w:t>
      </w:r>
      <w:r>
        <w:rPr>
          <w:rFonts w:hint="eastAsia" w:ascii="仿宋" w:hAnsi="仿宋" w:eastAsia="仿宋" w:cs="仿宋"/>
          <w:color w:val="auto"/>
          <w:spacing w:val="0"/>
          <w:sz w:val="22"/>
          <w:szCs w:val="22"/>
        </w:rPr>
        <w:t>：</w:t>
      </w:r>
      <w:r>
        <w:rPr>
          <w:rFonts w:hint="eastAsia" w:ascii="仿宋" w:hAnsi="仿宋" w:eastAsia="仿宋" w:cs="仿宋"/>
          <w:color w:val="auto"/>
          <w:spacing w:val="-11"/>
          <w:sz w:val="22"/>
          <w:szCs w:val="22"/>
          <w:u w:val="single"/>
          <w:lang w:val="en-US" w:eastAsia="zh-CN"/>
        </w:rPr>
        <w:t xml:space="preserve">                                 </w:t>
      </w:r>
      <w:r>
        <w:rPr>
          <w:rFonts w:hint="eastAsia" w:ascii="仿宋" w:hAnsi="仿宋" w:eastAsia="仿宋" w:cs="仿宋"/>
          <w:color w:val="auto"/>
          <w:sz w:val="22"/>
          <w:szCs w:val="22"/>
        </w:rPr>
        <w:t xml:space="preserve">  </w:t>
      </w:r>
    </w:p>
    <w:p>
      <w:pPr>
        <w:spacing w:line="360" w:lineRule="auto"/>
        <w:ind w:left="5847" w:leftChars="0" w:hanging="5847" w:hangingChars="2658"/>
        <w:contextualSpacing/>
        <w:rPr>
          <w:rFonts w:hint="eastAsia" w:ascii="仿宋" w:hAnsi="仿宋" w:eastAsia="仿宋" w:cs="仿宋"/>
          <w:color w:val="auto"/>
          <w:sz w:val="22"/>
          <w:szCs w:val="22"/>
          <w:u w:val="single"/>
          <w:lang w:val="en-US" w:eastAsia="zh-CN"/>
        </w:rPr>
      </w:pPr>
      <w:r>
        <w:rPr>
          <w:rFonts w:hint="eastAsia" w:ascii="仿宋" w:hAnsi="仿宋" w:eastAsia="仿宋" w:cs="仿宋"/>
          <w:color w:val="auto"/>
          <w:sz w:val="22"/>
          <w:szCs w:val="22"/>
        </w:rPr>
        <w:t>单位地址：</w:t>
      </w:r>
      <w:r>
        <w:rPr>
          <w:rFonts w:hint="eastAsia" w:ascii="仿宋" w:hAnsi="仿宋" w:eastAsia="仿宋" w:cs="仿宋"/>
          <w:color w:val="auto"/>
          <w:sz w:val="22"/>
          <w:szCs w:val="22"/>
          <w:u w:val="single"/>
          <w:lang w:eastAsia="zh-CN"/>
        </w:rPr>
        <w:t>墨玉县同心路81号</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rPr>
        <w:t xml:space="preserve">    </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pacing w:val="20"/>
          <w:sz w:val="22"/>
          <w:szCs w:val="22"/>
        </w:rPr>
        <w:t>单位地址：</w:t>
      </w:r>
      <w:r>
        <w:rPr>
          <w:rFonts w:hint="eastAsia" w:ascii="仿宋" w:hAnsi="仿宋" w:eastAsia="仿宋" w:cs="仿宋"/>
          <w:color w:val="auto"/>
          <w:spacing w:val="-6"/>
          <w:w w:val="100"/>
          <w:sz w:val="22"/>
          <w:szCs w:val="22"/>
          <w:u w:val="single"/>
          <w:lang w:val="en-US" w:eastAsia="zh-CN"/>
        </w:rPr>
        <w:t xml:space="preserve">                               </w:t>
      </w:r>
      <w:r>
        <w:rPr>
          <w:rFonts w:hint="eastAsia" w:ascii="仿宋" w:hAnsi="仿宋" w:eastAsia="仿宋" w:cs="仿宋"/>
          <w:color w:val="auto"/>
          <w:w w:val="100"/>
          <w:sz w:val="22"/>
          <w:szCs w:val="22"/>
          <w:u w:val="single"/>
          <w:lang w:val="en-US" w:eastAsia="zh-CN"/>
        </w:rPr>
        <w:t xml:space="preserve"> </w:t>
      </w:r>
    </w:p>
    <w:p>
      <w:pPr>
        <w:spacing w:line="360" w:lineRule="auto"/>
        <w:ind w:left="0" w:leftChars="0" w:firstLine="0" w:firstLineChars="0"/>
        <w:contextualSpacing/>
        <w:rPr>
          <w:rFonts w:hint="eastAsia" w:ascii="仿宋" w:hAnsi="仿宋" w:eastAsia="仿宋" w:cs="仿宋"/>
          <w:color w:val="auto"/>
          <w:sz w:val="22"/>
          <w:szCs w:val="22"/>
          <w:u w:val="single"/>
        </w:rPr>
      </w:pPr>
      <w:r>
        <w:rPr>
          <w:rFonts w:hint="eastAsia" w:ascii="仿宋" w:hAnsi="仿宋" w:eastAsia="仿宋" w:cs="仿宋"/>
          <w:color w:val="auto"/>
          <w:sz w:val="22"/>
          <w:szCs w:val="22"/>
        </w:rPr>
        <w:t>法定代表人：</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 xml:space="preserve">      法定代表人：</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p>
    <w:p>
      <w:pPr>
        <w:pStyle w:val="2"/>
        <w:spacing w:line="360" w:lineRule="auto"/>
        <w:ind w:left="0" w:leftChars="0" w:firstLine="0" w:firstLineChars="0"/>
        <w:rPr>
          <w:rFonts w:hint="eastAsia" w:ascii="仿宋" w:hAnsi="仿宋" w:eastAsia="仿宋" w:cs="仿宋"/>
          <w:color w:val="auto"/>
          <w:sz w:val="22"/>
          <w:szCs w:val="22"/>
          <w:u w:val="single"/>
        </w:rPr>
      </w:pPr>
      <w:r>
        <w:rPr>
          <w:rFonts w:hint="eastAsia" w:ascii="仿宋" w:hAnsi="仿宋" w:eastAsia="仿宋" w:cs="仿宋"/>
          <w:color w:val="auto"/>
          <w:sz w:val="22"/>
          <w:szCs w:val="22"/>
          <w:lang w:val="en-US" w:eastAsia="zh-CN"/>
        </w:rPr>
        <w:t>分管领导</w:t>
      </w:r>
      <w:r>
        <w:rPr>
          <w:rFonts w:hint="eastAsia" w:ascii="仿宋" w:hAnsi="仿宋" w:eastAsia="仿宋" w:cs="仿宋"/>
          <w:color w:val="auto"/>
          <w:sz w:val="22"/>
          <w:szCs w:val="22"/>
        </w:rPr>
        <w:t>：</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 xml:space="preserve">     </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委托代理人：</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p>
    <w:p>
      <w:pPr>
        <w:pStyle w:val="2"/>
        <w:spacing w:line="360" w:lineRule="auto"/>
        <w:ind w:left="0" w:leftChars="0" w:firstLine="0" w:firstLineChars="0"/>
        <w:rPr>
          <w:rFonts w:hint="eastAsia" w:ascii="仿宋" w:hAnsi="仿宋" w:eastAsia="仿宋" w:cs="仿宋"/>
          <w:color w:val="auto"/>
          <w:sz w:val="22"/>
          <w:szCs w:val="22"/>
          <w:u w:val="single"/>
        </w:rPr>
      </w:pPr>
      <w:r>
        <w:rPr>
          <w:rFonts w:hint="eastAsia" w:ascii="仿宋" w:hAnsi="仿宋" w:eastAsia="仿宋" w:cs="仿宋"/>
          <w:color w:val="auto"/>
          <w:sz w:val="22"/>
          <w:szCs w:val="22"/>
          <w:lang w:val="en-US" w:eastAsia="zh-CN"/>
        </w:rPr>
        <w:t>科室主任</w:t>
      </w:r>
      <w:r>
        <w:rPr>
          <w:rFonts w:hint="eastAsia" w:ascii="仿宋" w:hAnsi="仿宋" w:eastAsia="仿宋" w:cs="仿宋"/>
          <w:color w:val="auto"/>
          <w:sz w:val="22"/>
          <w:szCs w:val="22"/>
        </w:rPr>
        <w:t>：</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 xml:space="preserve">     </w:t>
      </w:r>
      <w:r>
        <w:rPr>
          <w:rFonts w:hint="eastAsia" w:ascii="仿宋" w:hAnsi="仿宋" w:eastAsia="仿宋" w:cs="仿宋"/>
          <w:color w:val="auto"/>
          <w:sz w:val="22"/>
          <w:szCs w:val="22"/>
          <w:lang w:val="en-US" w:eastAsia="zh-CN"/>
        </w:rPr>
        <w:t xml:space="preserve"> 联系电话</w:t>
      </w:r>
      <w:r>
        <w:rPr>
          <w:rFonts w:hint="eastAsia" w:ascii="仿宋" w:hAnsi="仿宋" w:eastAsia="仿宋" w:cs="仿宋"/>
          <w:color w:val="auto"/>
          <w:sz w:val="22"/>
          <w:szCs w:val="22"/>
        </w:rPr>
        <w:t>：</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p>
    <w:p>
      <w:pPr>
        <w:spacing w:line="360" w:lineRule="auto"/>
        <w:ind w:left="0" w:leftChars="0" w:firstLine="0" w:firstLineChars="0"/>
        <w:contextualSpacing/>
        <w:rPr>
          <w:rFonts w:hint="eastAsia" w:ascii="仿宋" w:hAnsi="仿宋" w:eastAsia="仿宋" w:cs="仿宋"/>
          <w:color w:val="auto"/>
          <w:sz w:val="22"/>
          <w:szCs w:val="22"/>
        </w:rPr>
      </w:pPr>
      <w:r>
        <w:rPr>
          <w:rFonts w:hint="eastAsia" w:ascii="仿宋" w:hAnsi="仿宋" w:eastAsia="仿宋" w:cs="仿宋"/>
          <w:color w:val="auto"/>
          <w:sz w:val="22"/>
          <w:szCs w:val="22"/>
          <w:lang w:eastAsia="zh-CN"/>
        </w:rPr>
        <w:t>经</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lang w:eastAsia="zh-CN"/>
        </w:rPr>
        <w:t>办</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lang w:eastAsia="zh-CN"/>
        </w:rPr>
        <w:t>人</w:t>
      </w:r>
      <w:r>
        <w:rPr>
          <w:rFonts w:hint="eastAsia" w:ascii="仿宋" w:hAnsi="仿宋" w:eastAsia="仿宋" w:cs="仿宋"/>
          <w:color w:val="auto"/>
          <w:sz w:val="22"/>
          <w:szCs w:val="22"/>
        </w:rPr>
        <w:t>：</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 xml:space="preserve">      </w:t>
      </w:r>
      <w:r>
        <w:rPr>
          <w:rFonts w:hint="eastAsia" w:ascii="仿宋" w:hAnsi="仿宋" w:eastAsia="仿宋" w:cs="仿宋"/>
          <w:color w:val="auto"/>
          <w:sz w:val="22"/>
          <w:szCs w:val="22"/>
          <w:lang w:val="en-US" w:eastAsia="zh-CN"/>
        </w:rPr>
        <w:t>银行账号</w:t>
      </w:r>
      <w:r>
        <w:rPr>
          <w:rFonts w:hint="eastAsia" w:ascii="仿宋" w:hAnsi="仿宋" w:eastAsia="仿宋" w:cs="仿宋"/>
          <w:color w:val="auto"/>
          <w:sz w:val="22"/>
          <w:szCs w:val="22"/>
        </w:rPr>
        <w:t>：</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p>
    <w:p>
      <w:pPr>
        <w:spacing w:line="360" w:lineRule="auto"/>
        <w:ind w:left="0" w:leftChars="0" w:firstLine="0" w:firstLineChars="0"/>
        <w:contextualSpacing/>
        <w:rPr>
          <w:rFonts w:hint="eastAsia" w:ascii="仿宋" w:hAnsi="仿宋" w:eastAsia="仿宋" w:cs="仿宋"/>
          <w:color w:val="auto"/>
          <w:spacing w:val="-6"/>
          <w:sz w:val="22"/>
          <w:szCs w:val="22"/>
          <w:u w:val="single"/>
          <w:lang w:val="en-US" w:eastAsia="zh-CN"/>
        </w:rPr>
      </w:pPr>
      <w:r>
        <w:rPr>
          <w:rFonts w:hint="eastAsia" w:ascii="仿宋" w:hAnsi="仿宋" w:eastAsia="仿宋" w:cs="仿宋"/>
          <w:color w:val="auto"/>
          <w:sz w:val="22"/>
          <w:szCs w:val="22"/>
        </w:rPr>
        <w:t xml:space="preserve">电  </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话：</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 xml:space="preserve">     </w:t>
      </w:r>
      <w:r>
        <w:rPr>
          <w:rFonts w:hint="eastAsia" w:ascii="仿宋" w:hAnsi="仿宋" w:eastAsia="仿宋" w:cs="仿宋"/>
          <w:color w:val="auto"/>
          <w:sz w:val="22"/>
          <w:szCs w:val="22"/>
          <w:lang w:val="en-US" w:eastAsia="zh-CN"/>
        </w:rPr>
        <w:t xml:space="preserve"> 开户地址</w:t>
      </w:r>
      <w:r>
        <w:rPr>
          <w:rFonts w:hint="eastAsia" w:ascii="仿宋" w:hAnsi="仿宋" w:eastAsia="仿宋" w:cs="仿宋"/>
          <w:color w:val="auto"/>
          <w:sz w:val="22"/>
          <w:szCs w:val="22"/>
        </w:rPr>
        <w:t>：</w:t>
      </w:r>
      <w:r>
        <w:rPr>
          <w:rFonts w:hint="eastAsia" w:ascii="仿宋" w:hAnsi="仿宋" w:eastAsia="仿宋" w:cs="仿宋"/>
          <w:color w:val="auto"/>
          <w:sz w:val="22"/>
          <w:szCs w:val="22"/>
          <w:u w:val="single"/>
          <w:lang w:val="en-US" w:eastAsia="zh-CN"/>
        </w:rPr>
        <w:t xml:space="preserve">                               </w:t>
      </w:r>
    </w:p>
    <w:p>
      <w:pPr>
        <w:pStyle w:val="2"/>
        <w:spacing w:line="360" w:lineRule="auto"/>
        <w:rPr>
          <w:rFonts w:hint="eastAsia" w:ascii="仿宋" w:hAnsi="仿宋" w:eastAsia="仿宋" w:cs="仿宋"/>
          <w:color w:val="auto"/>
          <w:sz w:val="22"/>
          <w:szCs w:val="22"/>
          <w:lang w:val="en-US"/>
        </w:rPr>
      </w:pPr>
    </w:p>
    <w:p>
      <w:pPr>
        <w:spacing w:line="360" w:lineRule="auto"/>
        <w:ind w:firstLine="200"/>
        <w:contextualSpacing/>
        <w:jc w:val="center"/>
        <w:rPr>
          <w:rFonts w:hint="eastAsia" w:ascii="仿宋" w:hAnsi="仿宋" w:eastAsia="仿宋" w:cs="仿宋"/>
          <w:color w:val="auto"/>
          <w:sz w:val="22"/>
          <w:szCs w:val="22"/>
        </w:rPr>
      </w:pPr>
      <w:r>
        <w:rPr>
          <w:rFonts w:hint="eastAsia" w:ascii="仿宋" w:hAnsi="仿宋" w:eastAsia="仿宋" w:cs="仿宋"/>
          <w:color w:val="auto"/>
          <w:sz w:val="22"/>
          <w:szCs w:val="22"/>
        </w:rPr>
        <w:t>签订日期：</w:t>
      </w:r>
      <w:r>
        <w:rPr>
          <w:rFonts w:hint="eastAsia" w:ascii="仿宋" w:hAnsi="仿宋" w:eastAsia="仿宋" w:cs="仿宋"/>
          <w:color w:val="auto"/>
          <w:sz w:val="22"/>
          <w:szCs w:val="22"/>
          <w:u w:val="none"/>
          <w:lang w:val="en-US" w:eastAsia="zh-CN"/>
        </w:rPr>
        <w:t xml:space="preserve">    </w:t>
      </w:r>
      <w:r>
        <w:rPr>
          <w:rFonts w:hint="eastAsia" w:ascii="仿宋" w:hAnsi="仿宋" w:eastAsia="仿宋" w:cs="仿宋"/>
          <w:color w:val="auto"/>
          <w:sz w:val="22"/>
          <w:szCs w:val="22"/>
        </w:rPr>
        <w:t>年</w:t>
      </w:r>
      <w:r>
        <w:rPr>
          <w:rFonts w:hint="eastAsia" w:ascii="仿宋" w:hAnsi="仿宋" w:eastAsia="仿宋" w:cs="仿宋"/>
          <w:color w:val="auto"/>
          <w:sz w:val="22"/>
          <w:szCs w:val="22"/>
          <w:u w:val="none"/>
          <w:lang w:val="en-US" w:eastAsia="zh-CN"/>
        </w:rPr>
        <w:t xml:space="preserve">    </w:t>
      </w:r>
      <w:r>
        <w:rPr>
          <w:rFonts w:hint="eastAsia" w:ascii="仿宋" w:hAnsi="仿宋" w:eastAsia="仿宋" w:cs="仿宋"/>
          <w:color w:val="auto"/>
          <w:sz w:val="22"/>
          <w:szCs w:val="22"/>
        </w:rPr>
        <w:t>月</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u w:val="none"/>
          <w:lang w:val="en-US" w:eastAsia="zh-CN"/>
        </w:rPr>
        <w:t xml:space="preserve">  </w:t>
      </w:r>
      <w:r>
        <w:rPr>
          <w:rFonts w:hint="eastAsia" w:ascii="仿宋" w:hAnsi="仿宋" w:eastAsia="仿宋" w:cs="仿宋"/>
          <w:color w:val="auto"/>
          <w:sz w:val="22"/>
          <w:szCs w:val="22"/>
        </w:rPr>
        <w:t>日</w:t>
      </w:r>
    </w:p>
    <w:p/>
    <w:p>
      <w:pPr>
        <w:pStyle w:val="43"/>
        <w:rPr>
          <w:rFonts w:hint="eastAsia" w:ascii="仿宋" w:hAnsi="仿宋" w:eastAsia="仿宋" w:cs="仿宋"/>
          <w:color w:val="auto"/>
          <w:sz w:val="22"/>
          <w:szCs w:val="22"/>
        </w:rPr>
      </w:pPr>
    </w:p>
    <w:p>
      <w:pPr>
        <w:rPr>
          <w:rFonts w:hint="eastAsia" w:ascii="仿宋" w:hAnsi="仿宋" w:eastAsia="仿宋" w:cs="仿宋"/>
          <w:color w:val="auto"/>
          <w:sz w:val="22"/>
          <w:szCs w:val="22"/>
        </w:rPr>
      </w:pPr>
    </w:p>
    <w:p>
      <w:pPr>
        <w:pStyle w:val="5"/>
        <w:rPr>
          <w:rFonts w:hint="eastAsia"/>
        </w:rPr>
      </w:pPr>
    </w:p>
    <w:p>
      <w:pPr>
        <w:rPr>
          <w:rFonts w:hint="eastAsia" w:ascii="仿宋" w:hAnsi="仿宋" w:eastAsia="仿宋" w:cs="仿宋"/>
        </w:rPr>
      </w:pPr>
    </w:p>
    <w:bookmarkEnd w:id="219"/>
    <w:bookmarkEnd w:id="220"/>
    <w:bookmarkEnd w:id="221"/>
    <w:bookmarkEnd w:id="222"/>
    <w:p>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numPr>
          <w:ilvl w:val="0"/>
          <w:numId w:val="9"/>
        </w:numPr>
        <w:ind w:left="0" w:leftChars="0"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 投标文件内容及格式</w:t>
      </w:r>
    </w:p>
    <w:p>
      <w:pPr>
        <w:numPr>
          <w:ilvl w:val="0"/>
          <w:numId w:val="0"/>
        </w:numPr>
        <w:ind w:leftChars="0"/>
        <w:jc w:val="both"/>
        <w:rPr>
          <w:rFonts w:hint="eastAsia" w:ascii="仿宋" w:hAnsi="仿宋" w:eastAsia="仿宋" w:cs="仿宋"/>
          <w:b/>
          <w:color w:val="auto"/>
          <w:sz w:val="32"/>
          <w:szCs w:val="32"/>
          <w:highlight w:val="none"/>
        </w:rPr>
      </w:pPr>
    </w:p>
    <w:p>
      <w:pPr>
        <w:pStyle w:val="62"/>
        <w:spacing w:line="240" w:lineRule="auto"/>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pStyle w:val="62"/>
        <w:spacing w:line="240" w:lineRule="auto"/>
        <w:jc w:val="center"/>
        <w:rPr>
          <w:rFonts w:hint="eastAsia" w:ascii="仿宋" w:hAnsi="仿宋" w:eastAsia="仿宋" w:cs="仿宋"/>
          <w:color w:val="auto"/>
          <w:sz w:val="28"/>
          <w:szCs w:val="28"/>
          <w:highlight w:val="none"/>
          <w:bdr w:val="single" w:color="auto" w:sz="4" w:space="0"/>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bdr w:val="single" w:color="auto" w:sz="4" w:space="0"/>
        </w:rPr>
        <w:t xml:space="preserve"> 正本 </w:t>
      </w:r>
    </w:p>
    <w:p>
      <w:pPr>
        <w:pStyle w:val="62"/>
        <w:spacing w:line="240" w:lineRule="auto"/>
        <w:jc w:val="center"/>
        <w:rPr>
          <w:rFonts w:hint="eastAsia" w:ascii="仿宋" w:hAnsi="仿宋" w:eastAsia="仿宋" w:cs="仿宋"/>
          <w:color w:val="auto"/>
          <w:sz w:val="28"/>
          <w:szCs w:val="28"/>
          <w:highlight w:val="none"/>
        </w:rPr>
      </w:pPr>
    </w:p>
    <w:p>
      <w:pPr>
        <w:spacing w:line="240" w:lineRule="auto"/>
        <w:ind w:right="98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（项目名称）</w:t>
      </w:r>
    </w:p>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0"/>
          <w:highlight w:val="none"/>
        </w:rPr>
        <w:t xml:space="preserve">             </w:t>
      </w:r>
    </w:p>
    <w:p>
      <w:pPr>
        <w:spacing w:line="240" w:lineRule="auto"/>
        <w:ind w:firstLine="280" w:firstLineChars="1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招标文件编号： </w:t>
      </w:r>
      <w:r>
        <w:rPr>
          <w:rFonts w:hint="eastAsia" w:ascii="仿宋" w:hAnsi="仿宋" w:eastAsia="仿宋" w:cs="仿宋"/>
          <w:color w:val="auto"/>
          <w:sz w:val="28"/>
          <w:szCs w:val="28"/>
          <w:highlight w:val="none"/>
          <w:u w:val="single"/>
        </w:rPr>
        <w:t xml:space="preserve">                      </w:t>
      </w:r>
    </w:p>
    <w:p>
      <w:pPr>
        <w:spacing w:line="240" w:lineRule="auto"/>
        <w:rPr>
          <w:rFonts w:hint="eastAsia" w:ascii="仿宋" w:hAnsi="仿宋" w:eastAsia="仿宋" w:cs="仿宋"/>
          <w:color w:val="auto"/>
          <w:sz w:val="20"/>
          <w:highlight w:val="none"/>
        </w:rPr>
      </w:pPr>
    </w:p>
    <w:p>
      <w:pPr>
        <w:spacing w:line="240" w:lineRule="auto"/>
        <w:rPr>
          <w:rFonts w:hint="eastAsia" w:ascii="仿宋" w:hAnsi="仿宋" w:eastAsia="仿宋" w:cs="仿宋"/>
          <w:color w:val="auto"/>
          <w:sz w:val="20"/>
          <w:highlight w:val="none"/>
        </w:rPr>
      </w:pPr>
    </w:p>
    <w:p>
      <w:pPr>
        <w:spacing w:line="240" w:lineRule="auto"/>
        <w:rPr>
          <w:rFonts w:hint="eastAsia" w:ascii="仿宋" w:hAnsi="仿宋" w:eastAsia="仿宋" w:cs="仿宋"/>
          <w:color w:val="auto"/>
          <w:sz w:val="20"/>
          <w:highlight w:val="none"/>
        </w:rPr>
      </w:pPr>
    </w:p>
    <w:p>
      <w:pPr>
        <w:spacing w:line="240" w:lineRule="auto"/>
        <w:rPr>
          <w:rFonts w:hint="eastAsia" w:ascii="仿宋" w:hAnsi="仿宋" w:eastAsia="仿宋" w:cs="仿宋"/>
          <w:color w:val="auto"/>
          <w:sz w:val="20"/>
          <w:highlight w:val="none"/>
        </w:rPr>
      </w:pPr>
    </w:p>
    <w:p>
      <w:pPr>
        <w:spacing w:line="240" w:lineRule="auto"/>
        <w:rPr>
          <w:rFonts w:hint="eastAsia" w:ascii="仿宋" w:hAnsi="仿宋" w:eastAsia="仿宋" w:cs="仿宋"/>
          <w:color w:val="auto"/>
          <w:sz w:val="20"/>
          <w:highlight w:val="none"/>
        </w:rPr>
      </w:pPr>
    </w:p>
    <w:p>
      <w:pPr>
        <w:spacing w:line="240" w:lineRule="auto"/>
        <w:rPr>
          <w:rFonts w:hint="eastAsia" w:ascii="仿宋" w:hAnsi="仿宋" w:eastAsia="仿宋" w:cs="仿宋"/>
          <w:color w:val="auto"/>
          <w:sz w:val="20"/>
          <w:highlight w:val="none"/>
        </w:rPr>
      </w:pPr>
    </w:p>
    <w:p>
      <w:pPr>
        <w:spacing w:line="240" w:lineRule="auto"/>
        <w:jc w:val="center"/>
        <w:rPr>
          <w:rFonts w:hint="eastAsia" w:ascii="仿宋" w:hAnsi="仿宋" w:eastAsia="仿宋" w:cs="仿宋"/>
          <w:b/>
          <w:bCs/>
          <w:color w:val="auto"/>
          <w:sz w:val="44"/>
          <w:szCs w:val="44"/>
          <w:highlight w:val="none"/>
        </w:rPr>
      </w:pPr>
    </w:p>
    <w:p>
      <w:pPr>
        <w:spacing w:line="240" w:lineRule="auto"/>
        <w:jc w:val="center"/>
        <w:outlineLvl w:val="1"/>
        <w:rPr>
          <w:rFonts w:hint="eastAsia" w:ascii="仿宋" w:hAnsi="仿宋" w:eastAsia="仿宋" w:cs="仿宋"/>
          <w:b/>
          <w:bCs/>
          <w:color w:val="auto"/>
          <w:sz w:val="44"/>
          <w:szCs w:val="44"/>
          <w:highlight w:val="none"/>
        </w:rPr>
      </w:pPr>
      <w:bookmarkStart w:id="223" w:name="_Toc21764"/>
      <w:r>
        <w:rPr>
          <w:rFonts w:hint="eastAsia" w:ascii="仿宋" w:hAnsi="仿宋" w:eastAsia="仿宋" w:cs="仿宋"/>
          <w:b/>
          <w:bCs/>
          <w:color w:val="auto"/>
          <w:sz w:val="44"/>
          <w:szCs w:val="44"/>
          <w:highlight w:val="none"/>
        </w:rPr>
        <w:t>投  标  文  件</w:t>
      </w:r>
      <w:bookmarkEnd w:id="223"/>
    </w:p>
    <w:p>
      <w:pPr>
        <w:spacing w:line="240" w:lineRule="auto"/>
        <w:rPr>
          <w:rFonts w:hint="eastAsia" w:ascii="仿宋" w:hAnsi="仿宋" w:eastAsia="仿宋" w:cs="仿宋"/>
          <w:b/>
          <w:bCs/>
          <w:color w:val="auto"/>
          <w:sz w:val="44"/>
          <w:szCs w:val="44"/>
          <w:highlight w:val="none"/>
        </w:rPr>
      </w:pPr>
    </w:p>
    <w:p>
      <w:pPr>
        <w:spacing w:line="240" w:lineRule="auto"/>
        <w:rPr>
          <w:rFonts w:hint="eastAsia" w:ascii="仿宋" w:hAnsi="仿宋" w:eastAsia="仿宋" w:cs="仿宋"/>
          <w:color w:val="auto"/>
          <w:highlight w:val="none"/>
        </w:rPr>
      </w:pPr>
    </w:p>
    <w:p>
      <w:pPr>
        <w:spacing w:line="240" w:lineRule="auto"/>
        <w:rPr>
          <w:rFonts w:hint="eastAsia" w:ascii="仿宋" w:hAnsi="仿宋" w:eastAsia="仿宋" w:cs="仿宋"/>
          <w:bCs/>
          <w:color w:val="auto"/>
          <w:sz w:val="30"/>
          <w:szCs w:val="30"/>
          <w:highlight w:val="none"/>
        </w:rPr>
      </w:pPr>
    </w:p>
    <w:p>
      <w:pPr>
        <w:spacing w:line="240" w:lineRule="auto"/>
        <w:rPr>
          <w:rFonts w:hint="eastAsia" w:ascii="仿宋" w:hAnsi="仿宋" w:eastAsia="仿宋" w:cs="仿宋"/>
          <w:bCs/>
          <w:color w:val="auto"/>
          <w:sz w:val="30"/>
          <w:szCs w:val="30"/>
          <w:highlight w:val="none"/>
        </w:rPr>
      </w:pPr>
    </w:p>
    <w:p>
      <w:pPr>
        <w:spacing w:line="240" w:lineRule="auto"/>
        <w:rPr>
          <w:rFonts w:hint="eastAsia" w:ascii="仿宋" w:hAnsi="仿宋" w:eastAsia="仿宋" w:cs="仿宋"/>
          <w:bCs/>
          <w:color w:val="auto"/>
          <w:sz w:val="30"/>
          <w:szCs w:val="30"/>
          <w:highlight w:val="none"/>
        </w:rPr>
      </w:pPr>
    </w:p>
    <w:p>
      <w:pPr>
        <w:spacing w:line="240" w:lineRule="auto"/>
        <w:rPr>
          <w:rFonts w:hint="eastAsia" w:ascii="仿宋" w:hAnsi="仿宋" w:eastAsia="仿宋" w:cs="仿宋"/>
          <w:bCs/>
          <w:color w:val="auto"/>
          <w:sz w:val="30"/>
          <w:szCs w:val="30"/>
          <w:highlight w:val="none"/>
        </w:rPr>
      </w:pPr>
    </w:p>
    <w:p>
      <w:pPr>
        <w:spacing w:line="240" w:lineRule="auto"/>
        <w:rPr>
          <w:rFonts w:hint="eastAsia" w:ascii="仿宋" w:hAnsi="仿宋" w:eastAsia="仿宋" w:cs="仿宋"/>
          <w:bCs/>
          <w:color w:val="auto"/>
          <w:sz w:val="30"/>
          <w:szCs w:val="30"/>
          <w:highlight w:val="none"/>
        </w:rPr>
      </w:pPr>
    </w:p>
    <w:p>
      <w:pPr>
        <w:spacing w:line="240" w:lineRule="auto"/>
        <w:rPr>
          <w:rFonts w:hint="eastAsia" w:ascii="仿宋" w:hAnsi="仿宋" w:eastAsia="仿宋" w:cs="仿宋"/>
          <w:bCs/>
          <w:color w:val="auto"/>
          <w:sz w:val="30"/>
          <w:szCs w:val="30"/>
          <w:highlight w:val="none"/>
        </w:rPr>
      </w:pPr>
    </w:p>
    <w:p>
      <w:pPr>
        <w:spacing w:line="240" w:lineRule="auto"/>
        <w:rPr>
          <w:rFonts w:hint="eastAsia" w:ascii="仿宋" w:hAnsi="仿宋" w:eastAsia="仿宋" w:cs="仿宋"/>
          <w:bCs/>
          <w:color w:val="auto"/>
          <w:sz w:val="30"/>
          <w:szCs w:val="30"/>
          <w:highlight w:val="none"/>
        </w:rPr>
      </w:pPr>
    </w:p>
    <w:p>
      <w:pPr>
        <w:spacing w:line="240" w:lineRule="auto"/>
        <w:rPr>
          <w:rFonts w:hint="eastAsia" w:ascii="仿宋" w:hAnsi="仿宋" w:eastAsia="仿宋" w:cs="仿宋"/>
          <w:bCs/>
          <w:color w:val="auto"/>
          <w:sz w:val="30"/>
          <w:szCs w:val="30"/>
          <w:highlight w:val="none"/>
        </w:rPr>
      </w:pPr>
    </w:p>
    <w:p>
      <w:pPr>
        <w:spacing w:line="240" w:lineRule="auto"/>
        <w:ind w:firstLine="280" w:firstLineChars="1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投标人：_____________________________（盖单位章）</w:t>
      </w:r>
    </w:p>
    <w:p>
      <w:pPr>
        <w:pStyle w:val="2"/>
        <w:spacing w:line="240" w:lineRule="auto"/>
        <w:jc w:val="center"/>
        <w:rPr>
          <w:rFonts w:hint="eastAsia" w:ascii="仿宋" w:hAnsi="仿宋" w:eastAsia="仿宋" w:cs="仿宋"/>
          <w:color w:val="auto"/>
          <w:highlight w:val="none"/>
        </w:rPr>
      </w:pPr>
    </w:p>
    <w:p>
      <w:pPr>
        <w:spacing w:line="240" w:lineRule="auto"/>
        <w:ind w:firstLine="1400" w:firstLineChars="5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  址：_______________________________________</w:t>
      </w:r>
    </w:p>
    <w:p>
      <w:pPr>
        <w:pStyle w:val="2"/>
        <w:spacing w:line="240" w:lineRule="auto"/>
        <w:jc w:val="center"/>
        <w:rPr>
          <w:rFonts w:hint="eastAsia" w:ascii="仿宋" w:hAnsi="仿宋" w:eastAsia="仿宋" w:cs="仿宋"/>
          <w:color w:val="auto"/>
          <w:highlight w:val="none"/>
        </w:rPr>
      </w:pPr>
    </w:p>
    <w:p>
      <w:pPr>
        <w:spacing w:line="240" w:lineRule="auto"/>
        <w:ind w:firstLine="280" w:firstLineChars="1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法定代表人：_______________________（签字或盖章）</w:t>
      </w:r>
    </w:p>
    <w:p>
      <w:pPr>
        <w:pStyle w:val="2"/>
        <w:spacing w:line="240" w:lineRule="auto"/>
        <w:jc w:val="center"/>
        <w:rPr>
          <w:rFonts w:hint="eastAsia" w:ascii="仿宋" w:hAnsi="仿宋" w:eastAsia="仿宋" w:cs="仿宋"/>
          <w:color w:val="auto"/>
          <w:highlight w:val="none"/>
        </w:rPr>
      </w:pPr>
    </w:p>
    <w:p>
      <w:pPr>
        <w:spacing w:line="240" w:lineRule="auto"/>
        <w:ind w:firstLine="1400" w:firstLineChars="5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联系人：_______________________________________</w:t>
      </w:r>
    </w:p>
    <w:p>
      <w:pPr>
        <w:pStyle w:val="2"/>
        <w:spacing w:line="240" w:lineRule="auto"/>
        <w:jc w:val="center"/>
        <w:rPr>
          <w:rFonts w:hint="eastAsia" w:ascii="仿宋" w:hAnsi="仿宋" w:eastAsia="仿宋" w:cs="仿宋"/>
          <w:color w:val="auto"/>
          <w:highlight w:val="none"/>
        </w:rPr>
      </w:pPr>
    </w:p>
    <w:p>
      <w:pPr>
        <w:spacing w:line="240" w:lineRule="auto"/>
        <w:ind w:firstLine="1400" w:firstLineChars="5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联系电话：_____________________________________</w:t>
      </w:r>
    </w:p>
    <w:p>
      <w:pPr>
        <w:spacing w:line="24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spacing w:line="240" w:lineRule="auto"/>
        <w:jc w:val="center"/>
        <w:rPr>
          <w:rFonts w:hint="eastAsia" w:ascii="仿宋" w:hAnsi="仿宋" w:eastAsia="仿宋" w:cs="仿宋"/>
          <w:color w:val="auto"/>
          <w:highlight w:val="none"/>
        </w:rPr>
      </w:pPr>
    </w:p>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年        月        日</w:t>
      </w:r>
    </w:p>
    <w:p>
      <w:pPr>
        <w:spacing w:line="240" w:lineRule="auto"/>
        <w:jc w:val="center"/>
        <w:rPr>
          <w:rFonts w:hint="eastAsia" w:ascii="仿宋" w:hAnsi="仿宋" w:eastAsia="仿宋" w:cs="仿宋"/>
          <w:color w:val="auto"/>
          <w:highlight w:val="none"/>
        </w:rPr>
      </w:pPr>
    </w:p>
    <w:p>
      <w:pPr>
        <w:spacing w:line="240" w:lineRule="auto"/>
        <w:jc w:val="center"/>
        <w:rPr>
          <w:rFonts w:hint="eastAsia" w:ascii="仿宋" w:hAnsi="仿宋" w:eastAsia="仿宋" w:cs="仿宋"/>
          <w:color w:val="auto"/>
          <w:highlight w:val="none"/>
        </w:rPr>
      </w:pPr>
    </w:p>
    <w:p>
      <w:pPr>
        <w:spacing w:line="240" w:lineRule="auto"/>
        <w:jc w:val="center"/>
        <w:rPr>
          <w:rFonts w:hint="eastAsia" w:ascii="仿宋" w:hAnsi="仿宋" w:eastAsia="仿宋" w:cs="仿宋"/>
          <w:color w:val="auto"/>
          <w:highlight w:val="none"/>
        </w:rPr>
      </w:pPr>
    </w:p>
    <w:p>
      <w:pPr>
        <w:pStyle w:val="53"/>
        <w:rPr>
          <w:rFonts w:hint="eastAsia" w:ascii="仿宋" w:hAnsi="仿宋" w:eastAsia="仿宋" w:cs="仿宋"/>
          <w:color w:val="auto"/>
          <w:highlight w:val="none"/>
        </w:rPr>
      </w:pPr>
    </w:p>
    <w:p>
      <w:pPr>
        <w:spacing w:line="240" w:lineRule="auto"/>
        <w:jc w:val="center"/>
        <w:rPr>
          <w:rFonts w:hint="eastAsia" w:ascii="仿宋" w:hAnsi="仿宋" w:eastAsia="仿宋" w:cs="仿宋"/>
          <w:color w:val="auto"/>
          <w:highlight w:val="none"/>
        </w:rPr>
      </w:pPr>
    </w:p>
    <w:p>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目   录</w:t>
      </w:r>
    </w:p>
    <w:p>
      <w:pPr>
        <w:numPr>
          <w:ilvl w:val="0"/>
          <w:numId w:val="0"/>
        </w:numPr>
        <w:ind w:left="420" w:leftChars="0"/>
        <w:rPr>
          <w:rFonts w:hint="eastAsia" w:ascii="仿宋" w:hAnsi="仿宋" w:eastAsia="仿宋" w:cs="仿宋"/>
          <w:color w:val="auto"/>
          <w:highlight w:val="none"/>
          <w:lang w:val="en-US" w:eastAsia="zh-CN"/>
        </w:rPr>
      </w:pPr>
    </w:p>
    <w:p>
      <w:pPr>
        <w:pStyle w:val="30"/>
        <w:rPr>
          <w:rFonts w:hint="eastAsia" w:ascii="仿宋" w:hAnsi="仿宋" w:eastAsia="仿宋" w:cs="仿宋"/>
          <w:color w:val="auto"/>
          <w:highlight w:val="none"/>
        </w:rPr>
        <w:sectPr>
          <w:headerReference r:id="rId9" w:type="default"/>
          <w:footerReference r:id="rId10" w:type="default"/>
          <w:pgSz w:w="11906" w:h="16838"/>
          <w:pgMar w:top="851" w:right="1304" w:bottom="1134" w:left="1304" w:header="851" w:footer="680" w:gutter="0"/>
          <w:pgNumType w:fmt="numberInDash"/>
          <w:cols w:space="720" w:num="1"/>
          <w:docGrid w:linePitch="312" w:charSpace="0"/>
        </w:sectPr>
      </w:pPr>
    </w:p>
    <w:p>
      <w:pPr>
        <w:numPr>
          <w:ilvl w:val="0"/>
          <w:numId w:val="0"/>
        </w:numPr>
        <w:jc w:val="center"/>
        <w:rPr>
          <w:rFonts w:hint="eastAsia" w:ascii="仿宋" w:hAnsi="仿宋" w:eastAsia="仿宋" w:cs="仿宋"/>
          <w:b/>
          <w:bCs/>
          <w:color w:val="auto"/>
          <w:highlight w:val="none"/>
          <w:lang w:eastAsia="zh-CN"/>
        </w:rPr>
      </w:pP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rPr>
        <w:t xml:space="preserve">投 标 </w:t>
      </w:r>
      <w:r>
        <w:rPr>
          <w:rFonts w:hint="eastAsia" w:ascii="仿宋" w:hAnsi="仿宋" w:eastAsia="仿宋" w:cs="仿宋"/>
          <w:b/>
          <w:bCs/>
          <w:color w:val="auto"/>
          <w:sz w:val="28"/>
          <w:szCs w:val="28"/>
          <w:highlight w:val="none"/>
          <w:lang w:val="en-US" w:eastAsia="zh-CN"/>
        </w:rPr>
        <w:t>函</w:t>
      </w:r>
    </w:p>
    <w:p>
      <w:pPr>
        <w:pStyle w:val="19"/>
        <w:spacing w:line="360" w:lineRule="auto"/>
        <w:ind w:left="119" w:firstLine="480"/>
        <w:rPr>
          <w:rFonts w:hint="eastAsia" w:ascii="仿宋" w:hAnsi="仿宋" w:eastAsia="仿宋" w:cs="仿宋"/>
          <w:color w:val="auto"/>
          <w:sz w:val="33"/>
          <w:highlight w:val="none"/>
        </w:rPr>
      </w:pPr>
      <w:r>
        <w:rPr>
          <w:rFonts w:hint="eastAsia" w:ascii="仿宋" w:hAnsi="仿宋" w:eastAsia="仿宋" w:cs="仿宋"/>
          <w:color w:val="auto"/>
          <w:highlight w:val="none"/>
        </w:rPr>
        <w:t>致：</w:t>
      </w:r>
      <w:r>
        <w:rPr>
          <w:rFonts w:hint="eastAsia" w:ascii="仿宋" w:hAnsi="仿宋" w:eastAsia="仿宋" w:cs="仿宋"/>
          <w:color w:val="auto"/>
          <w:highlight w:val="none"/>
          <w:u w:val="single"/>
          <w:lang w:eastAsia="zh-CN"/>
        </w:rPr>
        <w:t>（采购人）</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w:t>
      </w:r>
    </w:p>
    <w:p>
      <w:pPr>
        <w:spacing w:line="440" w:lineRule="exact"/>
        <w:ind w:firstLine="555"/>
        <w:rPr>
          <w:rStyle w:val="148"/>
          <w:rFonts w:hint="eastAsia" w:ascii="仿宋" w:hAnsi="仿宋" w:eastAsia="仿宋" w:cs="仿宋"/>
          <w:color w:val="auto"/>
          <w:sz w:val="24"/>
          <w:szCs w:val="24"/>
          <w:highlight w:val="none"/>
        </w:rPr>
      </w:pPr>
      <w:r>
        <w:rPr>
          <w:rStyle w:val="148"/>
          <w:rFonts w:hint="eastAsia" w:ascii="仿宋" w:hAnsi="仿宋" w:eastAsia="仿宋" w:cs="仿宋"/>
          <w:b/>
          <w:color w:val="auto"/>
          <w:sz w:val="24"/>
          <w:szCs w:val="24"/>
          <w:highlight w:val="none"/>
          <w:lang w:val="en-US" w:eastAsia="zh-CN"/>
        </w:rPr>
        <w:t xml:space="preserve"> </w:t>
      </w:r>
      <w:r>
        <w:rPr>
          <w:rStyle w:val="148"/>
          <w:rFonts w:hint="eastAsia" w:ascii="仿宋" w:hAnsi="仿宋" w:eastAsia="仿宋" w:cs="仿宋"/>
          <w:color w:val="auto"/>
          <w:sz w:val="24"/>
          <w:szCs w:val="24"/>
          <w:highlight w:val="none"/>
        </w:rPr>
        <w:t>根据贵方为项目招标的投标邀请</w:t>
      </w:r>
      <w:r>
        <w:rPr>
          <w:rStyle w:val="148"/>
          <w:rFonts w:hint="eastAsia" w:ascii="仿宋" w:hAnsi="仿宋" w:eastAsia="仿宋" w:cs="仿宋"/>
          <w:color w:val="auto"/>
          <w:sz w:val="24"/>
          <w:szCs w:val="24"/>
          <w:highlight w:val="none"/>
          <w:u w:val="single"/>
        </w:rPr>
        <w:t>项目编号</w:t>
      </w:r>
      <w:r>
        <w:rPr>
          <w:rStyle w:val="148"/>
          <w:rFonts w:hint="eastAsia" w:ascii="仿宋" w:hAnsi="仿宋" w:eastAsia="仿宋" w:cs="仿宋"/>
          <w:color w:val="auto"/>
          <w:sz w:val="24"/>
          <w:szCs w:val="24"/>
          <w:highlight w:val="none"/>
        </w:rPr>
        <w:t>，</w:t>
      </w:r>
      <w:r>
        <w:rPr>
          <w:rStyle w:val="148"/>
          <w:rFonts w:hint="eastAsia" w:ascii="仿宋" w:hAnsi="仿宋" w:eastAsia="仿宋" w:cs="仿宋"/>
          <w:color w:val="auto"/>
          <w:sz w:val="24"/>
          <w:szCs w:val="24"/>
          <w:highlight w:val="none"/>
          <w:lang w:val="en-US" w:eastAsia="zh-CN"/>
        </w:rPr>
        <w:t>授权</w:t>
      </w:r>
      <w:r>
        <w:rPr>
          <w:rStyle w:val="148"/>
          <w:rFonts w:hint="eastAsia" w:ascii="仿宋" w:hAnsi="仿宋" w:eastAsia="仿宋" w:cs="仿宋"/>
          <w:color w:val="auto"/>
          <w:sz w:val="24"/>
          <w:szCs w:val="24"/>
          <w:highlight w:val="none"/>
        </w:rPr>
        <w:t>签字代表</w:t>
      </w:r>
      <w:r>
        <w:rPr>
          <w:rStyle w:val="148"/>
          <w:rFonts w:hint="eastAsia" w:ascii="仿宋" w:hAnsi="仿宋" w:eastAsia="仿宋" w:cs="仿宋"/>
          <w:color w:val="auto"/>
          <w:sz w:val="24"/>
          <w:szCs w:val="24"/>
          <w:highlight w:val="none"/>
          <w:u w:val="single"/>
        </w:rPr>
        <w:t>（姓名、职务）</w:t>
      </w:r>
      <w:r>
        <w:rPr>
          <w:rStyle w:val="148"/>
          <w:rFonts w:hint="eastAsia" w:ascii="仿宋" w:hAnsi="仿宋" w:eastAsia="仿宋" w:cs="仿宋"/>
          <w:color w:val="auto"/>
          <w:sz w:val="24"/>
          <w:szCs w:val="24"/>
          <w:highlight w:val="none"/>
        </w:rPr>
        <w:t>经正式授权并代表</w:t>
      </w:r>
      <w:r>
        <w:rPr>
          <w:rStyle w:val="148"/>
          <w:rFonts w:hint="eastAsia" w:ascii="仿宋" w:hAnsi="仿宋" w:eastAsia="仿宋" w:cs="仿宋"/>
          <w:color w:val="auto"/>
          <w:sz w:val="24"/>
          <w:szCs w:val="24"/>
          <w:highlight w:val="none"/>
          <w:lang w:eastAsia="zh-CN"/>
        </w:rPr>
        <w:t>投标人</w:t>
      </w:r>
      <w:r>
        <w:rPr>
          <w:rStyle w:val="148"/>
          <w:rFonts w:hint="eastAsia" w:ascii="仿宋" w:hAnsi="仿宋" w:eastAsia="仿宋" w:cs="仿宋"/>
          <w:color w:val="auto"/>
          <w:sz w:val="24"/>
          <w:szCs w:val="24"/>
          <w:highlight w:val="none"/>
          <w:u w:val="single"/>
        </w:rPr>
        <w:t>（</w:t>
      </w:r>
      <w:r>
        <w:rPr>
          <w:rStyle w:val="148"/>
          <w:rFonts w:hint="eastAsia" w:ascii="仿宋" w:hAnsi="仿宋" w:eastAsia="仿宋" w:cs="仿宋"/>
          <w:color w:val="auto"/>
          <w:sz w:val="24"/>
          <w:szCs w:val="24"/>
          <w:highlight w:val="none"/>
          <w:u w:val="single"/>
          <w:lang w:eastAsia="zh-CN"/>
        </w:rPr>
        <w:t>投标人</w:t>
      </w:r>
      <w:r>
        <w:rPr>
          <w:rStyle w:val="148"/>
          <w:rFonts w:hint="eastAsia" w:ascii="仿宋" w:hAnsi="仿宋" w:eastAsia="仿宋" w:cs="仿宋"/>
          <w:color w:val="auto"/>
          <w:sz w:val="24"/>
          <w:szCs w:val="24"/>
          <w:highlight w:val="none"/>
          <w:u w:val="single"/>
        </w:rPr>
        <w:t>名称、地址）</w:t>
      </w:r>
      <w:r>
        <w:rPr>
          <w:rStyle w:val="148"/>
          <w:rFonts w:hint="eastAsia" w:ascii="仿宋" w:hAnsi="仿宋" w:eastAsia="仿宋" w:cs="仿宋"/>
          <w:color w:val="auto"/>
          <w:sz w:val="24"/>
          <w:szCs w:val="24"/>
          <w:highlight w:val="none"/>
        </w:rPr>
        <w:t>对此项目进行投标。据此函，签字代表宣布并同意如下：</w:t>
      </w:r>
    </w:p>
    <w:p>
      <w:pPr>
        <w:spacing w:line="440" w:lineRule="exact"/>
        <w:ind w:firstLine="480" w:firstLineChars="200"/>
        <w:rPr>
          <w:rStyle w:val="148"/>
          <w:rFonts w:hint="eastAsia" w:ascii="仿宋" w:hAnsi="仿宋" w:eastAsia="仿宋" w:cs="仿宋"/>
          <w:color w:val="auto"/>
          <w:sz w:val="24"/>
          <w:szCs w:val="24"/>
          <w:highlight w:val="none"/>
          <w:u w:val="single"/>
        </w:rPr>
      </w:pPr>
      <w:r>
        <w:rPr>
          <w:rStyle w:val="148"/>
          <w:rFonts w:hint="eastAsia" w:ascii="仿宋" w:hAnsi="仿宋" w:eastAsia="仿宋" w:cs="仿宋"/>
          <w:color w:val="auto"/>
          <w:sz w:val="24"/>
          <w:szCs w:val="24"/>
          <w:highlight w:val="none"/>
        </w:rPr>
        <w:t>1、所附明细报价表中规定的应提交和交付的货物和货物投标总价为</w:t>
      </w:r>
      <w:r>
        <w:rPr>
          <w:rStyle w:val="148"/>
          <w:rFonts w:hint="eastAsia" w:ascii="仿宋" w:hAnsi="仿宋" w:eastAsia="仿宋" w:cs="仿宋"/>
          <w:color w:val="auto"/>
          <w:sz w:val="24"/>
          <w:szCs w:val="24"/>
          <w:highlight w:val="none"/>
          <w:u w:val="single"/>
        </w:rPr>
        <w:t>（注明币种，并用文字和数字表示的投标单价总价）。</w:t>
      </w:r>
    </w:p>
    <w:p>
      <w:pPr>
        <w:snapToGrid w:val="0"/>
        <w:spacing w:line="440" w:lineRule="exact"/>
        <w:ind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2、我方同意在本项目招标文件中规定的开标日起</w:t>
      </w:r>
      <w:r>
        <w:rPr>
          <w:rStyle w:val="148"/>
          <w:rFonts w:hint="eastAsia" w:ascii="仿宋" w:hAnsi="仿宋" w:eastAsia="仿宋" w:cs="仿宋"/>
          <w:color w:val="auto"/>
          <w:sz w:val="24"/>
          <w:szCs w:val="24"/>
          <w:highlight w:val="none"/>
          <w:u w:val="single"/>
          <w:lang w:val="en-US" w:eastAsia="zh-CN"/>
        </w:rPr>
        <w:t xml:space="preserve">     </w:t>
      </w:r>
      <w:r>
        <w:rPr>
          <w:rStyle w:val="148"/>
          <w:rFonts w:hint="eastAsia" w:ascii="仿宋" w:hAnsi="仿宋" w:eastAsia="仿宋" w:cs="仿宋"/>
          <w:color w:val="auto"/>
          <w:sz w:val="24"/>
          <w:szCs w:val="24"/>
          <w:highlight w:val="none"/>
        </w:rPr>
        <w:t>遵守本投标文件中的承诺且在此期限期满之前均具有约束力。</w:t>
      </w:r>
    </w:p>
    <w:p>
      <w:pPr>
        <w:pStyle w:val="149"/>
        <w:snapToGrid w:val="0"/>
        <w:spacing w:line="440" w:lineRule="exact"/>
        <w:ind w:firstLine="480" w:firstLineChars="200"/>
        <w:rPr>
          <w:rStyle w:val="148"/>
          <w:rFonts w:hint="eastAsia" w:ascii="仿宋" w:hAnsi="仿宋" w:eastAsia="仿宋" w:cs="仿宋"/>
          <w:color w:val="auto"/>
          <w:kern w:val="2"/>
          <w:sz w:val="24"/>
          <w:szCs w:val="24"/>
          <w:highlight w:val="none"/>
        </w:rPr>
      </w:pPr>
      <w:r>
        <w:rPr>
          <w:rStyle w:val="148"/>
          <w:rFonts w:hint="eastAsia" w:ascii="仿宋" w:hAnsi="仿宋" w:eastAsia="仿宋" w:cs="仿宋"/>
          <w:color w:val="auto"/>
          <w:kern w:val="2"/>
          <w:sz w:val="24"/>
          <w:szCs w:val="24"/>
          <w:highlight w:val="none"/>
        </w:rPr>
        <w:t>3、我方承诺已经具备《中华人民共和国政府采购法》中规定的参加政府采购活动的投标人应当具备的条件：</w:t>
      </w:r>
    </w:p>
    <w:p>
      <w:pPr>
        <w:numPr>
          <w:ilvl w:val="0"/>
          <w:numId w:val="12"/>
        </w:numPr>
        <w:snapToGrid w:val="0"/>
        <w:spacing w:line="440" w:lineRule="exact"/>
        <w:ind w:left="0"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具有独立承担民事责任的能力；</w:t>
      </w:r>
    </w:p>
    <w:p>
      <w:pPr>
        <w:numPr>
          <w:ilvl w:val="0"/>
          <w:numId w:val="12"/>
        </w:numPr>
        <w:snapToGrid w:val="0"/>
        <w:spacing w:line="440" w:lineRule="exact"/>
        <w:ind w:left="0"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具有良好的商业信誉和健全的财务会计制度；</w:t>
      </w:r>
    </w:p>
    <w:p>
      <w:pPr>
        <w:numPr>
          <w:ilvl w:val="0"/>
          <w:numId w:val="12"/>
        </w:numPr>
        <w:snapToGrid w:val="0"/>
        <w:spacing w:line="440" w:lineRule="exact"/>
        <w:ind w:left="0"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具有履行合同所必需的设备和专业技术能力；</w:t>
      </w:r>
    </w:p>
    <w:p>
      <w:pPr>
        <w:numPr>
          <w:ilvl w:val="0"/>
          <w:numId w:val="12"/>
        </w:numPr>
        <w:snapToGrid w:val="0"/>
        <w:spacing w:line="440" w:lineRule="exact"/>
        <w:ind w:left="0"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有依法缴纳税收和社会保障资金的良好记录；</w:t>
      </w:r>
    </w:p>
    <w:p>
      <w:pPr>
        <w:numPr>
          <w:ilvl w:val="0"/>
          <w:numId w:val="12"/>
        </w:numPr>
        <w:snapToGrid w:val="0"/>
        <w:spacing w:line="440" w:lineRule="exact"/>
        <w:ind w:left="0"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参加此项采购活动前三年内，在经营活动中没有重大违法记录。</w:t>
      </w:r>
    </w:p>
    <w:p>
      <w:pPr>
        <w:snapToGrid w:val="0"/>
        <w:spacing w:line="440" w:lineRule="exact"/>
        <w:ind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4、按招标文件要求提供和交付的货物和货物的投标报价详见投标报价表。</w:t>
      </w:r>
    </w:p>
    <w:p>
      <w:pPr>
        <w:snapToGrid w:val="0"/>
        <w:spacing w:line="440" w:lineRule="exact"/>
        <w:ind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lang w:val="en-US"/>
        </w:rPr>
        <w:t>5</w:t>
      </w:r>
      <w:r>
        <w:rPr>
          <w:rStyle w:val="148"/>
          <w:rFonts w:hint="eastAsia" w:ascii="仿宋" w:hAnsi="仿宋" w:eastAsia="仿宋" w:cs="仿宋"/>
          <w:color w:val="auto"/>
          <w:sz w:val="24"/>
          <w:szCs w:val="24"/>
          <w:highlight w:val="none"/>
        </w:rPr>
        <w:t>、保证忠实地执行双方所签订的合同，并承担合同规定的责任和义务。</w:t>
      </w:r>
    </w:p>
    <w:p>
      <w:pPr>
        <w:snapToGrid w:val="0"/>
        <w:spacing w:line="440" w:lineRule="exact"/>
        <w:ind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lang w:val="en-US"/>
        </w:rPr>
        <w:t>6</w:t>
      </w:r>
      <w:r>
        <w:rPr>
          <w:rStyle w:val="148"/>
          <w:rFonts w:hint="eastAsia" w:ascii="仿宋" w:hAnsi="仿宋" w:eastAsia="仿宋" w:cs="仿宋"/>
          <w:color w:val="auto"/>
          <w:sz w:val="24"/>
          <w:szCs w:val="24"/>
          <w:highlight w:val="none"/>
        </w:rPr>
        <w:t>、遵守招标文件的规定，对交付的货物数量、规格、技术参数、货物等保证做到响应性的一一对应。否则，愿意承担违约的处罚。</w:t>
      </w:r>
    </w:p>
    <w:p>
      <w:pPr>
        <w:snapToGrid w:val="0"/>
        <w:spacing w:line="440" w:lineRule="exact"/>
        <w:ind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lang w:val="en-US"/>
        </w:rPr>
        <w:t>7</w:t>
      </w:r>
      <w:r>
        <w:rPr>
          <w:rStyle w:val="148"/>
          <w:rFonts w:hint="eastAsia" w:ascii="仿宋" w:hAnsi="仿宋" w:eastAsia="仿宋" w:cs="仿宋"/>
          <w:color w:val="auto"/>
          <w:sz w:val="24"/>
          <w:szCs w:val="24"/>
          <w:highlight w:val="none"/>
        </w:rPr>
        <w:t>、如果在开标后规定的投标有效期内撤回投标，我方的投标保证金可被贵方没收。</w:t>
      </w:r>
    </w:p>
    <w:p>
      <w:pPr>
        <w:snapToGrid w:val="0"/>
        <w:spacing w:line="440" w:lineRule="exact"/>
        <w:ind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lang w:val="en-US"/>
        </w:rPr>
        <w:t>8</w:t>
      </w:r>
      <w:r>
        <w:rPr>
          <w:rStyle w:val="148"/>
          <w:rFonts w:hint="eastAsia" w:ascii="仿宋" w:hAnsi="仿宋" w:eastAsia="仿宋" w:cs="仿宋"/>
          <w:color w:val="auto"/>
          <w:sz w:val="24"/>
          <w:szCs w:val="24"/>
          <w:highlight w:val="none"/>
        </w:rPr>
        <w:t>、我方完全理解贵方不一定接受最低价的投标或收到的任何投标。</w:t>
      </w:r>
    </w:p>
    <w:p>
      <w:pPr>
        <w:snapToGrid w:val="0"/>
        <w:spacing w:line="440" w:lineRule="exact"/>
        <w:ind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lang w:val="en-US"/>
        </w:rPr>
        <w:t>9</w:t>
      </w:r>
      <w:r>
        <w:rPr>
          <w:rStyle w:val="148"/>
          <w:rFonts w:hint="eastAsia" w:ascii="仿宋" w:hAnsi="仿宋" w:eastAsia="仿宋" w:cs="仿宋"/>
          <w:color w:val="auto"/>
          <w:sz w:val="24"/>
          <w:szCs w:val="24"/>
          <w:highlight w:val="none"/>
        </w:rPr>
        <w:t>、我方愿意向贵方提供任何与本项投标有关的数据、情况和技术资料。若贵方需要，我方愿意提供我方作出的一切承诺的证明材料。</w:t>
      </w:r>
    </w:p>
    <w:p>
      <w:pPr>
        <w:snapToGrid w:val="0"/>
        <w:spacing w:line="440" w:lineRule="exact"/>
        <w:ind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1</w:t>
      </w:r>
      <w:r>
        <w:rPr>
          <w:rStyle w:val="148"/>
          <w:rFonts w:hint="eastAsia" w:ascii="仿宋" w:hAnsi="仿宋" w:eastAsia="仿宋" w:cs="仿宋"/>
          <w:color w:val="auto"/>
          <w:sz w:val="24"/>
          <w:szCs w:val="24"/>
          <w:highlight w:val="none"/>
          <w:lang w:val="en-US"/>
        </w:rPr>
        <w:t>0</w:t>
      </w:r>
      <w:r>
        <w:rPr>
          <w:rStyle w:val="148"/>
          <w:rFonts w:hint="eastAsia" w:ascii="仿宋" w:hAnsi="仿宋" w:eastAsia="仿宋" w:cs="仿宋"/>
          <w:color w:val="auto"/>
          <w:sz w:val="24"/>
          <w:szCs w:val="24"/>
          <w:highlight w:val="none"/>
        </w:rPr>
        <w:t>、我方已详细审核全部投标文件，包括“修改投标文件”（如有的话）、参考资料及有关附件，确认无误。</w:t>
      </w:r>
    </w:p>
    <w:p>
      <w:pPr>
        <w:snapToGrid w:val="0"/>
        <w:spacing w:line="440" w:lineRule="exact"/>
        <w:ind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1</w:t>
      </w:r>
      <w:r>
        <w:rPr>
          <w:rStyle w:val="148"/>
          <w:rFonts w:hint="eastAsia" w:ascii="仿宋" w:hAnsi="仿宋" w:eastAsia="仿宋" w:cs="仿宋"/>
          <w:color w:val="auto"/>
          <w:sz w:val="24"/>
          <w:szCs w:val="24"/>
          <w:highlight w:val="none"/>
          <w:lang w:val="en-US"/>
        </w:rPr>
        <w:t>1</w:t>
      </w:r>
      <w:r>
        <w:rPr>
          <w:rStyle w:val="148"/>
          <w:rFonts w:hint="eastAsia" w:ascii="仿宋" w:hAnsi="仿宋" w:eastAsia="仿宋" w:cs="仿宋"/>
          <w:color w:val="auto"/>
          <w:sz w:val="24"/>
          <w:szCs w:val="24"/>
          <w:highlight w:val="none"/>
        </w:rPr>
        <w:t>、我方承诺接受招标文件中合同部分的全部条款且无任何异议。</w:t>
      </w:r>
    </w:p>
    <w:p>
      <w:pPr>
        <w:snapToGrid w:val="0"/>
        <w:spacing w:line="440" w:lineRule="exact"/>
        <w:ind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1</w:t>
      </w:r>
      <w:r>
        <w:rPr>
          <w:rStyle w:val="148"/>
          <w:rFonts w:hint="eastAsia" w:ascii="仿宋" w:hAnsi="仿宋" w:eastAsia="仿宋" w:cs="仿宋"/>
          <w:color w:val="auto"/>
          <w:sz w:val="24"/>
          <w:szCs w:val="24"/>
          <w:highlight w:val="none"/>
          <w:lang w:val="en-US"/>
        </w:rPr>
        <w:t>2</w:t>
      </w:r>
      <w:r>
        <w:rPr>
          <w:rStyle w:val="148"/>
          <w:rFonts w:hint="eastAsia" w:ascii="仿宋" w:hAnsi="仿宋" w:eastAsia="仿宋" w:cs="仿宋"/>
          <w:color w:val="auto"/>
          <w:sz w:val="24"/>
          <w:szCs w:val="24"/>
          <w:highlight w:val="none"/>
        </w:rPr>
        <w:t>、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13"/>
        </w:numPr>
        <w:snapToGrid w:val="0"/>
        <w:spacing w:line="440" w:lineRule="exact"/>
        <w:ind w:left="0"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提供虚假材料谋取中标、成交的；</w:t>
      </w:r>
    </w:p>
    <w:p>
      <w:pPr>
        <w:numPr>
          <w:ilvl w:val="0"/>
          <w:numId w:val="13"/>
        </w:numPr>
        <w:snapToGrid w:val="0"/>
        <w:spacing w:line="440" w:lineRule="exact"/>
        <w:ind w:left="0"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采取不正当手段诋毁、排挤其他投标人的；</w:t>
      </w:r>
    </w:p>
    <w:p>
      <w:pPr>
        <w:numPr>
          <w:ilvl w:val="0"/>
          <w:numId w:val="13"/>
        </w:numPr>
        <w:snapToGrid w:val="0"/>
        <w:spacing w:line="440" w:lineRule="exact"/>
        <w:ind w:left="0"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与采购人、其它投标人或者采购代理机构恶意串通的；</w:t>
      </w:r>
    </w:p>
    <w:p>
      <w:pPr>
        <w:numPr>
          <w:ilvl w:val="0"/>
          <w:numId w:val="13"/>
        </w:numPr>
        <w:snapToGrid w:val="0"/>
        <w:spacing w:line="440" w:lineRule="exact"/>
        <w:ind w:left="0"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向采购人、采购代理机构行贿或者提供其他不正当利益的；</w:t>
      </w:r>
    </w:p>
    <w:p>
      <w:pPr>
        <w:numPr>
          <w:ilvl w:val="0"/>
          <w:numId w:val="13"/>
        </w:numPr>
        <w:snapToGrid w:val="0"/>
        <w:spacing w:line="440" w:lineRule="exact"/>
        <w:ind w:left="0"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未经采购代理机构同意，在采购过程中与采购人进行协商谈判的；</w:t>
      </w:r>
    </w:p>
    <w:p>
      <w:pPr>
        <w:numPr>
          <w:ilvl w:val="0"/>
          <w:numId w:val="13"/>
        </w:numPr>
        <w:snapToGrid w:val="0"/>
        <w:spacing w:line="440" w:lineRule="exact"/>
        <w:ind w:left="0"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拒绝有关部门监督检查或提供虚假情况的。</w:t>
      </w:r>
    </w:p>
    <w:p>
      <w:pPr>
        <w:snapToGrid w:val="0"/>
        <w:spacing w:line="440" w:lineRule="exact"/>
        <w:rPr>
          <w:rStyle w:val="148"/>
          <w:rFonts w:hint="eastAsia" w:ascii="仿宋" w:hAnsi="仿宋" w:eastAsia="仿宋" w:cs="仿宋"/>
          <w:color w:val="auto"/>
          <w:sz w:val="24"/>
          <w:szCs w:val="24"/>
          <w:highlight w:val="none"/>
          <w:lang w:val="en-US" w:eastAsia="zh-CN"/>
        </w:rPr>
      </w:pPr>
      <w:r>
        <w:rPr>
          <w:rStyle w:val="148"/>
          <w:rFonts w:hint="eastAsia" w:ascii="仿宋" w:hAnsi="仿宋" w:eastAsia="仿宋" w:cs="仿宋"/>
          <w:color w:val="auto"/>
          <w:sz w:val="24"/>
          <w:szCs w:val="24"/>
          <w:highlight w:val="none"/>
          <w:lang w:val="en-US" w:eastAsia="zh-CN"/>
        </w:rPr>
        <w:t>13.其他</w:t>
      </w:r>
      <w:r>
        <w:rPr>
          <w:rStyle w:val="148"/>
          <w:rFonts w:hint="eastAsia" w:ascii="仿宋" w:hAnsi="仿宋" w:eastAsia="仿宋" w:cs="仿宋"/>
          <w:color w:val="auto"/>
          <w:sz w:val="24"/>
          <w:szCs w:val="24"/>
          <w:highlight w:val="none"/>
          <w:u w:val="single"/>
          <w:lang w:val="en-US" w:eastAsia="zh-CN"/>
        </w:rPr>
        <w:t xml:space="preserve">                          </w:t>
      </w:r>
    </w:p>
    <w:p>
      <w:pPr>
        <w:spacing w:line="440" w:lineRule="exact"/>
        <w:ind w:firstLine="240" w:firstLineChars="100"/>
        <w:rPr>
          <w:rStyle w:val="148"/>
          <w:rFonts w:hint="eastAsia" w:ascii="仿宋" w:hAnsi="仿宋" w:eastAsia="仿宋" w:cs="仿宋"/>
          <w:color w:val="auto"/>
          <w:sz w:val="24"/>
          <w:szCs w:val="24"/>
          <w:highlight w:val="none"/>
        </w:rPr>
      </w:pPr>
    </w:p>
    <w:p>
      <w:pPr>
        <w:spacing w:line="440" w:lineRule="exact"/>
        <w:ind w:firstLine="240" w:firstLineChars="100"/>
        <w:rPr>
          <w:rStyle w:val="148"/>
          <w:rFonts w:hint="eastAsia" w:ascii="仿宋" w:hAnsi="仿宋" w:eastAsia="仿宋" w:cs="仿宋"/>
          <w:color w:val="auto"/>
          <w:sz w:val="24"/>
          <w:szCs w:val="24"/>
          <w:highlight w:val="none"/>
        </w:rPr>
      </w:pPr>
    </w:p>
    <w:p>
      <w:pPr>
        <w:spacing w:line="440" w:lineRule="exact"/>
        <w:ind w:firstLine="240" w:firstLineChars="1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与本投标有关的一切正式往来信函请寄：</w:t>
      </w:r>
    </w:p>
    <w:p>
      <w:pPr>
        <w:spacing w:line="440" w:lineRule="exact"/>
        <w:ind w:firstLine="240" w:firstLineChars="100"/>
        <w:rPr>
          <w:rStyle w:val="148"/>
          <w:rFonts w:hint="eastAsia" w:ascii="仿宋" w:hAnsi="仿宋" w:eastAsia="仿宋" w:cs="仿宋"/>
          <w:color w:val="auto"/>
          <w:sz w:val="24"/>
          <w:szCs w:val="24"/>
          <w:highlight w:val="none"/>
          <w:u w:val="single"/>
        </w:rPr>
      </w:pPr>
      <w:r>
        <w:rPr>
          <w:rStyle w:val="148"/>
          <w:rFonts w:hint="eastAsia" w:ascii="仿宋" w:hAnsi="仿宋" w:eastAsia="仿宋" w:cs="仿宋"/>
          <w:color w:val="auto"/>
          <w:sz w:val="24"/>
          <w:szCs w:val="24"/>
          <w:highlight w:val="none"/>
        </w:rPr>
        <w:t>地　　　　　址：</w:t>
      </w:r>
      <w:r>
        <w:rPr>
          <w:rStyle w:val="148"/>
          <w:rFonts w:hint="eastAsia" w:ascii="仿宋" w:hAnsi="仿宋" w:eastAsia="仿宋" w:cs="仿宋"/>
          <w:color w:val="auto"/>
          <w:sz w:val="24"/>
          <w:szCs w:val="24"/>
          <w:highlight w:val="none"/>
          <w:u w:val="single"/>
        </w:rPr>
        <w:t>　　　　　　　　　　</w:t>
      </w:r>
      <w:r>
        <w:rPr>
          <w:rStyle w:val="148"/>
          <w:rFonts w:hint="eastAsia" w:ascii="仿宋" w:hAnsi="仿宋" w:eastAsia="仿宋" w:cs="仿宋"/>
          <w:color w:val="auto"/>
          <w:sz w:val="24"/>
          <w:szCs w:val="24"/>
          <w:highlight w:val="none"/>
        </w:rPr>
        <w:t>邮编：</w:t>
      </w:r>
      <w:r>
        <w:rPr>
          <w:rStyle w:val="148"/>
          <w:rFonts w:hint="eastAsia" w:ascii="仿宋" w:hAnsi="仿宋" w:eastAsia="仿宋" w:cs="仿宋"/>
          <w:color w:val="auto"/>
          <w:sz w:val="24"/>
          <w:szCs w:val="24"/>
          <w:highlight w:val="none"/>
          <w:u w:val="single"/>
        </w:rPr>
        <w:t>　　　　　　　　　</w:t>
      </w:r>
    </w:p>
    <w:p>
      <w:pPr>
        <w:spacing w:line="440" w:lineRule="exact"/>
        <w:ind w:left="0" w:leftChars="0" w:firstLine="240" w:firstLineChars="1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电　　　　　话：</w:t>
      </w:r>
      <w:r>
        <w:rPr>
          <w:rStyle w:val="148"/>
          <w:rFonts w:hint="eastAsia" w:ascii="仿宋" w:hAnsi="仿宋" w:eastAsia="仿宋" w:cs="仿宋"/>
          <w:color w:val="auto"/>
          <w:sz w:val="24"/>
          <w:szCs w:val="24"/>
          <w:highlight w:val="none"/>
          <w:u w:val="single"/>
        </w:rPr>
        <w:t>　　　　　　　　　　</w:t>
      </w:r>
      <w:r>
        <w:rPr>
          <w:rStyle w:val="148"/>
          <w:rFonts w:hint="eastAsia" w:ascii="仿宋" w:hAnsi="仿宋" w:eastAsia="仿宋" w:cs="仿宋"/>
          <w:color w:val="auto"/>
          <w:sz w:val="24"/>
          <w:szCs w:val="24"/>
          <w:highlight w:val="none"/>
        </w:rPr>
        <w:t>传真：</w:t>
      </w:r>
      <w:r>
        <w:rPr>
          <w:rStyle w:val="148"/>
          <w:rFonts w:hint="eastAsia" w:ascii="仿宋" w:hAnsi="仿宋" w:eastAsia="仿宋" w:cs="仿宋"/>
          <w:color w:val="auto"/>
          <w:sz w:val="24"/>
          <w:szCs w:val="24"/>
          <w:highlight w:val="none"/>
          <w:u w:val="single"/>
        </w:rPr>
        <w:t>　　　　　　　　　</w:t>
      </w:r>
    </w:p>
    <w:p>
      <w:pPr>
        <w:spacing w:line="440" w:lineRule="exact"/>
        <w:ind w:left="0" w:leftChars="0" w:firstLine="240" w:firstLineChars="100"/>
        <w:rPr>
          <w:rStyle w:val="148"/>
          <w:rFonts w:hint="eastAsia" w:ascii="仿宋" w:hAnsi="仿宋" w:eastAsia="仿宋" w:cs="仿宋"/>
          <w:color w:val="auto"/>
          <w:sz w:val="24"/>
          <w:szCs w:val="24"/>
          <w:highlight w:val="none"/>
          <w:lang w:eastAsia="zh-CN"/>
        </w:rPr>
      </w:pPr>
    </w:p>
    <w:p>
      <w:pPr>
        <w:spacing w:line="440" w:lineRule="exact"/>
        <w:ind w:left="0" w:leftChars="0" w:firstLine="240" w:firstLineChars="100"/>
        <w:rPr>
          <w:rStyle w:val="148"/>
          <w:rFonts w:hint="eastAsia" w:ascii="仿宋" w:hAnsi="仿宋" w:eastAsia="仿宋" w:cs="仿宋"/>
          <w:color w:val="auto"/>
          <w:sz w:val="24"/>
          <w:szCs w:val="24"/>
          <w:highlight w:val="none"/>
          <w:lang w:eastAsia="zh-CN"/>
        </w:rPr>
      </w:pPr>
    </w:p>
    <w:p>
      <w:pPr>
        <w:spacing w:line="440" w:lineRule="exact"/>
        <w:ind w:left="0" w:leftChars="0" w:firstLine="240" w:firstLineChars="100"/>
        <w:rPr>
          <w:rStyle w:val="148"/>
          <w:rFonts w:hint="eastAsia" w:ascii="仿宋" w:hAnsi="仿宋" w:eastAsia="仿宋" w:cs="仿宋"/>
          <w:color w:val="auto"/>
          <w:sz w:val="24"/>
          <w:szCs w:val="24"/>
          <w:highlight w:val="none"/>
          <w:u w:val="single"/>
        </w:rPr>
      </w:pPr>
      <w:r>
        <w:rPr>
          <w:rStyle w:val="148"/>
          <w:rFonts w:hint="eastAsia" w:ascii="仿宋" w:hAnsi="仿宋" w:eastAsia="仿宋" w:cs="仿宋"/>
          <w:color w:val="auto"/>
          <w:sz w:val="24"/>
          <w:szCs w:val="24"/>
          <w:highlight w:val="none"/>
          <w:lang w:eastAsia="zh-CN"/>
        </w:rPr>
        <w:t>投标人</w:t>
      </w:r>
      <w:r>
        <w:rPr>
          <w:rStyle w:val="148"/>
          <w:rFonts w:hint="eastAsia" w:ascii="仿宋" w:hAnsi="仿宋" w:eastAsia="仿宋" w:cs="仿宋"/>
          <w:color w:val="auto"/>
          <w:sz w:val="24"/>
          <w:szCs w:val="24"/>
          <w:highlight w:val="none"/>
        </w:rPr>
        <w:t>名称（单位公章）：</w:t>
      </w:r>
      <w:r>
        <w:rPr>
          <w:rStyle w:val="148"/>
          <w:rFonts w:hint="eastAsia" w:ascii="仿宋" w:hAnsi="仿宋" w:eastAsia="仿宋" w:cs="仿宋"/>
          <w:color w:val="auto"/>
          <w:sz w:val="24"/>
          <w:szCs w:val="24"/>
          <w:highlight w:val="none"/>
          <w:u w:val="single"/>
        </w:rPr>
        <w:t>　　　　　　　　　　</w:t>
      </w:r>
    </w:p>
    <w:p>
      <w:pPr>
        <w:spacing w:line="440" w:lineRule="exact"/>
        <w:ind w:left="0" w:leftChars="0" w:firstLine="240" w:firstLineChars="1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lang w:eastAsia="zh-CN"/>
        </w:rPr>
        <w:t>投标人</w:t>
      </w:r>
      <w:r>
        <w:rPr>
          <w:rStyle w:val="148"/>
          <w:rFonts w:hint="eastAsia" w:ascii="仿宋" w:hAnsi="仿宋" w:eastAsia="仿宋" w:cs="仿宋"/>
          <w:color w:val="auto"/>
          <w:sz w:val="24"/>
          <w:szCs w:val="24"/>
          <w:highlight w:val="none"/>
        </w:rPr>
        <w:t>代表签字：</w:t>
      </w:r>
      <w:r>
        <w:rPr>
          <w:rStyle w:val="148"/>
          <w:rFonts w:hint="eastAsia" w:ascii="仿宋" w:hAnsi="仿宋" w:eastAsia="仿宋" w:cs="仿宋"/>
          <w:color w:val="auto"/>
          <w:sz w:val="24"/>
          <w:szCs w:val="24"/>
          <w:highlight w:val="none"/>
          <w:u w:val="single"/>
        </w:rPr>
        <w:t>　　　　　　　　　　　　　</w:t>
      </w:r>
    </w:p>
    <w:p>
      <w:pPr>
        <w:spacing w:line="440" w:lineRule="exact"/>
        <w:ind w:left="0" w:leftChars="0" w:firstLine="240" w:firstLineChars="100"/>
        <w:jc w:val="left"/>
        <w:rPr>
          <w:rStyle w:val="148"/>
          <w:rFonts w:hint="eastAsia" w:ascii="仿宋" w:hAnsi="仿宋" w:eastAsia="仿宋" w:cs="仿宋"/>
          <w:color w:val="auto"/>
          <w:sz w:val="24"/>
          <w:szCs w:val="24"/>
          <w:highlight w:val="none"/>
        </w:rPr>
      </w:pPr>
    </w:p>
    <w:p>
      <w:pPr>
        <w:snapToGrid w:val="0"/>
        <w:spacing w:line="440" w:lineRule="exact"/>
        <w:ind w:firstLine="482" w:firstLineChars="200"/>
        <w:rPr>
          <w:rStyle w:val="148"/>
          <w:rFonts w:hint="eastAsia" w:ascii="仿宋" w:hAnsi="仿宋" w:eastAsia="仿宋" w:cs="仿宋"/>
          <w:b/>
          <w:color w:val="auto"/>
          <w:sz w:val="24"/>
          <w:szCs w:val="24"/>
          <w:highlight w:val="none"/>
        </w:rPr>
      </w:pPr>
    </w:p>
    <w:p>
      <w:pPr>
        <w:pStyle w:val="2"/>
        <w:rPr>
          <w:rStyle w:val="148"/>
          <w:rFonts w:hint="eastAsia" w:ascii="仿宋" w:hAnsi="仿宋" w:eastAsia="仿宋" w:cs="仿宋"/>
          <w:b/>
          <w:color w:val="auto"/>
          <w:sz w:val="24"/>
          <w:szCs w:val="24"/>
          <w:highlight w:val="none"/>
        </w:rPr>
      </w:pPr>
    </w:p>
    <w:p>
      <w:pPr>
        <w:rPr>
          <w:rFonts w:hint="eastAsia" w:ascii="仿宋" w:hAnsi="仿宋" w:eastAsia="仿宋" w:cs="仿宋"/>
          <w:color w:val="auto"/>
          <w:highlight w:val="none"/>
        </w:rPr>
      </w:pPr>
    </w:p>
    <w:p>
      <w:pPr>
        <w:snapToGrid w:val="0"/>
        <w:spacing w:line="440" w:lineRule="exact"/>
        <w:ind w:firstLine="482" w:firstLineChars="200"/>
        <w:rPr>
          <w:rStyle w:val="148"/>
          <w:rFonts w:hint="eastAsia" w:ascii="仿宋" w:hAnsi="仿宋" w:eastAsia="仿宋" w:cs="仿宋"/>
          <w:b/>
          <w:color w:val="auto"/>
          <w:sz w:val="24"/>
          <w:szCs w:val="24"/>
          <w:highlight w:val="none"/>
        </w:rPr>
      </w:pPr>
    </w:p>
    <w:p>
      <w:pPr>
        <w:snapToGrid w:val="0"/>
        <w:spacing w:line="440" w:lineRule="exact"/>
        <w:ind w:firstLine="482" w:firstLineChars="200"/>
        <w:rPr>
          <w:rStyle w:val="148"/>
          <w:rFonts w:hint="eastAsia" w:ascii="仿宋" w:hAnsi="仿宋" w:eastAsia="仿宋" w:cs="仿宋"/>
          <w:b/>
          <w:color w:val="auto"/>
          <w:sz w:val="24"/>
          <w:szCs w:val="24"/>
          <w:highlight w:val="none"/>
        </w:rPr>
      </w:pPr>
    </w:p>
    <w:p>
      <w:pPr>
        <w:snapToGrid w:val="0"/>
        <w:spacing w:line="440" w:lineRule="exact"/>
        <w:ind w:firstLine="482" w:firstLineChars="200"/>
        <w:rPr>
          <w:rStyle w:val="148"/>
          <w:rFonts w:hint="eastAsia" w:ascii="仿宋" w:hAnsi="仿宋" w:eastAsia="仿宋" w:cs="仿宋"/>
          <w:b/>
          <w:color w:val="auto"/>
          <w:sz w:val="24"/>
          <w:szCs w:val="24"/>
          <w:highlight w:val="none"/>
        </w:rPr>
      </w:pPr>
    </w:p>
    <w:p>
      <w:pPr>
        <w:snapToGrid w:val="0"/>
        <w:spacing w:line="440" w:lineRule="exact"/>
        <w:ind w:firstLine="482" w:firstLineChars="200"/>
        <w:rPr>
          <w:rStyle w:val="148"/>
          <w:rFonts w:hint="eastAsia" w:ascii="仿宋" w:hAnsi="仿宋" w:eastAsia="仿宋" w:cs="仿宋"/>
          <w:b/>
          <w:color w:val="auto"/>
          <w:sz w:val="24"/>
          <w:szCs w:val="24"/>
          <w:highlight w:val="none"/>
        </w:rPr>
      </w:pPr>
      <w:r>
        <w:rPr>
          <w:rStyle w:val="148"/>
          <w:rFonts w:hint="eastAsia" w:ascii="仿宋" w:hAnsi="仿宋" w:eastAsia="仿宋" w:cs="仿宋"/>
          <w:b/>
          <w:color w:val="auto"/>
          <w:sz w:val="24"/>
          <w:szCs w:val="24"/>
          <w:highlight w:val="none"/>
        </w:rPr>
        <w:t>注：除可填报项目外，对本投标函的任何修改将被视为非实质性响应投标，从而导致该投标被拒绝。</w:t>
      </w:r>
    </w:p>
    <w:p>
      <w:pPr>
        <w:spacing w:line="440" w:lineRule="exact"/>
        <w:ind w:firstLine="480"/>
        <w:rPr>
          <w:rFonts w:hint="eastAsia" w:ascii="仿宋" w:hAnsi="仿宋" w:eastAsia="仿宋" w:cs="仿宋"/>
          <w:color w:val="auto"/>
          <w:sz w:val="24"/>
          <w:szCs w:val="22"/>
          <w:highlight w:val="none"/>
        </w:rPr>
      </w:pPr>
    </w:p>
    <w:p>
      <w:pPr>
        <w:spacing w:line="440" w:lineRule="exact"/>
        <w:ind w:firstLine="480"/>
        <w:rPr>
          <w:rFonts w:hint="eastAsia" w:ascii="仿宋" w:hAnsi="仿宋" w:eastAsia="仿宋" w:cs="仿宋"/>
          <w:color w:val="auto"/>
          <w:sz w:val="24"/>
          <w:szCs w:val="22"/>
          <w:highlight w:val="none"/>
        </w:rPr>
      </w:pPr>
    </w:p>
    <w:p>
      <w:pPr>
        <w:spacing w:line="440" w:lineRule="exact"/>
        <w:ind w:firstLine="480"/>
        <w:rPr>
          <w:rFonts w:hint="eastAsia" w:ascii="仿宋" w:hAnsi="仿宋" w:eastAsia="仿宋" w:cs="仿宋"/>
          <w:color w:val="auto"/>
          <w:sz w:val="24"/>
          <w:szCs w:val="22"/>
          <w:highlight w:val="none"/>
        </w:rPr>
      </w:pPr>
    </w:p>
    <w:p>
      <w:pPr>
        <w:spacing w:line="440" w:lineRule="exact"/>
        <w:ind w:firstLine="480"/>
        <w:rPr>
          <w:rFonts w:hint="eastAsia" w:ascii="仿宋" w:hAnsi="仿宋" w:eastAsia="仿宋" w:cs="仿宋"/>
          <w:color w:val="auto"/>
          <w:sz w:val="24"/>
          <w:szCs w:val="22"/>
          <w:highlight w:val="none"/>
        </w:rPr>
      </w:pPr>
    </w:p>
    <w:p>
      <w:pPr>
        <w:spacing w:line="440" w:lineRule="exact"/>
        <w:ind w:firstLine="48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年     月     日</w:t>
      </w:r>
    </w:p>
    <w:p>
      <w:pPr>
        <w:spacing w:line="440" w:lineRule="exact"/>
        <w:rPr>
          <w:rFonts w:hint="eastAsia" w:ascii="仿宋" w:hAnsi="仿宋" w:eastAsia="仿宋" w:cs="仿宋"/>
          <w:b/>
          <w:bCs/>
          <w:color w:val="auto"/>
          <w:sz w:val="30"/>
          <w:szCs w:val="30"/>
          <w:highlight w:val="none"/>
        </w:rPr>
      </w:pPr>
    </w:p>
    <w:p>
      <w:pPr>
        <w:spacing w:line="440" w:lineRule="exact"/>
        <w:ind w:firstLine="480"/>
        <w:jc w:val="center"/>
        <w:rPr>
          <w:rFonts w:hint="eastAsia" w:ascii="仿宋" w:hAnsi="仿宋" w:eastAsia="仿宋" w:cs="仿宋"/>
          <w:b/>
          <w:bCs/>
          <w:color w:val="auto"/>
          <w:sz w:val="30"/>
          <w:szCs w:val="30"/>
          <w:highlight w:val="none"/>
          <w:lang w:val="en-US" w:eastAsia="zh-CN"/>
        </w:rPr>
      </w:pPr>
    </w:p>
    <w:p>
      <w:pPr>
        <w:pStyle w:val="53"/>
        <w:rPr>
          <w:rFonts w:hint="eastAsia" w:ascii="仿宋" w:hAnsi="仿宋" w:eastAsia="仿宋" w:cs="仿宋"/>
          <w:lang w:val="en-US" w:eastAsia="zh-CN"/>
        </w:rPr>
      </w:pPr>
    </w:p>
    <w:p>
      <w:pPr>
        <w:spacing w:line="440" w:lineRule="exact"/>
        <w:jc w:val="both"/>
        <w:rPr>
          <w:rFonts w:hint="eastAsia" w:ascii="仿宋" w:hAnsi="仿宋" w:eastAsia="仿宋" w:cs="仿宋"/>
          <w:b/>
          <w:bCs/>
          <w:color w:val="auto"/>
          <w:sz w:val="30"/>
          <w:szCs w:val="30"/>
          <w:highlight w:val="none"/>
          <w:lang w:val="en-US" w:eastAsia="zh-CN"/>
        </w:rPr>
      </w:pPr>
    </w:p>
    <w:p>
      <w:pPr>
        <w:spacing w:line="440" w:lineRule="exact"/>
        <w:ind w:firstLine="480"/>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二、</w:t>
      </w:r>
      <w:r>
        <w:rPr>
          <w:rFonts w:hint="eastAsia" w:ascii="仿宋" w:hAnsi="仿宋" w:eastAsia="仿宋" w:cs="仿宋"/>
          <w:b/>
          <w:bCs/>
          <w:color w:val="auto"/>
          <w:sz w:val="30"/>
          <w:szCs w:val="30"/>
          <w:highlight w:val="none"/>
        </w:rPr>
        <w:t>投标文件真实性和不存在限制投标情形的声明</w:t>
      </w:r>
    </w:p>
    <w:p>
      <w:pPr>
        <w:spacing w:line="200" w:lineRule="exact"/>
        <w:rPr>
          <w:rFonts w:hint="eastAsia" w:ascii="仿宋" w:hAnsi="仿宋" w:eastAsia="仿宋" w:cs="仿宋"/>
          <w:color w:val="auto"/>
          <w:highlight w:val="none"/>
        </w:rPr>
      </w:pPr>
    </w:p>
    <w:p>
      <w:pPr>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墨玉县教育局</w:t>
      </w:r>
      <w:r>
        <w:rPr>
          <w:rFonts w:hint="eastAsia" w:ascii="仿宋" w:hAnsi="仿宋" w:eastAsia="仿宋" w:cs="仿宋"/>
          <w:color w:val="auto"/>
          <w:sz w:val="24"/>
          <w:szCs w:val="24"/>
          <w:highlight w:val="none"/>
        </w:rPr>
        <w:t>：</w:t>
      </w:r>
    </w:p>
    <w:p>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我方在此声明，所递交的（项目名称）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的投标文件（包括有关资料、澄清）真实可信，不存在虚假（包括隐瞒）。我方近三年来在经营活动中没有重大违法记录。</w:t>
      </w:r>
    </w:p>
    <w:p>
      <w:pPr>
        <w:spacing w:line="48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我方承诺，如存在虚假投标行为，我方自愿承担</w:t>
      </w:r>
      <w:r>
        <w:rPr>
          <w:rFonts w:hint="eastAsia" w:ascii="仿宋" w:hAnsi="仿宋" w:eastAsia="仿宋" w:cs="仿宋"/>
          <w:color w:val="auto"/>
          <w:sz w:val="24"/>
          <w:szCs w:val="24"/>
          <w:highlight w:val="none"/>
          <w:lang w:val="en-US" w:eastAsia="zh-CN"/>
        </w:rPr>
        <w:t>一切法律</w:t>
      </w:r>
      <w:r>
        <w:rPr>
          <w:rFonts w:hint="eastAsia" w:ascii="仿宋" w:hAnsi="仿宋" w:eastAsia="仿宋" w:cs="仿宋"/>
          <w:color w:val="auto"/>
          <w:sz w:val="24"/>
          <w:szCs w:val="24"/>
          <w:highlight w:val="none"/>
        </w:rPr>
        <w:t>责任。</w:t>
      </w:r>
    </w:p>
    <w:p>
      <w:pPr>
        <w:rPr>
          <w:rFonts w:hint="eastAsia" w:ascii="仿宋" w:hAnsi="仿宋" w:eastAsia="仿宋" w:cs="仿宋"/>
          <w:color w:val="auto"/>
          <w:sz w:val="24"/>
          <w:szCs w:val="24"/>
          <w:highlight w:val="none"/>
        </w:rPr>
      </w:pPr>
    </w:p>
    <w:p>
      <w:pPr>
        <w:pStyle w:val="42"/>
        <w:rPr>
          <w:rFonts w:hint="eastAsia" w:ascii="仿宋" w:hAnsi="仿宋" w:eastAsia="仿宋" w:cs="仿宋"/>
          <w:color w:val="auto"/>
          <w:sz w:val="24"/>
          <w:szCs w:val="24"/>
          <w:highlight w:val="none"/>
        </w:rPr>
      </w:pPr>
    </w:p>
    <w:p>
      <w:pPr>
        <w:pStyle w:val="42"/>
        <w:rPr>
          <w:rFonts w:hint="eastAsia" w:ascii="仿宋" w:hAnsi="仿宋" w:eastAsia="仿宋" w:cs="仿宋"/>
          <w:color w:val="auto"/>
          <w:sz w:val="24"/>
          <w:szCs w:val="24"/>
          <w:highlight w:val="none"/>
        </w:rPr>
      </w:pPr>
    </w:p>
    <w:p>
      <w:pPr>
        <w:pStyle w:val="42"/>
        <w:rPr>
          <w:rFonts w:hint="eastAsia" w:ascii="仿宋" w:hAnsi="仿宋" w:eastAsia="仿宋" w:cs="仿宋"/>
          <w:color w:val="auto"/>
          <w:sz w:val="24"/>
          <w:szCs w:val="24"/>
          <w:highlight w:val="none"/>
        </w:rPr>
      </w:pPr>
    </w:p>
    <w:p>
      <w:pPr>
        <w:pStyle w:val="42"/>
        <w:rPr>
          <w:rFonts w:hint="eastAsia" w:ascii="仿宋" w:hAnsi="仿宋" w:eastAsia="仿宋" w:cs="仿宋"/>
          <w:color w:val="auto"/>
          <w:sz w:val="24"/>
          <w:szCs w:val="24"/>
          <w:highlight w:val="none"/>
        </w:rPr>
      </w:pPr>
    </w:p>
    <w:p>
      <w:pPr>
        <w:pStyle w:val="42"/>
        <w:rPr>
          <w:rFonts w:hint="eastAsia" w:ascii="仿宋" w:hAnsi="仿宋" w:eastAsia="仿宋" w:cs="仿宋"/>
          <w:color w:val="auto"/>
          <w:sz w:val="24"/>
          <w:szCs w:val="24"/>
          <w:highlight w:val="none"/>
        </w:rPr>
      </w:pPr>
    </w:p>
    <w:p>
      <w:pPr>
        <w:pStyle w:val="42"/>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投标单位：（单位公章）</w:t>
      </w:r>
    </w:p>
    <w:p>
      <w:pPr>
        <w:spacing w:line="360" w:lineRule="auto"/>
        <w:rPr>
          <w:rFonts w:hint="eastAsia" w:ascii="仿宋" w:hAnsi="仿宋" w:eastAsia="仿宋" w:cs="仿宋"/>
          <w:color w:val="auto"/>
          <w:sz w:val="24"/>
          <w:szCs w:val="24"/>
          <w:highlight w:val="none"/>
        </w:rPr>
      </w:pP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投标单位法定代表人或其授权委托人（签字或盖章）：</w:t>
      </w:r>
    </w:p>
    <w:p>
      <w:pPr>
        <w:spacing w:line="360" w:lineRule="auto"/>
        <w:ind w:firstLine="3360" w:firstLineChars="1400"/>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bookmarkStart w:id="224" w:name="_Toc21183"/>
      <w:bookmarkStart w:id="225" w:name="_Toc22822"/>
      <w:bookmarkStart w:id="226" w:name="_Toc2775"/>
      <w:bookmarkStart w:id="227" w:name="_Toc21652"/>
      <w:bookmarkStart w:id="228" w:name="_Toc7164"/>
    </w:p>
    <w:p>
      <w:pPr>
        <w:spacing w:line="360" w:lineRule="auto"/>
        <w:ind w:firstLine="480" w:firstLineChars="200"/>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rPr>
          <w:rFonts w:hint="eastAsia" w:ascii="仿宋" w:hAnsi="仿宋" w:eastAsia="仿宋" w:cs="仿宋"/>
          <w:color w:val="auto"/>
          <w:highlight w:val="none"/>
        </w:rPr>
      </w:pPr>
    </w:p>
    <w:p>
      <w:pPr>
        <w:spacing w:line="360" w:lineRule="auto"/>
        <w:rPr>
          <w:rFonts w:hint="eastAsia" w:ascii="仿宋" w:hAnsi="仿宋" w:eastAsia="仿宋" w:cs="仿宋"/>
          <w:color w:val="auto"/>
          <w:sz w:val="24"/>
          <w:highlight w:val="none"/>
        </w:rPr>
      </w:pPr>
    </w:p>
    <w:p>
      <w:pPr>
        <w:spacing w:line="440" w:lineRule="exact"/>
        <w:ind w:firstLine="480"/>
        <w:jc w:val="center"/>
        <w:rPr>
          <w:rFonts w:hint="eastAsia" w:ascii="仿宋" w:hAnsi="仿宋" w:eastAsia="仿宋" w:cs="仿宋"/>
          <w:b/>
          <w:bCs/>
          <w:color w:val="auto"/>
          <w:sz w:val="30"/>
          <w:szCs w:val="30"/>
          <w:highlight w:val="none"/>
          <w:lang w:val="en-US" w:eastAsia="zh-CN"/>
        </w:rPr>
      </w:pPr>
    </w:p>
    <w:p>
      <w:pPr>
        <w:spacing w:line="440" w:lineRule="exact"/>
        <w:ind w:firstLine="480"/>
        <w:jc w:val="center"/>
        <w:rPr>
          <w:rFonts w:hint="eastAsia" w:ascii="仿宋" w:hAnsi="仿宋" w:eastAsia="仿宋" w:cs="仿宋"/>
          <w:b/>
          <w:bCs/>
          <w:color w:val="auto"/>
          <w:sz w:val="30"/>
          <w:szCs w:val="30"/>
          <w:highlight w:val="none"/>
          <w:lang w:val="en-US" w:eastAsia="zh-CN"/>
        </w:rPr>
      </w:pPr>
    </w:p>
    <w:p>
      <w:pPr>
        <w:spacing w:line="440" w:lineRule="exact"/>
        <w:ind w:firstLine="480"/>
        <w:jc w:val="center"/>
        <w:rPr>
          <w:rFonts w:hint="eastAsia" w:ascii="仿宋" w:hAnsi="仿宋" w:eastAsia="仿宋" w:cs="仿宋"/>
          <w:b/>
          <w:bCs/>
          <w:color w:val="auto"/>
          <w:sz w:val="30"/>
          <w:szCs w:val="30"/>
          <w:highlight w:val="none"/>
          <w:lang w:val="en-US" w:eastAsia="zh-CN"/>
        </w:rPr>
      </w:pPr>
    </w:p>
    <w:p>
      <w:pPr>
        <w:spacing w:line="440" w:lineRule="exact"/>
        <w:ind w:firstLine="480"/>
        <w:jc w:val="center"/>
        <w:rPr>
          <w:rFonts w:hint="eastAsia" w:ascii="仿宋" w:hAnsi="仿宋" w:eastAsia="仿宋" w:cs="仿宋"/>
          <w:b/>
          <w:bCs/>
          <w:color w:val="auto"/>
          <w:sz w:val="30"/>
          <w:szCs w:val="30"/>
          <w:highlight w:val="none"/>
          <w:lang w:val="en-US" w:eastAsia="zh-CN"/>
        </w:rPr>
        <w:sectPr>
          <w:headerReference r:id="rId11" w:type="default"/>
          <w:footerReference r:id="rId12" w:type="default"/>
          <w:pgSz w:w="11905" w:h="16838"/>
          <w:pgMar w:top="1140" w:right="1202" w:bottom="1162" w:left="1219" w:header="851" w:footer="992" w:gutter="0"/>
          <w:pgBorders>
            <w:top w:val="none" w:sz="0" w:space="0"/>
            <w:left w:val="none" w:sz="0" w:space="0"/>
            <w:bottom w:val="none" w:sz="0" w:space="0"/>
            <w:right w:val="none" w:sz="0" w:space="0"/>
          </w:pgBorders>
          <w:pgNumType w:fmt="decimal"/>
          <w:cols w:space="720" w:num="1"/>
          <w:docGrid w:type="lines" w:linePitch="316" w:charSpace="0"/>
        </w:sectPr>
      </w:pPr>
    </w:p>
    <w:p>
      <w:pPr>
        <w:spacing w:line="440" w:lineRule="exact"/>
        <w:ind w:firstLine="480"/>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三、开标</w:t>
      </w:r>
      <w:r>
        <w:rPr>
          <w:rFonts w:hint="eastAsia" w:ascii="仿宋" w:hAnsi="仿宋" w:eastAsia="仿宋" w:cs="仿宋"/>
          <w:b/>
          <w:bCs/>
          <w:color w:val="auto"/>
          <w:sz w:val="30"/>
          <w:szCs w:val="30"/>
          <w:highlight w:val="none"/>
        </w:rPr>
        <w:t>一览表</w:t>
      </w:r>
      <w:bookmarkEnd w:id="224"/>
      <w:bookmarkEnd w:id="225"/>
      <w:bookmarkEnd w:id="226"/>
      <w:bookmarkEnd w:id="227"/>
      <w:bookmarkEnd w:id="228"/>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pPr>
        <w:rPr>
          <w:rFonts w:hint="eastAsia" w:ascii="仿宋" w:hAnsi="仿宋" w:eastAsia="仿宋" w:cs="仿宋"/>
          <w:b/>
          <w:color w:val="auto"/>
          <w:sz w:val="24"/>
          <w:szCs w:val="24"/>
          <w:highlight w:val="none"/>
          <w:lang w:eastAsia="zh-CN"/>
        </w:rPr>
      </w:pPr>
      <w:r>
        <w:rPr>
          <w:rFonts w:hint="eastAsia" w:ascii="仿宋" w:hAnsi="仿宋" w:eastAsia="仿宋" w:cs="仿宋"/>
          <w:color w:val="auto"/>
          <w:sz w:val="24"/>
          <w:highlight w:val="none"/>
        </w:rPr>
        <w:t xml:space="preserve">项目编号：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7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2072" w:type="dxa"/>
            <w:noWrap w:val="0"/>
            <w:vAlign w:val="center"/>
          </w:tcPr>
          <w:p>
            <w:pPr>
              <w:pStyle w:val="24"/>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p>
        </w:tc>
        <w:tc>
          <w:tcPr>
            <w:tcW w:w="7187" w:type="dxa"/>
            <w:noWrap w:val="0"/>
            <w:vAlign w:val="center"/>
          </w:tcPr>
          <w:p>
            <w:pPr>
              <w:pStyle w:val="24"/>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3" w:hRule="atLeast"/>
          <w:jc w:val="center"/>
        </w:trPr>
        <w:tc>
          <w:tcPr>
            <w:tcW w:w="2072" w:type="dxa"/>
            <w:noWrap w:val="0"/>
            <w:vAlign w:val="center"/>
          </w:tcPr>
          <w:p>
            <w:pPr>
              <w:pStyle w:val="24"/>
              <w:spacing w:line="360" w:lineRule="auto"/>
              <w:ind w:left="719" w:leftChars="114" w:hanging="480" w:hanging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投标报价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szCs w:val="24"/>
                <w:highlight w:val="none"/>
                <w:lang w:eastAsia="zh-CN"/>
              </w:rPr>
              <w:t>）</w:t>
            </w:r>
          </w:p>
        </w:tc>
        <w:tc>
          <w:tcPr>
            <w:tcW w:w="7187" w:type="dxa"/>
            <w:noWrap w:val="0"/>
            <w:vAlign w:val="center"/>
          </w:tcPr>
          <w:p>
            <w:pPr>
              <w:pStyle w:val="24"/>
              <w:spacing w:line="48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大写：人民币______元</w:t>
            </w:r>
          </w:p>
          <w:p>
            <w:pPr>
              <w:pStyle w:val="24"/>
              <w:spacing w:line="48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小写：￥</w:t>
            </w:r>
            <w:r>
              <w:rPr>
                <w:rFonts w:hint="eastAsia" w:ascii="仿宋" w:hAnsi="仿宋" w:eastAsia="仿宋" w:cs="仿宋"/>
                <w:color w:val="auto"/>
                <w:sz w:val="24"/>
                <w:szCs w:val="24"/>
                <w:highlight w:val="none"/>
                <w:u w:val="single"/>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2072" w:type="dxa"/>
            <w:noWrap w:val="0"/>
            <w:vAlign w:val="center"/>
          </w:tcPr>
          <w:p>
            <w:pPr>
              <w:pStyle w:val="24"/>
              <w:spacing w:line="360" w:lineRule="auto"/>
              <w:jc w:val="center"/>
              <w:rPr>
                <w:rStyle w:val="48"/>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rPr>
              <w:t>质量要求</w:t>
            </w:r>
          </w:p>
        </w:tc>
        <w:tc>
          <w:tcPr>
            <w:tcW w:w="7187" w:type="dxa"/>
            <w:noWrap w:val="0"/>
            <w:vAlign w:val="center"/>
          </w:tcPr>
          <w:p>
            <w:pPr>
              <w:pStyle w:val="24"/>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2072" w:type="dxa"/>
            <w:noWrap w:val="0"/>
            <w:vAlign w:val="center"/>
          </w:tcPr>
          <w:p>
            <w:pPr>
              <w:pStyle w:val="24"/>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rPr>
              <w:t>交货地点</w:t>
            </w:r>
          </w:p>
        </w:tc>
        <w:tc>
          <w:tcPr>
            <w:tcW w:w="7187" w:type="dxa"/>
            <w:noWrap w:val="0"/>
            <w:vAlign w:val="center"/>
          </w:tcPr>
          <w:p>
            <w:pPr>
              <w:pStyle w:val="24"/>
              <w:spacing w:line="360" w:lineRule="auto"/>
              <w:rPr>
                <w:rFonts w:hint="eastAsia"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2072" w:type="dxa"/>
            <w:noWrap w:val="0"/>
            <w:vAlign w:val="center"/>
          </w:tcPr>
          <w:p>
            <w:pPr>
              <w:pStyle w:val="24"/>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供货期/服务项目负责人</w:t>
            </w:r>
          </w:p>
        </w:tc>
        <w:tc>
          <w:tcPr>
            <w:tcW w:w="7187" w:type="dxa"/>
            <w:noWrap w:val="0"/>
            <w:vAlign w:val="center"/>
          </w:tcPr>
          <w:p>
            <w:pPr>
              <w:pStyle w:val="24"/>
              <w:spacing w:line="360" w:lineRule="auto"/>
              <w:rPr>
                <w:rFonts w:hint="eastAsia"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2072" w:type="dxa"/>
            <w:noWrap w:val="0"/>
            <w:vAlign w:val="center"/>
          </w:tcPr>
          <w:p>
            <w:pPr>
              <w:keepNext w:val="0"/>
              <w:keepLines w:val="0"/>
              <w:pageBreakBefore w:val="0"/>
              <w:kinsoku/>
              <w:wordWrap/>
              <w:overflowPunct/>
              <w:topLinePunct w:val="0"/>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保证金缴纳方式</w:t>
            </w:r>
          </w:p>
        </w:tc>
        <w:tc>
          <w:tcPr>
            <w:tcW w:w="7187" w:type="dxa"/>
            <w:noWrap w:val="0"/>
            <w:vAlign w:val="center"/>
          </w:tcPr>
          <w:p>
            <w:pPr>
              <w:keepNext w:val="0"/>
              <w:keepLines w:val="0"/>
              <w:pageBreakBefore w:val="0"/>
              <w:kinsoku/>
              <w:wordWrap/>
              <w:overflowPunct/>
              <w:topLinePunct w:val="0"/>
              <w:bidi w:val="0"/>
              <w:snapToGrid/>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jc w:val="center"/>
        </w:trPr>
        <w:tc>
          <w:tcPr>
            <w:tcW w:w="2072" w:type="dxa"/>
            <w:noWrap w:val="0"/>
            <w:vAlign w:val="center"/>
          </w:tcPr>
          <w:p>
            <w:pPr>
              <w:pStyle w:val="24"/>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c>
          <w:tcPr>
            <w:tcW w:w="7187" w:type="dxa"/>
            <w:noWrap w:val="0"/>
            <w:vAlign w:val="center"/>
          </w:tcPr>
          <w:p>
            <w:pPr>
              <w:numPr>
                <w:ilvl w:val="0"/>
                <w:numId w:val="14"/>
              </w:numPr>
              <w:adjustRightInd w:val="0"/>
              <w:snapToGrid w:val="0"/>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以人民币计算（含税），投标人应在开标一览表中标明其提供的所有货物及相关工作范围内所有费用的总价。</w:t>
            </w:r>
          </w:p>
          <w:p>
            <w:pPr>
              <w:numPr>
                <w:ilvl w:val="0"/>
                <w:numId w:val="0"/>
              </w:numPr>
              <w:adjustRightInd w:val="0"/>
              <w:snapToGrid w:val="0"/>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任何有选择或有条件的投标总价或表中某一包填写多个报价，均将导致投标被拒绝；</w:t>
            </w:r>
          </w:p>
          <w:p>
            <w:pPr>
              <w:adjustRightInd w:val="0"/>
              <w:snapToGrid w:val="0"/>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、报价为含税金额，税票为增值税专用发票。</w:t>
            </w:r>
          </w:p>
          <w:p>
            <w:pPr>
              <w:adjustRightInd w:val="0"/>
              <w:snapToGrid w:val="0"/>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、大写标注：壹、贰、叁、肆、伍、陆、柒、捌、玖、拾、佰、仟、万、亿。</w:t>
            </w:r>
          </w:p>
        </w:tc>
      </w:tr>
    </w:tbl>
    <w:p>
      <w:pPr>
        <w:rPr>
          <w:rFonts w:hint="eastAsia" w:ascii="仿宋" w:hAnsi="仿宋" w:eastAsia="仿宋" w:cs="仿宋"/>
          <w:b w:val="0"/>
          <w:bCs/>
          <w:color w:val="auto"/>
          <w:sz w:val="24"/>
          <w:szCs w:val="24"/>
          <w:highlight w:val="none"/>
          <w:lang w:val="en-US" w:eastAsia="zh-CN"/>
        </w:rPr>
      </w:pPr>
    </w:p>
    <w:p>
      <w:pPr>
        <w:spacing w:line="360" w:lineRule="auto"/>
        <w:ind w:firstLine="480" w:firstLineChars="2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注：1、本表格式不得更改，投标单位只能按要求填报，否则将被视为无效。</w:t>
      </w:r>
    </w:p>
    <w:p>
      <w:pPr>
        <w:spacing w:line="360" w:lineRule="auto"/>
        <w:ind w:firstLine="960" w:firstLineChars="4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2、投标一览表中投标单价总报价大小应写一致，如不一致以大写为准。</w:t>
      </w:r>
    </w:p>
    <w:p>
      <w:pPr>
        <w:spacing w:line="360" w:lineRule="auto"/>
        <w:ind w:firstLine="960" w:firstLineChars="4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3、以上报价含一切费用,是指货物经验收交付采购人使用的价格。</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投标单位：（单位公章）</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bookmarkStart w:id="229" w:name="_Toc21935"/>
      <w:bookmarkStart w:id="230" w:name="_Toc4570"/>
      <w:bookmarkStart w:id="231" w:name="_Toc4683"/>
      <w:bookmarkStart w:id="232" w:name="_Toc32601"/>
      <w:bookmarkStart w:id="233" w:name="_Toc12987"/>
    </w:p>
    <w:p>
      <w:pPr>
        <w:spacing w:line="360" w:lineRule="auto"/>
        <w:rPr>
          <w:rFonts w:hint="eastAsia" w:ascii="仿宋" w:hAnsi="仿宋" w:eastAsia="仿宋" w:cs="仿宋"/>
          <w:color w:val="auto"/>
          <w:sz w:val="24"/>
          <w:highlight w:val="none"/>
        </w:rPr>
        <w:sectPr>
          <w:pgSz w:w="11905" w:h="16838"/>
          <w:pgMar w:top="1140" w:right="1202" w:bottom="1162" w:left="1219" w:header="851" w:footer="992" w:gutter="0"/>
          <w:pgBorders>
            <w:top w:val="none" w:sz="0" w:space="0"/>
            <w:left w:val="none" w:sz="0" w:space="0"/>
            <w:bottom w:val="none" w:sz="0" w:space="0"/>
            <w:right w:val="none" w:sz="0" w:space="0"/>
          </w:pgBorders>
          <w:pgNumType w:fmt="decimal"/>
          <w:cols w:space="0" w:num="1"/>
          <w:rtlGutter w:val="0"/>
          <w:docGrid w:type="lines" w:linePitch="316" w:charSpace="0"/>
        </w:sectPr>
      </w:pPr>
    </w:p>
    <w:p>
      <w:pPr>
        <w:pStyle w:val="4"/>
        <w:jc w:val="center"/>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投标报价明细表</w:t>
      </w:r>
      <w:bookmarkEnd w:id="229"/>
      <w:bookmarkEnd w:id="230"/>
      <w:bookmarkEnd w:id="231"/>
      <w:bookmarkEnd w:id="232"/>
      <w:bookmarkEnd w:id="233"/>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pPr>
        <w:pStyle w:val="2"/>
        <w:ind w:left="0" w:leftChars="0" w:firstLine="0" w:firstLineChars="0"/>
        <w:rPr>
          <w:rFonts w:hint="eastAsia" w:ascii="仿宋" w:hAnsi="仿宋" w:eastAsia="仿宋" w:cs="仿宋"/>
          <w:color w:val="auto"/>
          <w:highlight w:val="none"/>
        </w:rPr>
      </w:pPr>
      <w:r>
        <w:rPr>
          <w:rFonts w:hint="eastAsia" w:ascii="仿宋" w:hAnsi="仿宋" w:eastAsia="仿宋" w:cs="仿宋"/>
          <w:color w:val="auto"/>
          <w:kern w:val="2"/>
          <w:sz w:val="24"/>
          <w:szCs w:val="22"/>
          <w:highlight w:val="none"/>
          <w:lang w:val="en-US" w:eastAsia="zh-CN" w:bidi="ar-SA"/>
        </w:rPr>
        <w:t xml:space="preserve">项目编号： </w:t>
      </w:r>
      <w:r>
        <w:rPr>
          <w:rFonts w:hint="eastAsia" w:ascii="仿宋" w:hAnsi="仿宋" w:eastAsia="仿宋" w:cs="仿宋"/>
          <w:color w:val="auto"/>
          <w:sz w:val="24"/>
          <w:highlight w:val="none"/>
        </w:rPr>
        <w:t xml:space="preserve">      </w:t>
      </w:r>
    </w:p>
    <w:tbl>
      <w:tblPr>
        <w:tblStyle w:val="44"/>
        <w:tblW w:w="9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1169"/>
        <w:gridCol w:w="1277"/>
        <w:gridCol w:w="622"/>
        <w:gridCol w:w="712"/>
        <w:gridCol w:w="1643"/>
        <w:gridCol w:w="1643"/>
        <w:gridCol w:w="1237"/>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455"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序号</w:t>
            </w:r>
          </w:p>
        </w:tc>
        <w:tc>
          <w:tcPr>
            <w:tcW w:w="1169"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color w:val="auto"/>
                <w:sz w:val="24"/>
                <w:highlight w:val="none"/>
                <w:u w:val="none"/>
                <w:lang w:val="en-US" w:eastAsia="zh-CN"/>
              </w:rPr>
              <w:t>标的</w:t>
            </w:r>
            <w:r>
              <w:rPr>
                <w:rFonts w:hint="eastAsia" w:ascii="仿宋" w:hAnsi="仿宋" w:eastAsia="仿宋" w:cs="仿宋"/>
                <w:color w:val="auto"/>
                <w:sz w:val="24"/>
                <w:highlight w:val="none"/>
                <w:u w:val="none"/>
              </w:rPr>
              <w:t>名称</w:t>
            </w:r>
          </w:p>
        </w:tc>
        <w:tc>
          <w:tcPr>
            <w:tcW w:w="1277"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rPr>
            </w:pPr>
            <w:r>
              <w:rPr>
                <w:rFonts w:hint="eastAsia" w:ascii="仿宋" w:hAnsi="仿宋" w:eastAsia="仿宋" w:cs="仿宋"/>
                <w:i w:val="0"/>
                <w:iCs w:val="0"/>
                <w:snapToGrid w:val="0"/>
                <w:color w:val="auto"/>
                <w:kern w:val="0"/>
                <w:sz w:val="24"/>
                <w:szCs w:val="24"/>
                <w:highlight w:val="none"/>
                <w:u w:val="none"/>
                <w:lang w:val="en-US" w:eastAsia="zh-CN" w:bidi="ar"/>
              </w:rPr>
              <w:t>规格及要求</w:t>
            </w:r>
          </w:p>
        </w:tc>
        <w:tc>
          <w:tcPr>
            <w:tcW w:w="622"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单位</w:t>
            </w:r>
          </w:p>
        </w:tc>
        <w:tc>
          <w:tcPr>
            <w:tcW w:w="712"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数量</w:t>
            </w:r>
          </w:p>
        </w:tc>
        <w:tc>
          <w:tcPr>
            <w:tcW w:w="1643" w:type="dxa"/>
            <w:noWrap w:val="0"/>
            <w:vAlign w:val="center"/>
          </w:tcPr>
          <w:p>
            <w:pPr>
              <w:ind w:left="0" w:leftChars="0" w:firstLine="0" w:firstLineChars="0"/>
              <w:jc w:val="center"/>
              <w:rPr>
                <w:rFonts w:hint="eastAsia" w:ascii="仿宋" w:hAnsi="仿宋" w:eastAsia="仿宋" w:cs="仿宋"/>
                <w:color w:val="auto"/>
                <w:kern w:val="2"/>
                <w:sz w:val="24"/>
                <w:highlight w:val="none"/>
                <w:u w:val="none"/>
                <w:lang w:val="en-US" w:eastAsia="zh-CN" w:bidi="ar-SA"/>
              </w:rPr>
            </w:pPr>
            <w:r>
              <w:rPr>
                <w:rFonts w:hint="eastAsia" w:ascii="仿宋" w:hAnsi="仿宋" w:eastAsia="仿宋" w:cs="仿宋"/>
                <w:color w:val="auto"/>
                <w:kern w:val="2"/>
                <w:sz w:val="24"/>
                <w:highlight w:val="none"/>
                <w:u w:val="none"/>
                <w:lang w:val="en-US" w:eastAsia="zh-CN" w:bidi="ar-SA"/>
              </w:rPr>
              <w:t>品牌、型号、产地</w:t>
            </w:r>
          </w:p>
        </w:tc>
        <w:tc>
          <w:tcPr>
            <w:tcW w:w="1643"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color w:val="auto"/>
                <w:kern w:val="2"/>
                <w:sz w:val="24"/>
                <w:highlight w:val="none"/>
                <w:u w:val="none"/>
                <w:lang w:val="en-US" w:eastAsia="zh-CN" w:bidi="ar-SA"/>
              </w:rPr>
              <w:t>单价（元）</w:t>
            </w:r>
          </w:p>
        </w:tc>
        <w:tc>
          <w:tcPr>
            <w:tcW w:w="1237"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总价</w:t>
            </w:r>
            <w:r>
              <w:rPr>
                <w:rFonts w:hint="eastAsia" w:ascii="仿宋" w:hAnsi="仿宋" w:eastAsia="仿宋" w:cs="仿宋"/>
                <w:color w:val="auto"/>
                <w:kern w:val="2"/>
                <w:sz w:val="24"/>
                <w:highlight w:val="none"/>
                <w:u w:val="none"/>
                <w:lang w:val="en-US" w:eastAsia="zh-CN" w:bidi="ar-SA"/>
              </w:rPr>
              <w:t>（元）</w:t>
            </w:r>
          </w:p>
        </w:tc>
        <w:tc>
          <w:tcPr>
            <w:tcW w:w="1237"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55"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1169"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277"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622"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712"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643"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1643"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1237" w:type="dxa"/>
            <w:noWrap w:val="0"/>
            <w:vAlign w:val="center"/>
          </w:tcPr>
          <w:p>
            <w:pPr>
              <w:tabs>
                <w:tab w:val="left" w:pos="552"/>
              </w:tabs>
              <w:ind w:left="0" w:leftChars="0" w:firstLine="0" w:firstLineChars="0"/>
              <w:jc w:val="left"/>
              <w:rPr>
                <w:rFonts w:hint="eastAsia" w:ascii="仿宋" w:hAnsi="仿宋" w:eastAsia="仿宋" w:cs="仿宋"/>
                <w:highlight w:val="none"/>
                <w:lang w:val="en-US" w:eastAsia="zh-CN"/>
              </w:rPr>
            </w:pPr>
          </w:p>
        </w:tc>
        <w:tc>
          <w:tcPr>
            <w:tcW w:w="1237" w:type="dxa"/>
            <w:noWrap w:val="0"/>
            <w:vAlign w:val="center"/>
          </w:tcPr>
          <w:p>
            <w:pPr>
              <w:tabs>
                <w:tab w:val="left" w:pos="552"/>
              </w:tabs>
              <w:ind w:left="0" w:leftChars="0" w:firstLine="0" w:firstLineChars="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55"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169"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277"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622"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712"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643"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1643"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1237" w:type="dxa"/>
            <w:noWrap w:val="0"/>
            <w:vAlign w:val="center"/>
          </w:tcPr>
          <w:p>
            <w:pPr>
              <w:tabs>
                <w:tab w:val="left" w:pos="552"/>
              </w:tabs>
              <w:ind w:left="0" w:leftChars="0" w:firstLine="0" w:firstLineChars="0"/>
              <w:jc w:val="left"/>
              <w:rPr>
                <w:rFonts w:hint="eastAsia" w:ascii="仿宋" w:hAnsi="仿宋" w:eastAsia="仿宋" w:cs="仿宋"/>
                <w:highlight w:val="none"/>
                <w:lang w:val="en-US" w:eastAsia="zh-CN"/>
              </w:rPr>
            </w:pPr>
          </w:p>
        </w:tc>
        <w:tc>
          <w:tcPr>
            <w:tcW w:w="1237" w:type="dxa"/>
            <w:noWrap w:val="0"/>
            <w:vAlign w:val="center"/>
          </w:tcPr>
          <w:p>
            <w:pPr>
              <w:tabs>
                <w:tab w:val="left" w:pos="552"/>
              </w:tabs>
              <w:ind w:left="0" w:leftChars="0" w:firstLine="0" w:firstLineChars="0"/>
              <w:jc w:val="left"/>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55"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169"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277"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622"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712"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643"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1643"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1237" w:type="dxa"/>
            <w:noWrap w:val="0"/>
            <w:vAlign w:val="center"/>
          </w:tcPr>
          <w:p>
            <w:pPr>
              <w:tabs>
                <w:tab w:val="left" w:pos="552"/>
              </w:tabs>
              <w:ind w:left="0" w:leftChars="0" w:firstLine="0" w:firstLineChars="0"/>
              <w:jc w:val="left"/>
              <w:rPr>
                <w:rFonts w:hint="eastAsia" w:ascii="仿宋" w:hAnsi="仿宋" w:eastAsia="仿宋" w:cs="仿宋"/>
                <w:highlight w:val="none"/>
                <w:lang w:val="en-US" w:eastAsia="zh-CN"/>
              </w:rPr>
            </w:pPr>
          </w:p>
        </w:tc>
        <w:tc>
          <w:tcPr>
            <w:tcW w:w="1237" w:type="dxa"/>
            <w:noWrap w:val="0"/>
            <w:vAlign w:val="center"/>
          </w:tcPr>
          <w:p>
            <w:pPr>
              <w:tabs>
                <w:tab w:val="left" w:pos="552"/>
              </w:tabs>
              <w:ind w:left="0" w:leftChars="0" w:firstLine="0" w:firstLineChars="0"/>
              <w:jc w:val="left"/>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55"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169"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277"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622"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712"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643"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1643"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1237" w:type="dxa"/>
            <w:noWrap w:val="0"/>
            <w:vAlign w:val="center"/>
          </w:tcPr>
          <w:p>
            <w:pPr>
              <w:tabs>
                <w:tab w:val="left" w:pos="552"/>
              </w:tabs>
              <w:ind w:left="0" w:leftChars="0" w:firstLine="0" w:firstLineChars="0"/>
              <w:jc w:val="left"/>
              <w:rPr>
                <w:rFonts w:hint="eastAsia" w:ascii="仿宋" w:hAnsi="仿宋" w:eastAsia="仿宋" w:cs="仿宋"/>
                <w:highlight w:val="none"/>
                <w:lang w:val="en-US" w:eastAsia="zh-CN"/>
              </w:rPr>
            </w:pPr>
          </w:p>
        </w:tc>
        <w:tc>
          <w:tcPr>
            <w:tcW w:w="1237" w:type="dxa"/>
            <w:noWrap w:val="0"/>
            <w:vAlign w:val="center"/>
          </w:tcPr>
          <w:p>
            <w:pPr>
              <w:tabs>
                <w:tab w:val="left" w:pos="552"/>
              </w:tabs>
              <w:ind w:left="0" w:leftChars="0" w:firstLine="0" w:firstLineChars="0"/>
              <w:jc w:val="left"/>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624" w:type="dxa"/>
            <w:gridSpan w:val="2"/>
            <w:noWrap w:val="0"/>
            <w:vAlign w:val="center"/>
          </w:tcPr>
          <w:p>
            <w:pPr>
              <w:jc w:val="both"/>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合计</w:t>
            </w:r>
            <w:r>
              <w:rPr>
                <w:rFonts w:hint="eastAsia" w:ascii="仿宋" w:hAnsi="仿宋" w:eastAsia="仿宋" w:cs="仿宋"/>
                <w:b w:val="0"/>
                <w:bCs/>
                <w:color w:val="auto"/>
                <w:sz w:val="24"/>
                <w:szCs w:val="24"/>
                <w:highlight w:val="none"/>
                <w:lang w:eastAsia="zh-CN"/>
              </w:rPr>
              <w:t>（元）</w:t>
            </w:r>
          </w:p>
        </w:tc>
        <w:tc>
          <w:tcPr>
            <w:tcW w:w="8371" w:type="dxa"/>
            <w:gridSpan w:val="7"/>
            <w:noWrap w:val="0"/>
            <w:vAlign w:val="center"/>
          </w:tcPr>
          <w:p>
            <w:pPr>
              <w:jc w:val="center"/>
              <w:rPr>
                <w:rFonts w:hint="eastAsia" w:ascii="仿宋" w:hAnsi="仿宋" w:eastAsia="仿宋" w:cs="仿宋"/>
                <w:b w:val="0"/>
                <w:bCs/>
                <w:color w:val="auto"/>
                <w:sz w:val="24"/>
                <w:szCs w:val="24"/>
                <w:highlight w:val="none"/>
              </w:rPr>
            </w:pPr>
          </w:p>
        </w:tc>
      </w:tr>
    </w:tbl>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（报价项目填报不下的，可自行扩</w:t>
      </w:r>
      <w:r>
        <w:rPr>
          <w:rFonts w:hint="eastAsia" w:ascii="仿宋" w:hAnsi="仿宋" w:eastAsia="仿宋" w:cs="仿宋"/>
          <w:color w:val="auto"/>
          <w:sz w:val="24"/>
          <w:szCs w:val="24"/>
          <w:highlight w:val="none"/>
          <w:lang w:val="en-US" w:eastAsia="zh-CN"/>
        </w:rPr>
        <w:t>展</w:t>
      </w:r>
      <w:r>
        <w:rPr>
          <w:rFonts w:hint="eastAsia" w:ascii="仿宋" w:hAnsi="仿宋" w:eastAsia="仿宋" w:cs="仿宋"/>
          <w:color w:val="auto"/>
          <w:sz w:val="24"/>
          <w:szCs w:val="24"/>
          <w:highlight w:val="none"/>
        </w:rPr>
        <w:t>）</w:t>
      </w:r>
    </w:p>
    <w:p>
      <w:pPr>
        <w:spacing w:line="360" w:lineRule="auto"/>
        <w:ind w:firstLine="960" w:firstLineChars="4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rPr>
        <w:t>注：1</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若获得中标资格并与采购人签署供货合同，由于报价遗漏面造成在供货、等工作中出现费用的增加，均由中标投标人自行承担，采购人将不再支付任何额外费用。</w:t>
      </w:r>
    </w:p>
    <w:p>
      <w:pPr>
        <w:numPr>
          <w:ilvl w:val="0"/>
          <w:numId w:val="0"/>
        </w:numPr>
        <w:spacing w:line="360" w:lineRule="auto"/>
        <w:ind w:firstLine="960" w:firstLineChars="4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2、投标人必须填写报价明细表且明细表中需包含采购需求表中所有内容，否则将导致投标被拒绝。</w:t>
      </w:r>
    </w:p>
    <w:p>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3、投标报价明细表</w:t>
      </w:r>
      <w:r>
        <w:rPr>
          <w:rFonts w:hint="eastAsia" w:ascii="仿宋" w:hAnsi="仿宋" w:eastAsia="仿宋" w:cs="仿宋"/>
          <w:color w:val="auto"/>
          <w:sz w:val="24"/>
          <w:highlight w:val="none"/>
        </w:rPr>
        <w:t>中的“投标总价”应等于“开标一览表”中的“投标总价”。</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rPr>
          <w:rFonts w:hint="eastAsia" w:ascii="仿宋" w:hAnsi="仿宋" w:eastAsia="仿宋" w:cs="仿宋"/>
          <w:color w:val="auto"/>
          <w:sz w:val="24"/>
          <w:highlight w:val="none"/>
        </w:rPr>
      </w:pP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kern w:val="0"/>
          <w:sz w:val="28"/>
          <w:highlight w:val="none"/>
        </w:rPr>
      </w:pPr>
      <w:r>
        <w:rPr>
          <w:rFonts w:hint="eastAsia" w:ascii="仿宋" w:hAnsi="仿宋" w:eastAsia="仿宋" w:cs="仿宋"/>
          <w:color w:val="auto"/>
          <w:sz w:val="24"/>
          <w:highlight w:val="none"/>
        </w:rPr>
        <w:t>年   月   日</w:t>
      </w:r>
      <w:bookmarkStart w:id="234" w:name="_Toc22433"/>
      <w:bookmarkStart w:id="235" w:name="_Toc25282"/>
      <w:bookmarkStart w:id="236" w:name="_Toc19324"/>
      <w:bookmarkStart w:id="237" w:name="_Toc6647"/>
    </w:p>
    <w:p>
      <w:pPr>
        <w:pStyle w:val="53"/>
        <w:ind w:left="0" w:leftChars="0" w:firstLine="0" w:firstLineChars="0"/>
        <w:rPr>
          <w:rFonts w:hint="eastAsia" w:ascii="仿宋" w:hAnsi="仿宋" w:eastAsia="仿宋" w:cs="仿宋"/>
          <w:color w:val="auto"/>
          <w:highlight w:val="none"/>
        </w:rPr>
      </w:pPr>
      <w:bookmarkStart w:id="238" w:name="_Toc248313661"/>
      <w:bookmarkStart w:id="239" w:name="_Toc329785083"/>
    </w:p>
    <w:p>
      <w:pPr>
        <w:pStyle w:val="2"/>
        <w:rPr>
          <w:rFonts w:hint="eastAsia" w:ascii="仿宋" w:hAnsi="仿宋" w:eastAsia="仿宋" w:cs="仿宋"/>
          <w:highlight w:val="none"/>
        </w:rPr>
      </w:pPr>
    </w:p>
    <w:p>
      <w:pPr>
        <w:pStyle w:val="20"/>
        <w:spacing w:line="240" w:lineRule="auto"/>
        <w:ind w:firstLine="0" w:firstLineChars="0"/>
        <w:jc w:val="center"/>
        <w:rPr>
          <w:rFonts w:hint="eastAsia" w:ascii="仿宋" w:hAnsi="仿宋" w:eastAsia="仿宋" w:cs="仿宋"/>
          <w:b/>
          <w:color w:val="auto"/>
          <w:szCs w:val="28"/>
          <w:highlight w:val="none"/>
        </w:rPr>
      </w:pPr>
      <w:r>
        <w:rPr>
          <w:rFonts w:hint="eastAsia" w:ascii="仿宋" w:hAnsi="仿宋" w:eastAsia="仿宋" w:cs="仿宋"/>
          <w:b/>
          <w:bCs/>
          <w:color w:val="auto"/>
          <w:kern w:val="0"/>
          <w:sz w:val="30"/>
          <w:szCs w:val="30"/>
          <w:highlight w:val="none"/>
        </w:rPr>
        <w:t>四、联合体协议书</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如是</w:t>
      </w:r>
      <w:r>
        <w:rPr>
          <w:rFonts w:hint="eastAsia" w:ascii="仿宋" w:hAnsi="仿宋" w:eastAsia="仿宋" w:cs="仿宋"/>
          <w:b/>
          <w:color w:val="auto"/>
          <w:sz w:val="32"/>
          <w:szCs w:val="32"/>
          <w:highlight w:val="none"/>
          <w:lang w:eastAsia="zh-CN"/>
        </w:rPr>
        <w:t>）</w:t>
      </w:r>
    </w:p>
    <w:p>
      <w:pPr>
        <w:pStyle w:val="21"/>
        <w:rPr>
          <w:rFonts w:hint="eastAsia" w:ascii="仿宋" w:hAnsi="仿宋" w:eastAsia="仿宋" w:cs="仿宋"/>
          <w:color w:val="auto"/>
          <w:highlight w:val="none"/>
        </w:rPr>
      </w:pPr>
    </w:p>
    <w:p>
      <w:pPr>
        <w:topLinePunct/>
        <w:spacing w:line="240" w:lineRule="auto"/>
        <w:ind w:left="210" w:leftChars="100"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（所有成员单位名称）自愿组成联合体，共同参加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（项目名称）投标。现就联合体投标事宜订立如下协议。</w:t>
      </w:r>
    </w:p>
    <w:p>
      <w:pPr>
        <w:topLinePunct/>
        <w:spacing w:line="24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（某成员单位名称）为牵头人。</w:t>
      </w:r>
    </w:p>
    <w:p>
      <w:pPr>
        <w:topLinePunct/>
        <w:spacing w:line="24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topLinePunct/>
        <w:spacing w:line="24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3、联合体将严格按照招标文件的各项要求，递交投标文件，履行合同，并对外承担连带责任。</w:t>
      </w:r>
    </w:p>
    <w:p>
      <w:pPr>
        <w:topLinePunct/>
        <w:spacing w:line="24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4、联合体各成员单位内部的职责分工如下：</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pPr>
        <w:topLinePunct/>
        <w:spacing w:line="240" w:lineRule="auto"/>
        <w:ind w:firstLine="420" w:firstLineChars="200"/>
        <w:outlineLvl w:val="2"/>
        <w:rPr>
          <w:rFonts w:hint="eastAsia" w:ascii="仿宋" w:hAnsi="仿宋" w:eastAsia="仿宋" w:cs="仿宋"/>
          <w:color w:val="auto"/>
          <w:szCs w:val="21"/>
          <w:highlight w:val="none"/>
        </w:rPr>
      </w:pPr>
      <w:bookmarkStart w:id="240" w:name="_Toc14243"/>
      <w:r>
        <w:rPr>
          <w:rFonts w:hint="eastAsia" w:ascii="仿宋" w:hAnsi="仿宋" w:eastAsia="仿宋" w:cs="仿宋"/>
          <w:color w:val="auto"/>
          <w:szCs w:val="21"/>
          <w:highlight w:val="none"/>
        </w:rPr>
        <w:t>5、本协议书自签署之日起生效，合同履行完毕后自动失效。</w:t>
      </w:r>
      <w:bookmarkEnd w:id="240"/>
      <w:r>
        <w:rPr>
          <w:rFonts w:hint="eastAsia" w:ascii="仿宋" w:hAnsi="仿宋" w:eastAsia="仿宋" w:cs="仿宋"/>
          <w:color w:val="auto"/>
          <w:szCs w:val="21"/>
          <w:highlight w:val="none"/>
        </w:rPr>
        <w:t xml:space="preserve"> </w:t>
      </w:r>
    </w:p>
    <w:p>
      <w:pPr>
        <w:topLinePunct/>
        <w:spacing w:line="24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6、本协议书一式</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份，联合体成员和招标人各执</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份。</w:t>
      </w:r>
    </w:p>
    <w:p>
      <w:pPr>
        <w:topLinePunct/>
        <w:spacing w:line="240" w:lineRule="auto"/>
        <w:rPr>
          <w:rFonts w:hint="eastAsia" w:ascii="仿宋" w:hAnsi="仿宋" w:eastAsia="仿宋" w:cs="仿宋"/>
          <w:color w:val="auto"/>
          <w:szCs w:val="21"/>
          <w:highlight w:val="none"/>
        </w:rPr>
      </w:pPr>
    </w:p>
    <w:p>
      <w:pPr>
        <w:topLinePunct/>
        <w:spacing w:line="24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注：本协议书由委托代理人签字的，应附法定代表人签字的授权委托书。</w:t>
      </w:r>
    </w:p>
    <w:p>
      <w:pPr>
        <w:topLinePunct/>
        <w:spacing w:line="240" w:lineRule="auto"/>
        <w:rPr>
          <w:rFonts w:hint="eastAsia" w:ascii="仿宋" w:hAnsi="仿宋" w:eastAsia="仿宋" w:cs="仿宋"/>
          <w:color w:val="auto"/>
          <w:szCs w:val="21"/>
          <w:highlight w:val="none"/>
        </w:rPr>
      </w:pPr>
    </w:p>
    <w:p>
      <w:pPr>
        <w:topLinePunct/>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牵头人名称：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（盖章）</w:t>
      </w:r>
    </w:p>
    <w:p>
      <w:pPr>
        <w:topLinePunct/>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法定代表人或其委托代理人：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（签字</w:t>
      </w:r>
      <w:r>
        <w:rPr>
          <w:rFonts w:hint="eastAsia" w:ascii="仿宋" w:hAnsi="仿宋" w:eastAsia="仿宋" w:cs="仿宋"/>
          <w:color w:val="auto"/>
          <w:szCs w:val="21"/>
          <w:highlight w:val="none"/>
          <w:lang w:val="en-US" w:eastAsia="zh-CN"/>
        </w:rPr>
        <w:t>或盖章</w:t>
      </w:r>
      <w:r>
        <w:rPr>
          <w:rFonts w:hint="eastAsia" w:ascii="仿宋" w:hAnsi="仿宋" w:eastAsia="仿宋" w:cs="仿宋"/>
          <w:color w:val="auto"/>
          <w:szCs w:val="21"/>
          <w:highlight w:val="none"/>
        </w:rPr>
        <w:t>）</w:t>
      </w:r>
    </w:p>
    <w:p>
      <w:pPr>
        <w:topLinePunct/>
        <w:spacing w:line="240" w:lineRule="auto"/>
        <w:rPr>
          <w:rFonts w:hint="eastAsia" w:ascii="仿宋" w:hAnsi="仿宋" w:eastAsia="仿宋" w:cs="仿宋"/>
          <w:color w:val="auto"/>
          <w:szCs w:val="21"/>
          <w:highlight w:val="none"/>
        </w:rPr>
      </w:pPr>
    </w:p>
    <w:p>
      <w:pPr>
        <w:topLinePunct/>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成员一名称：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（盖章）</w:t>
      </w:r>
    </w:p>
    <w:p>
      <w:pPr>
        <w:topLinePunct/>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法定代表人或其委托代理人：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（签字</w:t>
      </w:r>
      <w:r>
        <w:rPr>
          <w:rFonts w:hint="eastAsia" w:ascii="仿宋" w:hAnsi="仿宋" w:eastAsia="仿宋" w:cs="仿宋"/>
          <w:color w:val="auto"/>
          <w:szCs w:val="21"/>
          <w:highlight w:val="none"/>
          <w:lang w:val="en-US" w:eastAsia="zh-CN"/>
        </w:rPr>
        <w:t>或盖章</w:t>
      </w:r>
      <w:r>
        <w:rPr>
          <w:rFonts w:hint="eastAsia" w:ascii="仿宋" w:hAnsi="仿宋" w:eastAsia="仿宋" w:cs="仿宋"/>
          <w:color w:val="auto"/>
          <w:szCs w:val="21"/>
          <w:highlight w:val="none"/>
        </w:rPr>
        <w:t>）</w:t>
      </w:r>
    </w:p>
    <w:p>
      <w:pPr>
        <w:topLinePunct/>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pPr>
        <w:topLinePunct/>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成员二名称：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（盖章）</w:t>
      </w:r>
    </w:p>
    <w:p>
      <w:pPr>
        <w:topLinePunct/>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法定代表人或其委托代理人：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（签字</w:t>
      </w:r>
      <w:r>
        <w:rPr>
          <w:rFonts w:hint="eastAsia" w:ascii="仿宋" w:hAnsi="仿宋" w:eastAsia="仿宋" w:cs="仿宋"/>
          <w:color w:val="auto"/>
          <w:szCs w:val="21"/>
          <w:highlight w:val="none"/>
          <w:lang w:val="en-US" w:eastAsia="zh-CN"/>
        </w:rPr>
        <w:t>或盖章</w:t>
      </w:r>
      <w:r>
        <w:rPr>
          <w:rFonts w:hint="eastAsia" w:ascii="仿宋" w:hAnsi="仿宋" w:eastAsia="仿宋" w:cs="仿宋"/>
          <w:color w:val="auto"/>
          <w:szCs w:val="21"/>
          <w:highlight w:val="none"/>
        </w:rPr>
        <w:t>）</w:t>
      </w:r>
    </w:p>
    <w:p>
      <w:pPr>
        <w:topLinePunct/>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pPr>
        <w:pStyle w:val="21"/>
        <w:rPr>
          <w:rFonts w:hint="eastAsia" w:ascii="仿宋" w:hAnsi="仿宋" w:eastAsia="仿宋" w:cs="仿宋"/>
          <w:color w:val="auto"/>
          <w:highlight w:val="none"/>
        </w:rPr>
      </w:pPr>
    </w:p>
    <w:p>
      <w:pPr>
        <w:spacing w:line="240" w:lineRule="auto"/>
        <w:ind w:firstLine="2879" w:firstLineChars="1371"/>
        <w:jc w:val="right"/>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pPr>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br w:type="page"/>
      </w:r>
    </w:p>
    <w:p>
      <w:pPr>
        <w:jc w:val="center"/>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30"/>
          <w:szCs w:val="30"/>
          <w:highlight w:val="none"/>
          <w:lang w:eastAsia="zh-CN"/>
        </w:rPr>
        <w:t>五、</w:t>
      </w:r>
      <w:r>
        <w:rPr>
          <w:rFonts w:hint="eastAsia" w:ascii="仿宋" w:hAnsi="仿宋" w:eastAsia="仿宋" w:cs="仿宋"/>
          <w:b/>
          <w:bCs/>
          <w:color w:val="auto"/>
          <w:kern w:val="0"/>
          <w:sz w:val="30"/>
          <w:szCs w:val="30"/>
          <w:highlight w:val="none"/>
        </w:rPr>
        <w:t>法定代表人身份证明、法定代表人授权委托书</w:t>
      </w:r>
    </w:p>
    <w:p>
      <w:pPr>
        <w:tabs>
          <w:tab w:val="left" w:pos="1813"/>
        </w:tabs>
        <w:autoSpaceDE w:val="0"/>
        <w:autoSpaceDN w:val="0"/>
        <w:adjustRightInd w:val="0"/>
        <w:spacing w:line="60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（一）法定代表人身份证明</w:t>
      </w:r>
    </w:p>
    <w:p>
      <w:pPr>
        <w:tabs>
          <w:tab w:val="left" w:pos="1813"/>
        </w:tabs>
        <w:autoSpaceDE w:val="0"/>
        <w:autoSpaceDN w:val="0"/>
        <w:adjustRightInd w:val="0"/>
        <w:spacing w:line="200" w:lineRule="exact"/>
        <w:rPr>
          <w:rFonts w:hint="eastAsia" w:ascii="仿宋" w:hAnsi="仿宋" w:eastAsia="仿宋" w:cs="仿宋"/>
          <w:color w:val="auto"/>
          <w:kern w:val="0"/>
          <w:highlight w:val="none"/>
        </w:rPr>
      </w:pP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投标单位</w:t>
      </w:r>
      <w:r>
        <w:rPr>
          <w:rFonts w:hint="eastAsia" w:ascii="仿宋" w:hAnsi="仿宋" w:eastAsia="仿宋" w:cs="仿宋"/>
          <w:color w:val="auto"/>
          <w:kern w:val="0"/>
          <w:sz w:val="24"/>
          <w:szCs w:val="24"/>
          <w:highlight w:val="none"/>
        </w:rPr>
        <w:t>名称：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单位性质：</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成立时间：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经营期限：</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姓名：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职务：</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投标单位</w:t>
      </w:r>
      <w:r>
        <w:rPr>
          <w:rFonts w:hint="eastAsia" w:ascii="仿宋" w:hAnsi="仿宋" w:eastAsia="仿宋" w:cs="仿宋"/>
          <w:color w:val="auto"/>
          <w:kern w:val="0"/>
          <w:sz w:val="24"/>
          <w:szCs w:val="24"/>
          <w:highlight w:val="none"/>
          <w:u w:val="single"/>
        </w:rPr>
        <w:t xml:space="preserve">名称）        </w:t>
      </w:r>
      <w:r>
        <w:rPr>
          <w:rFonts w:hint="eastAsia" w:ascii="仿宋" w:hAnsi="仿宋" w:eastAsia="仿宋" w:cs="仿宋"/>
          <w:color w:val="auto"/>
          <w:kern w:val="0"/>
          <w:sz w:val="24"/>
          <w:szCs w:val="24"/>
          <w:highlight w:val="none"/>
        </w:rPr>
        <w:t>的法定代表人。</w:t>
      </w:r>
    </w:p>
    <w:p>
      <w:pPr>
        <w:shd w:val="clear" w:color="auto" w:fill="FFFFFF"/>
        <w:snapToGrid w:val="0"/>
        <w:spacing w:line="360" w:lineRule="auto"/>
        <w:ind w:firstLine="960" w:firstLineChars="4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特此证明。</w:t>
      </w: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3048635</wp:posOffset>
                </wp:positionH>
                <wp:positionV relativeFrom="paragraph">
                  <wp:posOffset>121285</wp:posOffset>
                </wp:positionV>
                <wp:extent cx="2755265" cy="1774190"/>
                <wp:effectExtent l="5080" t="4445" r="20955" b="12065"/>
                <wp:wrapNone/>
                <wp:docPr id="17" name="矩形 17"/>
                <wp:cNvGraphicFramePr/>
                <a:graphic xmlns:a="http://schemas.openxmlformats.org/drawingml/2006/main">
                  <a:graphicData uri="http://schemas.microsoft.com/office/word/2010/wordprocessingShape">
                    <wps:wsp>
                      <wps:cNvSpPr/>
                      <wps:spPr>
                        <a:xfrm>
                          <a:off x="0" y="0"/>
                          <a:ext cx="2755265" cy="17741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spacing w:line="480" w:lineRule="atLeast"/>
                              <w:rPr>
                                <w:sz w:val="32"/>
                                <w:szCs w:val="40"/>
                              </w:rPr>
                            </w:pPr>
                          </w:p>
                          <w:p>
                            <w:pPr>
                              <w:jc w:val="center"/>
                            </w:pPr>
                          </w:p>
                          <w:p>
                            <w:r>
                              <w:t xml:space="preserve">          </w:t>
                            </w:r>
                            <w:r>
                              <w:rPr>
                                <w:rFonts w:hint="eastAsia"/>
                              </w:rPr>
                              <w:t>法人身份证复印件</w:t>
                            </w:r>
                            <w:r>
                              <w:rPr>
                                <w:rFonts w:hint="eastAsia"/>
                                <w:lang w:val="en-US" w:eastAsia="zh-CN"/>
                              </w:rPr>
                              <w:t xml:space="preserve">  </w:t>
                            </w:r>
                            <w:r>
                              <w:rPr>
                                <w:rFonts w:hint="eastAsia"/>
                              </w:rPr>
                              <w:t>反面</w:t>
                            </w:r>
                          </w:p>
                        </w:txbxContent>
                      </wps:txbx>
                      <wps:bodyPr upright="1"/>
                    </wps:wsp>
                  </a:graphicData>
                </a:graphic>
              </wp:anchor>
            </w:drawing>
          </mc:Choice>
          <mc:Fallback>
            <w:pict>
              <v:rect id="_x0000_s1026" o:spid="_x0000_s1026" o:spt="1" style="position:absolute;left:0pt;margin-left:240.05pt;margin-top:9.55pt;height:139.7pt;width:216.95pt;z-index:251660288;mso-width-relative:page;mso-height-relative:page;" fillcolor="#FFFFFF" filled="t" stroked="t" coordsize="21600,21600" o:gfxdata="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8xbn+dgAAAAKAQAADwAAAAAAAAABACAAAAAi&#10;AAAAZHJzL2Rvd25yZXYueG1sUEsBAhQAFAAAAAgAh07iQLhPXr4KAgAAOgQAAA4AAAAAAAAAAQAg&#10;AAAAJwEAAGRycy9lMm9Eb2MueG1sUEsFBgAAAAAGAAYAWQEAAKMFAAAAAA==&#10;">
                <v:fill on="t" focussize="0,0"/>
                <v:stroke color="#000000" joinstyle="miter"/>
                <v:imagedata o:title=""/>
                <o:lock v:ext="edit" aspectratio="f"/>
                <v:textbox>
                  <w:txbxContent>
                    <w:p>
                      <w:pPr>
                        <w:jc w:val="center"/>
                      </w:pPr>
                    </w:p>
                    <w:p>
                      <w:pPr>
                        <w:spacing w:line="480" w:lineRule="atLeast"/>
                        <w:rPr>
                          <w:sz w:val="32"/>
                          <w:szCs w:val="40"/>
                        </w:rPr>
                      </w:pPr>
                    </w:p>
                    <w:p>
                      <w:pPr>
                        <w:jc w:val="center"/>
                      </w:pPr>
                    </w:p>
                    <w:p>
                      <w:r>
                        <w:t xml:space="preserve">          </w:t>
                      </w:r>
                      <w:r>
                        <w:rPr>
                          <w:rFonts w:hint="eastAsia"/>
                        </w:rPr>
                        <w:t>法人身份证复印件</w:t>
                      </w:r>
                      <w:r>
                        <w:rPr>
                          <w:rFonts w:hint="eastAsia"/>
                          <w:lang w:val="en-US" w:eastAsia="zh-CN"/>
                        </w:rPr>
                        <w:t xml:space="preserve">  </w:t>
                      </w:r>
                      <w:r>
                        <w:rPr>
                          <w:rFonts w:hint="eastAsia"/>
                        </w:rPr>
                        <w:t>反面</w:t>
                      </w:r>
                    </w:p>
                  </w:txbxContent>
                </v:textbox>
              </v:rect>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182245</wp:posOffset>
                </wp:positionH>
                <wp:positionV relativeFrom="paragraph">
                  <wp:posOffset>123825</wp:posOffset>
                </wp:positionV>
                <wp:extent cx="2713355" cy="1781810"/>
                <wp:effectExtent l="4445" t="4445" r="6350" b="23495"/>
                <wp:wrapNone/>
                <wp:docPr id="14" name="矩形 14"/>
                <wp:cNvGraphicFramePr/>
                <a:graphic xmlns:a="http://schemas.openxmlformats.org/drawingml/2006/main">
                  <a:graphicData uri="http://schemas.microsoft.com/office/word/2010/wordprocessingShape">
                    <wps:wsp>
                      <wps:cNvSpPr/>
                      <wps:spPr>
                        <a:xfrm>
                          <a:off x="0" y="0"/>
                          <a:ext cx="2713355" cy="17818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spacing w:line="480" w:lineRule="atLeast"/>
                              <w:rPr>
                                <w:sz w:val="32"/>
                                <w:szCs w:val="40"/>
                              </w:rPr>
                            </w:pPr>
                          </w:p>
                          <w:p>
                            <w:pPr>
                              <w:jc w:val="center"/>
                            </w:pPr>
                          </w:p>
                          <w:p>
                            <w:pPr>
                              <w:ind w:firstLine="840" w:firstLineChars="400"/>
                            </w:pPr>
                            <w:r>
                              <w:rPr>
                                <w:rFonts w:hint="eastAsia"/>
                              </w:rPr>
                              <w:t>法人身份证复印件</w:t>
                            </w:r>
                            <w:r>
                              <w:rPr>
                                <w:rFonts w:hint="eastAsia"/>
                                <w:lang w:val="en-US" w:eastAsia="zh-CN"/>
                              </w:rPr>
                              <w:t xml:space="preserve">   </w:t>
                            </w:r>
                            <w:r>
                              <w:rPr>
                                <w:rFonts w:hint="eastAsia"/>
                              </w:rPr>
                              <w:t>正面</w:t>
                            </w:r>
                          </w:p>
                        </w:txbxContent>
                      </wps:txbx>
                      <wps:bodyPr upright="1"/>
                    </wps:wsp>
                  </a:graphicData>
                </a:graphic>
              </wp:anchor>
            </w:drawing>
          </mc:Choice>
          <mc:Fallback>
            <w:pict>
              <v:rect id="_x0000_s1026" o:spid="_x0000_s1026" o:spt="1" style="position:absolute;left:0pt;margin-left:14.35pt;margin-top:9.75pt;height:140.3pt;width:213.65pt;z-index:251659264;mso-width-relative:page;mso-height-relative:page;" fillcolor="#FFFFFF" filled="t" stroked="t" coordsize="21600,21600" o:gfxdata="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5Zl9tgAAAAJAQAADwAAAAAAAAABACAAAAAi&#10;AAAAZHJzL2Rvd25yZXYueG1sUEsBAhQAFAAAAAgAh07iQCxB32oKAgAAOgQAAA4AAAAAAAAAAQAg&#10;AAAAJwEAAGRycy9lMm9Eb2MueG1sUEsFBgAAAAAGAAYAWQEAAKMFAAAAAA==&#10;">
                <v:fill on="t" focussize="0,0"/>
                <v:stroke color="#000000" joinstyle="miter"/>
                <v:imagedata o:title=""/>
                <o:lock v:ext="edit" aspectratio="f"/>
                <v:textbox>
                  <w:txbxContent>
                    <w:p>
                      <w:pPr>
                        <w:jc w:val="center"/>
                      </w:pPr>
                    </w:p>
                    <w:p>
                      <w:pPr>
                        <w:spacing w:line="480" w:lineRule="atLeast"/>
                        <w:rPr>
                          <w:sz w:val="32"/>
                          <w:szCs w:val="40"/>
                        </w:rPr>
                      </w:pPr>
                    </w:p>
                    <w:p>
                      <w:pPr>
                        <w:jc w:val="center"/>
                      </w:pPr>
                    </w:p>
                    <w:p>
                      <w:pPr>
                        <w:ind w:firstLine="840" w:firstLineChars="400"/>
                      </w:pPr>
                      <w:r>
                        <w:rPr>
                          <w:rFonts w:hint="eastAsia"/>
                        </w:rPr>
                        <w:t>法人身份证复印件</w:t>
                      </w:r>
                      <w:r>
                        <w:rPr>
                          <w:rFonts w:hint="eastAsia"/>
                          <w:lang w:val="en-US" w:eastAsia="zh-CN"/>
                        </w:rPr>
                        <w:t xml:space="preserve">   </w:t>
                      </w:r>
                      <w:r>
                        <w:rPr>
                          <w:rFonts w:hint="eastAsia"/>
                        </w:rPr>
                        <w:t>正面</w:t>
                      </w:r>
                    </w:p>
                  </w:txbxContent>
                </v:textbox>
              </v:rect>
            </w:pict>
          </mc:Fallback>
        </mc:AlternateContent>
      </w: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p>
    <w:p>
      <w:pPr>
        <w:shd w:val="clear" w:color="auto" w:fill="FFFFFF"/>
        <w:snapToGrid w:val="0"/>
        <w:spacing w:line="360" w:lineRule="auto"/>
        <w:ind w:firstLine="4800" w:firstLineChars="2000"/>
        <w:rPr>
          <w:rFonts w:hint="eastAsia" w:ascii="仿宋" w:hAnsi="仿宋" w:eastAsia="仿宋" w:cs="仿宋"/>
          <w:color w:val="auto"/>
          <w:kern w:val="0"/>
          <w:sz w:val="24"/>
          <w:szCs w:val="24"/>
          <w:highlight w:val="none"/>
        </w:rPr>
      </w:pPr>
    </w:p>
    <w:p>
      <w:pPr>
        <w:shd w:val="clear" w:color="auto" w:fill="FFFFFF"/>
        <w:snapToGrid w:val="0"/>
        <w:spacing w:line="360" w:lineRule="auto"/>
        <w:ind w:firstLine="4800" w:firstLineChars="2000"/>
        <w:rPr>
          <w:rFonts w:hint="eastAsia" w:ascii="仿宋" w:hAnsi="仿宋" w:eastAsia="仿宋" w:cs="仿宋"/>
          <w:color w:val="auto"/>
          <w:kern w:val="0"/>
          <w:sz w:val="24"/>
          <w:szCs w:val="24"/>
          <w:highlight w:val="none"/>
        </w:rPr>
      </w:pPr>
    </w:p>
    <w:p>
      <w:pPr>
        <w:shd w:val="clear" w:color="auto" w:fill="FFFFFF"/>
        <w:snapToGrid w:val="0"/>
        <w:spacing w:line="360" w:lineRule="auto"/>
        <w:ind w:firstLine="4800" w:firstLineChars="2000"/>
        <w:rPr>
          <w:rFonts w:hint="eastAsia" w:ascii="仿宋" w:hAnsi="仿宋" w:eastAsia="仿宋" w:cs="仿宋"/>
          <w:color w:val="auto"/>
          <w:kern w:val="0"/>
          <w:sz w:val="24"/>
          <w:szCs w:val="24"/>
          <w:highlight w:val="none"/>
        </w:rPr>
      </w:pPr>
    </w:p>
    <w:p>
      <w:pPr>
        <w:shd w:val="clear" w:color="auto" w:fill="FFFFFF"/>
        <w:snapToGrid w:val="0"/>
        <w:spacing w:line="360" w:lineRule="auto"/>
        <w:ind w:firstLine="4800" w:firstLineChars="2000"/>
        <w:rPr>
          <w:rFonts w:hint="eastAsia" w:ascii="仿宋" w:hAnsi="仿宋" w:eastAsia="仿宋" w:cs="仿宋"/>
          <w:color w:val="auto"/>
          <w:kern w:val="0"/>
          <w:sz w:val="24"/>
          <w:szCs w:val="24"/>
          <w:highlight w:val="none"/>
        </w:rPr>
      </w:pPr>
    </w:p>
    <w:p>
      <w:pPr>
        <w:shd w:val="clear" w:color="auto" w:fill="FFFFFF"/>
        <w:snapToGrid w:val="0"/>
        <w:spacing w:line="360" w:lineRule="auto"/>
        <w:ind w:firstLine="4800" w:firstLineChars="2000"/>
        <w:rPr>
          <w:rFonts w:hint="eastAsia" w:ascii="仿宋" w:hAnsi="仿宋" w:eastAsia="仿宋" w:cs="仿宋"/>
          <w:color w:val="auto"/>
          <w:kern w:val="0"/>
          <w:sz w:val="24"/>
          <w:szCs w:val="24"/>
          <w:highlight w:val="none"/>
        </w:rPr>
      </w:pPr>
    </w:p>
    <w:p>
      <w:pPr>
        <w:shd w:val="clear" w:color="auto" w:fill="FFFFFF"/>
        <w:snapToGrid w:val="0"/>
        <w:spacing w:line="360" w:lineRule="auto"/>
        <w:rPr>
          <w:rFonts w:hint="eastAsia" w:ascii="仿宋" w:hAnsi="仿宋" w:eastAsia="仿宋" w:cs="仿宋"/>
          <w:color w:val="auto"/>
          <w:kern w:val="0"/>
          <w:sz w:val="24"/>
          <w:szCs w:val="24"/>
          <w:highlight w:val="none"/>
        </w:rPr>
      </w:pPr>
    </w:p>
    <w:p>
      <w:pPr>
        <w:shd w:val="clear" w:color="auto" w:fill="FFFFFF"/>
        <w:snapToGrid w:val="0"/>
        <w:spacing w:line="360" w:lineRule="auto"/>
        <w:ind w:firstLine="4800" w:firstLineChars="2000"/>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投标单位名称（单位公章）：                         </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pPr>
        <w:tabs>
          <w:tab w:val="left" w:pos="1813"/>
        </w:tabs>
        <w:autoSpaceDE w:val="0"/>
        <w:autoSpaceDN w:val="0"/>
        <w:adjustRightInd w:val="0"/>
        <w:spacing w:line="480" w:lineRule="auto"/>
        <w:ind w:firstLine="7560" w:firstLineChars="2700"/>
        <w:rPr>
          <w:rFonts w:hint="eastAsia" w:ascii="仿宋" w:hAnsi="仿宋" w:eastAsia="仿宋" w:cs="仿宋"/>
          <w:color w:val="auto"/>
          <w:kern w:val="0"/>
          <w:sz w:val="28"/>
          <w:szCs w:val="28"/>
          <w:highlight w:val="none"/>
        </w:rPr>
      </w:pPr>
    </w:p>
    <w:p>
      <w:pPr>
        <w:tabs>
          <w:tab w:val="left" w:pos="1813"/>
        </w:tabs>
        <w:autoSpaceDE w:val="0"/>
        <w:autoSpaceDN w:val="0"/>
        <w:adjustRightInd w:val="0"/>
        <w:spacing w:line="480" w:lineRule="auto"/>
        <w:ind w:firstLine="7560" w:firstLineChars="2700"/>
        <w:rPr>
          <w:rFonts w:hint="eastAsia" w:ascii="仿宋" w:hAnsi="仿宋" w:eastAsia="仿宋" w:cs="仿宋"/>
          <w:color w:val="auto"/>
          <w:kern w:val="0"/>
          <w:sz w:val="28"/>
          <w:szCs w:val="28"/>
          <w:highlight w:val="none"/>
        </w:rPr>
      </w:pPr>
    </w:p>
    <w:p>
      <w:pPr>
        <w:tabs>
          <w:tab w:val="left" w:pos="1813"/>
        </w:tabs>
        <w:autoSpaceDE w:val="0"/>
        <w:autoSpaceDN w:val="0"/>
        <w:adjustRightInd w:val="0"/>
        <w:spacing w:line="480" w:lineRule="auto"/>
        <w:ind w:firstLine="7560" w:firstLineChars="2700"/>
        <w:rPr>
          <w:rFonts w:hint="eastAsia" w:ascii="仿宋" w:hAnsi="仿宋" w:eastAsia="仿宋" w:cs="仿宋"/>
          <w:color w:val="auto"/>
          <w:kern w:val="0"/>
          <w:sz w:val="28"/>
          <w:szCs w:val="28"/>
          <w:highlight w:val="none"/>
        </w:rPr>
      </w:pPr>
    </w:p>
    <w:p>
      <w:pPr>
        <w:tabs>
          <w:tab w:val="left" w:pos="1813"/>
        </w:tabs>
        <w:autoSpaceDE w:val="0"/>
        <w:autoSpaceDN w:val="0"/>
        <w:adjustRightInd w:val="0"/>
        <w:spacing w:line="480" w:lineRule="auto"/>
        <w:ind w:firstLine="7560" w:firstLineChars="27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p>
    <w:bookmarkEnd w:id="238"/>
    <w:bookmarkEnd w:id="239"/>
    <w:p>
      <w:pPr>
        <w:tabs>
          <w:tab w:val="left" w:pos="1813"/>
        </w:tabs>
        <w:autoSpaceDE w:val="0"/>
        <w:autoSpaceDN w:val="0"/>
        <w:adjustRightInd w:val="0"/>
        <w:spacing w:line="480" w:lineRule="auto"/>
        <w:jc w:val="both"/>
        <w:rPr>
          <w:rFonts w:hint="eastAsia" w:ascii="仿宋" w:hAnsi="仿宋" w:eastAsia="仿宋" w:cs="仿宋"/>
          <w:color w:val="auto"/>
          <w:kern w:val="0"/>
          <w:sz w:val="28"/>
          <w:szCs w:val="28"/>
          <w:highlight w:val="none"/>
        </w:rPr>
      </w:pPr>
    </w:p>
    <w:p>
      <w:pPr>
        <w:numPr>
          <w:ilvl w:val="0"/>
          <w:numId w:val="15"/>
        </w:numPr>
        <w:tabs>
          <w:tab w:val="left" w:pos="1813"/>
        </w:tabs>
        <w:autoSpaceDE w:val="0"/>
        <w:autoSpaceDN w:val="0"/>
        <w:adjustRightInd w:val="0"/>
        <w:spacing w:line="480" w:lineRule="auto"/>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法定代表人授权委托书</w:t>
      </w:r>
    </w:p>
    <w:p>
      <w:pPr>
        <w:pStyle w:val="19"/>
        <w:numPr>
          <w:ilvl w:val="0"/>
          <w:numId w:val="0"/>
        </w:numPr>
        <w:tabs>
          <w:tab w:val="left" w:pos="9214"/>
        </w:tabs>
        <w:ind w:right="-58" w:rightChars="0"/>
        <w:rPr>
          <w:rFonts w:hint="eastAsia" w:ascii="仿宋" w:hAnsi="仿宋" w:eastAsia="仿宋" w:cs="仿宋"/>
          <w:color w:val="auto"/>
          <w:highlight w:val="none"/>
        </w:rPr>
      </w:pP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致：         发包人名称        ：</w:t>
      </w:r>
    </w:p>
    <w:p>
      <w:pPr>
        <w:pStyle w:val="24"/>
        <w:snapToGrid w:val="0"/>
        <w:spacing w:line="400" w:lineRule="exact"/>
        <w:ind w:firstLine="480" w:firstLineChars="200"/>
        <w:rPr>
          <w:rFonts w:hint="eastAsia" w:ascii="仿宋" w:hAnsi="仿宋" w:eastAsia="仿宋" w:cs="仿宋"/>
          <w:color w:val="auto"/>
          <w:sz w:val="24"/>
          <w:szCs w:val="24"/>
          <w:highlight w:val="none"/>
        </w:rPr>
      </w:pPr>
    </w:p>
    <w:p>
      <w:pPr>
        <w:spacing w:line="400" w:lineRule="exact"/>
        <w:ind w:firstLine="480" w:firstLineChars="200"/>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本人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投标单位</w:t>
      </w:r>
      <w:r>
        <w:rPr>
          <w:rFonts w:hint="eastAsia" w:ascii="仿宋" w:hAnsi="仿宋" w:eastAsia="仿宋" w:cs="仿宋"/>
          <w:color w:val="auto"/>
          <w:sz w:val="24"/>
          <w:szCs w:val="24"/>
          <w:highlight w:val="none"/>
          <w:u w:val="single"/>
        </w:rPr>
        <w:t xml:space="preserve">全称）        </w:t>
      </w:r>
      <w:r>
        <w:rPr>
          <w:rFonts w:hint="eastAsia" w:ascii="仿宋" w:hAnsi="仿宋" w:eastAsia="仿宋" w:cs="仿宋"/>
          <w:color w:val="auto"/>
          <w:sz w:val="24"/>
          <w:szCs w:val="24"/>
          <w:highlight w:val="none"/>
          <w:u w:val="none"/>
        </w:rPr>
        <w:t xml:space="preserve">的法定代表人授权我公司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投标单位</w:t>
      </w:r>
      <w:r>
        <w:rPr>
          <w:rFonts w:hint="eastAsia" w:ascii="仿宋" w:hAnsi="仿宋" w:eastAsia="仿宋" w:cs="仿宋"/>
          <w:color w:val="auto"/>
          <w:sz w:val="24"/>
          <w:szCs w:val="24"/>
          <w:highlight w:val="none"/>
          <w:u w:val="single"/>
        </w:rPr>
        <w:t xml:space="preserve">代表姓名）  </w:t>
      </w:r>
      <w:r>
        <w:rPr>
          <w:rFonts w:hint="eastAsia" w:ascii="仿宋" w:hAnsi="仿宋" w:eastAsia="仿宋" w:cs="仿宋"/>
          <w:color w:val="auto"/>
          <w:sz w:val="24"/>
          <w:szCs w:val="24"/>
          <w:highlight w:val="none"/>
          <w:u w:val="none"/>
        </w:rPr>
        <w:t>为</w:t>
      </w:r>
      <w:r>
        <w:rPr>
          <w:rFonts w:hint="eastAsia" w:ascii="仿宋" w:hAnsi="仿宋" w:eastAsia="仿宋" w:cs="仿宋"/>
          <w:color w:val="auto"/>
          <w:sz w:val="24"/>
          <w:szCs w:val="24"/>
          <w:highlight w:val="none"/>
          <w:u w:val="none"/>
          <w:lang w:val="en-US" w:eastAsia="zh-CN"/>
        </w:rPr>
        <w:t>投标单位</w:t>
      </w:r>
      <w:r>
        <w:rPr>
          <w:rFonts w:hint="eastAsia" w:ascii="仿宋" w:hAnsi="仿宋" w:eastAsia="仿宋" w:cs="仿宋"/>
          <w:color w:val="auto"/>
          <w:sz w:val="24"/>
          <w:szCs w:val="24"/>
          <w:highlight w:val="none"/>
          <w:u w:val="none"/>
        </w:rPr>
        <w:t>代表，代表本公司参加贵司组织的</w:t>
      </w:r>
      <w:r>
        <w:rPr>
          <w:rFonts w:hint="eastAsia" w:ascii="仿宋" w:hAnsi="仿宋" w:eastAsia="仿宋" w:cs="仿宋"/>
          <w:color w:val="auto"/>
          <w:sz w:val="24"/>
          <w:szCs w:val="24"/>
          <w:highlight w:val="none"/>
          <w:u w:val="single"/>
        </w:rPr>
        <w:t xml:space="preserve">    项目名称、招标编号    ）</w:t>
      </w:r>
      <w:r>
        <w:rPr>
          <w:rFonts w:hint="eastAsia" w:ascii="仿宋" w:hAnsi="仿宋" w:eastAsia="仿宋" w:cs="仿宋"/>
          <w:color w:val="auto"/>
          <w:sz w:val="24"/>
          <w:szCs w:val="24"/>
          <w:highlight w:val="none"/>
          <w:u w:val="none"/>
          <w:lang w:val="en-US" w:eastAsia="zh-CN"/>
        </w:rPr>
        <w:t>招标</w:t>
      </w:r>
      <w:r>
        <w:rPr>
          <w:rFonts w:hint="eastAsia" w:ascii="仿宋" w:hAnsi="仿宋" w:eastAsia="仿宋" w:cs="仿宋"/>
          <w:color w:val="auto"/>
          <w:sz w:val="24"/>
          <w:szCs w:val="24"/>
          <w:highlight w:val="none"/>
          <w:u w:val="none"/>
        </w:rPr>
        <w:t>活动，全权代表本公司处理</w:t>
      </w:r>
      <w:r>
        <w:rPr>
          <w:rFonts w:hint="eastAsia" w:ascii="仿宋" w:hAnsi="仿宋" w:eastAsia="仿宋" w:cs="仿宋"/>
          <w:color w:val="auto"/>
          <w:sz w:val="24"/>
          <w:szCs w:val="24"/>
          <w:highlight w:val="none"/>
          <w:u w:val="none"/>
          <w:lang w:val="en-US" w:eastAsia="zh-CN"/>
        </w:rPr>
        <w:t>招标</w:t>
      </w:r>
      <w:r>
        <w:rPr>
          <w:rFonts w:hint="eastAsia" w:ascii="仿宋" w:hAnsi="仿宋" w:eastAsia="仿宋" w:cs="仿宋"/>
          <w:color w:val="auto"/>
          <w:sz w:val="24"/>
          <w:szCs w:val="24"/>
          <w:highlight w:val="none"/>
          <w:u w:val="none"/>
        </w:rPr>
        <w:t>的一切事宜，包括但不限于：投标、参与开标、谈判、签约等。</w:t>
      </w:r>
      <w:r>
        <w:rPr>
          <w:rFonts w:hint="eastAsia" w:ascii="仿宋" w:hAnsi="仿宋" w:eastAsia="仿宋" w:cs="仿宋"/>
          <w:color w:val="auto"/>
          <w:sz w:val="24"/>
          <w:szCs w:val="24"/>
          <w:highlight w:val="none"/>
          <w:u w:val="none"/>
          <w:lang w:val="en-US" w:eastAsia="zh-CN"/>
        </w:rPr>
        <w:t>投标单位</w:t>
      </w:r>
      <w:r>
        <w:rPr>
          <w:rFonts w:hint="eastAsia" w:ascii="仿宋" w:hAnsi="仿宋" w:eastAsia="仿宋" w:cs="仿宋"/>
          <w:color w:val="auto"/>
          <w:sz w:val="24"/>
          <w:szCs w:val="24"/>
          <w:highlight w:val="none"/>
          <w:u w:val="none"/>
        </w:rPr>
        <w:t>代表在</w:t>
      </w:r>
      <w:r>
        <w:rPr>
          <w:rFonts w:hint="eastAsia" w:ascii="仿宋" w:hAnsi="仿宋" w:eastAsia="仿宋" w:cs="仿宋"/>
          <w:color w:val="auto"/>
          <w:sz w:val="24"/>
          <w:szCs w:val="24"/>
          <w:highlight w:val="none"/>
          <w:u w:val="none"/>
          <w:lang w:val="en-US" w:eastAsia="zh-CN"/>
        </w:rPr>
        <w:t>投标</w:t>
      </w:r>
      <w:r>
        <w:rPr>
          <w:rFonts w:hint="eastAsia" w:ascii="仿宋" w:hAnsi="仿宋" w:eastAsia="仿宋" w:cs="仿宋"/>
          <w:color w:val="auto"/>
          <w:sz w:val="24"/>
          <w:szCs w:val="24"/>
          <w:highlight w:val="none"/>
          <w:u w:val="none"/>
        </w:rPr>
        <w:t>过程中所签署的一切文件和处理与之有关的一切事务，本公司均予以认可并对此承担责任。</w:t>
      </w:r>
      <w:r>
        <w:rPr>
          <w:rFonts w:hint="eastAsia" w:ascii="仿宋" w:hAnsi="仿宋" w:eastAsia="仿宋" w:cs="仿宋"/>
          <w:color w:val="auto"/>
          <w:sz w:val="24"/>
          <w:szCs w:val="24"/>
          <w:highlight w:val="none"/>
          <w:u w:val="none"/>
          <w:lang w:eastAsia="zh-CN"/>
        </w:rPr>
        <w:t>投标人</w:t>
      </w:r>
      <w:r>
        <w:rPr>
          <w:rFonts w:hint="eastAsia" w:ascii="仿宋" w:hAnsi="仿宋" w:eastAsia="仿宋" w:cs="仿宋"/>
          <w:color w:val="auto"/>
          <w:sz w:val="24"/>
          <w:szCs w:val="24"/>
          <w:highlight w:val="none"/>
          <w:u w:val="none"/>
        </w:rPr>
        <w:t>代表无转委托权。特此授权。</w:t>
      </w:r>
    </w:p>
    <w:p>
      <w:pPr>
        <w:spacing w:line="400" w:lineRule="exact"/>
        <w:ind w:firstLine="480" w:firstLineChars="200"/>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本授权书自出具之日起生效。</w:t>
      </w:r>
    </w:p>
    <w:p>
      <w:pPr>
        <w:ind w:left="12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3217545</wp:posOffset>
                </wp:positionH>
                <wp:positionV relativeFrom="paragraph">
                  <wp:posOffset>19050</wp:posOffset>
                </wp:positionV>
                <wp:extent cx="2290445" cy="1324610"/>
                <wp:effectExtent l="4445" t="4445" r="10160" b="23495"/>
                <wp:wrapNone/>
                <wp:docPr id="15" name="矩形 15"/>
                <wp:cNvGraphicFramePr/>
                <a:graphic xmlns:a="http://schemas.openxmlformats.org/drawingml/2006/main">
                  <a:graphicData uri="http://schemas.microsoft.com/office/word/2010/wordprocessingShape">
                    <wps:wsp>
                      <wps:cNvSpPr/>
                      <wps:spPr>
                        <a:xfrm>
                          <a:off x="0" y="0"/>
                          <a:ext cx="2290445" cy="13246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p>
                          <w:p>
                            <w:pPr>
                              <w:rPr>
                                <w:rFonts w:hint="eastAsia"/>
                              </w:rPr>
                            </w:pPr>
                          </w:p>
                          <w:p>
                            <w:pPr>
                              <w:rPr>
                                <w:rFonts w:hint="eastAsia"/>
                              </w:rPr>
                            </w:pPr>
                          </w:p>
                          <w:p>
                            <w:pPr>
                              <w:jc w:val="center"/>
                              <w:rPr>
                                <w:rFonts w:hint="eastAsia"/>
                              </w:rPr>
                            </w:pPr>
                            <w:r>
                              <w:rPr>
                                <w:rFonts w:hint="eastAsia"/>
                              </w:rPr>
                              <w:t>授权代表身份证复印件正面</w:t>
                            </w:r>
                          </w:p>
                        </w:txbxContent>
                      </wps:txbx>
                      <wps:bodyPr upright="1"/>
                    </wps:wsp>
                  </a:graphicData>
                </a:graphic>
              </wp:anchor>
            </w:drawing>
          </mc:Choice>
          <mc:Fallback>
            <w:pict>
              <v:rect id="_x0000_s1026" o:spid="_x0000_s1026" o:spt="1" style="position:absolute;left:0pt;margin-left:253.35pt;margin-top:1.5pt;height:104.3pt;width:180.35pt;z-index:251662336;mso-width-relative:page;mso-height-relative:page;" fillcolor="#FFFFFF" filled="t" stroked="t" coordsize="21600,21600" o:gfxdata="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4eAf2AAAAAkBAAAPAAAAAAAAAAEAIAAAACIA&#10;AABkcnMvZG93bnJldi54bWxQSwECFAAUAAAACACHTuJAlPJz7wkCAAA6BAAADgAAAAAAAAABACAA&#10;AAAnAQAAZHJzL2Uyb0RvYy54bWxQSwUGAAAAAAYABgBZAQAAogU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jc w:val="center"/>
                        <w:rPr>
                          <w:rFonts w:hint="eastAsia"/>
                        </w:rPr>
                      </w:pPr>
                      <w:r>
                        <w:rPr>
                          <w:rFonts w:hint="eastAsia"/>
                        </w:rPr>
                        <w:t>授权代表身份证复印件正面</w:t>
                      </w:r>
                    </w:p>
                  </w:txbxContent>
                </v:textbox>
              </v:rect>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50800</wp:posOffset>
                </wp:positionV>
                <wp:extent cx="2540000" cy="1311910"/>
                <wp:effectExtent l="5080" t="4445" r="7620" b="17145"/>
                <wp:wrapNone/>
                <wp:docPr id="12" name="矩形 12"/>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p>
                          <w:p>
                            <w:pPr>
                              <w:rPr>
                                <w:rFonts w:hint="eastAsia"/>
                              </w:rPr>
                            </w:pPr>
                          </w:p>
                          <w:p>
                            <w:pPr>
                              <w:jc w:val="center"/>
                              <w:rPr>
                                <w:rFonts w:hint="eastAsia"/>
                              </w:rPr>
                            </w:pPr>
                          </w:p>
                          <w:p>
                            <w:pPr>
                              <w:rPr>
                                <w:rFonts w:hint="eastAsia"/>
                              </w:rPr>
                            </w:pPr>
                            <w:r>
                              <w:rPr>
                                <w:rFonts w:hint="eastAsia"/>
                              </w:rPr>
                              <w:t xml:space="preserve">         法人身份证复印件正面</w:t>
                            </w:r>
                          </w:p>
                        </w:txbxContent>
                      </wps:txbx>
                      <wps:bodyPr upright="1"/>
                    </wps:wsp>
                  </a:graphicData>
                </a:graphic>
              </wp:anchor>
            </w:drawing>
          </mc:Choice>
          <mc:Fallback>
            <w:pict>
              <v:rect id="_x0000_s1026" o:spid="_x0000_s1026" o:spt="1" style="position:absolute;left:0pt;margin-left:4.85pt;margin-top:4pt;height:103.3pt;width:200pt;z-index:251661312;mso-width-relative:page;mso-height-relative:page;" fillcolor="#FFFFFF" filled="t" stroked="t" coordsize="21600,21600" o:gfxdata="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&#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nXAttUAAAAHAQAADwAAAAAAAAABACAAAAAiAAAA&#10;ZHJzL2Rvd25yZXYueG1sUEsBAhQAFAAAAAgAh07iQNxYsTcKAgAAOgQAAA4AAAAAAAAAAQAgAAAA&#10;JAEAAGRycy9lMm9Eb2MueG1sUEsFBgAAAAAGAAYAWQEAAKAFAAAAAA==&#10;">
                <v:fill on="t" focussize="0,0"/>
                <v:stroke color="#000000" joinstyle="miter"/>
                <v:imagedata o:title=""/>
                <o:lock v:ext="edit" aspectratio="f"/>
                <v:textbox>
                  <w:txbxContent>
                    <w:p>
                      <w:pPr>
                        <w:rPr>
                          <w:rFonts w:hint="eastAsia"/>
                        </w:rPr>
                      </w:pPr>
                    </w:p>
                    <w:p>
                      <w:pPr>
                        <w:rPr>
                          <w:rFonts w:hint="eastAsia"/>
                        </w:rPr>
                      </w:pPr>
                    </w:p>
                    <w:p>
                      <w:pPr>
                        <w:jc w:val="center"/>
                        <w:rPr>
                          <w:rFonts w:hint="eastAsia"/>
                        </w:rPr>
                      </w:pPr>
                    </w:p>
                    <w:p>
                      <w:pPr>
                        <w:rPr>
                          <w:rFonts w:hint="eastAsia"/>
                        </w:rPr>
                      </w:pPr>
                      <w:r>
                        <w:rPr>
                          <w:rFonts w:hint="eastAsia"/>
                        </w:rPr>
                        <w:t xml:space="preserve">         法人身份证复印件正面</w:t>
                      </w:r>
                    </w:p>
                  </w:txbxContent>
                </v:textbox>
              </v:rect>
            </w:pict>
          </mc:Fallback>
        </mc:AlternateContent>
      </w: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61595</wp:posOffset>
                </wp:positionH>
                <wp:positionV relativeFrom="paragraph">
                  <wp:posOffset>132715</wp:posOffset>
                </wp:positionV>
                <wp:extent cx="2540000" cy="1311910"/>
                <wp:effectExtent l="5080" t="4445" r="7620" b="17145"/>
                <wp:wrapNone/>
                <wp:docPr id="16" name="矩形 16"/>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p>
                          <w:p>
                            <w:pPr>
                              <w:jc w:val="center"/>
                              <w:rPr>
                                <w:rFonts w:hint="eastAsia"/>
                              </w:rPr>
                            </w:pPr>
                          </w:p>
                          <w:p>
                            <w:pPr>
                              <w:rPr>
                                <w:rFonts w:hint="eastAsia"/>
                              </w:rPr>
                            </w:pPr>
                          </w:p>
                          <w:p>
                            <w:pPr>
                              <w:rPr>
                                <w:rFonts w:hint="eastAsia"/>
                              </w:rPr>
                            </w:pPr>
                            <w:r>
                              <w:rPr>
                                <w:rFonts w:hint="eastAsia"/>
                              </w:rPr>
                              <w:t xml:space="preserve">         法人身份证复印件反面</w:t>
                            </w:r>
                          </w:p>
                        </w:txbxContent>
                      </wps:txbx>
                      <wps:bodyPr upright="1"/>
                    </wps:wsp>
                  </a:graphicData>
                </a:graphic>
              </wp:anchor>
            </w:drawing>
          </mc:Choice>
          <mc:Fallback>
            <w:pict>
              <v:rect id="_x0000_s1026" o:spid="_x0000_s1026" o:spt="1" style="position:absolute;left:0pt;margin-left:4.85pt;margin-top:10.45pt;height:103.3pt;width:200pt;z-index:251663360;mso-width-relative:page;mso-height-relative:page;" fillcolor="#FFFFFF" filled="t" stroked="t" coordsize="21600,21600" o:gfxdata="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MQITnWAAAACAEAAA8AAAAAAAAAAQAgAAAAIgAA&#10;AGRycy9kb3ducmV2LnhtbFBLAQIUABQAAAAIAIdO4kC51V3SCgIAADoEAAAOAAAAAAAAAAEAIAAA&#10;ACUBAABkcnMvZTJvRG9jLnhtbFBLBQYAAAAABgAGAFkBAAChBQAAAAA=&#10;">
                <v:fill on="t" focussize="0,0"/>
                <v:stroke color="#000000" joinstyle="miter"/>
                <v:imagedata o:title=""/>
                <o:lock v:ext="edit" aspectratio="f"/>
                <v:textbox>
                  <w:txbxContent>
                    <w:p>
                      <w:pPr>
                        <w:jc w:val="center"/>
                        <w:rPr>
                          <w:rFonts w:hint="eastAsia"/>
                        </w:rPr>
                      </w:pPr>
                    </w:p>
                    <w:p>
                      <w:pPr>
                        <w:jc w:val="center"/>
                        <w:rPr>
                          <w:rFonts w:hint="eastAsia"/>
                        </w:rPr>
                      </w:pPr>
                    </w:p>
                    <w:p>
                      <w:pPr>
                        <w:rPr>
                          <w:rFonts w:hint="eastAsia"/>
                        </w:rPr>
                      </w:pPr>
                    </w:p>
                    <w:p>
                      <w:pPr>
                        <w:rPr>
                          <w:rFonts w:hint="eastAsia"/>
                        </w:rPr>
                      </w:pPr>
                      <w:r>
                        <w:rPr>
                          <w:rFonts w:hint="eastAsia"/>
                        </w:rPr>
                        <w:t xml:space="preserve">         法人身份证复印件反面</w:t>
                      </w:r>
                    </w:p>
                  </w:txbxContent>
                </v:textbox>
              </v:rect>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3204845</wp:posOffset>
                </wp:positionH>
                <wp:positionV relativeFrom="paragraph">
                  <wp:posOffset>100965</wp:posOffset>
                </wp:positionV>
                <wp:extent cx="2316480" cy="1311910"/>
                <wp:effectExtent l="4445" t="4445" r="22225" b="17145"/>
                <wp:wrapNone/>
                <wp:docPr id="18" name="矩形 18"/>
                <wp:cNvGraphicFramePr/>
                <a:graphic xmlns:a="http://schemas.openxmlformats.org/drawingml/2006/main">
                  <a:graphicData uri="http://schemas.microsoft.com/office/word/2010/wordprocessingShape">
                    <wps:wsp>
                      <wps:cNvSpPr/>
                      <wps:spPr>
                        <a:xfrm>
                          <a:off x="0" y="0"/>
                          <a:ext cx="2316480" cy="13119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p>
                          <w:p>
                            <w:pPr>
                              <w:jc w:val="center"/>
                              <w:rPr>
                                <w:rFonts w:hint="eastAsia"/>
                              </w:rPr>
                            </w:pPr>
                          </w:p>
                          <w:p>
                            <w:pPr>
                              <w:rPr>
                                <w:rFonts w:hint="eastAsia"/>
                              </w:rPr>
                            </w:pPr>
                          </w:p>
                          <w:p>
                            <w:pPr>
                              <w:rPr>
                                <w:rFonts w:hint="eastAsia"/>
                              </w:rPr>
                            </w:pPr>
                            <w:r>
                              <w:rPr>
                                <w:rFonts w:hint="eastAsia"/>
                              </w:rPr>
                              <w:t xml:space="preserve">    授权代表身份证复印件反面</w:t>
                            </w:r>
                          </w:p>
                        </w:txbxContent>
                      </wps:txbx>
                      <wps:bodyPr upright="1"/>
                    </wps:wsp>
                  </a:graphicData>
                </a:graphic>
              </wp:anchor>
            </w:drawing>
          </mc:Choice>
          <mc:Fallback>
            <w:pict>
              <v:rect id="_x0000_s1026" o:spid="_x0000_s1026" o:spt="1" style="position:absolute;left:0pt;margin-left:252.35pt;margin-top:7.95pt;height:103.3pt;width:182.4pt;z-index:251664384;mso-width-relative:page;mso-height-relative:page;" fillcolor="#FFFFFF" filled="t" stroked="t" coordsize="21600,21600" o:gfxdata="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Y8hfdgAAAAKAQAADwAAAAAAAAABACAAAAAi&#10;AAAAZHJzL2Rvd25yZXYueG1sUEsBAhQAFAAAAAgAh07iQPaUROEKAgAAOgQAAA4AAAAAAAAAAQAg&#10;AAAAJwEAAGRycy9lMm9Eb2MueG1sUEsFBgAAAAAGAAYAWQEAAKMFAAAAAA==&#10;">
                <v:fill on="t" focussize="0,0"/>
                <v:stroke color="#000000" joinstyle="miter"/>
                <v:imagedata o:title=""/>
                <o:lock v:ext="edit" aspectratio="f"/>
                <v:textbox>
                  <w:txbxContent>
                    <w:p>
                      <w:pPr>
                        <w:jc w:val="center"/>
                        <w:rPr>
                          <w:rFonts w:hint="eastAsia"/>
                        </w:rPr>
                      </w:pPr>
                    </w:p>
                    <w:p>
                      <w:pPr>
                        <w:jc w:val="center"/>
                        <w:rPr>
                          <w:rFonts w:hint="eastAsia"/>
                        </w:rPr>
                      </w:pPr>
                    </w:p>
                    <w:p>
                      <w:pPr>
                        <w:rPr>
                          <w:rFonts w:hint="eastAsia"/>
                        </w:rPr>
                      </w:pPr>
                    </w:p>
                    <w:p>
                      <w:pPr>
                        <w:rPr>
                          <w:rFonts w:hint="eastAsia"/>
                        </w:rPr>
                      </w:pPr>
                      <w:r>
                        <w:rPr>
                          <w:rFonts w:hint="eastAsia"/>
                        </w:rPr>
                        <w:t xml:space="preserve">    授权代表身份证复印件反面</w:t>
                      </w:r>
                    </w:p>
                  </w:txbxContent>
                </v:textbox>
              </v:rect>
            </w:pict>
          </mc:Fallback>
        </mc:AlternateContent>
      </w: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2699"/>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代理人：</w:t>
      </w:r>
      <w:r>
        <w:rPr>
          <w:rFonts w:hint="eastAsia" w:ascii="仿宋" w:hAnsi="仿宋" w:eastAsia="仿宋" w:cs="仿宋"/>
          <w:color w:val="auto"/>
          <w:sz w:val="24"/>
          <w:szCs w:val="24"/>
          <w:highlight w:val="none"/>
          <w:u w:val="single"/>
        </w:rPr>
        <w:t xml:space="preserve">   （签字）   </w:t>
      </w:r>
      <w:r>
        <w:rPr>
          <w:rFonts w:hint="eastAsia" w:ascii="仿宋" w:hAnsi="仿宋" w:eastAsia="仿宋" w:cs="仿宋"/>
          <w:color w:val="auto"/>
          <w:sz w:val="24"/>
          <w:szCs w:val="24"/>
          <w:highlight w:val="none"/>
        </w:rPr>
        <w:t>性别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年龄：_______</w:t>
      </w:r>
    </w:p>
    <w:p>
      <w:pPr>
        <w:ind w:left="2699"/>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rPr>
        <w:t xml:space="preserve">                </w:t>
      </w:r>
    </w:p>
    <w:p>
      <w:pPr>
        <w:ind w:left="2699"/>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投标单位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（盖章）                    </w:t>
      </w:r>
    </w:p>
    <w:p>
      <w:pPr>
        <w:ind w:left="2699"/>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（签字或盖章）               </w:t>
      </w:r>
    </w:p>
    <w:p>
      <w:pPr>
        <w:ind w:firstLine="2760" w:firstLineChars="1150"/>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授权委托日期：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年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145"/>
        <w:jc w:val="center"/>
        <w:outlineLvl w:val="9"/>
        <w:rPr>
          <w:rFonts w:hint="eastAsia" w:ascii="仿宋" w:hAnsi="仿宋" w:eastAsia="仿宋" w:cs="仿宋"/>
          <w:b/>
          <w:color w:val="auto"/>
          <w:sz w:val="24"/>
          <w:szCs w:val="24"/>
          <w:highlight w:val="none"/>
        </w:rPr>
      </w:pPr>
    </w:p>
    <w:p>
      <w:pPr>
        <w:spacing w:line="400" w:lineRule="exact"/>
        <w:jc w:val="center"/>
        <w:rPr>
          <w:rFonts w:hint="eastAsia" w:ascii="仿宋" w:hAnsi="仿宋" w:eastAsia="仿宋" w:cs="仿宋"/>
          <w:b/>
          <w:bCs/>
          <w:color w:val="auto"/>
          <w:kern w:val="2"/>
          <w:sz w:val="28"/>
          <w:szCs w:val="32"/>
          <w:highlight w:val="none"/>
          <w:lang w:val="en-US" w:eastAsia="zh-CN" w:bidi="ar-SA"/>
        </w:rPr>
      </w:pPr>
    </w:p>
    <w:p>
      <w:pPr>
        <w:spacing w:line="400" w:lineRule="exact"/>
        <w:jc w:val="center"/>
        <w:rPr>
          <w:rFonts w:hint="eastAsia" w:ascii="仿宋" w:hAnsi="仿宋" w:eastAsia="仿宋" w:cs="仿宋"/>
          <w:b/>
          <w:bCs/>
          <w:color w:val="auto"/>
          <w:kern w:val="2"/>
          <w:sz w:val="28"/>
          <w:szCs w:val="32"/>
          <w:highlight w:val="none"/>
          <w:lang w:val="en-US" w:eastAsia="zh-CN" w:bidi="ar-SA"/>
        </w:rPr>
      </w:pPr>
    </w:p>
    <w:p>
      <w:pPr>
        <w:spacing w:line="400" w:lineRule="exact"/>
        <w:jc w:val="center"/>
        <w:rPr>
          <w:rFonts w:hint="eastAsia" w:ascii="仿宋" w:hAnsi="仿宋" w:eastAsia="仿宋" w:cs="仿宋"/>
          <w:b/>
          <w:bCs/>
          <w:color w:val="auto"/>
          <w:kern w:val="2"/>
          <w:sz w:val="28"/>
          <w:szCs w:val="32"/>
          <w:highlight w:val="none"/>
          <w:lang w:val="en-US" w:eastAsia="zh-CN" w:bidi="ar-SA"/>
        </w:rPr>
      </w:pPr>
      <w:r>
        <w:rPr>
          <w:rFonts w:hint="eastAsia" w:ascii="仿宋" w:hAnsi="仿宋" w:eastAsia="仿宋" w:cs="仿宋"/>
          <w:b/>
          <w:bCs/>
          <w:color w:val="auto"/>
          <w:kern w:val="2"/>
          <w:sz w:val="28"/>
          <w:szCs w:val="32"/>
          <w:highlight w:val="none"/>
          <w:lang w:val="en-US" w:eastAsia="zh-CN" w:bidi="ar-SA"/>
        </w:rPr>
        <w:t>六、投标保证金（投标保证金银行转账单复印件）</w:t>
      </w: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pStyle w:val="150"/>
        <w:numPr>
          <w:ilvl w:val="0"/>
          <w:numId w:val="0"/>
        </w:numPr>
        <w:rPr>
          <w:rFonts w:hint="eastAsia" w:ascii="仿宋" w:hAnsi="仿宋" w:eastAsia="仿宋" w:cs="仿宋"/>
          <w:highlight w:val="none"/>
          <w:lang w:val="en-US" w:eastAsia="zh-CN"/>
        </w:rPr>
      </w:pPr>
      <w:r>
        <w:rPr>
          <w:rFonts w:hint="eastAsia" w:ascii="仿宋" w:hAnsi="仿宋" w:eastAsia="仿宋" w:cs="仿宋"/>
          <w:highlight w:val="none"/>
          <w:u w:val="single"/>
          <w:lang w:val="en-US" w:eastAsia="zh-CN"/>
        </w:rPr>
        <w:t>（采购单位名称）</w:t>
      </w:r>
      <w:r>
        <w:rPr>
          <w:rFonts w:hint="eastAsia" w:ascii="仿宋" w:hAnsi="仿宋" w:eastAsia="仿宋" w:cs="仿宋"/>
          <w:highlight w:val="none"/>
          <w:lang w:val="en-US" w:eastAsia="zh-CN"/>
        </w:rPr>
        <w:t xml:space="preserve"> ：</w:t>
      </w:r>
    </w:p>
    <w:p>
      <w:pPr>
        <w:pStyle w:val="150"/>
        <w:numPr>
          <w:ilvl w:val="0"/>
          <w:numId w:val="0"/>
        </w:numPr>
        <w:rPr>
          <w:rFonts w:hint="eastAsia" w:ascii="仿宋" w:hAnsi="仿宋" w:eastAsia="仿宋" w:cs="仿宋"/>
          <w:highlight w:val="none"/>
          <w:lang w:val="en-US" w:eastAsia="zh-CN"/>
        </w:rPr>
      </w:pPr>
      <w:r>
        <w:rPr>
          <w:rFonts w:hint="eastAsia" w:ascii="仿宋" w:hAnsi="仿宋" w:eastAsia="仿宋" w:cs="仿宋"/>
          <w:highlight w:val="none"/>
          <w:u w:val="single"/>
          <w:lang w:val="en-US" w:eastAsia="zh-CN"/>
        </w:rPr>
        <w:t xml:space="preserve">       （投标人全称)   </w:t>
      </w:r>
      <w:r>
        <w:rPr>
          <w:rFonts w:hint="eastAsia" w:ascii="仿宋" w:hAnsi="仿宋" w:eastAsia="仿宋" w:cs="仿宋"/>
          <w:highlight w:val="none"/>
          <w:lang w:val="en-US" w:eastAsia="zh-CN"/>
        </w:rPr>
        <w:t>参加贵方组织的(</w:t>
      </w:r>
      <w:r>
        <w:rPr>
          <w:rFonts w:hint="eastAsia" w:ascii="仿宋" w:hAnsi="仿宋" w:eastAsia="仿宋" w:cs="仿宋"/>
          <w:highlight w:val="none"/>
          <w:u w:val="single"/>
          <w:lang w:val="en-US" w:eastAsia="zh-CN"/>
        </w:rPr>
        <w:t>项目编号/项目名称</w:t>
      </w:r>
      <w:r>
        <w:rPr>
          <w:rFonts w:hint="eastAsia" w:ascii="仿宋" w:hAnsi="仿宋" w:eastAsia="仿宋" w:cs="仿宋"/>
          <w:highlight w:val="none"/>
          <w:lang w:val="en-US" w:eastAsia="zh-CN"/>
        </w:rPr>
        <w:t>)项目采购活动。按招标文件的规定，已递交人民币（</w:t>
      </w:r>
      <w:r>
        <w:rPr>
          <w:rFonts w:hint="eastAsia" w:ascii="仿宋" w:hAnsi="仿宋" w:eastAsia="仿宋" w:cs="仿宋"/>
          <w:highlight w:val="none"/>
          <w:u w:val="single"/>
          <w:lang w:val="en-US" w:eastAsia="zh-CN"/>
        </w:rPr>
        <w:t>大写）  　　  元</w:t>
      </w:r>
      <w:r>
        <w:rPr>
          <w:rFonts w:hint="eastAsia" w:ascii="仿宋" w:hAnsi="仿宋" w:eastAsia="仿宋" w:cs="仿宋"/>
          <w:highlight w:val="none"/>
          <w:lang w:val="en-US" w:eastAsia="zh-CN"/>
        </w:rPr>
        <w:t>的投标保证金。</w:t>
      </w:r>
    </w:p>
    <w:p>
      <w:pPr>
        <w:pStyle w:val="150"/>
        <w:numPr>
          <w:ilvl w:val="0"/>
          <w:numId w:val="0"/>
        </w:numP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投标人名称：                     </w:t>
      </w:r>
    </w:p>
    <w:p>
      <w:pPr>
        <w:pStyle w:val="150"/>
        <w:numPr>
          <w:ilvl w:val="0"/>
          <w:numId w:val="0"/>
        </w:numP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投标人开户银行：                 </w:t>
      </w:r>
    </w:p>
    <w:p>
      <w:pPr>
        <w:pStyle w:val="150"/>
        <w:numPr>
          <w:ilvl w:val="0"/>
          <w:numId w:val="0"/>
        </w:numP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投标人银行帐号：                 </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2" w:hRule="atLeast"/>
        </w:trPr>
        <w:tc>
          <w:tcPr>
            <w:tcW w:w="9160" w:type="dxa"/>
            <w:noWrap w:val="0"/>
            <w:vAlign w:val="top"/>
          </w:tcPr>
          <w:p>
            <w:pPr>
              <w:pStyle w:val="150"/>
              <w:numPr>
                <w:ilvl w:val="0"/>
                <w:numId w:val="0"/>
              </w:numP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 票 据 复 印 件（清晰复印件）</w:t>
            </w:r>
          </w:p>
        </w:tc>
      </w:tr>
    </w:tbl>
    <w:p>
      <w:pPr>
        <w:pStyle w:val="150"/>
        <w:numPr>
          <w:ilvl w:val="0"/>
          <w:numId w:val="0"/>
        </w:numPr>
        <w:rPr>
          <w:rFonts w:hint="eastAsia" w:ascii="仿宋" w:hAnsi="仿宋" w:eastAsia="仿宋" w:cs="仿宋"/>
          <w:highlight w:val="none"/>
          <w:lang w:val="en-US" w:eastAsia="zh-CN"/>
        </w:rPr>
      </w:pPr>
      <w:r>
        <w:rPr>
          <w:rFonts w:hint="eastAsia" w:ascii="仿宋" w:hAnsi="仿宋" w:eastAsia="仿宋" w:cs="仿宋"/>
          <w:highlight w:val="none"/>
          <w:lang w:val="en-US" w:eastAsia="zh-CN"/>
        </w:rPr>
        <w:t>注：请投标投标人认真填写银行信息，并要求与银行凭证的相关信息一致。</w:t>
      </w:r>
    </w:p>
    <w:p>
      <w:pPr>
        <w:pStyle w:val="150"/>
        <w:numPr>
          <w:ilvl w:val="0"/>
          <w:numId w:val="0"/>
        </w:numPr>
        <w:rPr>
          <w:rFonts w:hint="eastAsia" w:ascii="仿宋" w:hAnsi="仿宋" w:eastAsia="仿宋" w:cs="仿宋"/>
          <w:highlight w:val="none"/>
          <w:lang w:val="en-US" w:eastAsia="zh-CN"/>
        </w:rPr>
      </w:pPr>
    </w:p>
    <w:p>
      <w:pPr>
        <w:pStyle w:val="150"/>
        <w:numPr>
          <w:ilvl w:val="0"/>
          <w:numId w:val="0"/>
        </w:numPr>
        <w:rPr>
          <w:rFonts w:hint="eastAsia" w:ascii="仿宋" w:hAnsi="仿宋" w:eastAsia="仿宋" w:cs="仿宋"/>
          <w:highlight w:val="none"/>
          <w:lang w:val="en-US" w:eastAsia="zh-CN"/>
        </w:rPr>
      </w:pPr>
    </w:p>
    <w:p>
      <w:pPr>
        <w:pStyle w:val="150"/>
        <w:numPr>
          <w:ilvl w:val="0"/>
          <w:numId w:val="0"/>
        </w:numP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投标人：(公章)                </w:t>
      </w:r>
    </w:p>
    <w:p>
      <w:pPr>
        <w:pStyle w:val="150"/>
        <w:numPr>
          <w:ilvl w:val="0"/>
          <w:numId w:val="0"/>
        </w:numP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投标投标人法定代表人或法定代表人授权代表：（签字或盖章）           </w:t>
      </w:r>
    </w:p>
    <w:p>
      <w:pPr>
        <w:pStyle w:val="150"/>
        <w:numPr>
          <w:ilvl w:val="0"/>
          <w:numId w:val="0"/>
        </w:numP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        年   月   日</w:t>
      </w: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pStyle w:val="2"/>
        <w:rPr>
          <w:rFonts w:hint="eastAsia" w:ascii="仿宋" w:hAnsi="仿宋" w:eastAsia="仿宋" w:cs="仿宋"/>
          <w:highlight w:val="none"/>
          <w:lang w:val="en-US" w:eastAsia="zh-CN"/>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r>
        <w:rPr>
          <w:rFonts w:hint="eastAsia" w:ascii="仿宋" w:hAnsi="仿宋" w:eastAsia="仿宋" w:cs="仿宋"/>
          <w:b/>
          <w:bCs/>
          <w:color w:val="auto"/>
          <w:kern w:val="2"/>
          <w:sz w:val="28"/>
          <w:szCs w:val="32"/>
          <w:highlight w:val="none"/>
          <w:lang w:val="en-US" w:eastAsia="zh-CN" w:bidi="ar-SA"/>
        </w:rPr>
        <w:t>七、技术规格功能要求偏离表</w:t>
      </w:r>
      <w:bookmarkEnd w:id="234"/>
      <w:bookmarkEnd w:id="235"/>
      <w:bookmarkEnd w:id="236"/>
      <w:bookmarkEnd w:id="237"/>
    </w:p>
    <w:p>
      <w:pPr>
        <w:rPr>
          <w:rFonts w:hint="eastAsia" w:ascii="仿宋" w:hAnsi="仿宋" w:eastAsia="仿宋" w:cs="仿宋"/>
          <w:color w:val="auto"/>
          <w:highlight w:val="none"/>
        </w:rPr>
      </w:pP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pPr>
        <w:rPr>
          <w:rFonts w:hint="eastAsia" w:ascii="仿宋" w:hAnsi="仿宋" w:eastAsia="仿宋" w:cs="仿宋"/>
          <w:color w:val="auto"/>
          <w:highlight w:val="none"/>
        </w:rPr>
      </w:pPr>
      <w:r>
        <w:rPr>
          <w:rFonts w:hint="eastAsia" w:ascii="仿宋" w:hAnsi="仿宋" w:eastAsia="仿宋" w:cs="仿宋"/>
          <w:color w:val="auto"/>
          <w:sz w:val="24"/>
          <w:highlight w:val="none"/>
        </w:rPr>
        <w:t xml:space="preserve">项目编号：                                                   </w:t>
      </w:r>
    </w:p>
    <w:tbl>
      <w:tblPr>
        <w:tblStyle w:val="44"/>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2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招标文件规格功能要求条目号</w:t>
            </w:r>
          </w:p>
        </w:tc>
        <w:tc>
          <w:tcPr>
            <w:tcW w:w="1655"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要求规格</w:t>
            </w:r>
          </w:p>
        </w:tc>
        <w:tc>
          <w:tcPr>
            <w:tcW w:w="147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投标规格</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功能</w:t>
            </w:r>
          </w:p>
        </w:tc>
        <w:tc>
          <w:tcPr>
            <w:tcW w:w="1839"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w:t>
            </w:r>
          </w:p>
        </w:tc>
        <w:tc>
          <w:tcPr>
            <w:tcW w:w="1287"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023" w:type="dxa"/>
            <w:noWrap w:val="0"/>
            <w:vAlign w:val="center"/>
          </w:tcPr>
          <w:p>
            <w:pPr>
              <w:jc w:val="center"/>
              <w:rPr>
                <w:rFonts w:hint="eastAsia" w:ascii="仿宋" w:hAnsi="仿宋" w:eastAsia="仿宋" w:cs="仿宋"/>
                <w:color w:val="auto"/>
                <w:sz w:val="24"/>
                <w:highlight w:val="none"/>
              </w:rPr>
            </w:pPr>
          </w:p>
        </w:tc>
        <w:tc>
          <w:tcPr>
            <w:tcW w:w="1655" w:type="dxa"/>
            <w:noWrap w:val="0"/>
            <w:vAlign w:val="center"/>
          </w:tcPr>
          <w:p>
            <w:pPr>
              <w:jc w:val="center"/>
              <w:rPr>
                <w:rFonts w:hint="eastAsia" w:ascii="仿宋" w:hAnsi="仿宋" w:eastAsia="仿宋" w:cs="仿宋"/>
                <w:color w:val="auto"/>
                <w:sz w:val="24"/>
                <w:highlight w:val="none"/>
              </w:rPr>
            </w:pPr>
          </w:p>
        </w:tc>
        <w:tc>
          <w:tcPr>
            <w:tcW w:w="1471" w:type="dxa"/>
            <w:noWrap w:val="0"/>
            <w:vAlign w:val="center"/>
          </w:tcPr>
          <w:p>
            <w:pPr>
              <w:jc w:val="center"/>
              <w:rPr>
                <w:rFonts w:hint="eastAsia" w:ascii="仿宋" w:hAnsi="仿宋" w:eastAsia="仿宋" w:cs="仿宋"/>
                <w:color w:val="auto"/>
                <w:sz w:val="24"/>
                <w:highlight w:val="none"/>
              </w:rPr>
            </w:pPr>
          </w:p>
        </w:tc>
        <w:tc>
          <w:tcPr>
            <w:tcW w:w="1839" w:type="dxa"/>
            <w:noWrap w:val="0"/>
            <w:vAlign w:val="center"/>
          </w:tcPr>
          <w:p>
            <w:pPr>
              <w:jc w:val="center"/>
              <w:rPr>
                <w:rFonts w:hint="eastAsia" w:ascii="仿宋" w:hAnsi="仿宋" w:eastAsia="仿宋" w:cs="仿宋"/>
                <w:color w:val="auto"/>
                <w:sz w:val="24"/>
                <w:highlight w:val="none"/>
              </w:rPr>
            </w:pPr>
          </w:p>
        </w:tc>
        <w:tc>
          <w:tcPr>
            <w:tcW w:w="1287"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023" w:type="dxa"/>
            <w:noWrap w:val="0"/>
            <w:vAlign w:val="center"/>
          </w:tcPr>
          <w:p>
            <w:pPr>
              <w:jc w:val="center"/>
              <w:rPr>
                <w:rFonts w:hint="eastAsia" w:ascii="仿宋" w:hAnsi="仿宋" w:eastAsia="仿宋" w:cs="仿宋"/>
                <w:color w:val="auto"/>
                <w:sz w:val="24"/>
                <w:highlight w:val="none"/>
              </w:rPr>
            </w:pPr>
          </w:p>
        </w:tc>
        <w:tc>
          <w:tcPr>
            <w:tcW w:w="1655" w:type="dxa"/>
            <w:noWrap w:val="0"/>
            <w:vAlign w:val="center"/>
          </w:tcPr>
          <w:p>
            <w:pPr>
              <w:jc w:val="center"/>
              <w:rPr>
                <w:rFonts w:hint="eastAsia" w:ascii="仿宋" w:hAnsi="仿宋" w:eastAsia="仿宋" w:cs="仿宋"/>
                <w:color w:val="auto"/>
                <w:sz w:val="24"/>
                <w:highlight w:val="none"/>
              </w:rPr>
            </w:pPr>
          </w:p>
        </w:tc>
        <w:tc>
          <w:tcPr>
            <w:tcW w:w="1471" w:type="dxa"/>
            <w:noWrap w:val="0"/>
            <w:vAlign w:val="center"/>
          </w:tcPr>
          <w:p>
            <w:pPr>
              <w:jc w:val="center"/>
              <w:rPr>
                <w:rFonts w:hint="eastAsia" w:ascii="仿宋" w:hAnsi="仿宋" w:eastAsia="仿宋" w:cs="仿宋"/>
                <w:color w:val="auto"/>
                <w:sz w:val="24"/>
                <w:highlight w:val="none"/>
              </w:rPr>
            </w:pPr>
          </w:p>
        </w:tc>
        <w:tc>
          <w:tcPr>
            <w:tcW w:w="1839" w:type="dxa"/>
            <w:noWrap w:val="0"/>
            <w:vAlign w:val="center"/>
          </w:tcPr>
          <w:p>
            <w:pPr>
              <w:jc w:val="center"/>
              <w:rPr>
                <w:rFonts w:hint="eastAsia" w:ascii="仿宋" w:hAnsi="仿宋" w:eastAsia="仿宋" w:cs="仿宋"/>
                <w:color w:val="auto"/>
                <w:sz w:val="24"/>
                <w:highlight w:val="none"/>
              </w:rPr>
            </w:pPr>
          </w:p>
        </w:tc>
        <w:tc>
          <w:tcPr>
            <w:tcW w:w="1287"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023" w:type="dxa"/>
            <w:noWrap w:val="0"/>
            <w:vAlign w:val="center"/>
          </w:tcPr>
          <w:p>
            <w:pPr>
              <w:jc w:val="center"/>
              <w:rPr>
                <w:rFonts w:hint="eastAsia" w:ascii="仿宋" w:hAnsi="仿宋" w:eastAsia="仿宋" w:cs="仿宋"/>
                <w:color w:val="auto"/>
                <w:sz w:val="24"/>
                <w:highlight w:val="none"/>
              </w:rPr>
            </w:pPr>
          </w:p>
        </w:tc>
        <w:tc>
          <w:tcPr>
            <w:tcW w:w="1655" w:type="dxa"/>
            <w:noWrap w:val="0"/>
            <w:vAlign w:val="center"/>
          </w:tcPr>
          <w:p>
            <w:pPr>
              <w:jc w:val="center"/>
              <w:rPr>
                <w:rFonts w:hint="eastAsia" w:ascii="仿宋" w:hAnsi="仿宋" w:eastAsia="仿宋" w:cs="仿宋"/>
                <w:color w:val="auto"/>
                <w:sz w:val="24"/>
                <w:highlight w:val="none"/>
              </w:rPr>
            </w:pPr>
          </w:p>
        </w:tc>
        <w:tc>
          <w:tcPr>
            <w:tcW w:w="1471" w:type="dxa"/>
            <w:noWrap w:val="0"/>
            <w:vAlign w:val="center"/>
          </w:tcPr>
          <w:p>
            <w:pPr>
              <w:jc w:val="center"/>
              <w:rPr>
                <w:rFonts w:hint="eastAsia" w:ascii="仿宋" w:hAnsi="仿宋" w:eastAsia="仿宋" w:cs="仿宋"/>
                <w:color w:val="auto"/>
                <w:sz w:val="24"/>
                <w:highlight w:val="none"/>
              </w:rPr>
            </w:pPr>
          </w:p>
        </w:tc>
        <w:tc>
          <w:tcPr>
            <w:tcW w:w="1839" w:type="dxa"/>
            <w:noWrap w:val="0"/>
            <w:vAlign w:val="center"/>
          </w:tcPr>
          <w:p>
            <w:pPr>
              <w:jc w:val="center"/>
              <w:rPr>
                <w:rFonts w:hint="eastAsia" w:ascii="仿宋" w:hAnsi="仿宋" w:eastAsia="仿宋" w:cs="仿宋"/>
                <w:color w:val="auto"/>
                <w:sz w:val="24"/>
                <w:highlight w:val="none"/>
              </w:rPr>
            </w:pPr>
          </w:p>
        </w:tc>
        <w:tc>
          <w:tcPr>
            <w:tcW w:w="1287"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023" w:type="dxa"/>
            <w:noWrap w:val="0"/>
            <w:vAlign w:val="center"/>
          </w:tcPr>
          <w:p>
            <w:pPr>
              <w:jc w:val="center"/>
              <w:rPr>
                <w:rFonts w:hint="eastAsia" w:ascii="仿宋" w:hAnsi="仿宋" w:eastAsia="仿宋" w:cs="仿宋"/>
                <w:color w:val="auto"/>
                <w:sz w:val="24"/>
                <w:highlight w:val="none"/>
              </w:rPr>
            </w:pPr>
          </w:p>
        </w:tc>
        <w:tc>
          <w:tcPr>
            <w:tcW w:w="1655" w:type="dxa"/>
            <w:noWrap w:val="0"/>
            <w:vAlign w:val="center"/>
          </w:tcPr>
          <w:p>
            <w:pPr>
              <w:jc w:val="center"/>
              <w:rPr>
                <w:rFonts w:hint="eastAsia" w:ascii="仿宋" w:hAnsi="仿宋" w:eastAsia="仿宋" w:cs="仿宋"/>
                <w:color w:val="auto"/>
                <w:sz w:val="24"/>
                <w:highlight w:val="none"/>
              </w:rPr>
            </w:pPr>
          </w:p>
        </w:tc>
        <w:tc>
          <w:tcPr>
            <w:tcW w:w="1471" w:type="dxa"/>
            <w:noWrap w:val="0"/>
            <w:vAlign w:val="center"/>
          </w:tcPr>
          <w:p>
            <w:pPr>
              <w:jc w:val="center"/>
              <w:rPr>
                <w:rFonts w:hint="eastAsia" w:ascii="仿宋" w:hAnsi="仿宋" w:eastAsia="仿宋" w:cs="仿宋"/>
                <w:color w:val="auto"/>
                <w:sz w:val="24"/>
                <w:highlight w:val="none"/>
              </w:rPr>
            </w:pPr>
          </w:p>
        </w:tc>
        <w:tc>
          <w:tcPr>
            <w:tcW w:w="1839" w:type="dxa"/>
            <w:noWrap w:val="0"/>
            <w:vAlign w:val="center"/>
          </w:tcPr>
          <w:p>
            <w:pPr>
              <w:jc w:val="center"/>
              <w:rPr>
                <w:rFonts w:hint="eastAsia" w:ascii="仿宋" w:hAnsi="仿宋" w:eastAsia="仿宋" w:cs="仿宋"/>
                <w:color w:val="auto"/>
                <w:sz w:val="24"/>
                <w:highlight w:val="none"/>
              </w:rPr>
            </w:pPr>
          </w:p>
        </w:tc>
        <w:tc>
          <w:tcPr>
            <w:tcW w:w="1287"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023" w:type="dxa"/>
            <w:noWrap w:val="0"/>
            <w:vAlign w:val="center"/>
          </w:tcPr>
          <w:p>
            <w:pPr>
              <w:jc w:val="center"/>
              <w:rPr>
                <w:rFonts w:hint="eastAsia" w:ascii="仿宋" w:hAnsi="仿宋" w:eastAsia="仿宋" w:cs="仿宋"/>
                <w:color w:val="auto"/>
                <w:sz w:val="24"/>
                <w:highlight w:val="none"/>
              </w:rPr>
            </w:pPr>
          </w:p>
        </w:tc>
        <w:tc>
          <w:tcPr>
            <w:tcW w:w="1655" w:type="dxa"/>
            <w:noWrap w:val="0"/>
            <w:vAlign w:val="center"/>
          </w:tcPr>
          <w:p>
            <w:pPr>
              <w:jc w:val="center"/>
              <w:rPr>
                <w:rFonts w:hint="eastAsia" w:ascii="仿宋" w:hAnsi="仿宋" w:eastAsia="仿宋" w:cs="仿宋"/>
                <w:color w:val="auto"/>
                <w:sz w:val="24"/>
                <w:highlight w:val="none"/>
              </w:rPr>
            </w:pPr>
          </w:p>
        </w:tc>
        <w:tc>
          <w:tcPr>
            <w:tcW w:w="1471" w:type="dxa"/>
            <w:noWrap w:val="0"/>
            <w:vAlign w:val="center"/>
          </w:tcPr>
          <w:p>
            <w:pPr>
              <w:jc w:val="center"/>
              <w:rPr>
                <w:rFonts w:hint="eastAsia" w:ascii="仿宋" w:hAnsi="仿宋" w:eastAsia="仿宋" w:cs="仿宋"/>
                <w:color w:val="auto"/>
                <w:sz w:val="24"/>
                <w:highlight w:val="none"/>
              </w:rPr>
            </w:pPr>
          </w:p>
        </w:tc>
        <w:tc>
          <w:tcPr>
            <w:tcW w:w="1839" w:type="dxa"/>
            <w:noWrap w:val="0"/>
            <w:vAlign w:val="center"/>
          </w:tcPr>
          <w:p>
            <w:pPr>
              <w:jc w:val="center"/>
              <w:rPr>
                <w:rFonts w:hint="eastAsia" w:ascii="仿宋" w:hAnsi="仿宋" w:eastAsia="仿宋" w:cs="仿宋"/>
                <w:color w:val="auto"/>
                <w:sz w:val="24"/>
                <w:highlight w:val="none"/>
              </w:rPr>
            </w:pPr>
          </w:p>
        </w:tc>
        <w:tc>
          <w:tcPr>
            <w:tcW w:w="1287"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2023" w:type="dxa"/>
            <w:noWrap w:val="0"/>
            <w:vAlign w:val="center"/>
          </w:tcPr>
          <w:p>
            <w:pPr>
              <w:jc w:val="center"/>
              <w:rPr>
                <w:rFonts w:hint="eastAsia" w:ascii="仿宋" w:hAnsi="仿宋" w:eastAsia="仿宋" w:cs="仿宋"/>
                <w:color w:val="auto"/>
                <w:sz w:val="24"/>
                <w:highlight w:val="none"/>
              </w:rPr>
            </w:pPr>
          </w:p>
        </w:tc>
        <w:tc>
          <w:tcPr>
            <w:tcW w:w="1655" w:type="dxa"/>
            <w:noWrap w:val="0"/>
            <w:vAlign w:val="center"/>
          </w:tcPr>
          <w:p>
            <w:pPr>
              <w:jc w:val="center"/>
              <w:rPr>
                <w:rFonts w:hint="eastAsia" w:ascii="仿宋" w:hAnsi="仿宋" w:eastAsia="仿宋" w:cs="仿宋"/>
                <w:color w:val="auto"/>
                <w:sz w:val="24"/>
                <w:highlight w:val="none"/>
              </w:rPr>
            </w:pPr>
          </w:p>
        </w:tc>
        <w:tc>
          <w:tcPr>
            <w:tcW w:w="1471" w:type="dxa"/>
            <w:noWrap w:val="0"/>
            <w:vAlign w:val="center"/>
          </w:tcPr>
          <w:p>
            <w:pPr>
              <w:jc w:val="center"/>
              <w:rPr>
                <w:rFonts w:hint="eastAsia" w:ascii="仿宋" w:hAnsi="仿宋" w:eastAsia="仿宋" w:cs="仿宋"/>
                <w:color w:val="auto"/>
                <w:sz w:val="24"/>
                <w:highlight w:val="none"/>
              </w:rPr>
            </w:pPr>
          </w:p>
        </w:tc>
        <w:tc>
          <w:tcPr>
            <w:tcW w:w="1839" w:type="dxa"/>
            <w:noWrap w:val="0"/>
            <w:vAlign w:val="center"/>
          </w:tcPr>
          <w:p>
            <w:pPr>
              <w:jc w:val="center"/>
              <w:rPr>
                <w:rFonts w:hint="eastAsia" w:ascii="仿宋" w:hAnsi="仿宋" w:eastAsia="仿宋" w:cs="仿宋"/>
                <w:color w:val="auto"/>
                <w:sz w:val="24"/>
                <w:highlight w:val="none"/>
              </w:rPr>
            </w:pPr>
          </w:p>
        </w:tc>
        <w:tc>
          <w:tcPr>
            <w:tcW w:w="1287"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pPr>
              <w:jc w:val="center"/>
              <w:rPr>
                <w:rFonts w:hint="eastAsia" w:ascii="仿宋" w:hAnsi="仿宋" w:eastAsia="仿宋" w:cs="仿宋"/>
                <w:color w:val="auto"/>
                <w:sz w:val="24"/>
                <w:highlight w:val="none"/>
              </w:rPr>
            </w:pPr>
          </w:p>
        </w:tc>
        <w:tc>
          <w:tcPr>
            <w:tcW w:w="2023" w:type="dxa"/>
            <w:noWrap w:val="0"/>
            <w:vAlign w:val="center"/>
          </w:tcPr>
          <w:p>
            <w:pPr>
              <w:jc w:val="center"/>
              <w:rPr>
                <w:rFonts w:hint="eastAsia" w:ascii="仿宋" w:hAnsi="仿宋" w:eastAsia="仿宋" w:cs="仿宋"/>
                <w:color w:val="auto"/>
                <w:sz w:val="24"/>
                <w:highlight w:val="none"/>
              </w:rPr>
            </w:pPr>
          </w:p>
        </w:tc>
        <w:tc>
          <w:tcPr>
            <w:tcW w:w="1655" w:type="dxa"/>
            <w:noWrap w:val="0"/>
            <w:vAlign w:val="center"/>
          </w:tcPr>
          <w:p>
            <w:pPr>
              <w:jc w:val="center"/>
              <w:rPr>
                <w:rFonts w:hint="eastAsia" w:ascii="仿宋" w:hAnsi="仿宋" w:eastAsia="仿宋" w:cs="仿宋"/>
                <w:color w:val="auto"/>
                <w:sz w:val="24"/>
                <w:highlight w:val="none"/>
              </w:rPr>
            </w:pPr>
          </w:p>
        </w:tc>
        <w:tc>
          <w:tcPr>
            <w:tcW w:w="1471" w:type="dxa"/>
            <w:noWrap w:val="0"/>
            <w:vAlign w:val="center"/>
          </w:tcPr>
          <w:p>
            <w:pPr>
              <w:jc w:val="center"/>
              <w:rPr>
                <w:rFonts w:hint="eastAsia" w:ascii="仿宋" w:hAnsi="仿宋" w:eastAsia="仿宋" w:cs="仿宋"/>
                <w:color w:val="auto"/>
                <w:sz w:val="24"/>
                <w:highlight w:val="none"/>
              </w:rPr>
            </w:pPr>
          </w:p>
        </w:tc>
        <w:tc>
          <w:tcPr>
            <w:tcW w:w="1839" w:type="dxa"/>
            <w:noWrap w:val="0"/>
            <w:vAlign w:val="center"/>
          </w:tcPr>
          <w:p>
            <w:pPr>
              <w:jc w:val="center"/>
              <w:rPr>
                <w:rFonts w:hint="eastAsia" w:ascii="仿宋" w:hAnsi="仿宋" w:eastAsia="仿宋" w:cs="仿宋"/>
                <w:color w:val="auto"/>
                <w:sz w:val="24"/>
                <w:highlight w:val="none"/>
              </w:rPr>
            </w:pPr>
          </w:p>
        </w:tc>
        <w:tc>
          <w:tcPr>
            <w:tcW w:w="1287" w:type="dxa"/>
            <w:noWrap w:val="0"/>
            <w:vAlign w:val="center"/>
          </w:tcPr>
          <w:p>
            <w:pPr>
              <w:jc w:val="center"/>
              <w:rPr>
                <w:rFonts w:hint="eastAsia" w:ascii="仿宋" w:hAnsi="仿宋" w:eastAsia="仿宋" w:cs="仿宋"/>
                <w:color w:val="auto"/>
                <w:sz w:val="24"/>
                <w:highlight w:val="none"/>
              </w:rPr>
            </w:pPr>
          </w:p>
        </w:tc>
      </w:tr>
    </w:tbl>
    <w:p>
      <w:pPr>
        <w:spacing w:line="360" w:lineRule="auto"/>
        <w:ind w:firstLine="480" w:firstLineChars="200"/>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注</w:t>
      </w:r>
      <w:r>
        <w:rPr>
          <w:rFonts w:hint="eastAsia" w:ascii="仿宋" w:hAnsi="仿宋" w:eastAsia="仿宋" w:cs="仿宋"/>
          <w:color w:val="auto"/>
          <w:sz w:val="24"/>
          <w:highlight w:val="none"/>
        </w:rPr>
        <w:t>：1、应与招标文件要求逐条对应填写。</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2、本表如填写不完，可以续页。</w:t>
      </w:r>
    </w:p>
    <w:p>
      <w:pPr>
        <w:spacing w:line="360" w:lineRule="auto"/>
        <w:rPr>
          <w:rFonts w:hint="eastAsia" w:ascii="仿宋" w:hAnsi="仿宋" w:eastAsia="仿宋" w:cs="仿宋"/>
          <w:color w:val="auto"/>
          <w:sz w:val="24"/>
          <w:highlight w:val="none"/>
        </w:rPr>
      </w:pPr>
    </w:p>
    <w:p>
      <w:pPr>
        <w:spacing w:line="360" w:lineRule="auto"/>
        <w:ind w:firstLine="3960" w:firstLineChars="1650"/>
        <w:rPr>
          <w:rFonts w:hint="eastAsia" w:ascii="仿宋" w:hAnsi="仿宋" w:eastAsia="仿宋" w:cs="仿宋"/>
          <w:color w:val="auto"/>
          <w:sz w:val="24"/>
          <w:highlight w:val="none"/>
        </w:rPr>
      </w:pPr>
    </w:p>
    <w:p>
      <w:pPr>
        <w:spacing w:line="360" w:lineRule="auto"/>
        <w:ind w:firstLine="3960" w:firstLineChars="1650"/>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rPr>
          <w:rFonts w:hint="eastAsia" w:ascii="仿宋" w:hAnsi="仿宋" w:eastAsia="仿宋" w:cs="仿宋"/>
          <w:color w:val="auto"/>
          <w:sz w:val="24"/>
          <w:highlight w:val="none"/>
        </w:rPr>
      </w:pP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ind w:firstLine="4080" w:firstLineChars="17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pPr>
        <w:spacing w:line="360" w:lineRule="auto"/>
        <w:rPr>
          <w:rFonts w:hint="eastAsia" w:ascii="仿宋" w:hAnsi="仿宋" w:eastAsia="仿宋" w:cs="仿宋"/>
          <w:color w:val="auto"/>
          <w:sz w:val="28"/>
          <w:szCs w:val="28"/>
          <w:highlight w:val="none"/>
        </w:rPr>
      </w:pPr>
    </w:p>
    <w:p>
      <w:pPr>
        <w:pStyle w:val="4"/>
        <w:jc w:val="center"/>
        <w:rPr>
          <w:rFonts w:hint="eastAsia" w:ascii="仿宋" w:hAnsi="仿宋" w:eastAsia="仿宋" w:cs="仿宋"/>
          <w:color w:val="auto"/>
          <w:sz w:val="28"/>
          <w:highlight w:val="none"/>
        </w:rPr>
      </w:pPr>
      <w:bookmarkStart w:id="241" w:name="_Toc27405"/>
      <w:bookmarkStart w:id="242" w:name="_Toc23139"/>
      <w:bookmarkStart w:id="243" w:name="_Toc14367"/>
      <w:bookmarkStart w:id="244" w:name="_Toc13218"/>
      <w:bookmarkStart w:id="245" w:name="_Toc23111"/>
      <w:r>
        <w:rPr>
          <w:rFonts w:hint="eastAsia" w:ascii="仿宋" w:hAnsi="仿宋" w:eastAsia="仿宋" w:cs="仿宋"/>
          <w:color w:val="auto"/>
          <w:sz w:val="28"/>
          <w:highlight w:val="none"/>
          <w:lang w:val="en-US" w:eastAsia="zh-CN"/>
        </w:rPr>
        <w:t>八、</w:t>
      </w:r>
      <w:r>
        <w:rPr>
          <w:rFonts w:hint="eastAsia" w:ascii="仿宋" w:hAnsi="仿宋" w:eastAsia="仿宋" w:cs="仿宋"/>
          <w:color w:val="auto"/>
          <w:sz w:val="28"/>
          <w:highlight w:val="none"/>
        </w:rPr>
        <w:t>商务条款偏离表</w:t>
      </w:r>
      <w:bookmarkEnd w:id="241"/>
      <w:bookmarkEnd w:id="242"/>
      <w:bookmarkEnd w:id="243"/>
      <w:bookmarkEnd w:id="244"/>
      <w:bookmarkEnd w:id="245"/>
    </w:p>
    <w:p>
      <w:pPr>
        <w:spacing w:line="40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pPr>
        <w:ind w:firstLine="240" w:firstLineChars="100"/>
        <w:rPr>
          <w:rFonts w:hint="eastAsia" w:ascii="仿宋" w:hAnsi="仿宋" w:eastAsia="仿宋" w:cs="仿宋"/>
          <w:color w:val="auto"/>
          <w:highlight w:val="none"/>
        </w:rPr>
      </w:pPr>
      <w:r>
        <w:rPr>
          <w:rFonts w:hint="eastAsia" w:ascii="仿宋" w:hAnsi="仿宋" w:eastAsia="仿宋" w:cs="仿宋"/>
          <w:color w:val="auto"/>
          <w:sz w:val="24"/>
          <w:highlight w:val="none"/>
        </w:rPr>
        <w:t xml:space="preserve">项目编号：                                                 </w:t>
      </w:r>
    </w:p>
    <w:tbl>
      <w:tblPr>
        <w:tblStyle w:val="44"/>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705"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条目号</w:t>
            </w:r>
          </w:p>
        </w:tc>
        <w:tc>
          <w:tcPr>
            <w:tcW w:w="2177"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招标文件的</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商务条款</w:t>
            </w:r>
          </w:p>
        </w:tc>
        <w:tc>
          <w:tcPr>
            <w:tcW w:w="2215"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投标文件的</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商务条款</w:t>
            </w:r>
          </w:p>
        </w:tc>
        <w:tc>
          <w:tcPr>
            <w:tcW w:w="170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705" w:type="dxa"/>
            <w:noWrap w:val="0"/>
            <w:vAlign w:val="center"/>
          </w:tcPr>
          <w:p>
            <w:pPr>
              <w:spacing w:line="360" w:lineRule="auto"/>
              <w:jc w:val="center"/>
              <w:rPr>
                <w:rFonts w:hint="eastAsia" w:ascii="仿宋" w:hAnsi="仿宋" w:eastAsia="仿宋" w:cs="仿宋"/>
                <w:color w:val="auto"/>
                <w:sz w:val="24"/>
                <w:highlight w:val="none"/>
              </w:rPr>
            </w:pPr>
          </w:p>
        </w:tc>
        <w:tc>
          <w:tcPr>
            <w:tcW w:w="2177" w:type="dxa"/>
            <w:noWrap w:val="0"/>
            <w:vAlign w:val="center"/>
          </w:tcPr>
          <w:p>
            <w:pPr>
              <w:spacing w:line="360" w:lineRule="auto"/>
              <w:jc w:val="center"/>
              <w:rPr>
                <w:rFonts w:hint="eastAsia" w:ascii="仿宋" w:hAnsi="仿宋" w:eastAsia="仿宋" w:cs="仿宋"/>
                <w:color w:val="auto"/>
                <w:sz w:val="24"/>
                <w:highlight w:val="none"/>
              </w:rPr>
            </w:pPr>
          </w:p>
        </w:tc>
        <w:tc>
          <w:tcPr>
            <w:tcW w:w="2215" w:type="dxa"/>
            <w:noWrap w:val="0"/>
            <w:vAlign w:val="center"/>
          </w:tcPr>
          <w:p>
            <w:pPr>
              <w:spacing w:line="360" w:lineRule="auto"/>
              <w:jc w:val="center"/>
              <w:rPr>
                <w:rFonts w:hint="eastAsia" w:ascii="仿宋" w:hAnsi="仿宋" w:eastAsia="仿宋" w:cs="仿宋"/>
                <w:color w:val="auto"/>
                <w:sz w:val="24"/>
                <w:highlight w:val="none"/>
              </w:rPr>
            </w:pPr>
          </w:p>
        </w:tc>
        <w:tc>
          <w:tcPr>
            <w:tcW w:w="170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705" w:type="dxa"/>
            <w:noWrap w:val="0"/>
            <w:vAlign w:val="center"/>
          </w:tcPr>
          <w:p>
            <w:pPr>
              <w:spacing w:line="360" w:lineRule="auto"/>
              <w:jc w:val="center"/>
              <w:rPr>
                <w:rFonts w:hint="eastAsia" w:ascii="仿宋" w:hAnsi="仿宋" w:eastAsia="仿宋" w:cs="仿宋"/>
                <w:color w:val="auto"/>
                <w:sz w:val="24"/>
                <w:highlight w:val="none"/>
              </w:rPr>
            </w:pPr>
          </w:p>
        </w:tc>
        <w:tc>
          <w:tcPr>
            <w:tcW w:w="2177" w:type="dxa"/>
            <w:noWrap w:val="0"/>
            <w:vAlign w:val="center"/>
          </w:tcPr>
          <w:p>
            <w:pPr>
              <w:spacing w:line="360" w:lineRule="auto"/>
              <w:jc w:val="center"/>
              <w:rPr>
                <w:rFonts w:hint="eastAsia" w:ascii="仿宋" w:hAnsi="仿宋" w:eastAsia="仿宋" w:cs="仿宋"/>
                <w:color w:val="auto"/>
                <w:sz w:val="24"/>
                <w:highlight w:val="none"/>
              </w:rPr>
            </w:pPr>
          </w:p>
        </w:tc>
        <w:tc>
          <w:tcPr>
            <w:tcW w:w="2215" w:type="dxa"/>
            <w:noWrap w:val="0"/>
            <w:vAlign w:val="center"/>
          </w:tcPr>
          <w:p>
            <w:pPr>
              <w:spacing w:line="360" w:lineRule="auto"/>
              <w:jc w:val="center"/>
              <w:rPr>
                <w:rFonts w:hint="eastAsia" w:ascii="仿宋" w:hAnsi="仿宋" w:eastAsia="仿宋" w:cs="仿宋"/>
                <w:color w:val="auto"/>
                <w:sz w:val="24"/>
                <w:highlight w:val="none"/>
              </w:rPr>
            </w:pPr>
          </w:p>
        </w:tc>
        <w:tc>
          <w:tcPr>
            <w:tcW w:w="170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705" w:type="dxa"/>
            <w:noWrap w:val="0"/>
            <w:vAlign w:val="center"/>
          </w:tcPr>
          <w:p>
            <w:pPr>
              <w:spacing w:line="360" w:lineRule="auto"/>
              <w:jc w:val="center"/>
              <w:rPr>
                <w:rFonts w:hint="eastAsia" w:ascii="仿宋" w:hAnsi="仿宋" w:eastAsia="仿宋" w:cs="仿宋"/>
                <w:color w:val="auto"/>
                <w:sz w:val="24"/>
                <w:highlight w:val="none"/>
              </w:rPr>
            </w:pPr>
          </w:p>
        </w:tc>
        <w:tc>
          <w:tcPr>
            <w:tcW w:w="2177" w:type="dxa"/>
            <w:noWrap w:val="0"/>
            <w:vAlign w:val="center"/>
          </w:tcPr>
          <w:p>
            <w:pPr>
              <w:spacing w:line="360" w:lineRule="auto"/>
              <w:jc w:val="center"/>
              <w:rPr>
                <w:rFonts w:hint="eastAsia" w:ascii="仿宋" w:hAnsi="仿宋" w:eastAsia="仿宋" w:cs="仿宋"/>
                <w:color w:val="auto"/>
                <w:sz w:val="24"/>
                <w:highlight w:val="none"/>
              </w:rPr>
            </w:pPr>
          </w:p>
        </w:tc>
        <w:tc>
          <w:tcPr>
            <w:tcW w:w="2215" w:type="dxa"/>
            <w:noWrap w:val="0"/>
            <w:vAlign w:val="center"/>
          </w:tcPr>
          <w:p>
            <w:pPr>
              <w:spacing w:line="360" w:lineRule="auto"/>
              <w:jc w:val="center"/>
              <w:rPr>
                <w:rFonts w:hint="eastAsia" w:ascii="仿宋" w:hAnsi="仿宋" w:eastAsia="仿宋" w:cs="仿宋"/>
                <w:color w:val="auto"/>
                <w:sz w:val="24"/>
                <w:highlight w:val="none"/>
              </w:rPr>
            </w:pPr>
          </w:p>
        </w:tc>
        <w:tc>
          <w:tcPr>
            <w:tcW w:w="170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705" w:type="dxa"/>
            <w:noWrap w:val="0"/>
            <w:vAlign w:val="center"/>
          </w:tcPr>
          <w:p>
            <w:pPr>
              <w:spacing w:line="360" w:lineRule="auto"/>
              <w:jc w:val="center"/>
              <w:rPr>
                <w:rFonts w:hint="eastAsia" w:ascii="仿宋" w:hAnsi="仿宋" w:eastAsia="仿宋" w:cs="仿宋"/>
                <w:color w:val="auto"/>
                <w:sz w:val="24"/>
                <w:highlight w:val="none"/>
              </w:rPr>
            </w:pPr>
          </w:p>
        </w:tc>
        <w:tc>
          <w:tcPr>
            <w:tcW w:w="2177" w:type="dxa"/>
            <w:noWrap w:val="0"/>
            <w:vAlign w:val="center"/>
          </w:tcPr>
          <w:p>
            <w:pPr>
              <w:spacing w:line="360" w:lineRule="auto"/>
              <w:jc w:val="center"/>
              <w:rPr>
                <w:rFonts w:hint="eastAsia" w:ascii="仿宋" w:hAnsi="仿宋" w:eastAsia="仿宋" w:cs="仿宋"/>
                <w:color w:val="auto"/>
                <w:sz w:val="24"/>
                <w:highlight w:val="none"/>
              </w:rPr>
            </w:pPr>
          </w:p>
        </w:tc>
        <w:tc>
          <w:tcPr>
            <w:tcW w:w="2215" w:type="dxa"/>
            <w:noWrap w:val="0"/>
            <w:vAlign w:val="center"/>
          </w:tcPr>
          <w:p>
            <w:pPr>
              <w:spacing w:line="360" w:lineRule="auto"/>
              <w:jc w:val="center"/>
              <w:rPr>
                <w:rFonts w:hint="eastAsia" w:ascii="仿宋" w:hAnsi="仿宋" w:eastAsia="仿宋" w:cs="仿宋"/>
                <w:color w:val="auto"/>
                <w:sz w:val="24"/>
                <w:highlight w:val="none"/>
              </w:rPr>
            </w:pPr>
          </w:p>
        </w:tc>
        <w:tc>
          <w:tcPr>
            <w:tcW w:w="170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spacing w:line="360" w:lineRule="auto"/>
              <w:jc w:val="center"/>
              <w:rPr>
                <w:rFonts w:hint="eastAsia" w:ascii="仿宋" w:hAnsi="仿宋" w:eastAsia="仿宋" w:cs="仿宋"/>
                <w:color w:val="auto"/>
                <w:sz w:val="24"/>
                <w:highlight w:val="none"/>
              </w:rPr>
            </w:pPr>
          </w:p>
        </w:tc>
        <w:tc>
          <w:tcPr>
            <w:tcW w:w="1705" w:type="dxa"/>
            <w:noWrap w:val="0"/>
            <w:vAlign w:val="center"/>
          </w:tcPr>
          <w:p>
            <w:pPr>
              <w:spacing w:line="360" w:lineRule="auto"/>
              <w:jc w:val="center"/>
              <w:rPr>
                <w:rFonts w:hint="eastAsia" w:ascii="仿宋" w:hAnsi="仿宋" w:eastAsia="仿宋" w:cs="仿宋"/>
                <w:color w:val="auto"/>
                <w:sz w:val="24"/>
                <w:highlight w:val="none"/>
              </w:rPr>
            </w:pPr>
          </w:p>
        </w:tc>
        <w:tc>
          <w:tcPr>
            <w:tcW w:w="2177" w:type="dxa"/>
            <w:noWrap w:val="0"/>
            <w:vAlign w:val="center"/>
          </w:tcPr>
          <w:p>
            <w:pPr>
              <w:spacing w:line="360" w:lineRule="auto"/>
              <w:jc w:val="center"/>
              <w:rPr>
                <w:rFonts w:hint="eastAsia" w:ascii="仿宋" w:hAnsi="仿宋" w:eastAsia="仿宋" w:cs="仿宋"/>
                <w:color w:val="auto"/>
                <w:sz w:val="24"/>
                <w:highlight w:val="none"/>
              </w:rPr>
            </w:pPr>
          </w:p>
        </w:tc>
        <w:tc>
          <w:tcPr>
            <w:tcW w:w="2215" w:type="dxa"/>
            <w:noWrap w:val="0"/>
            <w:vAlign w:val="center"/>
          </w:tcPr>
          <w:p>
            <w:pPr>
              <w:spacing w:line="360" w:lineRule="auto"/>
              <w:jc w:val="center"/>
              <w:rPr>
                <w:rFonts w:hint="eastAsia" w:ascii="仿宋" w:hAnsi="仿宋" w:eastAsia="仿宋" w:cs="仿宋"/>
                <w:color w:val="auto"/>
                <w:sz w:val="24"/>
                <w:highlight w:val="none"/>
              </w:rPr>
            </w:pPr>
          </w:p>
        </w:tc>
        <w:tc>
          <w:tcPr>
            <w:tcW w:w="170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spacing w:line="360" w:lineRule="auto"/>
              <w:jc w:val="center"/>
              <w:rPr>
                <w:rFonts w:hint="eastAsia" w:ascii="仿宋" w:hAnsi="仿宋" w:eastAsia="仿宋" w:cs="仿宋"/>
                <w:color w:val="auto"/>
                <w:sz w:val="24"/>
                <w:highlight w:val="none"/>
              </w:rPr>
            </w:pPr>
          </w:p>
        </w:tc>
        <w:tc>
          <w:tcPr>
            <w:tcW w:w="1705" w:type="dxa"/>
            <w:noWrap w:val="0"/>
            <w:vAlign w:val="center"/>
          </w:tcPr>
          <w:p>
            <w:pPr>
              <w:spacing w:line="360" w:lineRule="auto"/>
              <w:jc w:val="center"/>
              <w:rPr>
                <w:rFonts w:hint="eastAsia" w:ascii="仿宋" w:hAnsi="仿宋" w:eastAsia="仿宋" w:cs="仿宋"/>
                <w:color w:val="auto"/>
                <w:sz w:val="24"/>
                <w:highlight w:val="none"/>
              </w:rPr>
            </w:pPr>
          </w:p>
        </w:tc>
        <w:tc>
          <w:tcPr>
            <w:tcW w:w="2177" w:type="dxa"/>
            <w:noWrap w:val="0"/>
            <w:vAlign w:val="center"/>
          </w:tcPr>
          <w:p>
            <w:pPr>
              <w:spacing w:line="360" w:lineRule="auto"/>
              <w:jc w:val="center"/>
              <w:rPr>
                <w:rFonts w:hint="eastAsia" w:ascii="仿宋" w:hAnsi="仿宋" w:eastAsia="仿宋" w:cs="仿宋"/>
                <w:color w:val="auto"/>
                <w:sz w:val="24"/>
                <w:highlight w:val="none"/>
              </w:rPr>
            </w:pPr>
          </w:p>
        </w:tc>
        <w:tc>
          <w:tcPr>
            <w:tcW w:w="2215" w:type="dxa"/>
            <w:noWrap w:val="0"/>
            <w:vAlign w:val="center"/>
          </w:tcPr>
          <w:p>
            <w:pPr>
              <w:spacing w:line="360" w:lineRule="auto"/>
              <w:jc w:val="center"/>
              <w:rPr>
                <w:rFonts w:hint="eastAsia" w:ascii="仿宋" w:hAnsi="仿宋" w:eastAsia="仿宋" w:cs="仿宋"/>
                <w:color w:val="auto"/>
                <w:sz w:val="24"/>
                <w:highlight w:val="none"/>
              </w:rPr>
            </w:pPr>
          </w:p>
        </w:tc>
        <w:tc>
          <w:tcPr>
            <w:tcW w:w="170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spacing w:line="360" w:lineRule="auto"/>
              <w:jc w:val="center"/>
              <w:rPr>
                <w:rFonts w:hint="eastAsia" w:ascii="仿宋" w:hAnsi="仿宋" w:eastAsia="仿宋" w:cs="仿宋"/>
                <w:color w:val="auto"/>
                <w:sz w:val="24"/>
                <w:highlight w:val="none"/>
              </w:rPr>
            </w:pPr>
          </w:p>
        </w:tc>
        <w:tc>
          <w:tcPr>
            <w:tcW w:w="1705" w:type="dxa"/>
            <w:noWrap w:val="0"/>
            <w:vAlign w:val="center"/>
          </w:tcPr>
          <w:p>
            <w:pPr>
              <w:spacing w:line="360" w:lineRule="auto"/>
              <w:jc w:val="center"/>
              <w:rPr>
                <w:rFonts w:hint="eastAsia" w:ascii="仿宋" w:hAnsi="仿宋" w:eastAsia="仿宋" w:cs="仿宋"/>
                <w:color w:val="auto"/>
                <w:sz w:val="24"/>
                <w:highlight w:val="none"/>
              </w:rPr>
            </w:pPr>
          </w:p>
        </w:tc>
        <w:tc>
          <w:tcPr>
            <w:tcW w:w="2177" w:type="dxa"/>
            <w:noWrap w:val="0"/>
            <w:vAlign w:val="center"/>
          </w:tcPr>
          <w:p>
            <w:pPr>
              <w:spacing w:line="360" w:lineRule="auto"/>
              <w:jc w:val="center"/>
              <w:rPr>
                <w:rFonts w:hint="eastAsia" w:ascii="仿宋" w:hAnsi="仿宋" w:eastAsia="仿宋" w:cs="仿宋"/>
                <w:color w:val="auto"/>
                <w:sz w:val="24"/>
                <w:highlight w:val="none"/>
              </w:rPr>
            </w:pPr>
          </w:p>
        </w:tc>
        <w:tc>
          <w:tcPr>
            <w:tcW w:w="2215" w:type="dxa"/>
            <w:noWrap w:val="0"/>
            <w:vAlign w:val="center"/>
          </w:tcPr>
          <w:p>
            <w:pPr>
              <w:spacing w:line="360" w:lineRule="auto"/>
              <w:jc w:val="center"/>
              <w:rPr>
                <w:rFonts w:hint="eastAsia" w:ascii="仿宋" w:hAnsi="仿宋" w:eastAsia="仿宋" w:cs="仿宋"/>
                <w:color w:val="auto"/>
                <w:sz w:val="24"/>
                <w:highlight w:val="none"/>
              </w:rPr>
            </w:pPr>
          </w:p>
        </w:tc>
        <w:tc>
          <w:tcPr>
            <w:tcW w:w="1706" w:type="dxa"/>
            <w:noWrap w:val="0"/>
            <w:vAlign w:val="center"/>
          </w:tcPr>
          <w:p>
            <w:pPr>
              <w:spacing w:line="360" w:lineRule="auto"/>
              <w:jc w:val="center"/>
              <w:rPr>
                <w:rFonts w:hint="eastAsia" w:ascii="仿宋" w:hAnsi="仿宋" w:eastAsia="仿宋" w:cs="仿宋"/>
                <w:color w:val="auto"/>
                <w:sz w:val="24"/>
                <w:highlight w:val="none"/>
              </w:rPr>
            </w:pPr>
          </w:p>
        </w:tc>
      </w:tr>
    </w:tbl>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注</w:t>
      </w:r>
      <w:r>
        <w:rPr>
          <w:rFonts w:hint="eastAsia" w:ascii="仿宋" w:hAnsi="仿宋" w:eastAsia="仿宋" w:cs="仿宋"/>
          <w:color w:val="auto"/>
          <w:sz w:val="24"/>
          <w:highlight w:val="none"/>
        </w:rPr>
        <w:t>：1、本项目商务条款至少包括</w:t>
      </w:r>
      <w:r>
        <w:rPr>
          <w:rFonts w:hint="eastAsia" w:ascii="仿宋" w:hAnsi="仿宋" w:eastAsia="仿宋" w:cs="仿宋"/>
          <w:color w:val="auto"/>
          <w:sz w:val="24"/>
          <w:highlight w:val="none"/>
          <w:lang w:val="en-US" w:eastAsia="zh-CN"/>
        </w:rPr>
        <w:t>但不限于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期、采购内容、投标保证金响应、投标文件有效期、履约保证金等，投标人必须按</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给定的条款填写，否则视为不响应招标。</w:t>
      </w:r>
    </w:p>
    <w:p>
      <w:pPr>
        <w:spacing w:line="360" w:lineRule="auto"/>
        <w:ind w:firstLine="480" w:firstLineChars="200"/>
        <w:rPr>
          <w:rFonts w:hint="eastAsia" w:ascii="仿宋" w:hAnsi="仿宋" w:eastAsia="仿宋" w:cs="仿宋"/>
          <w:color w:val="auto"/>
          <w:sz w:val="24"/>
          <w:highlight w:val="none"/>
        </w:rPr>
      </w:pPr>
      <w:bookmarkStart w:id="246" w:name="_Toc632"/>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条目号指投标须知所对应项目名称。</w:t>
      </w:r>
      <w:bookmarkEnd w:id="246"/>
    </w:p>
    <w:p>
      <w:pPr>
        <w:spacing w:line="360" w:lineRule="auto"/>
        <w:ind w:firstLine="480" w:firstLineChars="200"/>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rPr>
          <w:rFonts w:hint="eastAsia" w:ascii="仿宋" w:hAnsi="仿宋" w:eastAsia="仿宋" w:cs="仿宋"/>
          <w:color w:val="auto"/>
          <w:sz w:val="24"/>
          <w:highlight w:val="none"/>
        </w:rPr>
      </w:pP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pPr>
        <w:pStyle w:val="19"/>
        <w:tabs>
          <w:tab w:val="left" w:pos="9214"/>
        </w:tabs>
        <w:rPr>
          <w:rFonts w:hint="eastAsia" w:ascii="仿宋" w:hAnsi="仿宋" w:eastAsia="仿宋" w:cs="仿宋"/>
          <w:color w:val="auto"/>
          <w:highlight w:val="none"/>
        </w:rPr>
      </w:pPr>
    </w:p>
    <w:p>
      <w:pPr>
        <w:pStyle w:val="24"/>
        <w:adjustRightInd w:val="0"/>
        <w:jc w:val="center"/>
        <w:textAlignment w:val="baseline"/>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val="en-US" w:eastAsia="zh-CN"/>
        </w:rPr>
        <w:t>九、</w:t>
      </w:r>
      <w:r>
        <w:rPr>
          <w:rFonts w:hint="eastAsia" w:ascii="仿宋" w:hAnsi="仿宋" w:eastAsia="仿宋" w:cs="仿宋"/>
          <w:b/>
          <w:color w:val="auto"/>
          <w:sz w:val="28"/>
          <w:szCs w:val="28"/>
          <w:highlight w:val="none"/>
        </w:rPr>
        <w:t>项目实施人员一览表</w:t>
      </w:r>
    </w:p>
    <w:tbl>
      <w:tblPr>
        <w:tblStyle w:val="4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9"/>
        <w:gridCol w:w="1354"/>
        <w:gridCol w:w="923"/>
        <w:gridCol w:w="936"/>
        <w:gridCol w:w="1144"/>
        <w:gridCol w:w="1144"/>
        <w:gridCol w:w="984"/>
        <w:gridCol w:w="17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9"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项目组所任职务</w:t>
            </w:r>
          </w:p>
        </w:tc>
        <w:tc>
          <w:tcPr>
            <w:tcW w:w="92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姓名</w:t>
            </w:r>
          </w:p>
        </w:tc>
        <w:tc>
          <w:tcPr>
            <w:tcW w:w="9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年龄</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 历</w:t>
            </w:r>
          </w:p>
        </w:tc>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w:t>
            </w:r>
          </w:p>
        </w:tc>
        <w:tc>
          <w:tcPr>
            <w:tcW w:w="1742"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从事本工作时间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pStyle w:val="28"/>
              <w:jc w:val="center"/>
              <w:rPr>
                <w:rFonts w:hint="eastAsia" w:ascii="仿宋" w:hAnsi="仿宋" w:eastAsia="仿宋" w:cs="仿宋"/>
                <w:color w:val="auto"/>
                <w:sz w:val="24"/>
                <w:szCs w:val="24"/>
                <w:highlight w:val="none"/>
                <w:lang w:val="en-US" w:eastAsia="zh-CN"/>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pStyle w:val="28"/>
              <w:jc w:val="center"/>
              <w:rPr>
                <w:rFonts w:hint="eastAsia" w:ascii="仿宋" w:hAnsi="仿宋" w:eastAsia="仿宋" w:cs="仿宋"/>
                <w:color w:val="auto"/>
                <w:sz w:val="24"/>
                <w:szCs w:val="24"/>
                <w:highlight w:val="none"/>
                <w:lang w:val="en-US" w:eastAsia="zh-CN"/>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pStyle w:val="28"/>
              <w:jc w:val="center"/>
              <w:rPr>
                <w:rFonts w:hint="eastAsia" w:ascii="仿宋" w:hAnsi="仿宋" w:eastAsia="仿宋" w:cs="仿宋"/>
                <w:color w:val="auto"/>
                <w:sz w:val="24"/>
                <w:szCs w:val="24"/>
                <w:highlight w:val="none"/>
                <w:lang w:val="en-US" w:eastAsia="zh-CN"/>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pStyle w:val="28"/>
              <w:jc w:val="center"/>
              <w:rPr>
                <w:rFonts w:hint="eastAsia" w:ascii="仿宋" w:hAnsi="仿宋" w:eastAsia="仿宋" w:cs="仿宋"/>
                <w:color w:val="auto"/>
                <w:sz w:val="24"/>
                <w:szCs w:val="24"/>
                <w:highlight w:val="none"/>
                <w:lang w:val="en-US" w:eastAsia="zh-CN"/>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pStyle w:val="28"/>
              <w:jc w:val="center"/>
              <w:rPr>
                <w:rFonts w:hint="eastAsia" w:ascii="仿宋" w:hAnsi="仿宋" w:eastAsia="仿宋" w:cs="仿宋"/>
                <w:color w:val="auto"/>
                <w:sz w:val="24"/>
                <w:szCs w:val="24"/>
                <w:highlight w:val="none"/>
                <w:lang w:val="en-US" w:eastAsia="zh-CN"/>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sz w:val="24"/>
                <w:szCs w:val="24"/>
                <w:highlight w:val="none"/>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p>
        </w:tc>
      </w:tr>
    </w:tbl>
    <w:p>
      <w:pPr>
        <w:ind w:firstLine="422" w:firstLineChars="200"/>
        <w:rPr>
          <w:rFonts w:hint="eastAsia" w:ascii="仿宋" w:hAnsi="仿宋" w:eastAsia="仿宋" w:cs="仿宋"/>
          <w:b/>
          <w:color w:val="auto"/>
          <w:szCs w:val="21"/>
          <w:highlight w:val="none"/>
        </w:rPr>
      </w:pPr>
    </w:p>
    <w:p>
      <w:pPr>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注：1、“项目实施人员”指投标单位针对该项目实施所配备的人员。</w:t>
      </w:r>
    </w:p>
    <w:p>
      <w:pPr>
        <w:ind w:firstLine="843" w:firstLineChars="4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2、后附</w:t>
      </w:r>
      <w:r>
        <w:rPr>
          <w:rFonts w:hint="eastAsia" w:ascii="仿宋" w:hAnsi="仿宋" w:eastAsia="仿宋" w:cs="仿宋"/>
          <w:b/>
          <w:color w:val="auto"/>
          <w:szCs w:val="21"/>
          <w:highlight w:val="none"/>
          <w:lang w:eastAsia="zh-CN"/>
        </w:rPr>
        <w:t>本单位项目</w:t>
      </w:r>
      <w:r>
        <w:rPr>
          <w:rFonts w:hint="eastAsia" w:ascii="仿宋" w:hAnsi="仿宋" w:eastAsia="仿宋" w:cs="仿宋"/>
          <w:b/>
          <w:color w:val="auto"/>
          <w:szCs w:val="21"/>
          <w:highlight w:val="none"/>
        </w:rPr>
        <w:t>人员</w:t>
      </w:r>
      <w:r>
        <w:rPr>
          <w:rFonts w:hint="eastAsia" w:ascii="仿宋" w:hAnsi="仿宋" w:eastAsia="仿宋" w:cs="仿宋"/>
          <w:b/>
          <w:color w:val="auto"/>
          <w:highlight w:val="none"/>
        </w:rPr>
        <w:t>相关证明材料</w:t>
      </w:r>
      <w:r>
        <w:rPr>
          <w:rFonts w:hint="eastAsia" w:ascii="仿宋" w:hAnsi="仿宋" w:eastAsia="仿宋" w:cs="仿宋"/>
          <w:b/>
          <w:color w:val="auto"/>
          <w:szCs w:val="21"/>
          <w:highlight w:val="none"/>
        </w:rPr>
        <w:t>复印件</w:t>
      </w:r>
      <w:r>
        <w:rPr>
          <w:rFonts w:hint="eastAsia" w:ascii="仿宋" w:hAnsi="仿宋" w:eastAsia="仿宋" w:cs="仿宋"/>
          <w:b/>
          <w:color w:val="auto"/>
          <w:szCs w:val="21"/>
          <w:highlight w:val="none"/>
          <w:lang w:eastAsia="zh-CN"/>
        </w:rPr>
        <w:t>（后期项目实施人员需与本表人员一致）</w:t>
      </w:r>
      <w:r>
        <w:rPr>
          <w:rFonts w:hint="eastAsia" w:ascii="仿宋" w:hAnsi="仿宋" w:eastAsia="仿宋" w:cs="仿宋"/>
          <w:b/>
          <w:color w:val="auto"/>
          <w:szCs w:val="21"/>
          <w:highlight w:val="none"/>
        </w:rPr>
        <w:t>。</w:t>
      </w:r>
    </w:p>
    <w:p>
      <w:pPr>
        <w:ind w:firstLine="843" w:firstLineChars="4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3、表格不够填写可添加。如本表格不适合投标人的实际情况，可自行制表填写。</w:t>
      </w:r>
    </w:p>
    <w:p>
      <w:pPr>
        <w:spacing w:line="360" w:lineRule="auto"/>
        <w:ind w:firstLine="562" w:firstLineChars="200"/>
        <w:jc w:val="center"/>
        <w:rPr>
          <w:rFonts w:hint="eastAsia" w:ascii="仿宋" w:hAnsi="仿宋" w:eastAsia="仿宋" w:cs="仿宋"/>
          <w:b/>
          <w:bCs/>
          <w:color w:val="auto"/>
          <w:kern w:val="2"/>
          <w:sz w:val="28"/>
          <w:szCs w:val="32"/>
          <w:highlight w:val="none"/>
          <w:lang w:val="en-US" w:eastAsia="zh-CN" w:bidi="ar-SA"/>
        </w:rPr>
        <w:sectPr>
          <w:pgSz w:w="11905" w:h="16838"/>
          <w:pgMar w:top="1140" w:right="1202" w:bottom="1162" w:left="1219" w:header="851" w:footer="992" w:gutter="0"/>
          <w:pgBorders>
            <w:top w:val="none" w:sz="0" w:space="0"/>
            <w:left w:val="none" w:sz="0" w:space="0"/>
            <w:bottom w:val="none" w:sz="0" w:space="0"/>
            <w:right w:val="none" w:sz="0" w:space="0"/>
          </w:pgBorders>
          <w:pgNumType w:fmt="decimal"/>
          <w:cols w:space="720" w:num="1"/>
          <w:docGrid w:type="lines" w:linePitch="316" w:charSpace="0"/>
        </w:sectPr>
      </w:pPr>
    </w:p>
    <w:p>
      <w:pPr>
        <w:ind w:left="0" w:leftChars="0" w:firstLine="0" w:firstLineChars="0"/>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8"/>
          <w:szCs w:val="28"/>
          <w:highlight w:val="none"/>
          <w:lang w:eastAsia="zh-CN"/>
        </w:rPr>
        <w:t>十、</w:t>
      </w:r>
      <w:r>
        <w:rPr>
          <w:rFonts w:hint="eastAsia" w:ascii="仿宋" w:hAnsi="仿宋" w:eastAsia="仿宋" w:cs="仿宋"/>
          <w:b/>
          <w:color w:val="000000"/>
          <w:sz w:val="28"/>
          <w:szCs w:val="28"/>
          <w:highlight w:val="none"/>
        </w:rPr>
        <w:t>投标</w:t>
      </w:r>
      <w:r>
        <w:rPr>
          <w:rFonts w:hint="eastAsia" w:ascii="仿宋" w:hAnsi="仿宋" w:eastAsia="仿宋" w:cs="仿宋"/>
          <w:b/>
          <w:color w:val="000000"/>
          <w:sz w:val="28"/>
          <w:szCs w:val="28"/>
          <w:highlight w:val="none"/>
          <w:lang w:eastAsia="zh-CN"/>
        </w:rPr>
        <w:t>投标人</w:t>
      </w:r>
      <w:r>
        <w:rPr>
          <w:rFonts w:hint="eastAsia" w:ascii="仿宋" w:hAnsi="仿宋" w:eastAsia="仿宋" w:cs="仿宋"/>
          <w:b/>
          <w:color w:val="000000"/>
          <w:sz w:val="28"/>
          <w:szCs w:val="28"/>
          <w:highlight w:val="none"/>
        </w:rPr>
        <w:t>近三年同类项目业绩</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18"/>
        <w:gridCol w:w="1690"/>
        <w:gridCol w:w="1343"/>
        <w:gridCol w:w="1256"/>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序号</w:t>
            </w:r>
          </w:p>
        </w:tc>
        <w:tc>
          <w:tcPr>
            <w:tcW w:w="191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采购人</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货物名称、规格</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合同金额</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运行状况</w:t>
            </w:r>
          </w:p>
        </w:tc>
        <w:tc>
          <w:tcPr>
            <w:tcW w:w="233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履约情况、采购人评价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w:t>
            </w:r>
          </w:p>
        </w:tc>
        <w:tc>
          <w:tcPr>
            <w:tcW w:w="1918"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w:t>
            </w:r>
          </w:p>
        </w:tc>
        <w:tc>
          <w:tcPr>
            <w:tcW w:w="1918"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w:t>
            </w:r>
          </w:p>
        </w:tc>
        <w:tc>
          <w:tcPr>
            <w:tcW w:w="1918"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4</w:t>
            </w:r>
          </w:p>
        </w:tc>
        <w:tc>
          <w:tcPr>
            <w:tcW w:w="1918"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5</w:t>
            </w:r>
          </w:p>
        </w:tc>
        <w:tc>
          <w:tcPr>
            <w:tcW w:w="1918"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6</w:t>
            </w:r>
          </w:p>
        </w:tc>
        <w:tc>
          <w:tcPr>
            <w:tcW w:w="1918"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7</w:t>
            </w:r>
          </w:p>
        </w:tc>
        <w:tc>
          <w:tcPr>
            <w:tcW w:w="1918"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8</w:t>
            </w:r>
          </w:p>
        </w:tc>
        <w:tc>
          <w:tcPr>
            <w:tcW w:w="1918"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r>
    </w:tbl>
    <w:p>
      <w:pPr>
        <w:spacing w:line="360" w:lineRule="exact"/>
        <w:rPr>
          <w:rFonts w:hint="eastAsia" w:ascii="仿宋" w:hAnsi="仿宋" w:eastAsia="仿宋" w:cs="仿宋"/>
          <w:color w:val="000000"/>
          <w:sz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000000"/>
          <w:sz w:val="24"/>
          <w:szCs w:val="24"/>
          <w:highlight w:val="none"/>
          <w:lang w:val="en-US" w:eastAsia="zh-CN" w:bidi="ar-SA"/>
        </w:rPr>
      </w:pPr>
      <w:r>
        <w:rPr>
          <w:rFonts w:hint="eastAsia" w:ascii="仿宋" w:hAnsi="仿宋" w:eastAsia="仿宋" w:cs="仿宋"/>
          <w:b/>
          <w:color w:val="000000"/>
          <w:sz w:val="24"/>
          <w:szCs w:val="24"/>
          <w:highlight w:val="none"/>
          <w:lang w:val="en-US" w:eastAsia="zh-CN" w:bidi="ar-SA"/>
        </w:rPr>
        <w:t>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sz w:val="24"/>
          <w:szCs w:val="24"/>
          <w:highlight w:val="none"/>
          <w:lang w:val="en-US" w:eastAsia="zh-CN" w:bidi="ar-SA"/>
        </w:rPr>
      </w:pPr>
      <w:r>
        <w:rPr>
          <w:rFonts w:hint="eastAsia" w:ascii="仿宋" w:hAnsi="仿宋" w:eastAsia="仿宋" w:cs="仿宋"/>
          <w:b/>
          <w:bCs/>
          <w:color w:val="000000"/>
          <w:sz w:val="24"/>
          <w:szCs w:val="24"/>
          <w:highlight w:val="none"/>
          <w:lang w:val="en-US" w:eastAsia="zh-CN" w:bidi="ar-SA"/>
        </w:rPr>
        <w:t>1、所提供的近三年（投标截止之日起往前推算）业绩证明材料。</w:t>
      </w:r>
    </w:p>
    <w:p>
      <w:pPr>
        <w:spacing w:before="156" w:beforeLines="50" w:after="312" w:afterLines="100" w:line="440" w:lineRule="exact"/>
        <w:jc w:val="both"/>
        <w:rPr>
          <w:rFonts w:hint="eastAsia" w:ascii="仿宋" w:hAnsi="仿宋" w:eastAsia="仿宋" w:cs="仿宋"/>
          <w:b/>
          <w:bCs/>
          <w:color w:val="000000"/>
          <w:sz w:val="24"/>
          <w:szCs w:val="24"/>
          <w:highlight w:val="none"/>
          <w:lang w:val="en-US" w:eastAsia="zh-CN" w:bidi="ar-SA"/>
        </w:rPr>
      </w:pPr>
      <w:r>
        <w:rPr>
          <w:rFonts w:hint="eastAsia" w:ascii="仿宋" w:hAnsi="仿宋" w:eastAsia="仿宋" w:cs="仿宋"/>
          <w:b/>
          <w:bCs/>
          <w:color w:val="000000"/>
          <w:sz w:val="24"/>
          <w:szCs w:val="24"/>
          <w:highlight w:val="none"/>
          <w:lang w:val="en-US" w:eastAsia="zh-CN" w:bidi="ar-SA"/>
        </w:rPr>
        <w:t>2、业绩证明材料包括：中标通知书或合同（否则其业绩不予认可）。</w:t>
      </w:r>
    </w:p>
    <w:p>
      <w:pPr>
        <w:spacing w:before="156" w:beforeLines="50" w:after="312" w:afterLines="100" w:line="440" w:lineRule="exact"/>
        <w:jc w:val="center"/>
        <w:rPr>
          <w:rFonts w:hint="eastAsia" w:ascii="仿宋" w:hAnsi="仿宋" w:eastAsia="仿宋" w:cs="仿宋"/>
          <w:b/>
          <w:color w:val="auto"/>
          <w:sz w:val="32"/>
          <w:szCs w:val="30"/>
          <w:highlight w:val="none"/>
          <w:lang w:val="en-US" w:eastAsia="zh-CN"/>
        </w:rPr>
      </w:pPr>
    </w:p>
    <w:p>
      <w:pPr>
        <w:spacing w:before="156" w:beforeLines="50" w:after="312" w:afterLines="100" w:line="440" w:lineRule="exact"/>
        <w:jc w:val="center"/>
        <w:rPr>
          <w:rFonts w:hint="eastAsia" w:ascii="仿宋" w:hAnsi="仿宋" w:eastAsia="仿宋" w:cs="仿宋"/>
          <w:b/>
          <w:color w:val="auto"/>
          <w:sz w:val="32"/>
          <w:szCs w:val="30"/>
          <w:highlight w:val="none"/>
          <w:lang w:val="en-US" w:eastAsia="zh-CN"/>
        </w:rPr>
      </w:pPr>
    </w:p>
    <w:p>
      <w:pPr>
        <w:spacing w:before="156" w:beforeLines="50" w:after="312" w:afterLines="100" w:line="440" w:lineRule="exact"/>
        <w:jc w:val="center"/>
        <w:rPr>
          <w:rFonts w:hint="eastAsia" w:ascii="仿宋" w:hAnsi="仿宋" w:eastAsia="仿宋" w:cs="仿宋"/>
          <w:b/>
          <w:color w:val="auto"/>
          <w:sz w:val="32"/>
          <w:szCs w:val="30"/>
          <w:highlight w:val="none"/>
          <w:lang w:val="en-US" w:eastAsia="zh-CN"/>
        </w:rPr>
      </w:pPr>
    </w:p>
    <w:p>
      <w:pPr>
        <w:spacing w:before="156" w:beforeLines="50" w:after="312" w:afterLines="100" w:line="440" w:lineRule="exact"/>
        <w:jc w:val="center"/>
        <w:rPr>
          <w:rFonts w:hint="eastAsia" w:ascii="仿宋" w:hAnsi="仿宋" w:eastAsia="仿宋" w:cs="仿宋"/>
          <w:b/>
          <w:color w:val="auto"/>
          <w:sz w:val="32"/>
          <w:szCs w:val="30"/>
          <w:highlight w:val="none"/>
          <w:lang w:val="en-US" w:eastAsia="zh-CN"/>
        </w:rPr>
      </w:pPr>
    </w:p>
    <w:p>
      <w:pPr>
        <w:spacing w:before="156" w:beforeLines="50" w:after="312" w:afterLines="100" w:line="440" w:lineRule="exact"/>
        <w:jc w:val="center"/>
        <w:rPr>
          <w:rFonts w:hint="eastAsia" w:ascii="仿宋" w:hAnsi="仿宋" w:eastAsia="仿宋" w:cs="仿宋"/>
          <w:b/>
          <w:color w:val="auto"/>
          <w:sz w:val="32"/>
          <w:szCs w:val="30"/>
          <w:highlight w:val="none"/>
          <w:lang w:val="en-US" w:eastAsia="zh-CN"/>
        </w:rPr>
      </w:pPr>
    </w:p>
    <w:p>
      <w:pPr>
        <w:spacing w:before="156" w:beforeLines="50" w:after="312" w:afterLines="100" w:line="440" w:lineRule="exact"/>
        <w:jc w:val="center"/>
        <w:rPr>
          <w:rFonts w:hint="eastAsia" w:ascii="仿宋" w:hAnsi="仿宋" w:eastAsia="仿宋" w:cs="仿宋"/>
          <w:b/>
          <w:color w:val="auto"/>
          <w:sz w:val="32"/>
          <w:szCs w:val="30"/>
          <w:highlight w:val="none"/>
          <w:lang w:val="en-US" w:eastAsia="zh-CN"/>
        </w:rPr>
      </w:pPr>
    </w:p>
    <w:p>
      <w:pPr>
        <w:spacing w:before="156" w:beforeLines="50" w:after="312" w:afterLines="100" w:line="440" w:lineRule="exact"/>
        <w:jc w:val="center"/>
        <w:rPr>
          <w:rFonts w:hint="eastAsia" w:ascii="仿宋" w:hAnsi="仿宋" w:eastAsia="仿宋" w:cs="仿宋"/>
          <w:b/>
          <w:color w:val="auto"/>
          <w:sz w:val="32"/>
          <w:szCs w:val="30"/>
          <w:highlight w:val="none"/>
          <w:lang w:val="en-US" w:eastAsia="zh-CN"/>
        </w:rPr>
      </w:pPr>
    </w:p>
    <w:p>
      <w:pPr>
        <w:pStyle w:val="53"/>
        <w:rPr>
          <w:rFonts w:hint="eastAsia" w:ascii="仿宋" w:hAnsi="仿宋" w:eastAsia="仿宋" w:cs="仿宋"/>
          <w:highlight w:val="none"/>
          <w:lang w:val="en-US" w:eastAsia="zh-CN"/>
        </w:rPr>
      </w:pPr>
    </w:p>
    <w:p>
      <w:pPr>
        <w:spacing w:before="156" w:beforeLines="50" w:after="312" w:afterLines="100" w:line="440" w:lineRule="exact"/>
        <w:jc w:val="center"/>
        <w:rPr>
          <w:rFonts w:hint="eastAsia" w:ascii="仿宋" w:hAnsi="仿宋" w:eastAsia="仿宋" w:cs="仿宋"/>
          <w:b/>
          <w:color w:val="auto"/>
          <w:sz w:val="32"/>
          <w:szCs w:val="30"/>
          <w:highlight w:val="none"/>
          <w:lang w:val="en-US" w:eastAsia="zh-CN"/>
        </w:rPr>
      </w:pPr>
    </w:p>
    <w:p>
      <w:pPr>
        <w:spacing w:before="156" w:beforeLines="50" w:after="312" w:afterLines="100" w:line="440" w:lineRule="exact"/>
        <w:jc w:val="center"/>
        <w:rPr>
          <w:rFonts w:hint="eastAsia" w:ascii="仿宋" w:hAnsi="仿宋" w:eastAsia="仿宋" w:cs="仿宋"/>
          <w:b/>
          <w:color w:val="auto"/>
          <w:sz w:val="32"/>
          <w:szCs w:val="30"/>
          <w:highlight w:val="none"/>
        </w:rPr>
      </w:pPr>
      <w:r>
        <w:rPr>
          <w:rFonts w:hint="eastAsia" w:ascii="仿宋" w:hAnsi="仿宋" w:eastAsia="仿宋" w:cs="仿宋"/>
          <w:b/>
          <w:color w:val="auto"/>
          <w:sz w:val="32"/>
          <w:szCs w:val="30"/>
          <w:highlight w:val="none"/>
          <w:lang w:val="en-US" w:eastAsia="zh-CN"/>
        </w:rPr>
        <w:t>十一、</w:t>
      </w:r>
      <w:r>
        <w:rPr>
          <w:rFonts w:hint="eastAsia" w:ascii="仿宋" w:hAnsi="仿宋" w:eastAsia="仿宋" w:cs="仿宋"/>
          <w:b/>
          <w:color w:val="auto"/>
          <w:sz w:val="32"/>
          <w:szCs w:val="30"/>
          <w:highlight w:val="none"/>
        </w:rPr>
        <w:t>投标人基本情况表</w:t>
      </w:r>
    </w:p>
    <w:tbl>
      <w:tblPr>
        <w:tblStyle w:val="44"/>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753"/>
        <w:gridCol w:w="2063"/>
        <w:gridCol w:w="1870"/>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628" w:type="dxa"/>
            <w:vMerge w:val="restart"/>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w:t>
            </w:r>
          </w:p>
          <w:p>
            <w:pPr>
              <w:spacing w:after="60" w:afterLines="25" w:line="360" w:lineRule="exact"/>
              <w:jc w:val="center"/>
              <w:rPr>
                <w:rFonts w:hint="eastAsia" w:ascii="仿宋" w:hAnsi="仿宋" w:eastAsia="仿宋" w:cs="仿宋"/>
                <w:color w:val="auto"/>
                <w:sz w:val="24"/>
                <w:szCs w:val="24"/>
                <w:highlight w:val="none"/>
              </w:rPr>
            </w:pPr>
          </w:p>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w:t>
            </w:r>
          </w:p>
          <w:p>
            <w:pPr>
              <w:spacing w:after="60" w:afterLines="25" w:line="360" w:lineRule="exact"/>
              <w:jc w:val="center"/>
              <w:rPr>
                <w:rFonts w:hint="eastAsia" w:ascii="仿宋" w:hAnsi="仿宋" w:eastAsia="仿宋" w:cs="仿宋"/>
                <w:color w:val="auto"/>
                <w:sz w:val="24"/>
                <w:szCs w:val="24"/>
                <w:highlight w:val="none"/>
              </w:rPr>
            </w:pPr>
          </w:p>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w:t>
            </w:r>
          </w:p>
          <w:p>
            <w:pPr>
              <w:spacing w:after="60" w:afterLines="25" w:line="360" w:lineRule="exact"/>
              <w:jc w:val="center"/>
              <w:rPr>
                <w:rFonts w:hint="eastAsia" w:ascii="仿宋" w:hAnsi="仿宋" w:eastAsia="仿宋" w:cs="仿宋"/>
                <w:color w:val="auto"/>
                <w:sz w:val="24"/>
                <w:szCs w:val="24"/>
                <w:highlight w:val="none"/>
              </w:rPr>
            </w:pPr>
          </w:p>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概</w:t>
            </w:r>
          </w:p>
          <w:p>
            <w:pPr>
              <w:spacing w:after="60" w:afterLines="25" w:line="360" w:lineRule="exact"/>
              <w:jc w:val="center"/>
              <w:rPr>
                <w:rFonts w:hint="eastAsia" w:ascii="仿宋" w:hAnsi="仿宋" w:eastAsia="仿宋" w:cs="仿宋"/>
                <w:color w:val="auto"/>
                <w:sz w:val="24"/>
                <w:szCs w:val="24"/>
                <w:highlight w:val="none"/>
              </w:rPr>
            </w:pPr>
          </w:p>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况</w:t>
            </w:r>
          </w:p>
        </w:tc>
        <w:tc>
          <w:tcPr>
            <w:tcW w:w="1753"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公司名称</w:t>
            </w:r>
          </w:p>
        </w:tc>
        <w:tc>
          <w:tcPr>
            <w:tcW w:w="6618" w:type="dxa"/>
            <w:gridSpan w:val="3"/>
            <w:noWrap w:val="0"/>
            <w:vAlign w:val="center"/>
          </w:tcPr>
          <w:p>
            <w:pPr>
              <w:spacing w:after="60" w:afterLines="25" w:line="36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628" w:type="dxa"/>
            <w:vMerge w:val="continue"/>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753"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tc>
        <w:tc>
          <w:tcPr>
            <w:tcW w:w="6618" w:type="dxa"/>
            <w:gridSpan w:val="3"/>
            <w:noWrap w:val="0"/>
            <w:vAlign w:val="center"/>
          </w:tcPr>
          <w:p>
            <w:pPr>
              <w:spacing w:after="60" w:afterLines="25" w:line="36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8" w:type="dxa"/>
            <w:vMerge w:val="continue"/>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753"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w:t>
            </w:r>
          </w:p>
        </w:tc>
        <w:tc>
          <w:tcPr>
            <w:tcW w:w="6618" w:type="dxa"/>
            <w:gridSpan w:val="3"/>
            <w:noWrap w:val="0"/>
            <w:vAlign w:val="center"/>
          </w:tcPr>
          <w:p>
            <w:pPr>
              <w:spacing w:after="60" w:afterLines="25" w:line="36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628" w:type="dxa"/>
            <w:vMerge w:val="continue"/>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753"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w:t>
            </w:r>
          </w:p>
        </w:tc>
        <w:tc>
          <w:tcPr>
            <w:tcW w:w="2063"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870"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经济性质</w:t>
            </w:r>
          </w:p>
        </w:tc>
        <w:tc>
          <w:tcPr>
            <w:tcW w:w="2685"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628" w:type="dxa"/>
            <w:vMerge w:val="continue"/>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753"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2063"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870"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2685"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628" w:type="dxa"/>
            <w:vMerge w:val="continue"/>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753"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w:t>
            </w:r>
          </w:p>
        </w:tc>
        <w:tc>
          <w:tcPr>
            <w:tcW w:w="2063"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870"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技术人员数</w:t>
            </w:r>
          </w:p>
        </w:tc>
        <w:tc>
          <w:tcPr>
            <w:tcW w:w="2685"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28" w:type="dxa"/>
            <w:vMerge w:val="continue"/>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753"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资产总额</w:t>
            </w:r>
          </w:p>
        </w:tc>
        <w:tc>
          <w:tcPr>
            <w:tcW w:w="2063"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870"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净资产</w:t>
            </w:r>
          </w:p>
        </w:tc>
        <w:tc>
          <w:tcPr>
            <w:tcW w:w="2685"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628" w:type="dxa"/>
            <w:vMerge w:val="continue"/>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753"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工商登记号</w:t>
            </w:r>
          </w:p>
        </w:tc>
        <w:tc>
          <w:tcPr>
            <w:tcW w:w="2063"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870"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税务登记号</w:t>
            </w:r>
          </w:p>
        </w:tc>
        <w:tc>
          <w:tcPr>
            <w:tcW w:w="2685"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628" w:type="dxa"/>
            <w:vMerge w:val="continue"/>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753"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是否依法纳税</w:t>
            </w:r>
          </w:p>
        </w:tc>
        <w:tc>
          <w:tcPr>
            <w:tcW w:w="2063"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870"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是否参加社保</w:t>
            </w:r>
          </w:p>
        </w:tc>
        <w:tc>
          <w:tcPr>
            <w:tcW w:w="2685"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trPr>
        <w:tc>
          <w:tcPr>
            <w:tcW w:w="628" w:type="dxa"/>
            <w:vMerge w:val="continue"/>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753"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近三年公司</w:t>
            </w:r>
          </w:p>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业绩、信誉</w:t>
            </w:r>
          </w:p>
        </w:tc>
        <w:tc>
          <w:tcPr>
            <w:tcW w:w="6618" w:type="dxa"/>
            <w:gridSpan w:val="3"/>
            <w:noWrap w:val="0"/>
            <w:vAlign w:val="center"/>
          </w:tcPr>
          <w:p>
            <w:pPr>
              <w:spacing w:after="60" w:afterLines="25"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合同总额：     万元，合同履行情况：</w:t>
            </w:r>
          </w:p>
          <w:p>
            <w:pPr>
              <w:spacing w:after="60" w:afterLines="25" w:line="360" w:lineRule="exact"/>
              <w:jc w:val="center"/>
              <w:rPr>
                <w:rFonts w:hint="eastAsia" w:ascii="仿宋" w:hAnsi="仿宋" w:eastAsia="仿宋" w:cs="仿宋"/>
                <w:color w:val="auto"/>
                <w:sz w:val="24"/>
                <w:szCs w:val="24"/>
                <w:highlight w:val="none"/>
              </w:rPr>
            </w:pPr>
          </w:p>
          <w:p>
            <w:pPr>
              <w:spacing w:after="60" w:afterLines="25" w:line="36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9" w:hRule="atLeast"/>
        </w:trPr>
        <w:tc>
          <w:tcPr>
            <w:tcW w:w="628" w:type="dxa"/>
            <w:vMerge w:val="continue"/>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8371" w:type="dxa"/>
            <w:gridSpan w:val="4"/>
            <w:noWrap w:val="0"/>
            <w:vAlign w:val="top"/>
          </w:tcPr>
          <w:p>
            <w:pPr>
              <w:spacing w:after="60" w:afterLines="25"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单位优势及特点：</w:t>
            </w:r>
          </w:p>
        </w:tc>
      </w:tr>
    </w:tbl>
    <w:p>
      <w:pPr>
        <w:pStyle w:val="39"/>
        <w:spacing w:before="0" w:beforeAutospacing="0" w:after="0" w:afterAutospacing="0"/>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说明：本表后应附有</w:t>
      </w:r>
      <w:r>
        <w:rPr>
          <w:rFonts w:hint="eastAsia" w:ascii="仿宋" w:hAnsi="仿宋" w:eastAsia="仿宋" w:cs="仿宋"/>
          <w:snapToGrid w:val="0"/>
          <w:color w:val="auto"/>
          <w:highlight w:val="none"/>
          <w:lang w:val="en-US" w:eastAsia="zh-CN"/>
        </w:rPr>
        <w:t>投标人营业执照、</w:t>
      </w:r>
      <w:r>
        <w:rPr>
          <w:rFonts w:hint="eastAsia" w:ascii="仿宋" w:hAnsi="仿宋" w:eastAsia="仿宋" w:cs="仿宋"/>
          <w:snapToGrid w:val="0"/>
          <w:color w:val="auto"/>
          <w:highlight w:val="none"/>
        </w:rPr>
        <w:t>单位简介。</w:t>
      </w:r>
    </w:p>
    <w:p>
      <w:pPr>
        <w:snapToGrid w:val="0"/>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投标单位名称（单位公章）：                         </w:t>
      </w:r>
    </w:p>
    <w:p>
      <w:pPr>
        <w:spacing w:line="360" w:lineRule="auto"/>
        <w:ind w:firstLine="480"/>
        <w:rPr>
          <w:rFonts w:hint="eastAsia" w:ascii="仿宋" w:hAnsi="仿宋" w:eastAsia="仿宋" w:cs="仿宋"/>
          <w:color w:val="auto"/>
          <w:sz w:val="24"/>
          <w:highlight w:val="none"/>
        </w:rPr>
      </w:pP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法定代表人或其授权委托人（签字或盖章）：</w:t>
      </w: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spacing w:line="440" w:lineRule="exact"/>
        <w:ind w:firstLine="562" w:firstLineChars="200"/>
        <w:rPr>
          <w:rFonts w:hint="eastAsia" w:ascii="仿宋" w:hAnsi="仿宋" w:eastAsia="仿宋" w:cs="仿宋"/>
          <w:b/>
          <w:bCs/>
          <w:color w:val="auto"/>
          <w:kern w:val="2"/>
          <w:sz w:val="28"/>
          <w:szCs w:val="32"/>
          <w:highlight w:val="none"/>
          <w:lang w:val="en-US" w:eastAsia="zh-CN" w:bidi="ar-SA"/>
        </w:rPr>
      </w:pPr>
    </w:p>
    <w:p>
      <w:pPr>
        <w:spacing w:line="360" w:lineRule="auto"/>
        <w:rPr>
          <w:rFonts w:hint="eastAsia" w:ascii="仿宋" w:hAnsi="仿宋" w:eastAsia="仿宋" w:cs="仿宋"/>
          <w:color w:val="auto"/>
          <w:sz w:val="24"/>
          <w:highlight w:val="none"/>
        </w:rPr>
      </w:pPr>
    </w:p>
    <w:p>
      <w:pPr>
        <w:spacing w:line="360" w:lineRule="auto"/>
        <w:ind w:firstLine="562" w:firstLineChars="200"/>
        <w:jc w:val="center"/>
        <w:rPr>
          <w:rFonts w:hint="eastAsia" w:ascii="仿宋" w:hAnsi="仿宋" w:eastAsia="仿宋" w:cs="仿宋"/>
          <w:b/>
          <w:bCs/>
          <w:color w:val="auto"/>
          <w:kern w:val="2"/>
          <w:sz w:val="28"/>
          <w:szCs w:val="32"/>
          <w:highlight w:val="none"/>
          <w:lang w:val="en-US" w:eastAsia="zh-CN" w:bidi="ar-SA"/>
        </w:rPr>
        <w:sectPr>
          <w:headerReference r:id="rId13" w:type="default"/>
          <w:footerReference r:id="rId14" w:type="default"/>
          <w:pgSz w:w="11905" w:h="16838"/>
          <w:pgMar w:top="1140" w:right="1202" w:bottom="1162" w:left="1219" w:header="851" w:footer="992" w:gutter="0"/>
          <w:pgBorders>
            <w:top w:val="none" w:sz="0" w:space="0"/>
            <w:left w:val="none" w:sz="0" w:space="0"/>
            <w:bottom w:val="none" w:sz="0" w:space="0"/>
            <w:right w:val="none" w:sz="0" w:space="0"/>
          </w:pgBorders>
          <w:pgNumType w:fmt="decimal"/>
          <w:cols w:space="720" w:num="1"/>
          <w:docGrid w:type="lines" w:linePitch="316" w:charSpace="0"/>
        </w:sectPr>
      </w:pPr>
    </w:p>
    <w:p>
      <w:pPr>
        <w:pStyle w:val="62"/>
        <w:numPr>
          <w:ilvl w:val="0"/>
          <w:numId w:val="0"/>
        </w:numPr>
        <w:tabs>
          <w:tab w:val="left" w:pos="540"/>
          <w:tab w:val="left" w:pos="1080"/>
        </w:tabs>
        <w:jc w:val="center"/>
        <w:rPr>
          <w:rFonts w:hint="eastAsia" w:ascii="仿宋" w:hAnsi="仿宋" w:eastAsia="仿宋" w:cs="仿宋"/>
          <w:b/>
          <w:color w:val="auto"/>
          <w:kern w:val="2"/>
          <w:sz w:val="30"/>
          <w:szCs w:val="30"/>
          <w:highlight w:val="none"/>
          <w:lang w:val="en-US" w:eastAsia="zh-CN" w:bidi="ar-SA"/>
        </w:rPr>
      </w:pPr>
      <w:r>
        <w:rPr>
          <w:rFonts w:hint="eastAsia" w:ascii="仿宋" w:hAnsi="仿宋" w:eastAsia="仿宋" w:cs="仿宋"/>
          <w:b/>
          <w:color w:val="auto"/>
          <w:kern w:val="2"/>
          <w:sz w:val="30"/>
          <w:szCs w:val="30"/>
          <w:highlight w:val="none"/>
          <w:lang w:val="en-US" w:eastAsia="zh-CN" w:bidi="ar-SA"/>
        </w:rPr>
        <w:t>十二、质量保证书</w:t>
      </w:r>
    </w:p>
    <w:p>
      <w:pPr>
        <w:pStyle w:val="62"/>
        <w:numPr>
          <w:ilvl w:val="0"/>
          <w:numId w:val="0"/>
        </w:numPr>
        <w:tabs>
          <w:tab w:val="left" w:pos="540"/>
          <w:tab w:val="left" w:pos="1080"/>
        </w:tabs>
        <w:jc w:val="both"/>
        <w:rPr>
          <w:rFonts w:hint="eastAsia" w:ascii="仿宋" w:hAnsi="仿宋" w:eastAsia="仿宋" w:cs="仿宋"/>
          <w:b/>
          <w:bCs/>
          <w:color w:val="auto"/>
          <w:sz w:val="28"/>
          <w:szCs w:val="28"/>
          <w:highlight w:val="none"/>
        </w:rPr>
      </w:pPr>
    </w:p>
    <w:p>
      <w:pPr>
        <w:pStyle w:val="21"/>
        <w:widowControl w:val="0"/>
        <w:numPr>
          <w:ilvl w:val="0"/>
          <w:numId w:val="0"/>
        </w:numPr>
        <w:autoSpaceDE w:val="0"/>
        <w:autoSpaceDN w:val="0"/>
        <w:adjustRightInd w:val="0"/>
        <w:jc w:val="center"/>
        <w:rPr>
          <w:rFonts w:hint="eastAsia" w:ascii="仿宋" w:hAnsi="仿宋" w:eastAsia="仿宋" w:cs="仿宋"/>
          <w:color w:val="auto"/>
          <w:highlight w:val="none"/>
          <w:lang w:val="en-US" w:eastAsia="zh-CN"/>
        </w:rPr>
      </w:pPr>
      <w:r>
        <w:rPr>
          <w:rFonts w:hint="eastAsia" w:ascii="仿宋" w:hAnsi="仿宋" w:eastAsia="仿宋" w:cs="仿宋"/>
          <w:b/>
          <w:bCs/>
          <w:color w:val="auto"/>
          <w:sz w:val="32"/>
          <w:szCs w:val="32"/>
          <w:highlight w:val="none"/>
          <w:lang w:val="en-US" w:eastAsia="zh-CN"/>
        </w:rPr>
        <w:t>格式自拟</w:t>
      </w:r>
    </w:p>
    <w:p>
      <w:pPr>
        <w:pStyle w:val="62"/>
        <w:numPr>
          <w:ilvl w:val="0"/>
          <w:numId w:val="0"/>
        </w:numPr>
        <w:tabs>
          <w:tab w:val="left" w:pos="540"/>
          <w:tab w:val="left" w:pos="1080"/>
        </w:tabs>
        <w:jc w:val="both"/>
        <w:rPr>
          <w:rFonts w:hint="eastAsia" w:ascii="仿宋" w:hAnsi="仿宋" w:eastAsia="仿宋" w:cs="仿宋"/>
          <w:b/>
          <w:bCs/>
          <w:color w:val="auto"/>
          <w:sz w:val="28"/>
          <w:szCs w:val="28"/>
          <w:highlight w:val="none"/>
        </w:rPr>
      </w:pPr>
    </w:p>
    <w:p>
      <w:pPr>
        <w:pStyle w:val="62"/>
        <w:numPr>
          <w:ilvl w:val="0"/>
          <w:numId w:val="0"/>
        </w:numPr>
        <w:tabs>
          <w:tab w:val="left" w:pos="540"/>
          <w:tab w:val="left" w:pos="1080"/>
        </w:tabs>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要求：</w:t>
      </w:r>
    </w:p>
    <w:p>
      <w:pPr>
        <w:pStyle w:val="62"/>
        <w:numPr>
          <w:ilvl w:val="0"/>
          <w:numId w:val="0"/>
        </w:numPr>
        <w:tabs>
          <w:tab w:val="left" w:pos="540"/>
          <w:tab w:val="left" w:pos="1080"/>
        </w:tabs>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1、未发生产品质量事故和用户使用的事故;</w:t>
      </w:r>
    </w:p>
    <w:p>
      <w:pPr>
        <w:pStyle w:val="62"/>
        <w:numPr>
          <w:ilvl w:val="0"/>
          <w:numId w:val="0"/>
        </w:numPr>
        <w:tabs>
          <w:tab w:val="left" w:pos="540"/>
          <w:tab w:val="left" w:pos="1080"/>
        </w:tabs>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2、保证产品各项指数符合招标文件要求，不发生质量问题等。</w:t>
      </w:r>
    </w:p>
    <w:p>
      <w:pPr>
        <w:pStyle w:val="62"/>
        <w:numPr>
          <w:ilvl w:val="0"/>
          <w:numId w:val="0"/>
        </w:numPr>
        <w:tabs>
          <w:tab w:val="left" w:pos="540"/>
          <w:tab w:val="left" w:pos="1080"/>
        </w:tabs>
        <w:jc w:val="both"/>
        <w:rPr>
          <w:rFonts w:hint="eastAsia" w:ascii="仿宋" w:hAnsi="仿宋" w:eastAsia="仿宋" w:cs="仿宋"/>
          <w:color w:val="auto"/>
          <w:kern w:val="2"/>
          <w:sz w:val="24"/>
          <w:szCs w:val="24"/>
          <w:highlight w:val="none"/>
          <w:lang w:val="en-US" w:eastAsia="zh-CN" w:bidi="ar-SA"/>
        </w:rPr>
      </w:pPr>
    </w:p>
    <w:p>
      <w:pPr>
        <w:spacing w:line="360" w:lineRule="auto"/>
        <w:jc w:val="both"/>
        <w:rPr>
          <w:rFonts w:hint="eastAsia" w:ascii="仿宋" w:hAnsi="仿宋" w:eastAsia="仿宋" w:cs="仿宋"/>
          <w:color w:val="auto"/>
          <w:sz w:val="24"/>
          <w:highlight w:val="none"/>
        </w:rPr>
      </w:pPr>
    </w:p>
    <w:p>
      <w:pPr>
        <w:spacing w:line="360" w:lineRule="auto"/>
        <w:jc w:val="both"/>
        <w:rPr>
          <w:rFonts w:hint="eastAsia" w:ascii="仿宋" w:hAnsi="仿宋" w:eastAsia="仿宋" w:cs="仿宋"/>
          <w:color w:val="auto"/>
          <w:sz w:val="24"/>
          <w:highlight w:val="none"/>
        </w:rPr>
      </w:pPr>
    </w:p>
    <w:p>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jc w:val="right"/>
        <w:rPr>
          <w:rFonts w:hint="eastAsia" w:ascii="仿宋" w:hAnsi="仿宋" w:eastAsia="仿宋" w:cs="仿宋"/>
          <w:color w:val="auto"/>
          <w:sz w:val="24"/>
          <w:highlight w:val="none"/>
        </w:rPr>
      </w:pPr>
    </w:p>
    <w:p>
      <w:pPr>
        <w:spacing w:line="440" w:lineRule="exact"/>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jc w:val="right"/>
        <w:rPr>
          <w:rFonts w:hint="eastAsia" w:ascii="仿宋" w:hAnsi="仿宋" w:eastAsia="仿宋" w:cs="仿宋"/>
          <w:color w:val="auto"/>
          <w:sz w:val="24"/>
          <w:highlight w:val="none"/>
        </w:rPr>
      </w:pPr>
    </w:p>
    <w:p>
      <w:pPr>
        <w:spacing w:line="360" w:lineRule="auto"/>
        <w:ind w:firstLine="480" w:firstLineChars="200"/>
        <w:jc w:val="right"/>
        <w:rPr>
          <w:rFonts w:hint="eastAsia" w:ascii="仿宋" w:hAnsi="仿宋" w:eastAsia="仿宋" w:cs="仿宋"/>
          <w:color w:val="auto"/>
          <w:kern w:val="0"/>
          <w:sz w:val="28"/>
          <w:highlight w:val="none"/>
        </w:rPr>
      </w:pPr>
      <w:r>
        <w:rPr>
          <w:rFonts w:hint="eastAsia" w:ascii="仿宋" w:hAnsi="仿宋" w:eastAsia="仿宋" w:cs="仿宋"/>
          <w:color w:val="auto"/>
          <w:sz w:val="24"/>
          <w:highlight w:val="none"/>
        </w:rPr>
        <w:t>年   月   日</w:t>
      </w:r>
    </w:p>
    <w:p>
      <w:pPr>
        <w:pStyle w:val="21"/>
        <w:widowControl w:val="0"/>
        <w:numPr>
          <w:ilvl w:val="0"/>
          <w:numId w:val="0"/>
        </w:numPr>
        <w:autoSpaceDE w:val="0"/>
        <w:autoSpaceDN w:val="0"/>
        <w:adjustRightInd w:val="0"/>
        <w:jc w:val="right"/>
        <w:rPr>
          <w:rFonts w:hint="eastAsia" w:ascii="仿宋" w:hAnsi="仿宋" w:eastAsia="仿宋" w:cs="仿宋"/>
          <w:color w:val="auto"/>
          <w:highlight w:val="none"/>
          <w:lang w:val="en-US" w:eastAsia="zh-CN"/>
        </w:rPr>
      </w:pPr>
    </w:p>
    <w:p>
      <w:pPr>
        <w:numPr>
          <w:ilvl w:val="0"/>
          <w:numId w:val="0"/>
        </w:numPr>
        <w:adjustRightInd w:val="0"/>
        <w:spacing w:line="360" w:lineRule="auto"/>
        <w:jc w:val="center"/>
        <w:rPr>
          <w:rFonts w:hint="eastAsia" w:ascii="仿宋" w:hAnsi="仿宋" w:eastAsia="仿宋" w:cs="仿宋"/>
          <w:b/>
          <w:color w:val="auto"/>
          <w:sz w:val="30"/>
          <w:szCs w:val="30"/>
          <w:highlight w:val="none"/>
          <w:lang w:val="en-US" w:eastAsia="zh-CN"/>
        </w:rPr>
      </w:pPr>
    </w:p>
    <w:p>
      <w:pPr>
        <w:numPr>
          <w:ilvl w:val="0"/>
          <w:numId w:val="0"/>
        </w:numPr>
        <w:adjustRightInd w:val="0"/>
        <w:spacing w:line="360" w:lineRule="auto"/>
        <w:jc w:val="center"/>
        <w:rPr>
          <w:rFonts w:hint="eastAsia" w:ascii="仿宋" w:hAnsi="仿宋" w:eastAsia="仿宋" w:cs="仿宋"/>
          <w:b/>
          <w:color w:val="auto"/>
          <w:sz w:val="30"/>
          <w:szCs w:val="30"/>
          <w:highlight w:val="none"/>
          <w:lang w:val="en-US" w:eastAsia="zh-CN"/>
        </w:rPr>
      </w:pPr>
    </w:p>
    <w:p>
      <w:pPr>
        <w:numPr>
          <w:ilvl w:val="0"/>
          <w:numId w:val="0"/>
        </w:numPr>
        <w:adjustRightInd w:val="0"/>
        <w:spacing w:line="360" w:lineRule="auto"/>
        <w:jc w:val="center"/>
        <w:rPr>
          <w:rFonts w:hint="eastAsia" w:ascii="仿宋" w:hAnsi="仿宋" w:eastAsia="仿宋" w:cs="仿宋"/>
          <w:b/>
          <w:color w:val="auto"/>
          <w:sz w:val="30"/>
          <w:szCs w:val="30"/>
          <w:highlight w:val="none"/>
          <w:lang w:val="en-US" w:eastAsia="zh-CN"/>
        </w:rPr>
      </w:pPr>
    </w:p>
    <w:p>
      <w:pPr>
        <w:pStyle w:val="5"/>
        <w:outlineLvl w:val="9"/>
        <w:rPr>
          <w:rFonts w:hint="eastAsia" w:ascii="仿宋" w:hAnsi="仿宋" w:eastAsia="仿宋" w:cs="仿宋"/>
          <w:b/>
          <w:color w:val="auto"/>
          <w:sz w:val="30"/>
          <w:szCs w:val="30"/>
          <w:highlight w:val="none"/>
          <w:lang w:val="en-US" w:eastAsia="zh-CN"/>
        </w:rPr>
      </w:pPr>
    </w:p>
    <w:p>
      <w:pPr>
        <w:rPr>
          <w:rFonts w:hint="eastAsia" w:ascii="仿宋" w:hAnsi="仿宋" w:eastAsia="仿宋" w:cs="仿宋"/>
          <w:b/>
          <w:color w:val="auto"/>
          <w:sz w:val="30"/>
          <w:szCs w:val="30"/>
          <w:highlight w:val="none"/>
          <w:lang w:val="en-US" w:eastAsia="zh-CN"/>
        </w:rPr>
      </w:pPr>
    </w:p>
    <w:p>
      <w:pPr>
        <w:pStyle w:val="5"/>
        <w:outlineLvl w:val="9"/>
        <w:rPr>
          <w:rFonts w:hint="eastAsia" w:ascii="仿宋" w:hAnsi="仿宋" w:eastAsia="仿宋" w:cs="仿宋"/>
          <w:b/>
          <w:color w:val="auto"/>
          <w:sz w:val="30"/>
          <w:szCs w:val="30"/>
          <w:highlight w:val="none"/>
          <w:lang w:val="en-US" w:eastAsia="zh-CN"/>
        </w:rPr>
      </w:pPr>
    </w:p>
    <w:p>
      <w:pPr>
        <w:rPr>
          <w:rFonts w:hint="eastAsia" w:ascii="仿宋" w:hAnsi="仿宋" w:eastAsia="仿宋" w:cs="仿宋"/>
          <w:b/>
          <w:color w:val="auto"/>
          <w:sz w:val="30"/>
          <w:szCs w:val="30"/>
          <w:highlight w:val="none"/>
          <w:lang w:val="en-US" w:eastAsia="zh-CN"/>
        </w:rPr>
      </w:pPr>
    </w:p>
    <w:p>
      <w:pPr>
        <w:pStyle w:val="2"/>
        <w:rPr>
          <w:rFonts w:hint="eastAsia" w:ascii="仿宋" w:hAnsi="仿宋" w:eastAsia="仿宋" w:cs="仿宋"/>
          <w:b/>
          <w:color w:val="auto"/>
          <w:sz w:val="30"/>
          <w:szCs w:val="30"/>
          <w:highlight w:val="none"/>
          <w:lang w:val="en-US" w:eastAsia="zh-CN"/>
        </w:rPr>
      </w:pPr>
    </w:p>
    <w:p>
      <w:pPr>
        <w:rPr>
          <w:rFonts w:hint="eastAsia" w:ascii="仿宋" w:hAnsi="仿宋" w:eastAsia="仿宋" w:cs="仿宋"/>
          <w:b/>
          <w:color w:val="auto"/>
          <w:sz w:val="30"/>
          <w:szCs w:val="30"/>
          <w:highlight w:val="none"/>
          <w:lang w:val="en-US" w:eastAsia="zh-CN"/>
        </w:rPr>
      </w:pPr>
    </w:p>
    <w:p>
      <w:pPr>
        <w:pStyle w:val="2"/>
        <w:rPr>
          <w:rFonts w:hint="eastAsia" w:ascii="仿宋" w:hAnsi="仿宋" w:eastAsia="仿宋" w:cs="仿宋"/>
          <w:b/>
          <w:color w:val="auto"/>
          <w:sz w:val="30"/>
          <w:szCs w:val="30"/>
          <w:highlight w:val="none"/>
          <w:lang w:val="en-US" w:eastAsia="zh-CN"/>
        </w:rPr>
      </w:pPr>
    </w:p>
    <w:p>
      <w:pPr>
        <w:rPr>
          <w:rFonts w:hint="eastAsia" w:ascii="仿宋" w:hAnsi="仿宋" w:eastAsia="仿宋" w:cs="仿宋"/>
          <w:b/>
          <w:color w:val="auto"/>
          <w:sz w:val="30"/>
          <w:szCs w:val="30"/>
          <w:highlight w:val="none"/>
          <w:lang w:val="en-US" w:eastAsia="zh-CN"/>
        </w:rPr>
      </w:pPr>
    </w:p>
    <w:p>
      <w:pPr>
        <w:pStyle w:val="2"/>
        <w:rPr>
          <w:rFonts w:hint="eastAsia" w:ascii="仿宋" w:hAnsi="仿宋" w:eastAsia="仿宋" w:cs="仿宋"/>
          <w:b/>
          <w:color w:val="auto"/>
          <w:sz w:val="30"/>
          <w:szCs w:val="30"/>
          <w:highlight w:val="none"/>
          <w:lang w:val="en-US" w:eastAsia="zh-CN"/>
        </w:rPr>
      </w:pPr>
    </w:p>
    <w:p>
      <w:pPr>
        <w:rPr>
          <w:rFonts w:hint="eastAsia" w:ascii="仿宋" w:hAnsi="仿宋" w:eastAsia="仿宋" w:cs="仿宋"/>
          <w:b/>
          <w:color w:val="auto"/>
          <w:sz w:val="30"/>
          <w:szCs w:val="30"/>
          <w:highlight w:val="none"/>
          <w:lang w:val="en-US" w:eastAsia="zh-CN"/>
        </w:rPr>
      </w:pPr>
    </w:p>
    <w:p>
      <w:pPr>
        <w:pStyle w:val="53"/>
        <w:rPr>
          <w:rFonts w:hint="eastAsia" w:ascii="仿宋" w:hAnsi="仿宋" w:eastAsia="仿宋" w:cs="仿宋"/>
          <w:lang w:val="en-US" w:eastAsia="zh-CN"/>
        </w:rPr>
      </w:pPr>
    </w:p>
    <w:p>
      <w:pPr>
        <w:rPr>
          <w:rFonts w:hint="eastAsia" w:ascii="仿宋" w:hAnsi="仿宋" w:eastAsia="仿宋" w:cs="仿宋"/>
          <w:b/>
          <w:color w:val="auto"/>
          <w:sz w:val="30"/>
          <w:szCs w:val="30"/>
          <w:highlight w:val="none"/>
          <w:lang w:val="en-US" w:eastAsia="zh-CN"/>
        </w:rPr>
      </w:pPr>
    </w:p>
    <w:p>
      <w:pPr>
        <w:pStyle w:val="2"/>
        <w:overflowPunct w:val="0"/>
        <w:ind w:firstLine="0"/>
        <w:jc w:val="center"/>
        <w:rPr>
          <w:rFonts w:hint="eastAsia" w:ascii="仿宋" w:hAnsi="仿宋" w:eastAsia="仿宋" w:cs="仿宋"/>
          <w:b/>
          <w:color w:val="auto"/>
          <w:kern w:val="2"/>
          <w:sz w:val="30"/>
          <w:szCs w:val="30"/>
          <w:highlight w:val="none"/>
          <w:lang w:val="en-US" w:eastAsia="zh-CN" w:bidi="ar-SA"/>
        </w:rPr>
      </w:pPr>
      <w:r>
        <w:rPr>
          <w:rFonts w:hint="eastAsia" w:ascii="仿宋" w:hAnsi="仿宋" w:eastAsia="仿宋" w:cs="仿宋"/>
          <w:b/>
          <w:color w:val="auto"/>
          <w:kern w:val="2"/>
          <w:sz w:val="30"/>
          <w:szCs w:val="30"/>
          <w:highlight w:val="none"/>
          <w:lang w:val="en-US" w:eastAsia="zh-CN" w:bidi="ar-SA"/>
        </w:rPr>
        <w:t>十三、售后货物承诺书</w:t>
      </w:r>
    </w:p>
    <w:p>
      <w:pPr>
        <w:rPr>
          <w:rFonts w:hint="eastAsia" w:ascii="仿宋" w:hAnsi="仿宋" w:eastAsia="仿宋" w:cs="仿宋"/>
          <w:color w:val="auto"/>
          <w:highlight w:val="none"/>
        </w:rPr>
      </w:pPr>
    </w:p>
    <w:p>
      <w:pPr>
        <w:pStyle w:val="21"/>
        <w:widowControl w:val="0"/>
        <w:numPr>
          <w:ilvl w:val="0"/>
          <w:numId w:val="0"/>
        </w:numPr>
        <w:autoSpaceDE w:val="0"/>
        <w:autoSpaceDN w:val="0"/>
        <w:adjustRightInd w:val="0"/>
        <w:ind w:firstLine="4176" w:firstLineChars="1300"/>
        <w:rPr>
          <w:rFonts w:hint="eastAsia" w:ascii="仿宋" w:hAnsi="仿宋" w:eastAsia="仿宋" w:cs="仿宋"/>
          <w:b/>
          <w:bCs/>
          <w:color w:val="auto"/>
          <w:sz w:val="32"/>
          <w:szCs w:val="32"/>
          <w:highlight w:val="none"/>
          <w:lang w:val="en-US" w:eastAsia="zh-CN"/>
        </w:rPr>
      </w:pPr>
    </w:p>
    <w:p>
      <w:pPr>
        <w:pStyle w:val="21"/>
        <w:widowControl w:val="0"/>
        <w:numPr>
          <w:ilvl w:val="0"/>
          <w:numId w:val="0"/>
        </w:numPr>
        <w:autoSpaceDE w:val="0"/>
        <w:autoSpaceDN w:val="0"/>
        <w:adjustRightInd w:val="0"/>
        <w:ind w:firstLine="4176" w:firstLineChars="1300"/>
        <w:rPr>
          <w:rFonts w:hint="eastAsia" w:ascii="仿宋" w:hAnsi="仿宋" w:eastAsia="仿宋" w:cs="仿宋"/>
          <w:b/>
          <w:bCs/>
          <w:color w:val="auto"/>
          <w:sz w:val="32"/>
          <w:szCs w:val="32"/>
          <w:highlight w:val="none"/>
          <w:lang w:val="en-US" w:eastAsia="zh-CN"/>
        </w:rPr>
      </w:pPr>
    </w:p>
    <w:p>
      <w:pPr>
        <w:pStyle w:val="21"/>
        <w:widowControl w:val="0"/>
        <w:numPr>
          <w:ilvl w:val="0"/>
          <w:numId w:val="0"/>
        </w:numPr>
        <w:autoSpaceDE w:val="0"/>
        <w:autoSpaceDN w:val="0"/>
        <w:adjustRightInd w:val="0"/>
        <w:ind w:firstLine="4176" w:firstLineChars="1300"/>
        <w:rPr>
          <w:rFonts w:hint="eastAsia" w:ascii="仿宋" w:hAnsi="仿宋" w:eastAsia="仿宋" w:cs="仿宋"/>
          <w:b/>
          <w:bCs/>
          <w:color w:val="auto"/>
          <w:sz w:val="32"/>
          <w:szCs w:val="32"/>
          <w:highlight w:val="none"/>
          <w:lang w:val="en-US" w:eastAsia="zh-CN"/>
        </w:rPr>
      </w:pPr>
    </w:p>
    <w:p>
      <w:pPr>
        <w:pStyle w:val="21"/>
        <w:widowControl w:val="0"/>
        <w:numPr>
          <w:ilvl w:val="0"/>
          <w:numId w:val="0"/>
        </w:numPr>
        <w:autoSpaceDE w:val="0"/>
        <w:autoSpaceDN w:val="0"/>
        <w:adjustRightInd w:val="0"/>
        <w:ind w:firstLine="4176" w:firstLineChars="1300"/>
        <w:rPr>
          <w:rFonts w:hint="eastAsia" w:ascii="仿宋" w:hAnsi="仿宋" w:eastAsia="仿宋" w:cs="仿宋"/>
          <w:b/>
          <w:bCs/>
          <w:color w:val="auto"/>
          <w:sz w:val="32"/>
          <w:szCs w:val="32"/>
          <w:highlight w:val="none"/>
          <w:lang w:val="en-US" w:eastAsia="zh-CN"/>
        </w:rPr>
      </w:pPr>
    </w:p>
    <w:p>
      <w:pPr>
        <w:pStyle w:val="21"/>
        <w:widowControl w:val="0"/>
        <w:numPr>
          <w:ilvl w:val="0"/>
          <w:numId w:val="0"/>
        </w:numPr>
        <w:autoSpaceDE w:val="0"/>
        <w:autoSpaceDN w:val="0"/>
        <w:adjustRightInd w:val="0"/>
        <w:ind w:firstLine="4176" w:firstLineChars="1300"/>
        <w:rPr>
          <w:rFonts w:hint="eastAsia" w:ascii="仿宋" w:hAnsi="仿宋" w:eastAsia="仿宋" w:cs="仿宋"/>
          <w:color w:val="auto"/>
          <w:highlight w:val="none"/>
          <w:lang w:val="en-US" w:eastAsia="zh-CN"/>
        </w:rPr>
      </w:pPr>
      <w:r>
        <w:rPr>
          <w:rFonts w:hint="eastAsia" w:ascii="仿宋" w:hAnsi="仿宋" w:eastAsia="仿宋" w:cs="仿宋"/>
          <w:b/>
          <w:bCs/>
          <w:color w:val="auto"/>
          <w:sz w:val="32"/>
          <w:szCs w:val="32"/>
          <w:highlight w:val="none"/>
          <w:lang w:val="en-US" w:eastAsia="zh-CN"/>
        </w:rPr>
        <w:t>格式自拟</w:t>
      </w:r>
    </w:p>
    <w:p>
      <w:pPr>
        <w:ind w:firstLine="480" w:firstLineChars="200"/>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jc w:val="right"/>
        <w:rPr>
          <w:rFonts w:hint="eastAsia" w:ascii="仿宋" w:hAnsi="仿宋" w:eastAsia="仿宋" w:cs="仿宋"/>
          <w:color w:val="auto"/>
          <w:sz w:val="24"/>
          <w:highlight w:val="none"/>
        </w:rPr>
      </w:pPr>
    </w:p>
    <w:p>
      <w:pPr>
        <w:spacing w:line="44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ind w:firstLine="4080" w:firstLineChars="17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pPr>
        <w:pStyle w:val="19"/>
        <w:tabs>
          <w:tab w:val="left" w:pos="9214"/>
        </w:tabs>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55"/>
        <w:numPr>
          <w:ilvl w:val="0"/>
          <w:numId w:val="0"/>
        </w:numPr>
        <w:rPr>
          <w:rFonts w:hint="eastAsia" w:ascii="仿宋" w:hAnsi="仿宋" w:eastAsia="仿宋" w:cs="仿宋"/>
          <w:highlight w:val="none"/>
        </w:rPr>
      </w:pPr>
    </w:p>
    <w:p>
      <w:pPr>
        <w:pStyle w:val="6"/>
        <w:numPr>
          <w:ilvl w:val="3"/>
          <w:numId w:val="0"/>
        </w:numPr>
        <w:rPr>
          <w:rFonts w:hint="eastAsia" w:ascii="仿宋" w:hAnsi="仿宋" w:eastAsia="仿宋" w:cs="仿宋"/>
          <w:highlight w:val="none"/>
        </w:rPr>
      </w:pPr>
    </w:p>
    <w:p>
      <w:pPr>
        <w:rPr>
          <w:rFonts w:hint="eastAsia" w:ascii="仿宋" w:hAnsi="仿宋" w:eastAsia="仿宋" w:cs="仿宋"/>
          <w:color w:val="auto"/>
          <w:highlight w:val="none"/>
        </w:rPr>
      </w:pPr>
    </w:p>
    <w:p>
      <w:pPr>
        <w:pStyle w:val="5"/>
        <w:jc w:val="center"/>
        <w:rPr>
          <w:rFonts w:hint="eastAsia" w:ascii="仿宋" w:hAnsi="仿宋" w:eastAsia="仿宋" w:cs="仿宋"/>
          <w:b/>
          <w:bCs/>
          <w:color w:val="auto"/>
          <w:sz w:val="30"/>
          <w:szCs w:val="30"/>
          <w:highlight w:val="none"/>
          <w:lang w:val="en-US" w:eastAsia="zh-CN"/>
        </w:rPr>
      </w:pPr>
    </w:p>
    <w:p>
      <w:pPr>
        <w:rPr>
          <w:rFonts w:hint="eastAsia" w:ascii="仿宋" w:hAnsi="仿宋" w:eastAsia="仿宋" w:cs="仿宋"/>
          <w:b/>
          <w:bCs/>
          <w:color w:val="auto"/>
          <w:sz w:val="30"/>
          <w:szCs w:val="30"/>
          <w:highlight w:val="none"/>
          <w:lang w:val="en-US" w:eastAsia="zh-CN"/>
        </w:rPr>
      </w:pPr>
    </w:p>
    <w:p>
      <w:pPr>
        <w:pStyle w:val="2"/>
        <w:rPr>
          <w:rFonts w:hint="eastAsia" w:ascii="仿宋" w:hAnsi="仿宋" w:eastAsia="仿宋" w:cs="仿宋"/>
          <w:b/>
          <w:bCs/>
          <w:color w:val="auto"/>
          <w:sz w:val="30"/>
          <w:szCs w:val="30"/>
          <w:highlight w:val="none"/>
          <w:lang w:val="en-US" w:eastAsia="zh-CN"/>
        </w:rPr>
      </w:pPr>
    </w:p>
    <w:p>
      <w:pPr>
        <w:rPr>
          <w:rFonts w:hint="eastAsia" w:ascii="仿宋" w:hAnsi="仿宋" w:eastAsia="仿宋" w:cs="仿宋"/>
          <w:b/>
          <w:bCs/>
          <w:color w:val="auto"/>
          <w:sz w:val="30"/>
          <w:szCs w:val="30"/>
          <w:highlight w:val="none"/>
          <w:lang w:val="en-US" w:eastAsia="zh-CN"/>
        </w:rPr>
      </w:pPr>
    </w:p>
    <w:p>
      <w:pPr>
        <w:pStyle w:val="2"/>
        <w:rPr>
          <w:rFonts w:hint="eastAsia" w:ascii="仿宋" w:hAnsi="仿宋" w:eastAsia="仿宋" w:cs="仿宋"/>
          <w:b/>
          <w:bCs/>
          <w:color w:val="auto"/>
          <w:sz w:val="30"/>
          <w:szCs w:val="30"/>
          <w:highlight w:val="none"/>
          <w:lang w:val="en-US" w:eastAsia="zh-CN"/>
        </w:rPr>
      </w:pPr>
    </w:p>
    <w:p>
      <w:pPr>
        <w:rPr>
          <w:rFonts w:hint="eastAsia" w:ascii="仿宋" w:hAnsi="仿宋" w:eastAsia="仿宋" w:cs="仿宋"/>
          <w:b/>
          <w:bCs/>
          <w:color w:val="auto"/>
          <w:sz w:val="30"/>
          <w:szCs w:val="30"/>
          <w:highlight w:val="none"/>
          <w:lang w:val="en-US" w:eastAsia="zh-CN"/>
        </w:rPr>
      </w:pPr>
    </w:p>
    <w:p>
      <w:pPr>
        <w:pStyle w:val="2"/>
        <w:rPr>
          <w:rFonts w:hint="eastAsia" w:ascii="仿宋" w:hAnsi="仿宋" w:eastAsia="仿宋" w:cs="仿宋"/>
          <w:b/>
          <w:bCs/>
          <w:color w:val="auto"/>
          <w:sz w:val="30"/>
          <w:szCs w:val="30"/>
          <w:highlight w:val="none"/>
          <w:lang w:val="en-US" w:eastAsia="zh-CN"/>
        </w:rPr>
      </w:pPr>
    </w:p>
    <w:p>
      <w:pPr>
        <w:rPr>
          <w:rFonts w:hint="eastAsia" w:ascii="仿宋" w:hAnsi="仿宋" w:eastAsia="仿宋" w:cs="仿宋"/>
          <w:b/>
          <w:bCs/>
          <w:color w:val="auto"/>
          <w:sz w:val="30"/>
          <w:szCs w:val="30"/>
          <w:highlight w:val="none"/>
          <w:lang w:val="en-US" w:eastAsia="zh-CN"/>
        </w:rPr>
      </w:pPr>
    </w:p>
    <w:p>
      <w:pPr>
        <w:pStyle w:val="2"/>
        <w:rPr>
          <w:rFonts w:hint="eastAsia" w:ascii="仿宋" w:hAnsi="仿宋" w:eastAsia="仿宋" w:cs="仿宋"/>
          <w:b/>
          <w:bCs/>
          <w:color w:val="auto"/>
          <w:sz w:val="30"/>
          <w:szCs w:val="30"/>
          <w:highlight w:val="none"/>
          <w:lang w:val="en-US" w:eastAsia="zh-CN"/>
        </w:rPr>
      </w:pPr>
    </w:p>
    <w:p>
      <w:pPr>
        <w:rPr>
          <w:rFonts w:hint="eastAsia" w:ascii="仿宋" w:hAnsi="仿宋" w:eastAsia="仿宋" w:cs="仿宋"/>
          <w:b/>
          <w:bCs/>
          <w:color w:val="auto"/>
          <w:sz w:val="30"/>
          <w:szCs w:val="30"/>
          <w:highlight w:val="none"/>
          <w:lang w:val="en-US" w:eastAsia="zh-CN"/>
        </w:rPr>
      </w:pPr>
    </w:p>
    <w:p>
      <w:pPr>
        <w:pStyle w:val="2"/>
        <w:rPr>
          <w:rFonts w:hint="eastAsia" w:ascii="仿宋" w:hAnsi="仿宋" w:eastAsia="仿宋" w:cs="仿宋"/>
          <w:b/>
          <w:bCs/>
          <w:color w:val="auto"/>
          <w:sz w:val="30"/>
          <w:szCs w:val="30"/>
          <w:highlight w:val="none"/>
          <w:lang w:val="en-US" w:eastAsia="zh-CN"/>
        </w:rPr>
      </w:pPr>
    </w:p>
    <w:p>
      <w:pPr>
        <w:rPr>
          <w:rFonts w:hint="eastAsia" w:ascii="仿宋" w:hAnsi="仿宋" w:eastAsia="仿宋" w:cs="仿宋"/>
          <w:b/>
          <w:bCs/>
          <w:color w:val="auto"/>
          <w:sz w:val="30"/>
          <w:szCs w:val="30"/>
          <w:highlight w:val="none"/>
          <w:lang w:val="en-US" w:eastAsia="zh-CN"/>
        </w:rPr>
      </w:pPr>
    </w:p>
    <w:p>
      <w:pPr>
        <w:pStyle w:val="2"/>
        <w:rPr>
          <w:rFonts w:hint="eastAsia" w:ascii="仿宋" w:hAnsi="仿宋" w:eastAsia="仿宋" w:cs="仿宋"/>
          <w:highlight w:val="none"/>
          <w:lang w:val="en-US" w:eastAsia="zh-CN"/>
        </w:rPr>
      </w:pPr>
    </w:p>
    <w:p>
      <w:pPr>
        <w:pStyle w:val="5"/>
        <w:jc w:val="center"/>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000000"/>
          <w:sz w:val="28"/>
          <w:szCs w:val="28"/>
          <w:highlight w:val="none"/>
          <w:lang w:eastAsia="zh-CN"/>
        </w:rPr>
        <w:t>十四、</w:t>
      </w:r>
      <w:r>
        <w:rPr>
          <w:rFonts w:hint="eastAsia" w:ascii="仿宋" w:hAnsi="仿宋" w:eastAsia="仿宋" w:cs="仿宋"/>
          <w:b/>
          <w:bCs/>
          <w:color w:val="000000"/>
          <w:sz w:val="28"/>
          <w:szCs w:val="28"/>
          <w:highlight w:val="none"/>
        </w:rPr>
        <w:t>产品保证供货有效证明</w:t>
      </w:r>
    </w:p>
    <w:p>
      <w:pPr>
        <w:pStyle w:val="5"/>
        <w:jc w:val="center"/>
        <w:rPr>
          <w:rFonts w:hint="eastAsia" w:ascii="仿宋" w:hAnsi="仿宋" w:eastAsia="仿宋" w:cs="仿宋"/>
          <w:b/>
          <w:bCs/>
          <w:color w:val="auto"/>
          <w:sz w:val="30"/>
          <w:szCs w:val="30"/>
          <w:highlight w:val="none"/>
          <w:lang w:val="en-US" w:eastAsia="zh-CN"/>
        </w:rPr>
      </w:pPr>
    </w:p>
    <w:p>
      <w:pPr>
        <w:pStyle w:val="21"/>
        <w:widowControl w:val="0"/>
        <w:numPr>
          <w:ilvl w:val="0"/>
          <w:numId w:val="0"/>
        </w:numPr>
        <w:autoSpaceDE w:val="0"/>
        <w:autoSpaceDN w:val="0"/>
        <w:adjustRightInd w:val="0"/>
        <w:ind w:firstLine="4176" w:firstLineChars="1300"/>
        <w:rPr>
          <w:rFonts w:hint="eastAsia" w:ascii="仿宋" w:hAnsi="仿宋" w:eastAsia="仿宋" w:cs="仿宋"/>
          <w:color w:val="auto"/>
          <w:highlight w:val="none"/>
          <w:lang w:val="en-US" w:eastAsia="zh-CN"/>
        </w:rPr>
      </w:pPr>
      <w:r>
        <w:rPr>
          <w:rFonts w:hint="eastAsia" w:ascii="仿宋" w:hAnsi="仿宋" w:eastAsia="仿宋" w:cs="仿宋"/>
          <w:b/>
          <w:bCs/>
          <w:color w:val="auto"/>
          <w:sz w:val="32"/>
          <w:szCs w:val="32"/>
          <w:highlight w:val="none"/>
          <w:lang w:val="en-US" w:eastAsia="zh-CN"/>
        </w:rPr>
        <w:t>格式自拟</w:t>
      </w:r>
    </w:p>
    <w:p>
      <w:pPr>
        <w:ind w:firstLine="480" w:firstLineChars="200"/>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jc w:val="right"/>
        <w:rPr>
          <w:rFonts w:hint="eastAsia" w:ascii="仿宋" w:hAnsi="仿宋" w:eastAsia="仿宋" w:cs="仿宋"/>
          <w:color w:val="auto"/>
          <w:sz w:val="24"/>
          <w:highlight w:val="none"/>
        </w:rPr>
      </w:pPr>
    </w:p>
    <w:p>
      <w:pPr>
        <w:spacing w:line="44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ind w:firstLine="4080" w:firstLineChars="17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pPr>
        <w:pStyle w:val="5"/>
        <w:jc w:val="center"/>
        <w:rPr>
          <w:rFonts w:hint="eastAsia" w:ascii="仿宋" w:hAnsi="仿宋" w:eastAsia="仿宋" w:cs="仿宋"/>
          <w:b/>
          <w:bCs/>
          <w:color w:val="auto"/>
          <w:sz w:val="30"/>
          <w:szCs w:val="30"/>
          <w:highlight w:val="none"/>
          <w:lang w:val="en-US" w:eastAsia="zh-CN"/>
        </w:rPr>
      </w:pPr>
    </w:p>
    <w:p>
      <w:pPr>
        <w:rPr>
          <w:rFonts w:hint="eastAsia" w:ascii="仿宋" w:hAnsi="仿宋" w:eastAsia="仿宋" w:cs="仿宋"/>
          <w:b/>
          <w:bCs/>
          <w:color w:val="auto"/>
          <w:sz w:val="30"/>
          <w:szCs w:val="30"/>
          <w:highlight w:val="none"/>
          <w:lang w:val="en-US" w:eastAsia="zh-CN"/>
        </w:rPr>
      </w:pPr>
    </w:p>
    <w:p>
      <w:pPr>
        <w:pStyle w:val="2"/>
        <w:rPr>
          <w:rFonts w:hint="eastAsia" w:ascii="仿宋" w:hAnsi="仿宋" w:eastAsia="仿宋" w:cs="仿宋"/>
          <w:b/>
          <w:bCs/>
          <w:color w:val="auto"/>
          <w:sz w:val="30"/>
          <w:szCs w:val="30"/>
          <w:highlight w:val="none"/>
          <w:lang w:val="en-US" w:eastAsia="zh-CN"/>
        </w:rPr>
      </w:pPr>
    </w:p>
    <w:p>
      <w:pPr>
        <w:rPr>
          <w:rFonts w:hint="eastAsia" w:ascii="仿宋" w:hAnsi="仿宋" w:eastAsia="仿宋" w:cs="仿宋"/>
          <w:b/>
          <w:bCs/>
          <w:color w:val="auto"/>
          <w:sz w:val="30"/>
          <w:szCs w:val="30"/>
          <w:highlight w:val="none"/>
          <w:lang w:val="en-US" w:eastAsia="zh-CN"/>
        </w:rPr>
      </w:pPr>
    </w:p>
    <w:p>
      <w:pPr>
        <w:pStyle w:val="2"/>
        <w:rPr>
          <w:rFonts w:hint="eastAsia" w:ascii="仿宋" w:hAnsi="仿宋" w:eastAsia="仿宋" w:cs="仿宋"/>
          <w:b/>
          <w:bCs/>
          <w:color w:val="auto"/>
          <w:sz w:val="30"/>
          <w:szCs w:val="30"/>
          <w:highlight w:val="none"/>
          <w:lang w:val="en-US" w:eastAsia="zh-CN"/>
        </w:rPr>
      </w:pPr>
    </w:p>
    <w:p>
      <w:pPr>
        <w:rPr>
          <w:rFonts w:hint="eastAsia" w:ascii="仿宋" w:hAnsi="仿宋" w:eastAsia="仿宋" w:cs="仿宋"/>
          <w:b/>
          <w:bCs/>
          <w:color w:val="auto"/>
          <w:sz w:val="30"/>
          <w:szCs w:val="30"/>
          <w:highlight w:val="none"/>
          <w:lang w:val="en-US" w:eastAsia="zh-CN"/>
        </w:rPr>
      </w:pPr>
    </w:p>
    <w:p>
      <w:pPr>
        <w:pStyle w:val="2"/>
        <w:rPr>
          <w:rFonts w:hint="eastAsia" w:ascii="仿宋" w:hAnsi="仿宋" w:eastAsia="仿宋" w:cs="仿宋"/>
          <w:b/>
          <w:bCs/>
          <w:color w:val="auto"/>
          <w:sz w:val="30"/>
          <w:szCs w:val="30"/>
          <w:highlight w:val="none"/>
          <w:lang w:val="en-US" w:eastAsia="zh-CN"/>
        </w:rPr>
      </w:pPr>
    </w:p>
    <w:p>
      <w:pPr>
        <w:rPr>
          <w:rFonts w:hint="eastAsia" w:ascii="仿宋" w:hAnsi="仿宋" w:eastAsia="仿宋" w:cs="仿宋"/>
          <w:b/>
          <w:bCs/>
          <w:color w:val="auto"/>
          <w:sz w:val="30"/>
          <w:szCs w:val="30"/>
          <w:highlight w:val="none"/>
          <w:lang w:val="en-US" w:eastAsia="zh-CN"/>
        </w:rPr>
      </w:pPr>
    </w:p>
    <w:p>
      <w:pPr>
        <w:pStyle w:val="2"/>
        <w:rPr>
          <w:rFonts w:hint="eastAsia" w:ascii="仿宋" w:hAnsi="仿宋" w:eastAsia="仿宋" w:cs="仿宋"/>
          <w:highlight w:val="none"/>
          <w:lang w:val="en-US" w:eastAsia="zh-CN"/>
        </w:rPr>
      </w:pPr>
    </w:p>
    <w:p>
      <w:pPr>
        <w:pStyle w:val="5"/>
        <w:jc w:val="center"/>
        <w:rPr>
          <w:rFonts w:hint="eastAsia" w:ascii="仿宋" w:hAnsi="仿宋" w:eastAsia="仿宋" w:cs="仿宋"/>
          <w:b/>
          <w:bCs/>
          <w:color w:val="auto"/>
          <w:sz w:val="30"/>
          <w:szCs w:val="30"/>
          <w:highlight w:val="none"/>
          <w:lang w:val="en-US" w:eastAsia="zh-CN"/>
        </w:rPr>
      </w:pPr>
    </w:p>
    <w:p>
      <w:pPr>
        <w:pStyle w:val="5"/>
        <w:jc w:val="center"/>
        <w:rPr>
          <w:rFonts w:hint="eastAsia" w:ascii="仿宋" w:hAnsi="仿宋" w:eastAsia="仿宋" w:cs="仿宋"/>
          <w:b/>
          <w:bCs/>
          <w:color w:val="auto"/>
          <w:sz w:val="30"/>
          <w:szCs w:val="30"/>
          <w:highlight w:val="none"/>
          <w:lang w:val="en-US" w:eastAsia="zh-CN"/>
        </w:rPr>
      </w:pPr>
    </w:p>
    <w:p>
      <w:pPr>
        <w:rPr>
          <w:rFonts w:hint="eastAsia" w:ascii="仿宋" w:hAnsi="仿宋" w:eastAsia="仿宋" w:cs="仿宋"/>
          <w:lang w:val="en-US" w:eastAsia="zh-CN"/>
        </w:rPr>
      </w:pPr>
    </w:p>
    <w:p>
      <w:pPr>
        <w:pStyle w:val="5"/>
        <w:jc w:val="center"/>
        <w:rPr>
          <w:rFonts w:hint="eastAsia" w:ascii="仿宋" w:hAnsi="仿宋" w:eastAsia="仿宋" w:cs="仿宋"/>
          <w:b/>
          <w:bCs/>
          <w:color w:val="auto"/>
          <w:sz w:val="30"/>
          <w:szCs w:val="30"/>
          <w:highlight w:val="none"/>
          <w:lang w:val="en-US" w:eastAsia="zh-CN"/>
        </w:rPr>
      </w:pPr>
    </w:p>
    <w:p>
      <w:pPr>
        <w:rPr>
          <w:rFonts w:hint="eastAsia" w:ascii="仿宋" w:hAnsi="仿宋" w:eastAsia="仿宋" w:cs="仿宋"/>
          <w:b/>
          <w:bCs/>
          <w:color w:val="auto"/>
          <w:sz w:val="30"/>
          <w:szCs w:val="30"/>
          <w:highlight w:val="none"/>
          <w:lang w:val="en-US" w:eastAsia="zh-CN"/>
        </w:rPr>
      </w:pPr>
    </w:p>
    <w:p>
      <w:pPr>
        <w:pStyle w:val="2"/>
        <w:rPr>
          <w:rFonts w:hint="eastAsia" w:ascii="仿宋" w:hAnsi="仿宋" w:eastAsia="仿宋" w:cs="仿宋"/>
          <w:highlight w:val="none"/>
          <w:lang w:val="en-US" w:eastAsia="zh-CN"/>
        </w:rPr>
      </w:pPr>
    </w:p>
    <w:p>
      <w:pPr>
        <w:pStyle w:val="5"/>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十五、</w:t>
      </w:r>
      <w:r>
        <w:rPr>
          <w:rFonts w:hint="eastAsia" w:ascii="仿宋" w:hAnsi="仿宋" w:eastAsia="仿宋" w:cs="仿宋"/>
          <w:b/>
          <w:bCs/>
          <w:color w:val="auto"/>
          <w:sz w:val="30"/>
          <w:szCs w:val="30"/>
          <w:highlight w:val="none"/>
        </w:rPr>
        <w:t>符合《政府采购法》第二十二条规定的条件</w:t>
      </w:r>
    </w:p>
    <w:p>
      <w:pPr>
        <w:pStyle w:val="34"/>
        <w:spacing w:before="120" w:line="360" w:lineRule="auto"/>
        <w:jc w:val="both"/>
        <w:outlineLvl w:val="9"/>
        <w:rPr>
          <w:rFonts w:hint="eastAsia" w:ascii="仿宋" w:hAnsi="仿宋" w:eastAsia="仿宋" w:cs="仿宋"/>
          <w:b/>
          <w:bCs/>
          <w:color w:val="auto"/>
          <w:sz w:val="24"/>
          <w:szCs w:val="32"/>
          <w:highlight w:val="none"/>
          <w:lang w:eastAsia="zh-CN"/>
        </w:rPr>
      </w:pPr>
      <w:r>
        <w:rPr>
          <w:rFonts w:hint="eastAsia" w:ascii="仿宋" w:hAnsi="仿宋" w:eastAsia="仿宋" w:cs="仿宋"/>
          <w:b/>
          <w:bCs/>
          <w:color w:val="auto"/>
          <w:sz w:val="24"/>
          <w:szCs w:val="32"/>
          <w:highlight w:val="none"/>
          <w:lang w:eastAsia="zh-CN"/>
        </w:rPr>
        <w:t>1.满足《中华人民共和国政府采购法》第二十二条规定；</w:t>
      </w:r>
    </w:p>
    <w:p>
      <w:pPr>
        <w:pStyle w:val="34"/>
        <w:spacing w:before="120" w:line="360" w:lineRule="auto"/>
        <w:jc w:val="both"/>
        <w:outlineLvl w:val="9"/>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（1）提供经年审合格（三证合一）的营业执照； </w:t>
      </w:r>
    </w:p>
    <w:p>
      <w:pPr>
        <w:pStyle w:val="34"/>
        <w:spacing w:before="120" w:line="360" w:lineRule="auto"/>
        <w:jc w:val="both"/>
        <w:outlineLvl w:val="9"/>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（2）有效的法定代表人身份证明（法人）及身份证 或具有法定效力的法人授权委托书（非法人，须明确 采购项目及包段名称、授权事项、权限、期限等）、 被委托人身份证；</w:t>
      </w:r>
    </w:p>
    <w:p>
      <w:pPr>
        <w:pStyle w:val="34"/>
        <w:spacing w:before="120" w:line="360" w:lineRule="auto"/>
        <w:jc w:val="both"/>
        <w:outlineLvl w:val="9"/>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（3）需提供公司近三个月社保证明（缴费凭证及明细）（新成立时间少于3个月的公司，按实际发生提供）；</w:t>
      </w:r>
    </w:p>
    <w:p>
      <w:pPr>
        <w:pStyle w:val="34"/>
        <w:spacing w:before="120" w:line="360" w:lineRule="auto"/>
        <w:jc w:val="both"/>
        <w:outlineLvl w:val="9"/>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（4）投标人需提供税务部门出具近三个月依法缴纳税收的完税证明（新成立不足3个月的按实际情况发生提供，需含增值税、印花 税等税种；如当月无需缴税需提供税务机关出具的无欠税证明），完税证明日期是指税款缴纳所属日期；</w:t>
      </w:r>
    </w:p>
    <w:p>
      <w:pPr>
        <w:pStyle w:val="34"/>
        <w:spacing w:before="120" w:line="360" w:lineRule="auto"/>
        <w:jc w:val="both"/>
        <w:outlineLvl w:val="9"/>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（4）提供2022年度的财务审计报告（2023年8月后成立的公司可不提供但需提供银行出具的近三个月的资信证明）；</w:t>
      </w:r>
    </w:p>
    <w:p>
      <w:pPr>
        <w:pStyle w:val="34"/>
        <w:spacing w:before="120" w:line="360" w:lineRule="auto"/>
        <w:jc w:val="both"/>
        <w:outlineLvl w:val="9"/>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（5）提供参加政府采购活动前 3 年内在经营活动中没有重大违法记录的书面声明；</w:t>
      </w:r>
    </w:p>
    <w:p>
      <w:pPr>
        <w:pStyle w:val="34"/>
        <w:spacing w:before="120" w:line="360" w:lineRule="auto"/>
        <w:jc w:val="both"/>
        <w:outlineLvl w:val="9"/>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（6）企业负责人为同一人或者存在直接控股、管理关系的不同投标人，不得参加同一合同项下的政府采购活动的声明函；否则，皆取消投标资格；</w:t>
      </w:r>
    </w:p>
    <w:p>
      <w:pPr>
        <w:pStyle w:val="34"/>
        <w:spacing w:before="120" w:line="360" w:lineRule="auto"/>
        <w:jc w:val="both"/>
        <w:outlineLvl w:val="9"/>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（7）提供有效的中小企业声明函。</w:t>
      </w:r>
    </w:p>
    <w:p>
      <w:pPr>
        <w:pStyle w:val="34"/>
        <w:spacing w:before="120" w:line="360" w:lineRule="auto"/>
        <w:jc w:val="both"/>
        <w:outlineLvl w:val="9"/>
        <w:rPr>
          <w:rFonts w:hint="eastAsia" w:ascii="仿宋" w:hAnsi="仿宋" w:eastAsia="仿宋" w:cs="仿宋"/>
          <w:b/>
          <w:bCs/>
          <w:color w:val="auto"/>
          <w:sz w:val="24"/>
          <w:szCs w:val="32"/>
          <w:highlight w:val="none"/>
          <w:lang w:eastAsia="zh-CN"/>
        </w:rPr>
      </w:pPr>
      <w:r>
        <w:rPr>
          <w:rFonts w:hint="eastAsia" w:ascii="仿宋" w:hAnsi="仿宋" w:eastAsia="仿宋" w:cs="仿宋"/>
          <w:b/>
          <w:bCs/>
          <w:color w:val="auto"/>
          <w:sz w:val="24"/>
          <w:szCs w:val="32"/>
          <w:highlight w:val="none"/>
          <w:lang w:val="en-US" w:eastAsia="zh-CN"/>
        </w:rPr>
        <w:t>（8）本项目不接受联合体投标；</w:t>
      </w:r>
    </w:p>
    <w:p>
      <w:pPr>
        <w:pStyle w:val="34"/>
        <w:spacing w:before="120" w:line="360" w:lineRule="auto"/>
        <w:jc w:val="both"/>
        <w:outlineLvl w:val="9"/>
        <w:rPr>
          <w:rFonts w:hint="eastAsia" w:ascii="仿宋" w:hAnsi="仿宋" w:eastAsia="仿宋" w:cs="仿宋"/>
          <w:b/>
          <w:bCs/>
          <w:color w:val="auto"/>
          <w:sz w:val="24"/>
          <w:szCs w:val="32"/>
          <w:highlight w:val="none"/>
          <w:lang w:eastAsia="zh-CN"/>
        </w:rPr>
      </w:pPr>
    </w:p>
    <w:p>
      <w:pPr>
        <w:pStyle w:val="34"/>
        <w:spacing w:before="120" w:line="360" w:lineRule="auto"/>
        <w:jc w:val="both"/>
        <w:outlineLvl w:val="9"/>
        <w:rPr>
          <w:rFonts w:hint="eastAsia" w:ascii="仿宋" w:hAnsi="仿宋" w:eastAsia="仿宋" w:cs="仿宋"/>
          <w:b/>
          <w:bCs/>
          <w:color w:val="auto"/>
          <w:sz w:val="24"/>
          <w:szCs w:val="32"/>
          <w:highlight w:val="none"/>
          <w:lang w:eastAsia="zh-CN"/>
        </w:rPr>
      </w:pPr>
    </w:p>
    <w:p>
      <w:pPr>
        <w:pStyle w:val="34"/>
        <w:spacing w:before="120" w:line="360" w:lineRule="auto"/>
        <w:jc w:val="both"/>
        <w:outlineLvl w:val="9"/>
        <w:rPr>
          <w:rFonts w:hint="eastAsia" w:ascii="仿宋" w:hAnsi="仿宋" w:eastAsia="仿宋" w:cs="仿宋"/>
          <w:b/>
          <w:bCs/>
          <w:color w:val="auto"/>
          <w:sz w:val="24"/>
          <w:szCs w:val="32"/>
          <w:highlight w:val="none"/>
          <w:lang w:eastAsia="zh-CN"/>
        </w:rPr>
      </w:pPr>
    </w:p>
    <w:p>
      <w:pPr>
        <w:pStyle w:val="34"/>
        <w:spacing w:before="120" w:line="360" w:lineRule="auto"/>
        <w:jc w:val="both"/>
        <w:outlineLvl w:val="9"/>
        <w:rPr>
          <w:rFonts w:hint="eastAsia" w:ascii="仿宋" w:hAnsi="仿宋" w:eastAsia="仿宋" w:cs="仿宋"/>
          <w:b/>
          <w:bCs/>
          <w:color w:val="auto"/>
          <w:sz w:val="24"/>
          <w:szCs w:val="32"/>
          <w:highlight w:val="none"/>
          <w:lang w:eastAsia="zh-CN"/>
        </w:rPr>
      </w:pPr>
    </w:p>
    <w:p>
      <w:pPr>
        <w:pStyle w:val="34"/>
        <w:spacing w:before="120" w:line="360" w:lineRule="auto"/>
        <w:jc w:val="both"/>
        <w:outlineLvl w:val="9"/>
        <w:rPr>
          <w:rFonts w:hint="eastAsia" w:ascii="仿宋" w:hAnsi="仿宋" w:eastAsia="仿宋" w:cs="仿宋"/>
          <w:b/>
          <w:bCs/>
          <w:color w:val="auto"/>
          <w:sz w:val="24"/>
          <w:szCs w:val="32"/>
          <w:highlight w:val="none"/>
          <w:lang w:eastAsia="zh-CN"/>
        </w:rPr>
      </w:pPr>
    </w:p>
    <w:p>
      <w:pPr>
        <w:pStyle w:val="34"/>
        <w:spacing w:before="120" w:line="360" w:lineRule="auto"/>
        <w:jc w:val="both"/>
        <w:outlineLvl w:val="9"/>
        <w:rPr>
          <w:rFonts w:hint="eastAsia" w:ascii="仿宋" w:hAnsi="仿宋" w:eastAsia="仿宋" w:cs="仿宋"/>
          <w:b/>
          <w:bCs/>
          <w:color w:val="auto"/>
          <w:sz w:val="24"/>
          <w:szCs w:val="32"/>
          <w:highlight w:val="none"/>
          <w:lang w:eastAsia="zh-CN"/>
        </w:rPr>
      </w:pPr>
    </w:p>
    <w:p>
      <w:pPr>
        <w:spacing w:line="360" w:lineRule="auto"/>
        <w:jc w:val="center"/>
        <w:outlineLvl w:val="0"/>
        <w:rPr>
          <w:rFonts w:hint="eastAsia" w:ascii="仿宋" w:hAnsi="仿宋" w:eastAsia="仿宋" w:cs="仿宋"/>
          <w:color w:val="auto"/>
          <w:sz w:val="24"/>
          <w:szCs w:val="24"/>
          <w:highlight w:val="none"/>
        </w:rPr>
      </w:pPr>
      <w:bookmarkStart w:id="247" w:name="_Toc26849"/>
      <w:bookmarkStart w:id="248" w:name="_Toc1350"/>
      <w:bookmarkStart w:id="249" w:name="_Toc11866"/>
      <w:bookmarkStart w:id="250" w:name="_Toc3132"/>
      <w:bookmarkStart w:id="251" w:name="_Toc6232"/>
      <w:r>
        <w:rPr>
          <w:rStyle w:val="147"/>
          <w:rFonts w:hint="eastAsia" w:ascii="仿宋" w:hAnsi="仿宋" w:eastAsia="仿宋" w:cs="仿宋"/>
          <w:bCs w:val="0"/>
          <w:color w:val="auto"/>
          <w:sz w:val="28"/>
          <w:szCs w:val="28"/>
          <w:highlight w:val="none"/>
          <w:lang w:val="en-US" w:eastAsia="zh-CN"/>
        </w:rPr>
        <w:t>十六</w:t>
      </w:r>
      <w:r>
        <w:rPr>
          <w:rStyle w:val="147"/>
          <w:rFonts w:hint="eastAsia" w:ascii="仿宋" w:hAnsi="仿宋" w:eastAsia="仿宋" w:cs="仿宋"/>
          <w:bCs w:val="0"/>
          <w:color w:val="auto"/>
          <w:sz w:val="28"/>
          <w:szCs w:val="28"/>
          <w:highlight w:val="none"/>
          <w:lang w:eastAsia="zh-CN"/>
        </w:rPr>
        <w:t>、</w:t>
      </w:r>
      <w:r>
        <w:rPr>
          <w:rStyle w:val="147"/>
          <w:rFonts w:hint="eastAsia" w:ascii="仿宋" w:hAnsi="仿宋" w:eastAsia="仿宋" w:cs="仿宋"/>
          <w:bCs w:val="0"/>
          <w:color w:val="auto"/>
          <w:sz w:val="28"/>
          <w:szCs w:val="28"/>
          <w:highlight w:val="none"/>
        </w:rPr>
        <w:t>投标单位（</w:t>
      </w:r>
      <w:r>
        <w:rPr>
          <w:rStyle w:val="147"/>
          <w:rFonts w:hint="eastAsia" w:ascii="仿宋" w:hAnsi="仿宋" w:eastAsia="仿宋" w:cs="仿宋"/>
          <w:bCs w:val="0"/>
          <w:color w:val="auto"/>
          <w:sz w:val="28"/>
          <w:szCs w:val="28"/>
          <w:highlight w:val="none"/>
          <w:lang w:eastAsia="zh-CN"/>
        </w:rPr>
        <w:t>投标人</w:t>
      </w:r>
      <w:r>
        <w:rPr>
          <w:rStyle w:val="147"/>
          <w:rFonts w:hint="eastAsia" w:ascii="仿宋" w:hAnsi="仿宋" w:eastAsia="仿宋" w:cs="仿宋"/>
          <w:bCs w:val="0"/>
          <w:color w:val="auto"/>
          <w:sz w:val="28"/>
          <w:szCs w:val="28"/>
          <w:highlight w:val="none"/>
        </w:rPr>
        <w:t>）反商业贿赂承诺书</w:t>
      </w:r>
      <w:bookmarkEnd w:id="247"/>
      <w:bookmarkEnd w:id="248"/>
      <w:bookmarkEnd w:id="249"/>
      <w:bookmarkEnd w:id="250"/>
      <w:bookmarkEnd w:id="251"/>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我单位承诺在</w:t>
      </w:r>
      <w:r>
        <w:rPr>
          <w:rFonts w:hint="eastAsia" w:ascii="仿宋" w:hAnsi="仿宋" w:eastAsia="仿宋" w:cs="仿宋"/>
          <w:color w:val="auto"/>
          <w:sz w:val="24"/>
          <w:szCs w:val="24"/>
          <w:highlight w:val="none"/>
          <w:u w:val="single"/>
        </w:rPr>
        <w:t xml:space="preserve">                                                （项目名称）</w:t>
      </w:r>
      <w:r>
        <w:rPr>
          <w:rFonts w:hint="eastAsia" w:ascii="仿宋" w:hAnsi="仿宋" w:eastAsia="仿宋" w:cs="仿宋"/>
          <w:color w:val="auto"/>
          <w:sz w:val="24"/>
          <w:szCs w:val="24"/>
          <w:highlight w:val="none"/>
        </w:rPr>
        <w:t>公开招标活动中，不给予国家工作人员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单位名称：（盖章）</w:t>
      </w:r>
    </w:p>
    <w:p>
      <w:pPr>
        <w:pStyle w:val="34"/>
        <w:spacing w:before="120" w:line="360" w:lineRule="auto"/>
        <w:ind w:firstLine="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盖章）</w:t>
      </w:r>
    </w:p>
    <w:p>
      <w:pPr>
        <w:pStyle w:val="34"/>
        <w:spacing w:before="120" w:line="360" w:lineRule="auto"/>
        <w:ind w:firstLine="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项目经办人：</w:t>
      </w: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  期：   年   月   日</w:t>
      </w:r>
      <w:bookmarkStart w:id="252" w:name="_Toc29266"/>
      <w:bookmarkStart w:id="253" w:name="_Toc5662"/>
      <w:bookmarkStart w:id="254" w:name="_Toc8968"/>
      <w:bookmarkStart w:id="255" w:name="_Toc15248"/>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jc w:val="center"/>
        <w:rPr>
          <w:rStyle w:val="147"/>
          <w:rFonts w:hint="eastAsia" w:ascii="仿宋" w:hAnsi="仿宋" w:eastAsia="仿宋" w:cs="仿宋"/>
          <w:bCs w:val="0"/>
          <w:color w:val="auto"/>
          <w:kern w:val="2"/>
          <w:sz w:val="28"/>
          <w:szCs w:val="28"/>
          <w:highlight w:val="none"/>
          <w:lang w:val="en-US" w:eastAsia="zh-CN" w:bidi="ar-SA"/>
        </w:rPr>
      </w:pPr>
    </w:p>
    <w:p>
      <w:pPr>
        <w:pStyle w:val="34"/>
        <w:spacing w:before="120" w:line="360" w:lineRule="auto"/>
        <w:ind w:left="120" w:leftChars="57" w:firstLine="329" w:firstLineChars="117"/>
        <w:jc w:val="center"/>
        <w:rPr>
          <w:rFonts w:hint="eastAsia" w:ascii="仿宋" w:hAnsi="仿宋" w:eastAsia="仿宋" w:cs="仿宋"/>
          <w:color w:val="auto"/>
          <w:sz w:val="24"/>
          <w:szCs w:val="24"/>
          <w:highlight w:val="none"/>
        </w:rPr>
      </w:pPr>
      <w:r>
        <w:rPr>
          <w:rStyle w:val="147"/>
          <w:rFonts w:hint="eastAsia" w:ascii="仿宋" w:hAnsi="仿宋" w:eastAsia="仿宋" w:cs="仿宋"/>
          <w:bCs w:val="0"/>
          <w:color w:val="auto"/>
          <w:kern w:val="2"/>
          <w:sz w:val="28"/>
          <w:szCs w:val="28"/>
          <w:highlight w:val="none"/>
          <w:lang w:val="en-US" w:eastAsia="zh-CN" w:bidi="ar-SA"/>
        </w:rPr>
        <w:t>十七、</w:t>
      </w:r>
      <w:bookmarkEnd w:id="252"/>
      <w:bookmarkEnd w:id="253"/>
      <w:bookmarkEnd w:id="254"/>
      <w:bookmarkEnd w:id="255"/>
      <w:r>
        <w:rPr>
          <w:rStyle w:val="147"/>
          <w:rFonts w:hint="eastAsia" w:ascii="仿宋" w:hAnsi="仿宋" w:eastAsia="仿宋" w:cs="仿宋"/>
          <w:bCs w:val="0"/>
          <w:color w:val="auto"/>
          <w:kern w:val="2"/>
          <w:sz w:val="28"/>
          <w:szCs w:val="28"/>
          <w:highlight w:val="none"/>
          <w:lang w:val="en-US" w:eastAsia="zh-CN" w:bidi="ar-SA"/>
        </w:rPr>
        <w:t>中小企业声明函(货物)</w:t>
      </w: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p>
      <w:pPr>
        <w:pStyle w:val="34"/>
        <w:spacing w:before="120" w:line="360" w:lineRule="auto"/>
        <w:ind w:left="120" w:leftChars="57" w:firstLine="760" w:firstLineChars="3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[2020]46号）的规定，本公司（联合体）参加（单位名称）的（项目名称）采购活动，提供的货物全部由符合政策要求的中小企业制造。相关企业（含联合体中的中小企业、签订分包意向协议的中小企业）的具体情况如下：</w:t>
      </w: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1.（标的名称），属于（采购文件中明确的所属行业）；制造商为（企业名称），从业人员  人，营业收入为  万元，资产总额为  万元，属于（中型企业、小型企业、微型企业）；</w:t>
      </w: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（标的名称），属于（采购文件中明确的所属行业）；制造商为（企业名称），从业人员  人，营业收入为  万元，资产总额为  万元，属于（中型企业、小型企业、微型企业）；</w:t>
      </w: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企业名称（盖章）：</w:t>
      </w: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 </w:t>
      </w: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日期：                    </w:t>
      </w: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p>
    <w:p>
      <w:pPr>
        <w:pStyle w:val="42"/>
        <w:rPr>
          <w:rFonts w:hint="eastAsia" w:ascii="仿宋" w:hAnsi="仿宋" w:eastAsia="仿宋" w:cs="仿宋"/>
          <w:color w:val="auto"/>
          <w:sz w:val="24"/>
          <w:szCs w:val="24"/>
          <w:highlight w:val="none"/>
        </w:rPr>
      </w:pPr>
    </w:p>
    <w:p>
      <w:pPr>
        <w:pStyle w:val="42"/>
        <w:rPr>
          <w:rFonts w:hint="eastAsia" w:ascii="仿宋" w:hAnsi="仿宋" w:eastAsia="仿宋" w:cs="仿宋"/>
          <w:color w:val="auto"/>
          <w:sz w:val="24"/>
          <w:szCs w:val="24"/>
          <w:highlight w:val="none"/>
        </w:rPr>
      </w:pPr>
    </w:p>
    <w:p>
      <w:pPr>
        <w:pStyle w:val="42"/>
        <w:rPr>
          <w:rFonts w:hint="eastAsia" w:ascii="仿宋" w:hAnsi="仿宋" w:eastAsia="仿宋" w:cs="仿宋"/>
          <w:color w:val="auto"/>
          <w:sz w:val="24"/>
          <w:szCs w:val="24"/>
          <w:highlight w:val="none"/>
        </w:rPr>
      </w:pPr>
    </w:p>
    <w:p>
      <w:pPr>
        <w:pStyle w:val="42"/>
        <w:rPr>
          <w:rFonts w:hint="eastAsia" w:ascii="仿宋" w:hAnsi="仿宋" w:eastAsia="仿宋" w:cs="仿宋"/>
          <w:color w:val="auto"/>
          <w:sz w:val="24"/>
          <w:szCs w:val="24"/>
          <w:highlight w:val="none"/>
        </w:rPr>
      </w:pPr>
    </w:p>
    <w:p>
      <w:pPr>
        <w:pStyle w:val="42"/>
        <w:ind w:left="0" w:leftChars="0" w:firstLine="0" w:firstLineChars="0"/>
        <w:jc w:val="center"/>
        <w:rPr>
          <w:rFonts w:hint="eastAsia" w:ascii="仿宋" w:hAnsi="仿宋" w:eastAsia="仿宋" w:cs="仿宋"/>
          <w:b/>
          <w:color w:val="auto"/>
          <w:spacing w:val="6"/>
          <w:kern w:val="2"/>
          <w:sz w:val="28"/>
          <w:szCs w:val="28"/>
          <w:highlight w:val="none"/>
          <w:lang w:val="en-US" w:eastAsia="zh-CN" w:bidi="ar-SA"/>
        </w:rPr>
        <w:sectPr>
          <w:headerReference r:id="rId15" w:type="default"/>
          <w:footerReference r:id="rId16" w:type="default"/>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p>
    <w:p>
      <w:pPr>
        <w:snapToGrid w:val="0"/>
        <w:spacing w:line="360" w:lineRule="auto"/>
        <w:ind w:firstLine="0" w:firstLineChars="0"/>
        <w:jc w:val="center"/>
        <w:rPr>
          <w:rFonts w:hint="eastAsia" w:ascii="仿宋" w:hAnsi="仿宋" w:eastAsia="仿宋" w:cs="仿宋"/>
          <w:b/>
          <w:bCs w:val="0"/>
          <w:color w:val="auto"/>
          <w:kern w:val="2"/>
          <w:sz w:val="28"/>
          <w:szCs w:val="28"/>
          <w:highlight w:val="none"/>
          <w:lang w:val="en-US" w:eastAsia="zh-CN" w:bidi="ar-SA"/>
        </w:rPr>
      </w:pPr>
      <w:r>
        <w:rPr>
          <w:rFonts w:hint="eastAsia" w:ascii="仿宋" w:hAnsi="仿宋" w:eastAsia="仿宋" w:cs="仿宋"/>
          <w:b/>
          <w:bCs w:val="0"/>
          <w:color w:val="auto"/>
          <w:kern w:val="2"/>
          <w:sz w:val="28"/>
          <w:szCs w:val="28"/>
          <w:highlight w:val="none"/>
          <w:lang w:val="en-US" w:eastAsia="zh-CN" w:bidi="ar-SA"/>
        </w:rPr>
        <w:t>JY企业声明函</w:t>
      </w:r>
      <w:r>
        <w:rPr>
          <w:rFonts w:hint="eastAsia" w:ascii="仿宋" w:hAnsi="仿宋" w:eastAsia="仿宋" w:cs="仿宋"/>
          <w:b/>
          <w:color w:val="auto"/>
          <w:spacing w:val="6"/>
          <w:kern w:val="2"/>
          <w:sz w:val="28"/>
          <w:szCs w:val="28"/>
          <w:highlight w:val="none"/>
          <w:lang w:val="en-US" w:eastAsia="zh-CN" w:bidi="ar-SA"/>
        </w:rPr>
        <w:t>（如有）</w:t>
      </w:r>
    </w:p>
    <w:p>
      <w:pPr>
        <w:pStyle w:val="2"/>
        <w:rPr>
          <w:rFonts w:hint="eastAsia" w:ascii="仿宋" w:hAnsi="仿宋" w:eastAsia="仿宋" w:cs="仿宋"/>
          <w:b/>
          <w:bCs w:val="0"/>
          <w:color w:val="auto"/>
          <w:kern w:val="2"/>
          <w:sz w:val="28"/>
          <w:szCs w:val="28"/>
          <w:highlight w:val="none"/>
          <w:lang w:val="en-US" w:eastAsia="zh-CN" w:bidi="ar-SA"/>
        </w:rPr>
      </w:pPr>
    </w:p>
    <w:p>
      <w:pPr>
        <w:rPr>
          <w:rFonts w:hint="eastAsia" w:ascii="仿宋" w:hAnsi="仿宋" w:eastAsia="仿宋" w:cs="仿宋"/>
          <w:highlight w:val="none"/>
          <w:lang w:val="en-US" w:eastAsia="zh-CN"/>
        </w:rPr>
      </w:pPr>
    </w:p>
    <w:p>
      <w:pPr>
        <w:snapToGrid w:val="0"/>
        <w:spacing w:line="360" w:lineRule="auto"/>
        <w:ind w:firstLine="480" w:firstLineChars="200"/>
        <w:jc w:val="center"/>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【不属于JY企业的无需填写、递交】</w:t>
      </w: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本公司郑重声明，根据《关于政府采购支持监狱企业发展有关问题的通知》 （财库[2014]68 号）的规定，本公司为监狱企业。</w:t>
      </w: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根据上述标准，我公司属于JY企业的理由为：         。</w:t>
      </w: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本公司为参加（    项目名称    ） （项目编号：      ）采购活动提供本企业提供货物。</w:t>
      </w: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本公司对上述声明的真实性负责。如有虚假，将依法承担相应责任。</w:t>
      </w: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投标人名称（盖章）：</w:t>
      </w: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日期：    年  月  日</w:t>
      </w: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p>
    <w:p>
      <w:pPr>
        <w:widowControl w:val="0"/>
        <w:spacing w:line="276" w:lineRule="auto"/>
        <w:ind w:firstLine="480" w:firstLineChars="200"/>
        <w:jc w:val="left"/>
        <w:rPr>
          <w:rFonts w:hint="eastAsia" w:ascii="仿宋" w:hAnsi="仿宋" w:eastAsia="仿宋" w:cs="仿宋"/>
          <w:color w:val="auto"/>
          <w:kern w:val="0"/>
          <w:sz w:val="24"/>
          <w:szCs w:val="20"/>
          <w:highlight w:val="none"/>
          <w:lang w:val="en-US" w:eastAsia="zh-CN" w:bidi="ar-SA"/>
        </w:rPr>
      </w:pPr>
    </w:p>
    <w:p>
      <w:pPr>
        <w:ind w:firstLine="0" w:firstLineChars="0"/>
        <w:rPr>
          <w:rFonts w:hint="eastAsia" w:ascii="仿宋" w:hAnsi="仿宋" w:eastAsia="仿宋" w:cs="仿宋"/>
          <w:color w:val="auto"/>
          <w:kern w:val="0"/>
          <w:sz w:val="24"/>
          <w:szCs w:val="20"/>
          <w:highlight w:val="none"/>
          <w:lang w:val="en-US" w:eastAsia="zh-CN" w:bidi="ar-SA"/>
        </w:rPr>
      </w:pPr>
    </w:p>
    <w:p>
      <w:pPr>
        <w:widowControl w:val="0"/>
        <w:spacing w:line="276" w:lineRule="auto"/>
        <w:ind w:firstLine="480" w:firstLineChars="200"/>
        <w:jc w:val="left"/>
        <w:rPr>
          <w:rFonts w:hint="eastAsia" w:ascii="仿宋" w:hAnsi="仿宋" w:eastAsia="仿宋" w:cs="仿宋"/>
          <w:color w:val="auto"/>
          <w:kern w:val="0"/>
          <w:sz w:val="24"/>
          <w:szCs w:val="20"/>
          <w:highlight w:val="none"/>
          <w:lang w:val="en-US" w:eastAsia="zh-CN" w:bidi="ar-SA"/>
        </w:rPr>
      </w:pPr>
    </w:p>
    <w:p>
      <w:pPr>
        <w:ind w:firstLine="0" w:firstLineChars="0"/>
        <w:rPr>
          <w:rFonts w:hint="eastAsia" w:ascii="仿宋" w:hAnsi="仿宋" w:eastAsia="仿宋" w:cs="仿宋"/>
          <w:color w:val="auto"/>
          <w:kern w:val="0"/>
          <w:sz w:val="24"/>
          <w:szCs w:val="20"/>
          <w:highlight w:val="none"/>
          <w:lang w:val="en-US" w:eastAsia="zh-CN" w:bidi="ar-SA"/>
        </w:rPr>
      </w:pPr>
    </w:p>
    <w:p>
      <w:pPr>
        <w:widowControl w:val="0"/>
        <w:spacing w:line="276" w:lineRule="auto"/>
        <w:ind w:firstLine="480" w:firstLineChars="200"/>
        <w:jc w:val="left"/>
        <w:rPr>
          <w:rFonts w:hint="eastAsia" w:ascii="仿宋" w:hAnsi="仿宋" w:eastAsia="仿宋" w:cs="仿宋"/>
          <w:color w:val="auto"/>
          <w:kern w:val="0"/>
          <w:sz w:val="24"/>
          <w:szCs w:val="20"/>
          <w:highlight w:val="none"/>
          <w:lang w:val="en-US" w:eastAsia="zh-CN" w:bidi="ar-SA"/>
        </w:rPr>
      </w:pPr>
    </w:p>
    <w:p>
      <w:pPr>
        <w:ind w:firstLine="0" w:firstLineChars="0"/>
        <w:rPr>
          <w:rFonts w:hint="eastAsia" w:ascii="仿宋" w:hAnsi="仿宋" w:eastAsia="仿宋" w:cs="仿宋"/>
          <w:color w:val="auto"/>
          <w:kern w:val="0"/>
          <w:sz w:val="24"/>
          <w:szCs w:val="20"/>
          <w:highlight w:val="none"/>
          <w:lang w:val="en-US" w:eastAsia="zh-CN" w:bidi="ar-SA"/>
        </w:rPr>
      </w:pPr>
    </w:p>
    <w:p>
      <w:pPr>
        <w:widowControl w:val="0"/>
        <w:spacing w:line="276" w:lineRule="auto"/>
        <w:ind w:firstLine="480" w:firstLineChars="200"/>
        <w:jc w:val="left"/>
        <w:rPr>
          <w:rFonts w:hint="eastAsia" w:ascii="仿宋" w:hAnsi="仿宋" w:eastAsia="仿宋" w:cs="仿宋"/>
          <w:color w:val="auto"/>
          <w:kern w:val="0"/>
          <w:sz w:val="24"/>
          <w:szCs w:val="20"/>
          <w:highlight w:val="none"/>
          <w:lang w:val="en-US" w:eastAsia="zh-CN" w:bidi="ar-SA"/>
        </w:rPr>
      </w:pPr>
    </w:p>
    <w:p>
      <w:pPr>
        <w:ind w:firstLine="0" w:firstLineChars="0"/>
        <w:rPr>
          <w:rFonts w:hint="eastAsia" w:ascii="仿宋" w:hAnsi="仿宋" w:eastAsia="仿宋" w:cs="仿宋"/>
          <w:color w:val="auto"/>
          <w:kern w:val="0"/>
          <w:sz w:val="24"/>
          <w:szCs w:val="20"/>
          <w:highlight w:val="none"/>
          <w:lang w:val="en-US" w:eastAsia="zh-CN" w:bidi="ar-SA"/>
        </w:rPr>
      </w:pPr>
    </w:p>
    <w:p>
      <w:pPr>
        <w:widowControl w:val="0"/>
        <w:spacing w:line="276" w:lineRule="auto"/>
        <w:ind w:firstLine="480" w:firstLineChars="200"/>
        <w:jc w:val="left"/>
        <w:rPr>
          <w:rFonts w:hint="eastAsia" w:ascii="仿宋" w:hAnsi="仿宋" w:eastAsia="仿宋" w:cs="仿宋"/>
          <w:color w:val="auto"/>
          <w:kern w:val="0"/>
          <w:sz w:val="24"/>
          <w:szCs w:val="20"/>
          <w:highlight w:val="none"/>
          <w:lang w:val="en-US" w:eastAsia="zh-CN" w:bidi="ar-SA"/>
        </w:rPr>
      </w:pPr>
    </w:p>
    <w:p>
      <w:pPr>
        <w:ind w:firstLine="0" w:firstLineChars="0"/>
        <w:rPr>
          <w:rFonts w:hint="eastAsia" w:ascii="仿宋" w:hAnsi="仿宋" w:eastAsia="仿宋" w:cs="仿宋"/>
          <w:color w:val="auto"/>
          <w:kern w:val="0"/>
          <w:sz w:val="24"/>
          <w:szCs w:val="20"/>
          <w:highlight w:val="none"/>
          <w:lang w:val="en-US" w:eastAsia="zh-CN" w:bidi="ar-SA"/>
        </w:rPr>
      </w:pPr>
    </w:p>
    <w:p>
      <w:pPr>
        <w:widowControl w:val="0"/>
        <w:spacing w:line="276" w:lineRule="auto"/>
        <w:ind w:firstLine="480" w:firstLineChars="200"/>
        <w:jc w:val="left"/>
        <w:rPr>
          <w:rFonts w:hint="eastAsia" w:ascii="仿宋" w:hAnsi="仿宋" w:eastAsia="仿宋" w:cs="仿宋"/>
          <w:color w:val="auto"/>
          <w:kern w:val="0"/>
          <w:sz w:val="24"/>
          <w:szCs w:val="20"/>
          <w:highlight w:val="none"/>
          <w:lang w:val="en-US" w:eastAsia="zh-CN" w:bidi="ar-SA"/>
        </w:rPr>
      </w:pPr>
    </w:p>
    <w:p>
      <w:pPr>
        <w:ind w:firstLine="0" w:firstLineChars="0"/>
        <w:rPr>
          <w:rFonts w:hint="eastAsia" w:ascii="仿宋" w:hAnsi="仿宋" w:eastAsia="仿宋" w:cs="仿宋"/>
          <w:color w:val="auto"/>
          <w:kern w:val="0"/>
          <w:sz w:val="24"/>
          <w:szCs w:val="20"/>
          <w:highlight w:val="none"/>
          <w:lang w:val="en-US" w:eastAsia="zh-CN" w:bidi="ar-SA"/>
        </w:rPr>
      </w:pPr>
    </w:p>
    <w:p>
      <w:pPr>
        <w:widowControl w:val="0"/>
        <w:spacing w:line="276" w:lineRule="auto"/>
        <w:ind w:firstLine="480" w:firstLineChars="200"/>
        <w:jc w:val="left"/>
        <w:rPr>
          <w:rFonts w:hint="eastAsia" w:ascii="仿宋" w:hAnsi="仿宋" w:eastAsia="仿宋" w:cs="仿宋"/>
          <w:color w:val="auto"/>
          <w:kern w:val="0"/>
          <w:sz w:val="24"/>
          <w:szCs w:val="20"/>
          <w:highlight w:val="none"/>
          <w:lang w:val="en-US" w:eastAsia="zh-CN" w:bidi="ar-SA"/>
        </w:rPr>
      </w:pPr>
    </w:p>
    <w:p>
      <w:pPr>
        <w:pStyle w:val="2"/>
        <w:rPr>
          <w:rFonts w:hint="eastAsia" w:ascii="仿宋" w:hAnsi="仿宋" w:eastAsia="仿宋" w:cs="仿宋"/>
          <w:highlight w:val="none"/>
          <w:lang w:val="en-US" w:eastAsia="zh-CN"/>
        </w:rPr>
      </w:pPr>
    </w:p>
    <w:p>
      <w:pPr>
        <w:ind w:firstLine="0" w:firstLineChars="0"/>
        <w:rPr>
          <w:rFonts w:hint="eastAsia" w:ascii="仿宋" w:hAnsi="仿宋" w:eastAsia="仿宋" w:cs="仿宋"/>
          <w:color w:val="auto"/>
          <w:kern w:val="0"/>
          <w:sz w:val="24"/>
          <w:szCs w:val="20"/>
          <w:highlight w:val="none"/>
          <w:lang w:val="en-US" w:eastAsia="zh-CN" w:bidi="ar-SA"/>
        </w:rPr>
      </w:pPr>
    </w:p>
    <w:p>
      <w:pPr>
        <w:widowControl w:val="0"/>
        <w:spacing w:line="276" w:lineRule="auto"/>
        <w:ind w:firstLine="440" w:firstLineChars="200"/>
        <w:jc w:val="left"/>
        <w:rPr>
          <w:rFonts w:hint="eastAsia" w:ascii="仿宋" w:hAnsi="仿宋" w:eastAsia="仿宋" w:cs="仿宋"/>
          <w:kern w:val="0"/>
          <w:sz w:val="22"/>
          <w:szCs w:val="22"/>
          <w:highlight w:val="none"/>
          <w:lang w:val="en-US" w:eastAsia="zh-CN" w:bidi="ar-SA"/>
        </w:rPr>
      </w:pPr>
    </w:p>
    <w:p>
      <w:pPr>
        <w:snapToGrid w:val="0"/>
        <w:spacing w:line="360" w:lineRule="auto"/>
        <w:ind w:firstLine="420" w:firstLineChars="200"/>
        <w:rPr>
          <w:rFonts w:hint="eastAsia" w:ascii="仿宋" w:hAnsi="仿宋" w:eastAsia="仿宋" w:cs="仿宋"/>
          <w:color w:val="auto"/>
          <w:sz w:val="21"/>
          <w:highlight w:val="none"/>
        </w:rPr>
      </w:pPr>
    </w:p>
    <w:p>
      <w:pPr>
        <w:snapToGrid w:val="0"/>
        <w:spacing w:line="360" w:lineRule="auto"/>
        <w:ind w:firstLine="0" w:firstLineChars="0"/>
        <w:jc w:val="center"/>
        <w:rPr>
          <w:rFonts w:hint="eastAsia" w:ascii="仿宋" w:hAnsi="仿宋" w:eastAsia="仿宋" w:cs="仿宋"/>
          <w:bCs w:val="0"/>
          <w:color w:val="auto"/>
          <w:kern w:val="2"/>
          <w:sz w:val="28"/>
          <w:szCs w:val="28"/>
          <w:highlight w:val="none"/>
          <w:lang w:val="en-US" w:eastAsia="zh-CN" w:bidi="ar-SA"/>
        </w:rPr>
      </w:pPr>
      <w:r>
        <w:rPr>
          <w:rFonts w:hint="eastAsia" w:ascii="仿宋" w:hAnsi="仿宋" w:eastAsia="仿宋" w:cs="仿宋"/>
          <w:b/>
          <w:bCs w:val="0"/>
          <w:color w:val="auto"/>
          <w:kern w:val="2"/>
          <w:sz w:val="28"/>
          <w:szCs w:val="28"/>
          <w:highlight w:val="none"/>
          <w:lang w:val="en-US" w:eastAsia="zh-CN" w:bidi="ar-SA"/>
        </w:rPr>
        <w:t>残疾人福利性单位声明函</w:t>
      </w:r>
      <w:r>
        <w:rPr>
          <w:rFonts w:hint="eastAsia" w:ascii="仿宋" w:hAnsi="仿宋" w:eastAsia="仿宋" w:cs="仿宋"/>
          <w:b/>
          <w:color w:val="auto"/>
          <w:spacing w:val="6"/>
          <w:kern w:val="2"/>
          <w:sz w:val="28"/>
          <w:szCs w:val="28"/>
          <w:highlight w:val="none"/>
          <w:lang w:val="en-US" w:eastAsia="zh-CN" w:bidi="ar-SA"/>
        </w:rPr>
        <w:t>（如有）</w:t>
      </w: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货物），或者提供其他残疾人福利性单位制造的货物（不包括使用非残疾人福利性单位注册商标的货物）。</w:t>
      </w: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本单位对上述声明的真实性负责。如有虚假，将依法承担相应责任。</w:t>
      </w: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p>
    <w:p>
      <w:pPr>
        <w:tabs>
          <w:tab w:val="left" w:pos="4860"/>
        </w:tabs>
        <w:snapToGrid w:val="0"/>
        <w:spacing w:line="360" w:lineRule="auto"/>
        <w:ind w:right="1560"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 xml:space="preserve">       单位名称（盖章）：</w:t>
      </w:r>
    </w:p>
    <w:p>
      <w:pPr>
        <w:tabs>
          <w:tab w:val="left" w:pos="4860"/>
        </w:tabs>
        <w:snapToGrid w:val="0"/>
        <w:spacing w:line="360" w:lineRule="auto"/>
        <w:ind w:right="1560"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 xml:space="preserve">       日  期：</w:t>
      </w:r>
    </w:p>
    <w:p>
      <w:pPr>
        <w:snapToGrid w:val="0"/>
        <w:spacing w:line="360" w:lineRule="auto"/>
        <w:ind w:left="360" w:firstLine="0" w:firstLineChars="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扶持政策说明：</w:t>
      </w: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1、根据财政部、工业和信息化部制定的《政府采购促进中小企业发展暂行办法》和转发财政部工业和信息化部关于印发《政府采购促进中小企业发展暂行办法》的通知（浙财采监[2012]11号），对小型或微型企业的投标报价给予6%的扣除，并用扣除后的价格计算价格评分。</w:t>
      </w:r>
    </w:p>
    <w:p>
      <w:pPr>
        <w:snapToGrid w:val="0"/>
        <w:spacing w:line="360" w:lineRule="auto"/>
        <w:ind w:firstLine="240" w:firstLineChars="1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2、监狱企业视同小微企业，参加本项目投标的，享受小微企业同等的价格扣除。【注：提供《监狱企业声明函》及其相关的充分的证明材料】。</w:t>
      </w:r>
    </w:p>
    <w:p>
      <w:pPr>
        <w:snapToGrid w:val="0"/>
        <w:spacing w:line="360" w:lineRule="auto"/>
        <w:ind w:firstLine="240" w:firstLineChars="100"/>
        <w:rPr>
          <w:rFonts w:hint="eastAsia" w:ascii="仿宋" w:hAnsi="仿宋" w:eastAsia="仿宋" w:cs="仿宋"/>
          <w:highlight w:val="none"/>
          <w:lang w:val="en-US" w:eastAsia="zh-CN"/>
        </w:rPr>
        <w:sectPr>
          <w:pgSz w:w="11906" w:h="16838"/>
          <w:pgMar w:top="1440" w:right="1080" w:bottom="1440" w:left="1080" w:header="851" w:footer="992" w:gutter="0"/>
          <w:pgNumType w:fmt="decimal"/>
          <w:cols w:space="720" w:num="1"/>
          <w:titlePg/>
          <w:docGrid w:type="lines" w:linePitch="312" w:charSpace="0"/>
        </w:sectPr>
      </w:pPr>
      <w:r>
        <w:rPr>
          <w:rFonts w:hint="eastAsia" w:ascii="仿宋" w:hAnsi="仿宋" w:eastAsia="仿宋" w:cs="仿宋"/>
          <w:color w:val="auto"/>
          <w:kern w:val="0"/>
          <w:sz w:val="24"/>
          <w:szCs w:val="20"/>
          <w:highlight w:val="none"/>
          <w:lang w:val="en-US" w:eastAsia="zh-CN" w:bidi="ar-SA"/>
        </w:rPr>
        <w:t>3、残疾人福利性单位参加投标【提供《残疾人福利性单位声明函》】，视为小型、微型企业，享受小微企业政策扶持。</w:t>
      </w:r>
    </w:p>
    <w:p>
      <w:pPr>
        <w:numPr>
          <w:ilvl w:val="0"/>
          <w:numId w:val="0"/>
        </w:numPr>
        <w:spacing w:line="588" w:lineRule="exact"/>
        <w:jc w:val="center"/>
        <w:rPr>
          <w:rFonts w:hint="eastAsia" w:ascii="仿宋" w:hAnsi="仿宋" w:eastAsia="仿宋" w:cs="仿宋"/>
          <w:b/>
          <w:color w:val="auto"/>
          <w:spacing w:val="6"/>
          <w:kern w:val="2"/>
          <w:sz w:val="28"/>
          <w:szCs w:val="28"/>
          <w:highlight w:val="none"/>
          <w:lang w:val="en-US" w:eastAsia="zh-CN" w:bidi="ar-SA"/>
        </w:rPr>
      </w:pPr>
      <w:r>
        <w:rPr>
          <w:rFonts w:hint="eastAsia" w:ascii="仿宋" w:hAnsi="仿宋" w:eastAsia="仿宋" w:cs="仿宋"/>
          <w:b/>
          <w:color w:val="auto"/>
          <w:spacing w:val="6"/>
          <w:kern w:val="2"/>
          <w:sz w:val="28"/>
          <w:szCs w:val="28"/>
          <w:highlight w:val="none"/>
          <w:lang w:val="en-US" w:eastAsia="zh-CN" w:bidi="ar-SA"/>
        </w:rPr>
        <w:t>节能、环保产品证明（如有）</w:t>
      </w:r>
    </w:p>
    <w:p>
      <w:pPr>
        <w:pStyle w:val="5"/>
        <w:numPr>
          <w:ilvl w:val="0"/>
          <w:numId w:val="0"/>
        </w:numPr>
        <w:rPr>
          <w:rFonts w:hint="eastAsia" w:ascii="仿宋" w:hAnsi="仿宋" w:eastAsia="仿宋" w:cs="仿宋"/>
          <w:highlight w:val="none"/>
          <w:lang w:val="en-US" w:eastAsia="zh-CN"/>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采购人名称 </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现附上</w:t>
      </w:r>
      <w:r>
        <w:rPr>
          <w:rFonts w:hint="eastAsia" w:ascii="仿宋" w:hAnsi="仿宋" w:eastAsia="仿宋" w:cs="仿宋"/>
          <w:color w:val="auto"/>
          <w:sz w:val="24"/>
          <w:highlight w:val="none"/>
          <w:u w:val="single"/>
        </w:rPr>
        <w:t>  （节能、环保产品产品目录）    </w:t>
      </w:r>
      <w:r>
        <w:rPr>
          <w:rFonts w:hint="eastAsia" w:ascii="仿宋" w:hAnsi="仿宋" w:eastAsia="仿宋" w:cs="仿宋"/>
          <w:color w:val="auto"/>
          <w:sz w:val="24"/>
          <w:highlight w:val="none"/>
        </w:rPr>
        <w:t> 证明文件（可在 网站名称 网站进行查询）复印件，该证件真实有效。</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注：节能、环保产品须提供“财政部、国家发展改革委公布的节能、环保产品清单目录”并在有效期内的复印件或影印件，并能在投标人提供的网站上查询到相关内容（未提供查询网站，或在其提供的查询网站上查询不到相关内容的，将不予认可），由投标人加盖公章并注明“与原件一致”。</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投标人（加盖公章）：                         </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投标人代表（签字）：                         </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日 期：    年   月  日</w:t>
      </w:r>
    </w:p>
    <w:p>
      <w:pPr>
        <w:rPr>
          <w:rFonts w:hint="eastAsia" w:ascii="仿宋" w:hAnsi="仿宋" w:eastAsia="仿宋" w:cs="仿宋"/>
          <w:b/>
          <w:color w:val="auto"/>
          <w:spacing w:val="6"/>
          <w:szCs w:val="21"/>
          <w:highlight w:val="none"/>
        </w:rPr>
      </w:pPr>
    </w:p>
    <w:p>
      <w:pPr>
        <w:pStyle w:val="42"/>
        <w:rPr>
          <w:rFonts w:hint="eastAsia" w:ascii="仿宋" w:hAnsi="仿宋" w:eastAsia="仿宋" w:cs="仿宋"/>
          <w:color w:val="auto"/>
          <w:highlight w:val="none"/>
        </w:rPr>
      </w:pPr>
    </w:p>
    <w:p>
      <w:pPr>
        <w:pStyle w:val="42"/>
        <w:rPr>
          <w:rFonts w:hint="eastAsia" w:ascii="仿宋" w:hAnsi="仿宋" w:eastAsia="仿宋" w:cs="仿宋"/>
          <w:color w:val="auto"/>
          <w:highlight w:val="none"/>
        </w:rPr>
      </w:pPr>
    </w:p>
    <w:p>
      <w:pPr>
        <w:pStyle w:val="42"/>
        <w:ind w:left="0" w:leftChars="0" w:firstLine="0" w:firstLineChars="0"/>
        <w:jc w:val="center"/>
        <w:rPr>
          <w:rFonts w:hint="eastAsia" w:ascii="仿宋" w:hAnsi="仿宋" w:eastAsia="仿宋" w:cs="仿宋"/>
          <w:b/>
          <w:color w:val="auto"/>
          <w:spacing w:val="6"/>
          <w:kern w:val="2"/>
          <w:sz w:val="28"/>
          <w:szCs w:val="28"/>
          <w:highlight w:val="none"/>
          <w:lang w:val="en-US" w:eastAsia="zh-CN" w:bidi="ar-SA"/>
        </w:rPr>
        <w:sectPr>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p>
    <w:p>
      <w:pPr>
        <w:pStyle w:val="159"/>
        <w:shd w:val="clear" w:color="auto" w:fill="auto"/>
        <w:spacing w:line="240" w:lineRule="auto"/>
        <w:ind w:left="0" w:leftChars="0" w:firstLine="0" w:firstLineChars="0"/>
        <w:jc w:val="center"/>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虚假应标承担责任声明（统一格式）</w:t>
      </w:r>
    </w:p>
    <w:p>
      <w:pPr>
        <w:pStyle w:val="19"/>
        <w:shd w:val="clear" w:color="auto" w:fill="auto"/>
        <w:tabs>
          <w:tab w:val="left" w:pos="9214"/>
        </w:tabs>
        <w:spacing w:before="2" w:line="240" w:lineRule="auto"/>
        <w:ind w:left="0" w:leftChars="0" w:right="-92" w:rightChars="-44" w:firstLine="0" w:firstLineChars="0"/>
        <w:rPr>
          <w:rFonts w:hint="eastAsia" w:ascii="仿宋" w:hAnsi="仿宋" w:eastAsia="仿宋" w:cs="仿宋"/>
          <w:b/>
          <w:color w:val="auto"/>
          <w:sz w:val="21"/>
          <w:szCs w:val="21"/>
          <w:highlight w:val="none"/>
        </w:rPr>
      </w:pPr>
    </w:p>
    <w:p>
      <w:pPr>
        <w:shd w:val="clear" w:color="auto" w:fill="auto"/>
        <w:spacing w:line="240" w:lineRule="auto"/>
        <w:ind w:right="-92" w:rightChars="-4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采购人/采购代理机构</w:t>
      </w:r>
    </w:p>
    <w:p>
      <w:pPr>
        <w:pStyle w:val="19"/>
        <w:shd w:val="clear" w:color="auto" w:fill="auto"/>
        <w:tabs>
          <w:tab w:val="left" w:pos="9214"/>
        </w:tabs>
        <w:spacing w:before="9" w:line="240" w:lineRule="auto"/>
        <w:ind w:right="-92" w:rightChars="-44"/>
        <w:rPr>
          <w:rFonts w:hint="eastAsia" w:ascii="仿宋" w:hAnsi="仿宋" w:eastAsia="仿宋" w:cs="仿宋"/>
          <w:b/>
          <w:color w:val="auto"/>
          <w:sz w:val="24"/>
          <w:szCs w:val="24"/>
          <w:highlight w:val="none"/>
        </w:rPr>
      </w:pPr>
    </w:p>
    <w:p>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承诺：所提供的投标文件（包括一切技术资料、技术承诺、商务承诺等）均真实有效，若在项目招标过程中（包括开评审、中标公示过程）及履行合同期间（包括验收过程）发现我公司提供的货物（或产品）与投标文件不一致，或发现我公司提供了不真实的投标文件（虚假材料）   ）），我公司愿意承担一切法律责任并认可采购人或采购代理机构作出的取消中标资格、罚没保证金等决定。</w:t>
      </w:r>
    </w:p>
    <w:p>
      <w:pPr>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pPr>
        <w:pStyle w:val="19"/>
        <w:shd w:val="clear" w:color="auto" w:fill="auto"/>
        <w:tabs>
          <w:tab w:val="left" w:pos="9214"/>
        </w:tabs>
        <w:spacing w:line="240" w:lineRule="auto"/>
        <w:ind w:right="-92" w:rightChars="-44"/>
        <w:rPr>
          <w:rFonts w:hint="eastAsia" w:ascii="仿宋" w:hAnsi="仿宋" w:eastAsia="仿宋" w:cs="仿宋"/>
          <w:color w:val="auto"/>
          <w:sz w:val="24"/>
          <w:szCs w:val="24"/>
          <w:highlight w:val="none"/>
        </w:rPr>
      </w:pPr>
    </w:p>
    <w:p>
      <w:pPr>
        <w:pStyle w:val="19"/>
        <w:shd w:val="clear" w:color="auto" w:fill="auto"/>
        <w:tabs>
          <w:tab w:val="left" w:pos="4736"/>
          <w:tab w:val="left" w:pos="9214"/>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p>
    <w:p>
      <w:pPr>
        <w:pStyle w:val="19"/>
        <w:shd w:val="clear" w:color="auto" w:fill="auto"/>
        <w:tabs>
          <w:tab w:val="left" w:pos="5521"/>
          <w:tab w:val="left" w:pos="6366"/>
          <w:tab w:val="left" w:pos="9062"/>
          <w:tab w:val="left" w:pos="9214"/>
        </w:tabs>
        <w:spacing w:line="24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投标人授权代表(签字或签章)：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p>
    <w:p>
      <w:pPr>
        <w:pStyle w:val="19"/>
        <w:shd w:val="clear" w:color="auto" w:fill="auto"/>
        <w:tabs>
          <w:tab w:val="left" w:pos="5521"/>
          <w:tab w:val="left" w:pos="6366"/>
          <w:tab w:val="left" w:pos="9062"/>
          <w:tab w:val="left" w:pos="9214"/>
        </w:tabs>
        <w:spacing w:line="240" w:lineRule="auto"/>
        <w:rPr>
          <w:rFonts w:hint="eastAsia" w:ascii="仿宋" w:hAnsi="仿宋" w:eastAsia="仿宋" w:cs="仿宋"/>
          <w:color w:val="auto"/>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highlight w:val="none"/>
          <w:u w:val="single"/>
        </w:rPr>
        <w:tab/>
      </w:r>
    </w:p>
    <w:p>
      <w:pPr>
        <w:numPr>
          <w:ilvl w:val="0"/>
          <w:numId w:val="0"/>
        </w:numPr>
        <w:adjustRightInd w:val="0"/>
        <w:spacing w:line="360" w:lineRule="auto"/>
        <w:ind w:leftChars="0"/>
        <w:jc w:val="center"/>
        <w:rPr>
          <w:rFonts w:hint="eastAsia" w:ascii="仿宋" w:hAnsi="仿宋" w:eastAsia="仿宋" w:cs="仿宋"/>
          <w:b/>
          <w:color w:val="auto"/>
          <w:spacing w:val="6"/>
          <w:kern w:val="2"/>
          <w:sz w:val="28"/>
          <w:szCs w:val="28"/>
          <w:highlight w:val="none"/>
          <w:lang w:val="en-US" w:eastAsia="zh-CN" w:bidi="ar-SA"/>
        </w:rPr>
        <w:sectPr>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p>
    <w:p>
      <w:pPr>
        <w:pStyle w:val="19"/>
        <w:jc w:val="center"/>
        <w:rPr>
          <w:rFonts w:hint="eastAsia" w:ascii="仿宋" w:hAnsi="仿宋" w:eastAsia="仿宋" w:cs="仿宋"/>
          <w:color w:val="auto"/>
          <w:highlight w:val="none"/>
        </w:rPr>
      </w:pPr>
      <w:r>
        <w:rPr>
          <w:rFonts w:hint="eastAsia" w:ascii="仿宋" w:hAnsi="仿宋" w:eastAsia="仿宋" w:cs="仿宋"/>
          <w:b/>
          <w:color w:val="auto"/>
          <w:spacing w:val="6"/>
          <w:kern w:val="2"/>
          <w:sz w:val="28"/>
          <w:szCs w:val="28"/>
          <w:highlight w:val="none"/>
          <w:lang w:val="en-US" w:eastAsia="zh-CN" w:bidi="ar-SA"/>
        </w:rPr>
        <w:t>十八、</w:t>
      </w:r>
      <w:r>
        <w:rPr>
          <w:rFonts w:hint="eastAsia" w:ascii="仿宋" w:hAnsi="仿宋" w:eastAsia="仿宋" w:cs="仿宋"/>
          <w:b/>
          <w:color w:val="auto"/>
          <w:kern w:val="2"/>
          <w:sz w:val="30"/>
          <w:szCs w:val="30"/>
          <w:highlight w:val="none"/>
          <w:lang w:val="en-US" w:eastAsia="zh-CN" w:bidi="ar-SA"/>
        </w:rPr>
        <w:t>售后服务方案</w:t>
      </w:r>
    </w:p>
    <w:p>
      <w:pPr>
        <w:rPr>
          <w:rFonts w:hint="eastAsia" w:ascii="仿宋" w:hAnsi="仿宋" w:eastAsia="仿宋" w:cs="仿宋"/>
          <w:highlight w:val="none"/>
        </w:rPr>
      </w:pPr>
    </w:p>
    <w:p>
      <w:pPr>
        <w:keepNext w:val="0"/>
        <w:keepLines w:val="0"/>
        <w:widowControl/>
        <w:suppressLineNumbers w:val="0"/>
        <w:jc w:val="center"/>
        <w:rPr>
          <w:rFonts w:hint="eastAsia" w:ascii="仿宋" w:hAnsi="仿宋" w:eastAsia="仿宋" w:cs="仿宋"/>
          <w:b/>
          <w:bCs/>
          <w:color w:val="000000"/>
          <w:kern w:val="0"/>
          <w:sz w:val="28"/>
          <w:szCs w:val="28"/>
          <w:highlight w:val="none"/>
          <w:lang w:val="en-US" w:eastAsia="zh-CN" w:bidi="ar"/>
        </w:rPr>
      </w:pPr>
    </w:p>
    <w:p>
      <w:pPr>
        <w:keepNext w:val="0"/>
        <w:keepLines w:val="0"/>
        <w:widowControl/>
        <w:suppressLineNumbers w:val="0"/>
        <w:jc w:val="center"/>
        <w:rPr>
          <w:rFonts w:hint="eastAsia" w:ascii="仿宋" w:hAnsi="仿宋" w:eastAsia="仿宋" w:cs="仿宋"/>
          <w:highlight w:val="none"/>
        </w:rPr>
      </w:pPr>
      <w:r>
        <w:rPr>
          <w:rFonts w:hint="eastAsia" w:ascii="仿宋" w:hAnsi="仿宋" w:eastAsia="仿宋" w:cs="仿宋"/>
          <w:b/>
          <w:bCs/>
          <w:color w:val="000000"/>
          <w:kern w:val="0"/>
          <w:sz w:val="28"/>
          <w:szCs w:val="28"/>
          <w:highlight w:val="none"/>
          <w:lang w:val="en-US" w:eastAsia="zh-CN" w:bidi="ar"/>
        </w:rPr>
        <w:t>（根据项目实际情况编写， 格式自拟）</w:t>
      </w:r>
    </w:p>
    <w:p>
      <w:pPr>
        <w:spacing w:line="360" w:lineRule="auto"/>
        <w:ind w:firstLine="3840" w:firstLineChars="1600"/>
        <w:jc w:val="both"/>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jc w:val="right"/>
        <w:rPr>
          <w:rFonts w:hint="eastAsia" w:ascii="仿宋" w:hAnsi="仿宋" w:eastAsia="仿宋" w:cs="仿宋"/>
          <w:color w:val="auto"/>
          <w:sz w:val="24"/>
          <w:highlight w:val="none"/>
        </w:rPr>
      </w:pPr>
    </w:p>
    <w:p>
      <w:pPr>
        <w:spacing w:line="44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ind w:firstLine="4080" w:firstLineChars="1700"/>
        <w:jc w:val="both"/>
        <w:rPr>
          <w:rFonts w:hint="eastAsia" w:ascii="仿宋" w:hAnsi="仿宋" w:eastAsia="仿宋" w:cs="仿宋"/>
          <w:color w:val="auto"/>
          <w:sz w:val="24"/>
          <w:highlight w:val="none"/>
        </w:rPr>
      </w:pPr>
    </w:p>
    <w:p>
      <w:pPr>
        <w:spacing w:line="360" w:lineRule="auto"/>
        <w:ind w:firstLine="4080" w:firstLineChars="1700"/>
        <w:jc w:val="both"/>
        <w:rPr>
          <w:rFonts w:hint="eastAsia" w:ascii="仿宋" w:hAnsi="仿宋" w:eastAsia="仿宋" w:cs="仿宋"/>
          <w:color w:val="auto"/>
          <w:sz w:val="24"/>
          <w:highlight w:val="none"/>
        </w:rPr>
      </w:pPr>
    </w:p>
    <w:p>
      <w:pPr>
        <w:pStyle w:val="2"/>
        <w:overflowPunct w:val="0"/>
        <w:ind w:firstLine="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2"/>
        <w:overflowPunct w:val="0"/>
        <w:ind w:firstLine="0"/>
        <w:jc w:val="center"/>
        <w:rPr>
          <w:rFonts w:hint="eastAsia" w:ascii="仿宋" w:hAnsi="仿宋" w:eastAsia="仿宋" w:cs="仿宋"/>
          <w:b/>
          <w:color w:val="auto"/>
          <w:kern w:val="2"/>
          <w:sz w:val="30"/>
          <w:szCs w:val="30"/>
          <w:highlight w:val="none"/>
          <w:lang w:val="en-US" w:eastAsia="zh-CN" w:bidi="ar-SA"/>
        </w:rPr>
      </w:pPr>
      <w:r>
        <w:rPr>
          <w:rFonts w:hint="eastAsia" w:ascii="仿宋" w:hAnsi="仿宋" w:eastAsia="仿宋" w:cs="仿宋"/>
          <w:b/>
          <w:color w:val="auto"/>
          <w:kern w:val="2"/>
          <w:sz w:val="30"/>
          <w:szCs w:val="30"/>
          <w:highlight w:val="none"/>
          <w:lang w:val="en-US" w:eastAsia="zh-CN" w:bidi="ar-SA"/>
        </w:rPr>
        <w:t>十九、培训服务方案</w:t>
      </w:r>
    </w:p>
    <w:p>
      <w:pPr>
        <w:rPr>
          <w:rFonts w:hint="eastAsia" w:ascii="仿宋" w:hAnsi="仿宋" w:eastAsia="仿宋" w:cs="仿宋"/>
          <w:color w:val="auto"/>
          <w:highlight w:val="none"/>
        </w:rPr>
      </w:pPr>
    </w:p>
    <w:p>
      <w:pPr>
        <w:pStyle w:val="19"/>
        <w:rPr>
          <w:rFonts w:hint="eastAsia" w:ascii="仿宋" w:hAnsi="仿宋" w:eastAsia="仿宋" w:cs="仿宋"/>
          <w:color w:val="auto"/>
          <w:highlight w:val="none"/>
        </w:rPr>
      </w:pPr>
    </w:p>
    <w:p>
      <w:pPr>
        <w:rPr>
          <w:rFonts w:hint="eastAsia" w:ascii="仿宋" w:hAnsi="仿宋" w:eastAsia="仿宋" w:cs="仿宋"/>
          <w:highlight w:val="none"/>
        </w:rPr>
      </w:pPr>
    </w:p>
    <w:p>
      <w:pPr>
        <w:keepNext w:val="0"/>
        <w:keepLines w:val="0"/>
        <w:widowControl/>
        <w:suppressLineNumbers w:val="0"/>
        <w:jc w:val="center"/>
        <w:rPr>
          <w:rFonts w:hint="eastAsia" w:ascii="仿宋" w:hAnsi="仿宋" w:eastAsia="仿宋" w:cs="仿宋"/>
          <w:b/>
          <w:bCs/>
          <w:color w:val="000000"/>
          <w:kern w:val="0"/>
          <w:sz w:val="28"/>
          <w:szCs w:val="28"/>
          <w:highlight w:val="none"/>
          <w:lang w:val="en-US" w:eastAsia="zh-CN" w:bidi="ar"/>
        </w:rPr>
      </w:pPr>
    </w:p>
    <w:p>
      <w:pPr>
        <w:keepNext w:val="0"/>
        <w:keepLines w:val="0"/>
        <w:widowControl/>
        <w:suppressLineNumbers w:val="0"/>
        <w:jc w:val="center"/>
        <w:rPr>
          <w:rFonts w:hint="eastAsia" w:ascii="仿宋" w:hAnsi="仿宋" w:eastAsia="仿宋" w:cs="仿宋"/>
          <w:highlight w:val="none"/>
        </w:rPr>
      </w:pPr>
      <w:r>
        <w:rPr>
          <w:rFonts w:hint="eastAsia" w:ascii="仿宋" w:hAnsi="仿宋" w:eastAsia="仿宋" w:cs="仿宋"/>
          <w:b/>
          <w:bCs/>
          <w:color w:val="000000"/>
          <w:kern w:val="0"/>
          <w:sz w:val="28"/>
          <w:szCs w:val="28"/>
          <w:highlight w:val="none"/>
          <w:lang w:val="en-US" w:eastAsia="zh-CN" w:bidi="ar"/>
        </w:rPr>
        <w:t>（根据项目实际情况编写， 格式自拟）</w:t>
      </w:r>
    </w:p>
    <w:p>
      <w:pPr>
        <w:spacing w:line="360" w:lineRule="auto"/>
        <w:ind w:firstLine="3840" w:firstLineChars="1600"/>
        <w:jc w:val="both"/>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jc w:val="right"/>
        <w:rPr>
          <w:rFonts w:hint="eastAsia" w:ascii="仿宋" w:hAnsi="仿宋" w:eastAsia="仿宋" w:cs="仿宋"/>
          <w:color w:val="auto"/>
          <w:sz w:val="24"/>
          <w:highlight w:val="none"/>
        </w:rPr>
      </w:pPr>
    </w:p>
    <w:p>
      <w:pPr>
        <w:spacing w:line="44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ind w:firstLine="4080" w:firstLineChars="1700"/>
        <w:jc w:val="both"/>
        <w:rPr>
          <w:rFonts w:hint="eastAsia" w:ascii="仿宋" w:hAnsi="仿宋" w:eastAsia="仿宋" w:cs="仿宋"/>
          <w:color w:val="auto"/>
          <w:sz w:val="24"/>
          <w:highlight w:val="none"/>
        </w:rPr>
      </w:pPr>
    </w:p>
    <w:p>
      <w:pPr>
        <w:spacing w:line="360" w:lineRule="auto"/>
        <w:ind w:firstLine="4080" w:firstLineChars="1700"/>
        <w:jc w:val="both"/>
        <w:rPr>
          <w:rFonts w:hint="eastAsia" w:ascii="仿宋" w:hAnsi="仿宋" w:eastAsia="仿宋" w:cs="仿宋"/>
          <w:color w:val="auto"/>
          <w:sz w:val="24"/>
          <w:highlight w:val="none"/>
        </w:rPr>
      </w:pPr>
    </w:p>
    <w:p>
      <w:pPr>
        <w:spacing w:line="360" w:lineRule="auto"/>
        <w:ind w:firstLine="4080" w:firstLineChars="17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pPr>
        <w:pStyle w:val="42"/>
        <w:ind w:left="0" w:leftChars="0" w:firstLine="0" w:firstLineChars="0"/>
        <w:jc w:val="center"/>
        <w:rPr>
          <w:rFonts w:hint="eastAsia" w:ascii="仿宋" w:hAnsi="仿宋" w:eastAsia="仿宋" w:cs="仿宋"/>
          <w:b/>
          <w:color w:val="auto"/>
          <w:spacing w:val="6"/>
          <w:kern w:val="2"/>
          <w:sz w:val="28"/>
          <w:szCs w:val="28"/>
          <w:highlight w:val="none"/>
          <w:lang w:val="en-US" w:eastAsia="zh-CN" w:bidi="ar-SA"/>
        </w:rPr>
        <w:sectPr>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p>
    <w:p>
      <w:pPr>
        <w:numPr>
          <w:ilvl w:val="0"/>
          <w:numId w:val="0"/>
        </w:numPr>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eastAsia="zh-CN"/>
        </w:rPr>
        <w:t>二十、</w:t>
      </w:r>
      <w:r>
        <w:rPr>
          <w:rFonts w:hint="eastAsia" w:ascii="仿宋" w:hAnsi="仿宋" w:eastAsia="仿宋" w:cs="仿宋"/>
          <w:b/>
          <w:bCs/>
          <w:color w:val="auto"/>
          <w:sz w:val="28"/>
          <w:szCs w:val="28"/>
          <w:highlight w:val="none"/>
          <w:lang w:val="en-US" w:eastAsia="zh-CN"/>
        </w:rPr>
        <w:t>配件供应能力及承诺</w:t>
      </w:r>
    </w:p>
    <w:p>
      <w:pPr>
        <w:rPr>
          <w:rFonts w:hint="eastAsia" w:ascii="仿宋" w:hAnsi="仿宋" w:eastAsia="仿宋" w:cs="仿宋"/>
          <w:b/>
          <w:bCs/>
          <w:color w:val="000000"/>
          <w:kern w:val="0"/>
          <w:sz w:val="28"/>
          <w:szCs w:val="28"/>
          <w:highlight w:val="none"/>
          <w:lang w:val="en-US" w:eastAsia="zh-CN" w:bidi="ar"/>
        </w:rPr>
      </w:pPr>
    </w:p>
    <w:p>
      <w:pPr>
        <w:keepNext w:val="0"/>
        <w:keepLines w:val="0"/>
        <w:widowControl/>
        <w:suppressLineNumbers w:val="0"/>
        <w:jc w:val="center"/>
        <w:rPr>
          <w:rFonts w:hint="eastAsia" w:ascii="仿宋" w:hAnsi="仿宋" w:eastAsia="仿宋" w:cs="仿宋"/>
          <w:b/>
          <w:bCs/>
          <w:color w:val="000000"/>
          <w:kern w:val="0"/>
          <w:sz w:val="28"/>
          <w:szCs w:val="28"/>
          <w:highlight w:val="none"/>
          <w:lang w:val="en-US" w:eastAsia="zh-CN" w:bidi="ar"/>
        </w:rPr>
      </w:pPr>
    </w:p>
    <w:p>
      <w:pPr>
        <w:keepNext w:val="0"/>
        <w:keepLines w:val="0"/>
        <w:widowControl/>
        <w:suppressLineNumbers w:val="0"/>
        <w:jc w:val="center"/>
        <w:rPr>
          <w:rFonts w:hint="eastAsia" w:ascii="仿宋" w:hAnsi="仿宋" w:eastAsia="仿宋" w:cs="仿宋"/>
          <w:b/>
          <w:bCs/>
          <w:color w:val="000000"/>
          <w:kern w:val="0"/>
          <w:sz w:val="28"/>
          <w:szCs w:val="28"/>
          <w:highlight w:val="none"/>
          <w:lang w:val="en-US" w:eastAsia="zh-CN" w:bidi="ar"/>
        </w:rPr>
      </w:pPr>
    </w:p>
    <w:p>
      <w:pPr>
        <w:keepNext w:val="0"/>
        <w:keepLines w:val="0"/>
        <w:widowControl/>
        <w:suppressLineNumbers w:val="0"/>
        <w:jc w:val="center"/>
        <w:rPr>
          <w:rFonts w:hint="eastAsia" w:ascii="仿宋" w:hAnsi="仿宋" w:eastAsia="仿宋" w:cs="仿宋"/>
          <w:b/>
          <w:bCs/>
          <w:color w:val="000000"/>
          <w:kern w:val="0"/>
          <w:sz w:val="28"/>
          <w:szCs w:val="28"/>
          <w:highlight w:val="none"/>
          <w:lang w:val="en-US" w:eastAsia="zh-CN" w:bidi="ar"/>
        </w:rPr>
      </w:pPr>
    </w:p>
    <w:p>
      <w:pPr>
        <w:keepNext w:val="0"/>
        <w:keepLines w:val="0"/>
        <w:widowControl/>
        <w:suppressLineNumbers w:val="0"/>
        <w:jc w:val="center"/>
        <w:rPr>
          <w:rFonts w:hint="eastAsia" w:ascii="仿宋" w:hAnsi="仿宋" w:eastAsia="仿宋" w:cs="仿宋"/>
          <w:b/>
          <w:bCs/>
          <w:color w:val="000000"/>
          <w:kern w:val="0"/>
          <w:sz w:val="28"/>
          <w:szCs w:val="28"/>
          <w:highlight w:val="none"/>
          <w:lang w:val="en-US" w:eastAsia="zh-CN" w:bidi="ar"/>
        </w:rPr>
      </w:pPr>
    </w:p>
    <w:p>
      <w:pPr>
        <w:keepNext w:val="0"/>
        <w:keepLines w:val="0"/>
        <w:widowControl/>
        <w:suppressLineNumbers w:val="0"/>
        <w:jc w:val="center"/>
        <w:rPr>
          <w:rFonts w:hint="eastAsia" w:ascii="仿宋" w:hAnsi="仿宋" w:eastAsia="仿宋" w:cs="仿宋"/>
          <w:highlight w:val="none"/>
        </w:rPr>
      </w:pPr>
      <w:r>
        <w:rPr>
          <w:rFonts w:hint="eastAsia" w:ascii="仿宋" w:hAnsi="仿宋" w:eastAsia="仿宋" w:cs="仿宋"/>
          <w:b/>
          <w:bCs/>
          <w:color w:val="000000"/>
          <w:kern w:val="0"/>
          <w:sz w:val="28"/>
          <w:szCs w:val="28"/>
          <w:highlight w:val="none"/>
          <w:lang w:val="en-US" w:eastAsia="zh-CN" w:bidi="ar"/>
        </w:rPr>
        <w:t>（根据项目实际情况编写， 格式自拟）</w:t>
      </w:r>
    </w:p>
    <w:p>
      <w:pPr>
        <w:spacing w:line="360" w:lineRule="auto"/>
        <w:ind w:firstLine="3840" w:firstLineChars="1600"/>
        <w:jc w:val="both"/>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jc w:val="right"/>
        <w:rPr>
          <w:rFonts w:hint="eastAsia" w:ascii="仿宋" w:hAnsi="仿宋" w:eastAsia="仿宋" w:cs="仿宋"/>
          <w:color w:val="auto"/>
          <w:sz w:val="24"/>
          <w:highlight w:val="none"/>
        </w:rPr>
      </w:pPr>
    </w:p>
    <w:p>
      <w:pPr>
        <w:spacing w:line="44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ind w:firstLine="4080" w:firstLineChars="1700"/>
        <w:jc w:val="both"/>
        <w:rPr>
          <w:rFonts w:hint="eastAsia" w:ascii="仿宋" w:hAnsi="仿宋" w:eastAsia="仿宋" w:cs="仿宋"/>
          <w:color w:val="auto"/>
          <w:sz w:val="24"/>
          <w:highlight w:val="none"/>
        </w:rPr>
      </w:pPr>
    </w:p>
    <w:p>
      <w:pPr>
        <w:spacing w:line="360" w:lineRule="auto"/>
        <w:ind w:firstLine="4080" w:firstLineChars="1700"/>
        <w:jc w:val="both"/>
        <w:rPr>
          <w:rFonts w:hint="eastAsia" w:ascii="仿宋" w:hAnsi="仿宋" w:eastAsia="仿宋" w:cs="仿宋"/>
          <w:color w:val="auto"/>
          <w:sz w:val="24"/>
          <w:highlight w:val="none"/>
        </w:rPr>
      </w:pPr>
    </w:p>
    <w:p>
      <w:pPr>
        <w:spacing w:line="360" w:lineRule="auto"/>
        <w:ind w:firstLine="4080" w:firstLineChars="17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pPr>
        <w:rPr>
          <w:rFonts w:hint="eastAsia" w:ascii="仿宋" w:hAnsi="仿宋" w:eastAsia="仿宋" w:cs="仿宋"/>
          <w:b/>
          <w:bCs/>
          <w:color w:val="auto"/>
          <w:sz w:val="28"/>
          <w:szCs w:val="28"/>
          <w:highlight w:val="none"/>
          <w:lang w:val="en-US" w:eastAsia="zh-CN"/>
        </w:rPr>
      </w:pPr>
    </w:p>
    <w:p>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pPr>
        <w:keepNext w:val="0"/>
        <w:keepLines w:val="0"/>
        <w:widowControl/>
        <w:suppressLineNumbers w:val="0"/>
        <w:jc w:val="center"/>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lang w:val="en-US" w:eastAsia="zh-CN"/>
        </w:rPr>
        <w:t>二十一、服务方案</w:t>
      </w:r>
    </w:p>
    <w:p>
      <w:pPr>
        <w:keepNext w:val="0"/>
        <w:keepLines w:val="0"/>
        <w:widowControl/>
        <w:suppressLineNumbers w:val="0"/>
        <w:jc w:val="center"/>
        <w:rPr>
          <w:rFonts w:hint="eastAsia" w:ascii="仿宋" w:hAnsi="仿宋" w:eastAsia="仿宋" w:cs="仿宋"/>
          <w:b/>
          <w:color w:val="auto"/>
          <w:sz w:val="30"/>
          <w:szCs w:val="30"/>
          <w:highlight w:val="none"/>
          <w:lang w:val="en-US" w:eastAsia="zh-CN"/>
        </w:rPr>
      </w:pPr>
    </w:p>
    <w:p>
      <w:pPr>
        <w:keepNext w:val="0"/>
        <w:keepLines w:val="0"/>
        <w:widowControl/>
        <w:suppressLineNumbers w:val="0"/>
        <w:jc w:val="center"/>
        <w:rPr>
          <w:rFonts w:hint="eastAsia" w:ascii="仿宋" w:hAnsi="仿宋" w:eastAsia="仿宋" w:cs="仿宋"/>
          <w:b/>
          <w:color w:val="auto"/>
          <w:sz w:val="30"/>
          <w:szCs w:val="30"/>
          <w:highlight w:val="none"/>
          <w:lang w:val="en-US" w:eastAsia="zh-CN"/>
        </w:rPr>
      </w:pPr>
    </w:p>
    <w:p>
      <w:pPr>
        <w:keepNext w:val="0"/>
        <w:keepLines w:val="0"/>
        <w:widowControl/>
        <w:suppressLineNumbers w:val="0"/>
        <w:jc w:val="center"/>
        <w:rPr>
          <w:rFonts w:hint="eastAsia" w:ascii="仿宋" w:hAnsi="仿宋" w:eastAsia="仿宋" w:cs="仿宋"/>
          <w:b/>
          <w:color w:val="auto"/>
          <w:sz w:val="30"/>
          <w:szCs w:val="30"/>
          <w:highlight w:val="none"/>
          <w:lang w:val="en-US" w:eastAsia="zh-CN"/>
        </w:rPr>
      </w:pPr>
    </w:p>
    <w:p>
      <w:pPr>
        <w:keepNext w:val="0"/>
        <w:keepLines w:val="0"/>
        <w:widowControl/>
        <w:suppressLineNumbers w:val="0"/>
        <w:jc w:val="center"/>
        <w:rPr>
          <w:rFonts w:hint="eastAsia" w:ascii="仿宋" w:hAnsi="仿宋" w:eastAsia="仿宋" w:cs="仿宋"/>
          <w:highlight w:val="none"/>
        </w:rPr>
      </w:pPr>
      <w:r>
        <w:rPr>
          <w:rFonts w:hint="eastAsia" w:ascii="仿宋" w:hAnsi="仿宋" w:eastAsia="仿宋" w:cs="仿宋"/>
          <w:b/>
          <w:bCs/>
          <w:color w:val="000000"/>
          <w:kern w:val="0"/>
          <w:sz w:val="28"/>
          <w:szCs w:val="28"/>
          <w:highlight w:val="none"/>
          <w:lang w:val="en-US" w:eastAsia="zh-CN" w:bidi="ar"/>
        </w:rPr>
        <w:t>（根据项目实际情况编写， 格式自拟）</w:t>
      </w:r>
    </w:p>
    <w:p>
      <w:pPr>
        <w:spacing w:line="360" w:lineRule="auto"/>
        <w:ind w:firstLine="3840" w:firstLineChars="1600"/>
        <w:jc w:val="both"/>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jc w:val="right"/>
        <w:rPr>
          <w:rFonts w:hint="eastAsia" w:ascii="仿宋" w:hAnsi="仿宋" w:eastAsia="仿宋" w:cs="仿宋"/>
          <w:color w:val="auto"/>
          <w:sz w:val="24"/>
          <w:highlight w:val="none"/>
        </w:rPr>
      </w:pPr>
    </w:p>
    <w:p>
      <w:pPr>
        <w:spacing w:line="44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ind w:firstLine="4080" w:firstLineChars="1700"/>
        <w:jc w:val="both"/>
        <w:rPr>
          <w:rFonts w:hint="eastAsia" w:ascii="仿宋" w:hAnsi="仿宋" w:eastAsia="仿宋" w:cs="仿宋"/>
          <w:color w:val="auto"/>
          <w:sz w:val="24"/>
          <w:highlight w:val="none"/>
        </w:rPr>
      </w:pPr>
    </w:p>
    <w:p>
      <w:pPr>
        <w:spacing w:line="360" w:lineRule="auto"/>
        <w:ind w:firstLine="4080" w:firstLineChars="1700"/>
        <w:jc w:val="both"/>
        <w:rPr>
          <w:rFonts w:hint="eastAsia" w:ascii="仿宋" w:hAnsi="仿宋" w:eastAsia="仿宋" w:cs="仿宋"/>
          <w:color w:val="auto"/>
          <w:sz w:val="24"/>
          <w:highlight w:val="none"/>
        </w:rPr>
      </w:pPr>
    </w:p>
    <w:p>
      <w:pPr>
        <w:tabs>
          <w:tab w:val="left" w:pos="449"/>
        </w:tabs>
        <w:bidi w:val="0"/>
        <w:jc w:val="center"/>
        <w:rPr>
          <w:rFonts w:hint="eastAsia" w:ascii="仿宋" w:hAnsi="仿宋" w:eastAsia="仿宋" w:cs="仿宋"/>
          <w:lang w:val="en-US" w:eastAsia="zh-CN"/>
        </w:rPr>
        <w:sectPr>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r>
        <w:rPr>
          <w:rFonts w:hint="eastAsia" w:ascii="仿宋" w:hAnsi="仿宋" w:eastAsia="仿宋" w:cs="仿宋"/>
          <w:color w:val="auto"/>
          <w:sz w:val="24"/>
          <w:highlight w:val="none"/>
        </w:rPr>
        <w:t>年   月   日</w:t>
      </w:r>
    </w:p>
    <w:p>
      <w:pPr>
        <w:numPr>
          <w:ilvl w:val="0"/>
          <w:numId w:val="0"/>
        </w:numPr>
        <w:adjustRightInd w:val="0"/>
        <w:spacing w:line="360" w:lineRule="auto"/>
        <w:ind w:leftChars="0"/>
        <w:jc w:val="center"/>
        <w:rPr>
          <w:rFonts w:hint="eastAsia" w:ascii="仿宋" w:hAnsi="仿宋" w:eastAsia="仿宋" w:cs="仿宋"/>
          <w:b/>
          <w:color w:val="auto"/>
          <w:sz w:val="30"/>
          <w:szCs w:val="30"/>
          <w:highlight w:val="none"/>
          <w:lang w:val="en-US" w:eastAsia="zh-CN"/>
        </w:rPr>
      </w:pPr>
      <w:r>
        <w:rPr>
          <w:rFonts w:hint="eastAsia" w:ascii="仿宋" w:hAnsi="仿宋" w:eastAsia="仿宋" w:cs="仿宋"/>
          <w:b/>
          <w:bCs/>
          <w:color w:val="auto"/>
          <w:sz w:val="28"/>
          <w:szCs w:val="28"/>
          <w:highlight w:val="none"/>
          <w:lang w:val="en-US" w:eastAsia="zh-CN"/>
        </w:rPr>
        <w:t>二十二、</w:t>
      </w:r>
      <w:r>
        <w:rPr>
          <w:rFonts w:hint="eastAsia" w:ascii="仿宋" w:hAnsi="仿宋" w:eastAsia="仿宋" w:cs="仿宋"/>
          <w:b/>
          <w:color w:val="auto"/>
          <w:sz w:val="30"/>
          <w:szCs w:val="30"/>
          <w:highlight w:val="none"/>
          <w:lang w:val="en-US" w:eastAsia="zh-CN"/>
        </w:rPr>
        <w:t>投标人实施方案</w:t>
      </w:r>
    </w:p>
    <w:p>
      <w:pPr>
        <w:pStyle w:val="21"/>
        <w:widowControl w:val="0"/>
        <w:numPr>
          <w:ilvl w:val="0"/>
          <w:numId w:val="0"/>
        </w:numPr>
        <w:autoSpaceDE w:val="0"/>
        <w:autoSpaceDN w:val="0"/>
        <w:adjustRightInd w:val="0"/>
        <w:rPr>
          <w:rFonts w:hint="eastAsia" w:ascii="仿宋" w:hAnsi="仿宋" w:eastAsia="仿宋" w:cs="仿宋"/>
          <w:color w:val="auto"/>
          <w:highlight w:val="none"/>
          <w:lang w:val="en-US" w:eastAsia="zh-CN"/>
        </w:rPr>
      </w:pPr>
    </w:p>
    <w:p>
      <w:pPr>
        <w:keepNext w:val="0"/>
        <w:keepLines w:val="0"/>
        <w:widowControl/>
        <w:suppressLineNumbers w:val="0"/>
        <w:jc w:val="center"/>
        <w:rPr>
          <w:rFonts w:hint="eastAsia" w:ascii="仿宋" w:hAnsi="仿宋" w:eastAsia="仿宋" w:cs="仿宋"/>
          <w:b/>
          <w:bCs/>
          <w:color w:val="000000"/>
          <w:kern w:val="0"/>
          <w:sz w:val="28"/>
          <w:szCs w:val="28"/>
          <w:highlight w:val="none"/>
          <w:lang w:val="en-US" w:eastAsia="zh-CN" w:bidi="ar"/>
        </w:rPr>
      </w:pPr>
    </w:p>
    <w:p>
      <w:pPr>
        <w:keepNext w:val="0"/>
        <w:keepLines w:val="0"/>
        <w:widowControl/>
        <w:suppressLineNumbers w:val="0"/>
        <w:jc w:val="center"/>
        <w:rPr>
          <w:rFonts w:hint="eastAsia" w:ascii="仿宋" w:hAnsi="仿宋" w:eastAsia="仿宋" w:cs="仿宋"/>
          <w:b/>
          <w:bCs/>
          <w:color w:val="000000"/>
          <w:kern w:val="0"/>
          <w:sz w:val="28"/>
          <w:szCs w:val="28"/>
          <w:highlight w:val="none"/>
          <w:lang w:val="en-US" w:eastAsia="zh-CN" w:bidi="ar"/>
        </w:rPr>
      </w:pPr>
    </w:p>
    <w:p>
      <w:pPr>
        <w:keepNext w:val="0"/>
        <w:keepLines w:val="0"/>
        <w:widowControl/>
        <w:suppressLineNumbers w:val="0"/>
        <w:jc w:val="center"/>
        <w:rPr>
          <w:rFonts w:hint="eastAsia" w:ascii="仿宋" w:hAnsi="仿宋" w:eastAsia="仿宋" w:cs="仿宋"/>
          <w:highlight w:val="none"/>
        </w:rPr>
      </w:pPr>
      <w:r>
        <w:rPr>
          <w:rFonts w:hint="eastAsia" w:ascii="仿宋" w:hAnsi="仿宋" w:eastAsia="仿宋" w:cs="仿宋"/>
          <w:b/>
          <w:bCs/>
          <w:color w:val="000000"/>
          <w:kern w:val="0"/>
          <w:sz w:val="28"/>
          <w:szCs w:val="28"/>
          <w:highlight w:val="none"/>
          <w:lang w:val="en-US" w:eastAsia="zh-CN" w:bidi="ar"/>
        </w:rPr>
        <w:t>（根据项目实际情况编写， 格式自拟）</w:t>
      </w:r>
    </w:p>
    <w:p>
      <w:pPr>
        <w:spacing w:line="360" w:lineRule="auto"/>
        <w:jc w:val="center"/>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p>
    <w:p>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jc w:val="right"/>
        <w:rPr>
          <w:rFonts w:hint="eastAsia" w:ascii="仿宋" w:hAnsi="仿宋" w:eastAsia="仿宋" w:cs="仿宋"/>
          <w:color w:val="auto"/>
          <w:sz w:val="24"/>
          <w:highlight w:val="none"/>
        </w:rPr>
      </w:pPr>
    </w:p>
    <w:p>
      <w:pPr>
        <w:spacing w:line="440" w:lineRule="exact"/>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jc w:val="right"/>
        <w:rPr>
          <w:rFonts w:hint="eastAsia" w:ascii="仿宋" w:hAnsi="仿宋" w:eastAsia="仿宋" w:cs="仿宋"/>
          <w:color w:val="auto"/>
          <w:sz w:val="24"/>
          <w:highlight w:val="none"/>
        </w:rPr>
      </w:pPr>
    </w:p>
    <w:p>
      <w:pPr>
        <w:spacing w:line="360" w:lineRule="auto"/>
        <w:ind w:firstLine="480" w:firstLineChars="200"/>
        <w:jc w:val="right"/>
        <w:rPr>
          <w:rFonts w:hint="eastAsia" w:ascii="仿宋" w:hAnsi="仿宋" w:eastAsia="仿宋" w:cs="仿宋"/>
          <w:color w:val="auto"/>
          <w:kern w:val="0"/>
          <w:sz w:val="28"/>
          <w:highlight w:val="none"/>
        </w:rPr>
      </w:pPr>
      <w:r>
        <w:rPr>
          <w:rFonts w:hint="eastAsia" w:ascii="仿宋" w:hAnsi="仿宋" w:eastAsia="仿宋" w:cs="仿宋"/>
          <w:color w:val="auto"/>
          <w:sz w:val="24"/>
          <w:highlight w:val="none"/>
        </w:rPr>
        <w:t>年   月   日</w:t>
      </w:r>
    </w:p>
    <w:p>
      <w:pPr>
        <w:pStyle w:val="42"/>
        <w:ind w:left="0" w:leftChars="0" w:firstLine="0" w:firstLineChars="0"/>
        <w:jc w:val="center"/>
        <w:rPr>
          <w:rFonts w:hint="eastAsia" w:ascii="仿宋" w:hAnsi="仿宋" w:eastAsia="仿宋" w:cs="仿宋"/>
          <w:b/>
          <w:color w:val="auto"/>
          <w:spacing w:val="6"/>
          <w:kern w:val="2"/>
          <w:sz w:val="28"/>
          <w:szCs w:val="28"/>
          <w:highlight w:val="none"/>
          <w:lang w:val="en-US" w:eastAsia="zh-CN" w:bidi="ar-SA"/>
        </w:rPr>
        <w:sectPr>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p>
    <w:p>
      <w:pPr>
        <w:rPr>
          <w:rFonts w:hint="eastAsia" w:ascii="仿宋" w:hAnsi="仿宋" w:eastAsia="仿宋" w:cs="仿宋"/>
          <w:b/>
          <w:bCs/>
          <w:color w:val="auto"/>
          <w:sz w:val="28"/>
          <w:szCs w:val="28"/>
          <w:highlight w:val="none"/>
          <w:lang w:val="en-US" w:eastAsia="zh-CN"/>
        </w:rPr>
      </w:pPr>
    </w:p>
    <w:p>
      <w:pPr>
        <w:numPr>
          <w:ilvl w:val="0"/>
          <w:numId w:val="0"/>
        </w:num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二十三、</w:t>
      </w:r>
      <w:r>
        <w:rPr>
          <w:rFonts w:hint="eastAsia" w:ascii="仿宋" w:hAnsi="仿宋" w:eastAsia="仿宋" w:cs="仿宋"/>
          <w:b/>
          <w:bCs/>
          <w:color w:val="auto"/>
          <w:sz w:val="28"/>
          <w:szCs w:val="28"/>
          <w:highlight w:val="none"/>
        </w:rPr>
        <w:t>不参与围标串标承诺书</w:t>
      </w:r>
    </w:p>
    <w:p>
      <w:pPr>
        <w:pStyle w:val="19"/>
        <w:numPr>
          <w:ilvl w:val="0"/>
          <w:numId w:val="0"/>
        </w:numPr>
        <w:rPr>
          <w:rFonts w:hint="eastAsia" w:ascii="仿宋" w:hAnsi="仿宋" w:eastAsia="仿宋" w:cs="仿宋"/>
          <w:highlight w:val="none"/>
        </w:rPr>
      </w:pPr>
    </w:p>
    <w:p>
      <w:pPr>
        <w:spacing w:line="360" w:lineRule="auto"/>
        <w:ind w:left="105" w:hanging="10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我公司在参与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项目招投标过程中，自觉遵守《中华人民共和国政府采购法》和《中华人民共和国政府采购实施条例》以及自治区、地、市招标投标管理的有关规定。就本次投标，我公司郑重承诺如下：</w:t>
      </w:r>
    </w:p>
    <w:p>
      <w:pPr>
        <w:spacing w:line="360" w:lineRule="auto"/>
        <w:ind w:left="105" w:hanging="10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（一）不与其他投标企业存在任何关联关系；</w:t>
      </w:r>
    </w:p>
    <w:p>
      <w:pPr>
        <w:spacing w:line="360" w:lineRule="auto"/>
        <w:ind w:left="105" w:hanging="10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（二）不组织、不参与任何串通投标的行为；</w:t>
      </w:r>
    </w:p>
    <w:p>
      <w:pPr>
        <w:spacing w:line="360" w:lineRule="auto"/>
        <w:ind w:left="105" w:hanging="10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（三）不以他人名义投标，不组织、不参与以其他弄虚作假的方式参加投标的行为；</w:t>
      </w:r>
    </w:p>
    <w:p>
      <w:pPr>
        <w:spacing w:line="360" w:lineRule="auto"/>
        <w:ind w:left="105" w:hanging="10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（四）不出让或出租资格、资质证书参加投标，不组织、不参与类似违法违规行为。</w:t>
      </w:r>
    </w:p>
    <w:p>
      <w:pPr>
        <w:spacing w:line="360" w:lineRule="auto"/>
        <w:ind w:left="105" w:hanging="10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（五）积极主动检举、揭发和配合相关部门调查串通投标等违法违规行为。</w:t>
      </w:r>
    </w:p>
    <w:p>
      <w:pPr>
        <w:spacing w:line="360" w:lineRule="auto"/>
        <w:ind w:left="105" w:hanging="10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我公司对以上承诺内容的真实性和履约性负责，如有违诺，自愿承担一切违法违规后果。</w:t>
      </w:r>
    </w:p>
    <w:p>
      <w:pPr>
        <w:spacing w:line="360" w:lineRule="auto"/>
        <w:ind w:left="239" w:firstLine="420" w:firstLineChars="15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特此承诺。</w:t>
      </w:r>
    </w:p>
    <w:p>
      <w:pPr>
        <w:pStyle w:val="39"/>
        <w:keepNext w:val="0"/>
        <w:keepLines w:val="0"/>
        <w:widowControl/>
        <w:suppressLineNumbers w:val="0"/>
        <w:spacing w:line="420" w:lineRule="atLeast"/>
        <w:ind w:left="0" w:firstLine="420"/>
        <w:jc w:val="center"/>
        <w:rPr>
          <w:rStyle w:val="147"/>
          <w:rFonts w:hint="eastAsia" w:ascii="仿宋" w:hAnsi="仿宋" w:eastAsia="仿宋" w:cs="仿宋"/>
          <w:bCs w:val="0"/>
          <w:color w:val="auto"/>
          <w:kern w:val="2"/>
          <w:sz w:val="28"/>
          <w:szCs w:val="28"/>
          <w:highlight w:val="none"/>
          <w:lang w:val="en-US" w:eastAsia="zh-CN" w:bidi="ar-SA"/>
        </w:rPr>
      </w:pPr>
    </w:p>
    <w:p>
      <w:pPr>
        <w:pStyle w:val="34"/>
        <w:spacing w:before="120" w:line="360" w:lineRule="auto"/>
        <w:ind w:firstLine="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单位名称：（盖章）</w:t>
      </w:r>
    </w:p>
    <w:p>
      <w:pPr>
        <w:pStyle w:val="34"/>
        <w:spacing w:before="120" w:line="360" w:lineRule="auto"/>
        <w:ind w:firstLine="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法定代表人：（签字盖章）</w:t>
      </w:r>
    </w:p>
    <w:p>
      <w:pPr>
        <w:pStyle w:val="34"/>
        <w:spacing w:before="120" w:line="360" w:lineRule="auto"/>
        <w:ind w:firstLine="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项目经办人：</w:t>
      </w: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  期：   年   月   日</w:t>
      </w:r>
    </w:p>
    <w:p>
      <w:pPr>
        <w:pStyle w:val="39"/>
        <w:keepNext w:val="0"/>
        <w:keepLines w:val="0"/>
        <w:widowControl/>
        <w:suppressLineNumbers w:val="0"/>
        <w:spacing w:line="420" w:lineRule="atLeast"/>
        <w:ind w:left="0" w:firstLine="420"/>
        <w:jc w:val="center"/>
        <w:rPr>
          <w:rStyle w:val="147"/>
          <w:rFonts w:hint="eastAsia" w:ascii="仿宋" w:hAnsi="仿宋" w:eastAsia="仿宋" w:cs="仿宋"/>
          <w:bCs w:val="0"/>
          <w:color w:val="auto"/>
          <w:kern w:val="2"/>
          <w:sz w:val="28"/>
          <w:szCs w:val="28"/>
          <w:highlight w:val="none"/>
          <w:lang w:val="en-US" w:eastAsia="zh-CN" w:bidi="ar-SA"/>
        </w:rPr>
        <w:sectPr>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p>
    <w:p>
      <w:pPr>
        <w:pStyle w:val="4"/>
        <w:numPr>
          <w:ilvl w:val="0"/>
          <w:numId w:val="0"/>
        </w:numPr>
        <w:spacing w:before="336" w:after="336" w:line="460" w:lineRule="exact"/>
        <w:ind w:lef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二十四、</w:t>
      </w:r>
      <w:r>
        <w:rPr>
          <w:rFonts w:hint="eastAsia" w:ascii="仿宋" w:hAnsi="仿宋" w:eastAsia="仿宋" w:cs="仿宋"/>
          <w:color w:val="auto"/>
          <w:sz w:val="28"/>
          <w:szCs w:val="28"/>
          <w:highlight w:val="none"/>
        </w:rPr>
        <w:t>提供材料真实性承诺书</w:t>
      </w:r>
    </w:p>
    <w:p>
      <w:pPr>
        <w:pStyle w:val="155"/>
        <w:spacing w:beforeLines="130" w:afterLines="116"/>
        <w:jc w:val="both"/>
        <w:rPr>
          <w:rStyle w:val="158"/>
          <w:rFonts w:hint="eastAsia" w:ascii="仿宋" w:hAnsi="仿宋" w:eastAsia="仿宋" w:cs="仿宋"/>
          <w:color w:val="auto"/>
          <w:kern w:val="0"/>
          <w:sz w:val="28"/>
          <w:szCs w:val="28"/>
          <w:highlight w:val="none"/>
        </w:rPr>
      </w:pPr>
      <w:r>
        <w:rPr>
          <w:rStyle w:val="158"/>
          <w:rFonts w:hint="eastAsia" w:ascii="仿宋" w:hAnsi="仿宋" w:eastAsia="仿宋" w:cs="仿宋"/>
          <w:b w:val="0"/>
          <w:bCs w:val="0"/>
          <w:color w:val="auto"/>
          <w:sz w:val="28"/>
          <w:szCs w:val="28"/>
          <w:highlight w:val="none"/>
        </w:rPr>
        <w:t xml:space="preserve"> </w:t>
      </w:r>
      <w:r>
        <w:rPr>
          <w:rStyle w:val="158"/>
          <w:rFonts w:hint="eastAsia" w:ascii="仿宋" w:hAnsi="仿宋" w:eastAsia="仿宋" w:cs="仿宋"/>
          <w:b w:val="0"/>
          <w:bCs w:val="0"/>
          <w:color w:val="auto"/>
          <w:kern w:val="0"/>
          <w:sz w:val="28"/>
          <w:szCs w:val="28"/>
          <w:highlight w:val="none"/>
          <w:u w:val="single"/>
        </w:rPr>
        <w:t xml:space="preserve">         （采购人）         </w:t>
      </w:r>
      <w:r>
        <w:rPr>
          <w:rStyle w:val="158"/>
          <w:rFonts w:hint="eastAsia" w:ascii="仿宋" w:hAnsi="仿宋" w:eastAsia="仿宋" w:cs="仿宋"/>
          <w:b w:val="0"/>
          <w:bCs w:val="0"/>
          <w:color w:val="auto"/>
          <w:kern w:val="0"/>
          <w:sz w:val="28"/>
          <w:szCs w:val="28"/>
          <w:highlight w:val="none"/>
        </w:rPr>
        <w:t>:</w:t>
      </w:r>
      <w:r>
        <w:rPr>
          <w:rStyle w:val="158"/>
          <w:rFonts w:hint="eastAsia" w:ascii="仿宋" w:hAnsi="仿宋" w:eastAsia="仿宋" w:cs="仿宋"/>
          <w:color w:val="auto"/>
          <w:kern w:val="0"/>
          <w:sz w:val="28"/>
          <w:szCs w:val="28"/>
          <w:highlight w:val="none"/>
        </w:rPr>
        <w:t xml:space="preserve"> </w:t>
      </w:r>
    </w:p>
    <w:p>
      <w:pPr>
        <w:pStyle w:val="156"/>
        <w:autoSpaceDE w:val="0"/>
        <w:spacing w:line="440" w:lineRule="exact"/>
        <w:ind w:left="-38" w:right="62" w:firstLine="560" w:firstLineChars="200"/>
        <w:rPr>
          <w:rStyle w:val="158"/>
          <w:rFonts w:hint="eastAsia" w:ascii="仿宋" w:hAnsi="仿宋" w:eastAsia="仿宋" w:cs="仿宋"/>
          <w:color w:val="auto"/>
          <w:sz w:val="28"/>
          <w:szCs w:val="28"/>
          <w:highlight w:val="none"/>
        </w:rPr>
      </w:pPr>
      <w:r>
        <w:rPr>
          <w:rStyle w:val="158"/>
          <w:rFonts w:hint="eastAsia" w:ascii="仿宋" w:hAnsi="仿宋" w:eastAsia="仿宋" w:cs="仿宋"/>
          <w:color w:val="auto"/>
          <w:kern w:val="0"/>
          <w:sz w:val="28"/>
          <w:szCs w:val="28"/>
          <w:highlight w:val="none"/>
        </w:rPr>
        <w:t>鉴于</w:t>
      </w:r>
      <w:r>
        <w:rPr>
          <w:rStyle w:val="158"/>
          <w:rFonts w:hint="eastAsia" w:ascii="仿宋" w:hAnsi="仿宋" w:eastAsia="仿宋" w:cs="仿宋"/>
          <w:color w:val="auto"/>
          <w:kern w:val="0"/>
          <w:sz w:val="28"/>
          <w:szCs w:val="28"/>
          <w:highlight w:val="none"/>
          <w:u w:val="single"/>
        </w:rPr>
        <w:t xml:space="preserve">        （</w:t>
      </w:r>
      <w:r>
        <w:rPr>
          <w:rStyle w:val="158"/>
          <w:rFonts w:hint="eastAsia" w:ascii="仿宋" w:hAnsi="仿宋" w:eastAsia="仿宋" w:cs="仿宋"/>
          <w:color w:val="auto"/>
          <w:kern w:val="0"/>
          <w:sz w:val="28"/>
          <w:szCs w:val="28"/>
          <w:highlight w:val="none"/>
          <w:u w:val="single"/>
          <w:lang w:eastAsia="zh-CN"/>
        </w:rPr>
        <w:t>投标人</w:t>
      </w:r>
      <w:r>
        <w:rPr>
          <w:rStyle w:val="158"/>
          <w:rFonts w:hint="eastAsia" w:ascii="仿宋" w:hAnsi="仿宋" w:eastAsia="仿宋" w:cs="仿宋"/>
          <w:color w:val="auto"/>
          <w:kern w:val="0"/>
          <w:sz w:val="28"/>
          <w:szCs w:val="28"/>
          <w:highlight w:val="none"/>
          <w:u w:val="single"/>
        </w:rPr>
        <w:t xml:space="preserve">名称）          </w:t>
      </w:r>
      <w:r>
        <w:rPr>
          <w:rStyle w:val="158"/>
          <w:rFonts w:hint="eastAsia" w:ascii="仿宋" w:hAnsi="仿宋" w:eastAsia="仿宋" w:cs="仿宋"/>
          <w:color w:val="auto"/>
          <w:kern w:val="0"/>
          <w:sz w:val="28"/>
          <w:szCs w:val="28"/>
          <w:highlight w:val="none"/>
        </w:rPr>
        <w:t>（以下称“我方”）于</w:t>
      </w:r>
      <w:r>
        <w:rPr>
          <w:rStyle w:val="158"/>
          <w:rFonts w:hint="eastAsia" w:ascii="仿宋" w:hAnsi="仿宋" w:eastAsia="仿宋" w:cs="仿宋"/>
          <w:color w:val="auto"/>
          <w:kern w:val="0"/>
          <w:sz w:val="28"/>
          <w:szCs w:val="28"/>
          <w:highlight w:val="none"/>
          <w:u w:val="single"/>
        </w:rPr>
        <w:t xml:space="preserve">      </w:t>
      </w:r>
      <w:r>
        <w:rPr>
          <w:rStyle w:val="158"/>
          <w:rFonts w:hint="eastAsia" w:ascii="仿宋" w:hAnsi="仿宋" w:eastAsia="仿宋" w:cs="仿宋"/>
          <w:color w:val="auto"/>
          <w:kern w:val="0"/>
          <w:sz w:val="28"/>
          <w:szCs w:val="28"/>
          <w:highlight w:val="none"/>
        </w:rPr>
        <w:t>年＿月＿日参加</w:t>
      </w:r>
      <w:r>
        <w:rPr>
          <w:rStyle w:val="158"/>
          <w:rFonts w:hint="eastAsia" w:ascii="仿宋" w:hAnsi="仿宋" w:eastAsia="仿宋" w:cs="仿宋"/>
          <w:color w:val="auto"/>
          <w:kern w:val="0"/>
          <w:sz w:val="28"/>
          <w:szCs w:val="28"/>
          <w:highlight w:val="none"/>
          <w:u w:val="single"/>
        </w:rPr>
        <w:t xml:space="preserve">           （项目名称）           </w:t>
      </w:r>
      <w:r>
        <w:rPr>
          <w:rStyle w:val="158"/>
          <w:rFonts w:hint="eastAsia" w:ascii="仿宋" w:hAnsi="仿宋" w:eastAsia="仿宋" w:cs="仿宋"/>
          <w:color w:val="auto"/>
          <w:kern w:val="0"/>
          <w:sz w:val="28"/>
          <w:szCs w:val="28"/>
          <w:highlight w:val="none"/>
        </w:rPr>
        <w:t>标段的投标，我方在响应文件中提供的企业资质、各类证书、业绩材料、</w:t>
      </w:r>
      <w:r>
        <w:rPr>
          <w:rStyle w:val="158"/>
          <w:rFonts w:hint="eastAsia" w:ascii="仿宋" w:hAnsi="仿宋" w:eastAsia="仿宋" w:cs="仿宋"/>
          <w:color w:val="auto"/>
          <w:sz w:val="28"/>
          <w:szCs w:val="28"/>
          <w:highlight w:val="none"/>
        </w:rPr>
        <w:t>近年财务状况等资料复印件的真实性、合法性、有效性做保证，绝无弄虚作假。我方如被查实在本项目招标投标活动中提交的材料存在弄虚作假行为，本人承担直接责任人员法律责任，接受相应行政处罚和失信惩戒。并同意将递交的投标保证金没收。</w:t>
      </w:r>
    </w:p>
    <w:p>
      <w:pPr>
        <w:pStyle w:val="155"/>
        <w:spacing w:beforeLines="130" w:afterLines="116"/>
        <w:ind w:right="62"/>
        <w:jc w:val="both"/>
        <w:textAlignment w:val="baseline"/>
        <w:rPr>
          <w:rStyle w:val="158"/>
          <w:rFonts w:hint="eastAsia" w:ascii="仿宋" w:hAnsi="仿宋" w:eastAsia="仿宋" w:cs="仿宋"/>
          <w:b w:val="0"/>
          <w:bCs w:val="0"/>
          <w:color w:val="auto"/>
          <w:sz w:val="28"/>
          <w:szCs w:val="28"/>
          <w:highlight w:val="none"/>
          <w:u w:val="single"/>
        </w:rPr>
      </w:pPr>
      <w:r>
        <w:rPr>
          <w:rStyle w:val="158"/>
          <w:rFonts w:hint="eastAsia" w:ascii="仿宋" w:hAnsi="仿宋" w:eastAsia="仿宋" w:cs="仿宋"/>
          <w:b w:val="0"/>
          <w:bCs w:val="0"/>
          <w:color w:val="auto"/>
          <w:sz w:val="28"/>
          <w:szCs w:val="28"/>
          <w:highlight w:val="none"/>
        </w:rPr>
        <w:t>承诺人：（企业名称）</w:t>
      </w:r>
      <w:r>
        <w:rPr>
          <w:rStyle w:val="158"/>
          <w:rFonts w:hint="eastAsia" w:ascii="仿宋" w:hAnsi="仿宋" w:eastAsia="仿宋" w:cs="仿宋"/>
          <w:b w:val="0"/>
          <w:bCs w:val="0"/>
          <w:color w:val="auto"/>
          <w:sz w:val="28"/>
          <w:szCs w:val="28"/>
          <w:highlight w:val="none"/>
          <w:u w:val="single"/>
        </w:rPr>
        <w:t xml:space="preserve">                            </w:t>
      </w:r>
    </w:p>
    <w:p>
      <w:pPr>
        <w:pStyle w:val="155"/>
        <w:spacing w:beforeLines="130" w:afterLines="116"/>
        <w:jc w:val="both"/>
        <w:textAlignment w:val="baseline"/>
        <w:rPr>
          <w:rStyle w:val="158"/>
          <w:rFonts w:hint="eastAsia" w:ascii="仿宋" w:hAnsi="仿宋" w:eastAsia="仿宋" w:cs="仿宋"/>
          <w:b w:val="0"/>
          <w:bCs w:val="0"/>
          <w:color w:val="auto"/>
          <w:sz w:val="28"/>
          <w:szCs w:val="28"/>
          <w:highlight w:val="none"/>
        </w:rPr>
      </w:pPr>
      <w:r>
        <w:rPr>
          <w:rStyle w:val="158"/>
          <w:rFonts w:hint="eastAsia" w:ascii="仿宋" w:hAnsi="仿宋" w:eastAsia="仿宋" w:cs="仿宋"/>
          <w:b w:val="0"/>
          <w:bCs w:val="0"/>
          <w:color w:val="auto"/>
          <w:sz w:val="28"/>
          <w:szCs w:val="28"/>
          <w:highlight w:val="none"/>
        </w:rPr>
        <w:t>法定代表人或授权委托人：（签字或盖章）</w:t>
      </w:r>
      <w:r>
        <w:rPr>
          <w:rStyle w:val="158"/>
          <w:rFonts w:hint="eastAsia" w:ascii="仿宋" w:hAnsi="仿宋" w:eastAsia="仿宋" w:cs="仿宋"/>
          <w:b w:val="0"/>
          <w:bCs w:val="0"/>
          <w:color w:val="auto"/>
          <w:sz w:val="28"/>
          <w:szCs w:val="28"/>
          <w:highlight w:val="none"/>
          <w:u w:val="single"/>
        </w:rPr>
        <w:t xml:space="preserve">           </w:t>
      </w:r>
    </w:p>
    <w:p>
      <w:pPr>
        <w:pStyle w:val="155"/>
        <w:spacing w:beforeLines="130" w:afterLines="116"/>
        <w:jc w:val="both"/>
        <w:textAlignment w:val="baseline"/>
        <w:rPr>
          <w:rStyle w:val="158"/>
          <w:rFonts w:hint="eastAsia" w:ascii="仿宋" w:hAnsi="仿宋" w:eastAsia="仿宋" w:cs="仿宋"/>
          <w:b w:val="0"/>
          <w:bCs w:val="0"/>
          <w:color w:val="auto"/>
          <w:sz w:val="28"/>
          <w:szCs w:val="28"/>
          <w:highlight w:val="none"/>
          <w:u w:val="single"/>
        </w:rPr>
      </w:pPr>
      <w:r>
        <w:rPr>
          <w:rStyle w:val="158"/>
          <w:rFonts w:hint="eastAsia" w:ascii="仿宋" w:hAnsi="仿宋" w:eastAsia="仿宋" w:cs="仿宋"/>
          <w:b w:val="0"/>
          <w:bCs w:val="0"/>
          <w:color w:val="auto"/>
          <w:sz w:val="28"/>
          <w:szCs w:val="28"/>
          <w:highlight w:val="none"/>
        </w:rPr>
        <w:t>联系电话：</w:t>
      </w:r>
      <w:r>
        <w:rPr>
          <w:rStyle w:val="158"/>
          <w:rFonts w:hint="eastAsia" w:ascii="仿宋" w:hAnsi="仿宋" w:eastAsia="仿宋" w:cs="仿宋"/>
          <w:b w:val="0"/>
          <w:bCs w:val="0"/>
          <w:color w:val="auto"/>
          <w:sz w:val="28"/>
          <w:szCs w:val="28"/>
          <w:highlight w:val="none"/>
          <w:u w:val="single"/>
        </w:rPr>
        <w:t xml:space="preserve">                    </w:t>
      </w:r>
    </w:p>
    <w:p>
      <w:pPr>
        <w:pStyle w:val="39"/>
        <w:keepNext w:val="0"/>
        <w:keepLines w:val="0"/>
        <w:widowControl/>
        <w:suppressLineNumbers w:val="0"/>
        <w:spacing w:line="420" w:lineRule="atLeast"/>
        <w:ind w:left="0" w:firstLine="420"/>
        <w:jc w:val="center"/>
        <w:rPr>
          <w:rStyle w:val="147"/>
          <w:rFonts w:hint="eastAsia" w:ascii="仿宋" w:hAnsi="仿宋" w:eastAsia="仿宋" w:cs="仿宋"/>
          <w:bCs w:val="0"/>
          <w:color w:val="auto"/>
          <w:kern w:val="2"/>
          <w:sz w:val="28"/>
          <w:szCs w:val="28"/>
          <w:highlight w:val="none"/>
          <w:lang w:val="en-US" w:eastAsia="zh-CN" w:bidi="ar-SA"/>
        </w:rPr>
        <w:sectPr>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r>
        <w:rPr>
          <w:rFonts w:hint="eastAsia" w:ascii="仿宋" w:hAnsi="仿宋" w:eastAsia="仿宋" w:cs="仿宋"/>
          <w:color w:val="auto"/>
          <w:sz w:val="28"/>
          <w:szCs w:val="28"/>
          <w:highlight w:val="none"/>
          <w:lang w:val="en-US" w:eastAsia="zh-CN"/>
        </w:rPr>
        <w:t>日    期：   年   月  日</w:t>
      </w:r>
    </w:p>
    <w:p>
      <w:pPr>
        <w:pStyle w:val="42"/>
        <w:ind w:left="0" w:leftChars="0" w:firstLine="0" w:firstLineChars="0"/>
        <w:jc w:val="center"/>
        <w:rPr>
          <w:rFonts w:hint="eastAsia" w:ascii="仿宋" w:hAnsi="仿宋" w:eastAsia="仿宋" w:cs="仿宋"/>
          <w:b/>
          <w:color w:val="auto"/>
          <w:spacing w:val="6"/>
          <w:kern w:val="2"/>
          <w:sz w:val="28"/>
          <w:szCs w:val="28"/>
          <w:highlight w:val="none"/>
          <w:lang w:val="en-US" w:eastAsia="zh-CN" w:bidi="ar-SA"/>
        </w:rPr>
      </w:pPr>
      <w:r>
        <w:rPr>
          <w:rFonts w:hint="eastAsia" w:ascii="仿宋" w:hAnsi="仿宋" w:eastAsia="仿宋" w:cs="仿宋"/>
          <w:b/>
          <w:color w:val="auto"/>
          <w:spacing w:val="6"/>
          <w:kern w:val="2"/>
          <w:sz w:val="28"/>
          <w:szCs w:val="28"/>
          <w:highlight w:val="none"/>
          <w:lang w:val="en-US" w:eastAsia="zh-CN" w:bidi="ar-SA"/>
        </w:rPr>
        <w:t>二十五、投标人认为需要提供的其他资料</w:t>
      </w:r>
    </w:p>
    <w:p>
      <w:pPr>
        <w:rPr>
          <w:rFonts w:hint="eastAsia" w:ascii="仿宋" w:hAnsi="仿宋" w:eastAsia="仿宋" w:cs="仿宋"/>
          <w:color w:val="auto"/>
          <w:kern w:val="0"/>
          <w:sz w:val="28"/>
          <w:highlight w:val="none"/>
        </w:rPr>
      </w:pPr>
    </w:p>
    <w:p>
      <w:pPr>
        <w:pStyle w:val="5"/>
        <w:outlineLvl w:val="9"/>
        <w:rPr>
          <w:rFonts w:hint="eastAsia" w:ascii="仿宋" w:hAnsi="仿宋" w:eastAsia="仿宋" w:cs="仿宋"/>
          <w:color w:val="auto"/>
          <w:kern w:val="0"/>
          <w:sz w:val="28"/>
          <w:highlight w:val="none"/>
        </w:rPr>
      </w:pPr>
    </w:p>
    <w:p>
      <w:pPr>
        <w:pStyle w:val="4"/>
        <w:jc w:val="center"/>
        <w:outlineLvl w:val="9"/>
        <w:rPr>
          <w:rFonts w:hint="eastAsia" w:ascii="仿宋" w:hAnsi="仿宋" w:eastAsia="仿宋" w:cs="仿宋"/>
          <w:color w:val="auto"/>
          <w:kern w:val="0"/>
          <w:sz w:val="28"/>
          <w:highlight w:val="none"/>
        </w:rPr>
      </w:pPr>
      <w:bookmarkStart w:id="256" w:name="_Toc19600"/>
      <w:bookmarkStart w:id="257" w:name="_Toc27985"/>
      <w:bookmarkStart w:id="258" w:name="_Toc1589"/>
      <w:bookmarkStart w:id="259" w:name="_Toc3556"/>
    </w:p>
    <w:p>
      <w:pPr>
        <w:pStyle w:val="5"/>
        <w:rPr>
          <w:rFonts w:hint="eastAsia" w:ascii="仿宋" w:hAnsi="仿宋" w:eastAsia="仿宋" w:cs="仿宋"/>
          <w:color w:val="auto"/>
          <w:kern w:val="0"/>
          <w:sz w:val="28"/>
          <w:highlight w:val="none"/>
        </w:rPr>
      </w:pPr>
    </w:p>
    <w:p>
      <w:pPr>
        <w:rPr>
          <w:rFonts w:hint="eastAsia" w:ascii="仿宋" w:hAnsi="仿宋" w:eastAsia="仿宋" w:cs="仿宋"/>
          <w:color w:val="auto"/>
          <w:kern w:val="0"/>
          <w:sz w:val="28"/>
          <w:highlight w:val="none"/>
        </w:rPr>
      </w:pPr>
    </w:p>
    <w:p>
      <w:pPr>
        <w:pStyle w:val="2"/>
        <w:rPr>
          <w:rFonts w:hint="eastAsia" w:ascii="仿宋" w:hAnsi="仿宋" w:eastAsia="仿宋" w:cs="仿宋"/>
          <w:color w:val="auto"/>
          <w:kern w:val="0"/>
          <w:sz w:val="28"/>
          <w:highlight w:val="none"/>
        </w:rPr>
      </w:pPr>
    </w:p>
    <w:p>
      <w:pPr>
        <w:rPr>
          <w:rFonts w:hint="eastAsia" w:ascii="仿宋" w:hAnsi="仿宋" w:eastAsia="仿宋" w:cs="仿宋"/>
          <w:color w:val="auto"/>
          <w:kern w:val="0"/>
          <w:sz w:val="28"/>
          <w:highlight w:val="none"/>
        </w:rPr>
      </w:pPr>
    </w:p>
    <w:p>
      <w:pPr>
        <w:pStyle w:val="2"/>
        <w:rPr>
          <w:rFonts w:hint="eastAsia" w:ascii="仿宋" w:hAnsi="仿宋" w:eastAsia="仿宋" w:cs="仿宋"/>
          <w:color w:val="auto"/>
          <w:kern w:val="0"/>
          <w:sz w:val="28"/>
          <w:highlight w:val="none"/>
        </w:rPr>
      </w:pPr>
    </w:p>
    <w:p>
      <w:pPr>
        <w:rPr>
          <w:rFonts w:hint="eastAsia" w:ascii="仿宋" w:hAnsi="仿宋" w:eastAsia="仿宋" w:cs="仿宋"/>
          <w:color w:val="auto"/>
          <w:highlight w:val="none"/>
        </w:rPr>
      </w:pPr>
    </w:p>
    <w:p>
      <w:pPr>
        <w:pStyle w:val="5"/>
        <w:outlineLvl w:val="9"/>
        <w:rPr>
          <w:rFonts w:hint="eastAsia" w:ascii="仿宋" w:hAnsi="仿宋" w:eastAsia="仿宋" w:cs="仿宋"/>
          <w:color w:val="auto"/>
          <w:highlight w:val="none"/>
        </w:rPr>
      </w:pPr>
    </w:p>
    <w:p>
      <w:pPr>
        <w:rPr>
          <w:rFonts w:hint="eastAsia" w:ascii="仿宋" w:hAnsi="仿宋" w:eastAsia="仿宋" w:cs="仿宋"/>
          <w:color w:val="auto"/>
          <w:kern w:val="0"/>
          <w:sz w:val="28"/>
          <w:highlight w:val="none"/>
        </w:rPr>
      </w:pPr>
    </w:p>
    <w:p>
      <w:pPr>
        <w:pStyle w:val="19"/>
        <w:tabs>
          <w:tab w:val="left" w:pos="9214"/>
        </w:tabs>
        <w:rPr>
          <w:rFonts w:hint="eastAsia" w:ascii="仿宋" w:hAnsi="仿宋" w:eastAsia="仿宋" w:cs="仿宋"/>
          <w:color w:val="auto"/>
          <w:highlight w:val="none"/>
        </w:rPr>
      </w:pPr>
    </w:p>
    <w:bookmarkEnd w:id="256"/>
    <w:bookmarkEnd w:id="257"/>
    <w:bookmarkEnd w:id="258"/>
    <w:bookmarkEnd w:id="259"/>
    <w:p>
      <w:pPr>
        <w:spacing w:line="360" w:lineRule="auto"/>
        <w:jc w:val="both"/>
        <w:rPr>
          <w:rFonts w:hint="eastAsia" w:ascii="仿宋" w:hAnsi="仿宋" w:eastAsia="仿宋" w:cs="仿宋"/>
          <w:b/>
          <w:bCs/>
          <w:color w:val="auto"/>
          <w:spacing w:val="60"/>
          <w:sz w:val="32"/>
          <w:szCs w:val="32"/>
          <w:highlight w:val="none"/>
        </w:rPr>
      </w:pPr>
      <w:bookmarkStart w:id="260" w:name="_Toc31830"/>
      <w:bookmarkStart w:id="261" w:name="_Toc16687"/>
      <w:bookmarkStart w:id="262" w:name="_Toc24887"/>
      <w:bookmarkStart w:id="263" w:name="_Toc23806"/>
      <w:bookmarkStart w:id="264" w:name="_Toc12999"/>
      <w:bookmarkStart w:id="265" w:name="_Toc20918"/>
    </w:p>
    <w:p>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b/>
          <w:bCs/>
          <w:color w:val="auto"/>
          <w:spacing w:val="60"/>
          <w:sz w:val="32"/>
          <w:szCs w:val="32"/>
          <w:highlight w:val="none"/>
        </w:rPr>
        <w:t>注意事项</w:t>
      </w:r>
      <w:bookmarkEnd w:id="260"/>
      <w:bookmarkEnd w:id="261"/>
      <w:bookmarkEnd w:id="262"/>
      <w:bookmarkEnd w:id="263"/>
      <w:bookmarkEnd w:id="264"/>
      <w:bookmarkEnd w:id="265"/>
    </w:p>
    <w:p>
      <w:pP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highlight w:val="none"/>
        </w:rPr>
        <w:t>投标人对所附表格中要求的资料和询问应做出肯定的回答。</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2、招标文件的签字人应保证他所做的声明及对一切问题的回答的真实性和准确。</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3、投标人提供的招标文件将由招标人使用，并据此进行评价和判断，确定投标人的能力。</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4、投标人提交的文件将给予保密，但不退还。</w:t>
      </w:r>
    </w:p>
    <w:p>
      <w:pPr>
        <w:spacing w:line="380" w:lineRule="exact"/>
        <w:rPr>
          <w:rFonts w:hint="eastAsia" w:ascii="仿宋" w:hAnsi="仿宋" w:eastAsia="仿宋" w:cs="仿宋"/>
          <w:color w:val="auto"/>
          <w:sz w:val="28"/>
          <w:szCs w:val="28"/>
          <w:highlight w:val="none"/>
        </w:rPr>
        <w:sectPr>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p>
    <w:p>
      <w:pPr>
        <w:pStyle w:val="5"/>
        <w:shd w:val="clear" w:color="auto" w:fill="auto"/>
        <w:jc w:val="center"/>
        <w:rPr>
          <w:rFonts w:hint="eastAsia" w:ascii="仿宋" w:hAnsi="仿宋" w:eastAsia="仿宋" w:cs="仿宋"/>
          <w:color w:val="auto"/>
          <w:highlight w:val="none"/>
        </w:rPr>
      </w:pPr>
      <w:r>
        <w:rPr>
          <w:rFonts w:hint="eastAsia" w:ascii="仿宋" w:hAnsi="仿宋" w:eastAsia="仿宋" w:cs="仿宋"/>
          <w:color w:val="auto"/>
          <w:sz w:val="28"/>
          <w:szCs w:val="28"/>
          <w:highlight w:val="none"/>
        </w:rPr>
        <w:t>中小企业划分标准</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51" w:right="62" w:firstLine="480" w:firstLineChars="200"/>
        <w:textAlignment w:val="auto"/>
        <w:rPr>
          <w:rFonts w:hint="eastAsia" w:ascii="仿宋" w:hAnsi="仿宋" w:eastAsia="仿宋" w:cs="仿宋"/>
          <w:color w:val="auto"/>
          <w:sz w:val="24"/>
          <w:szCs w:val="24"/>
          <w:highlight w:val="none"/>
        </w:rPr>
      </w:pPr>
      <w:bookmarkStart w:id="266" w:name="bookmark4"/>
      <w:bookmarkStart w:id="267" w:name="bookmark5"/>
      <w:r>
        <w:rPr>
          <w:rFonts w:hint="eastAsia" w:ascii="仿宋" w:hAnsi="仿宋" w:eastAsia="仿宋" w:cs="仿宋"/>
          <w:color w:val="auto"/>
          <w:sz w:val="24"/>
          <w:szCs w:val="24"/>
          <w:highlight w:val="none"/>
          <w:lang w:val="en-US" w:eastAsia="zh-CN"/>
        </w:rPr>
        <w:t>中华人民共和国政府采购法》、财政部、 工信部《政府采购促进中小企业发展管理办法》（财 库〔2020〕46 号）</w:t>
      </w:r>
      <w:r>
        <w:rPr>
          <w:rFonts w:hint="eastAsia" w:ascii="仿宋" w:hAnsi="仿宋" w:eastAsia="仿宋" w:cs="仿宋"/>
          <w:color w:val="auto"/>
          <w:sz w:val="24"/>
          <w:szCs w:val="24"/>
          <w:highlight w:val="none"/>
        </w:rPr>
        <w:t>规定中小企业划型标准规定如</w:t>
      </w:r>
      <w:r>
        <w:rPr>
          <w:rFonts w:hint="eastAsia" w:ascii="仿宋" w:hAnsi="仿宋" w:eastAsia="仿宋" w:cs="仿宋"/>
          <w:color w:val="auto"/>
          <w:sz w:val="24"/>
          <w:szCs w:val="24"/>
          <w:highlight w:val="none"/>
          <w:lang w:val="en-US" w:eastAsia="zh-CN"/>
        </w:rPr>
        <w:t>下</w:t>
      </w:r>
      <w:r>
        <w:rPr>
          <w:rFonts w:hint="eastAsia" w:ascii="仿宋" w:hAnsi="仿宋" w:eastAsia="仿宋" w:cs="仿宋"/>
          <w:color w:val="auto"/>
          <w:sz w:val="24"/>
          <w:szCs w:val="24"/>
          <w:highlight w:val="none"/>
        </w:rPr>
        <w:t>所示：</w:t>
      </w:r>
      <w:bookmarkEnd w:id="266"/>
      <w:bookmarkEnd w:id="267"/>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（一）农、林、牧、渔业。营业收入20000万元以下的为中小微型企业。其中，营业收入500万元及以上的为中型企业，营业收入50万元及以上的为小型企业，营业收入50万元以下的为微型企业。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（十六）其他未列明行业。从业人员300人以下的为中小微型企业。其中，从业人员100人及以上的为中型企业；从业人员10人及以上的为小型企业；从业人员10人以下的为微型企业。</w:t>
      </w:r>
    </w:p>
    <w:p>
      <w:pPr>
        <w:pStyle w:val="5"/>
        <w:rPr>
          <w:rFonts w:hint="eastAsia" w:ascii="仿宋" w:hAnsi="仿宋" w:eastAsia="仿宋" w:cs="仿宋"/>
        </w:rPr>
      </w:pPr>
    </w:p>
    <w:sectPr>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Wingdings 2">
    <w:panose1 w:val="05020102010507070707"/>
    <w:charset w:val="02"/>
    <w:family w:val="auto"/>
    <w:pitch w:val="default"/>
    <w:sig w:usb0="00000000" w:usb1="00000000" w:usb2="00000000" w:usb3="00000000" w:csb0="80000000" w:csb1="00000000"/>
  </w:font>
  <w:font w:name="Trebuchet MS">
    <w:panose1 w:val="020B0603020202020204"/>
    <w:charset w:val="00"/>
    <w:family w:val="decorative"/>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3</w:t>
                    </w:r>
                    <w:r>
                      <w:fldChar w:fldCharType="end"/>
                    </w:r>
                  </w:p>
                </w:txbxContent>
              </v:textbox>
            </v:shape>
          </w:pict>
        </mc:Fallback>
      </mc:AlternateContent>
    </w:r>
  </w:p>
  <w:p>
    <w:pPr>
      <w:spacing w:line="188" w:lineRule="auto"/>
      <w:ind w:left="4084"/>
      <w:rPr>
        <w:rFonts w:ascii="Calibri" w:hAnsi="Calibri" w:eastAsia="Calibri" w:cs="Calibri"/>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3702050</wp:posOffset>
              </wp:positionH>
              <wp:positionV relativeFrom="page">
                <wp:posOffset>9893935</wp:posOffset>
              </wp:positionV>
              <wp:extent cx="166370" cy="1524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5pt;margin-top:779.05pt;height:12pt;width:13.1pt;mso-position-horizontal-relative:page;mso-position-vertical-relative:page;z-index:-251651072;mso-width-relative:page;mso-height-relative:page;" filled="f" stroked="f" coordsize="21600,21600" o:gfxdata="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JTZFtoAAAANAQAADwAAAAAAAAABACAAAAAiAAAAZHJzL2Rvd25yZXYueG1sUEsB&#10;AhQAFAAAAAgAh07iQAXgBqS6AQAAcQMAAA4AAAAAAAAAAQAgAAAAKQEAAGRycy9lMm9Eb2MueG1s&#10;UEsFBgAAAAAGAAYAWQEAAFU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MrzQH+EBAAC6AwAA&#10;DgAAAAAAAAABACAAAAAiAQAAZHJzL2Uyb0RvYy54bWxQSwUGAAAAAAYABgBZAQAAdQUAAAAA&#10;">
              <v:fill on="f" focussize="0,0"/>
              <v:stroke on="f" weight="1.25pt"/>
              <v:imagedata o:title=""/>
              <o:lock v:ext="edit" aspectratio="f"/>
              <v:textbox inset="0mm,0mm,0mm,0mm" style="mso-fit-shape-to-text:t;">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p>
    <w:pPr>
      <w:pStyle w:val="2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76" w:firstLineChars="0"/>
    </w:pPr>
    <w:r>
      <w:rPr>
        <w:sz w:val="21"/>
      </w:rPr>
      <mc:AlternateContent>
        <mc:Choice Requires="wps">
          <w:drawing>
            <wp:anchor distT="0" distB="0" distL="114300" distR="114300" simplePos="0" relativeHeight="251669504" behindDoc="0" locked="0" layoutInCell="1" allowOverlap="1">
              <wp:simplePos x="0" y="0"/>
              <wp:positionH relativeFrom="margin">
                <wp:posOffset>2207895</wp:posOffset>
              </wp:positionH>
              <wp:positionV relativeFrom="paragraph">
                <wp:posOffset>-17145</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文本框 9" o:spid="_x0000_s1026" o:spt="202" type="#_x0000_t202" style="position:absolute;left:0pt;margin-left:173.85pt;margin-top:-1.35pt;height:144pt;width:144pt;mso-position-horizontal-relative:margin;mso-wrap-style:none;z-index:251669504;mso-width-relative:page;mso-height-relative:page;" filled="f" stroked="f" coordsize="21600,21600" o:gfxdata="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Pb8WL1wAAAAoBAAAPAAAAAAAAAAEAIAAAACIA&#10;AABkcnMvZG93bnJldi54bWxQSwECFAAUAAAACACHTuJAobUa5tEBAACiAwAADgAAAAAAAAABACAA&#10;AAAmAQAAZHJzL2Uyb0RvYy54bWxQSwUGAAAAAAYABgBZAQAAaQU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76" w:firstLineChars="0"/>
    </w:pPr>
    <w:r>
      <w:rPr>
        <w:sz w:val="21"/>
      </w:rPr>
      <mc:AlternateContent>
        <mc:Choice Requires="wps">
          <w:drawing>
            <wp:anchor distT="0" distB="0" distL="114300" distR="114300" simplePos="0" relativeHeight="251668480" behindDoc="0" locked="0" layoutInCell="1" allowOverlap="1">
              <wp:simplePos x="0" y="0"/>
              <wp:positionH relativeFrom="margin">
                <wp:posOffset>2207895</wp:posOffset>
              </wp:positionH>
              <wp:positionV relativeFrom="paragraph">
                <wp:posOffset>-17145</wp:posOffset>
              </wp:positionV>
              <wp:extent cx="1828800" cy="1828800"/>
              <wp:effectExtent l="0" t="0" r="0" b="0"/>
              <wp:wrapNone/>
              <wp:docPr id="88"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文本框 9" o:spid="_x0000_s1026" o:spt="202" type="#_x0000_t202" style="position:absolute;left:0pt;margin-left:173.85pt;margin-top:-1.35pt;height:144pt;width:144pt;mso-position-horizontal-relative:margin;mso-wrap-style:none;z-index:251668480;mso-width-relative:page;mso-height-relative:page;" filled="f" stroked="f" coordsize="21600,21600" o:gfxdata="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2/Fi9cAAAAKAQAADwAAAAAAAAABACAAAAAi&#10;AAAAZHJzL2Rvd25yZXYueG1sUEsBAhQAFAAAAAgAh07iQDj1yDbSAQAAowMAAA4AAAAAAAAAAQAg&#10;AAAAJgEAAGRycy9lMm9Eb2MueG1sUEsFBgAAAAAGAAYAWQEAAGo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PGYnUDTAQAApQMAAA4AAAAAAAAAAQAgAAAA&#10;IgEAAGRycy9lMm9Eb2MueG1sUEsFBgAAAAAGAAYAWQEAAGcFAAAAAA==&#10;">
              <v:fill on="f" focussize="0,0"/>
              <v:stroke on="f" weight="1.25pt"/>
              <v:imagedata o:title=""/>
              <o:lock v:ext="edit" aspectratio="f"/>
              <v:textbox inset="0mm,0mm,0mm,0mm" style="mso-fit-shape-to-text:t;">
                <w:txbxContent>
                  <w:p>
                    <w:pPr>
                      <w:pStyle w:val="29"/>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p>
    <w:pPr>
      <w:pStyle w:val="29"/>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Lv3NE9IBAAClAwAADgAAAAAAAAABACAAAAAi&#10;AQAAZHJzL2Uyb0RvYy54bWxQSwUGAAAAAAYABgBZAQAAZgUAAAAA&#10;">
              <v:fill on="f" focussize="0,0"/>
              <v:stroke on="f" weight="1.25pt"/>
              <v:imagedata o:title=""/>
              <o:lock v:ext="edit" aspectratio="f"/>
              <v:textbox inset="0mm,0mm,0mm,0mm" style="mso-fit-shape-to-text:t;">
                <w:txbxContent>
                  <w:p>
                    <w:pPr>
                      <w:pStyle w:val="29"/>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p>
    <w:pPr>
      <w:pStyle w:val="29"/>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jc w:val="center"/>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NpGRx+EBAAC8AwAA&#10;DgAAAAAAAAABACAAAAAiAQAAZHJzL2Uyb0RvYy54bWxQSwUGAAAAAAYABgBZAQAAdQUAAAAA&#10;">
              <v:fill on="f" focussize="0,0"/>
              <v:stroke on="f" weight="1.25pt"/>
              <v:imagedata o:title=""/>
              <o:lock v:ext="edit" aspectratio="f"/>
              <v:textbox inset="0mm,0mm,0mm,0mm" style="mso-fit-shape-to-text:t;">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14"/>
        <w:tab w:val="right" w:pos="8306"/>
      </w:tabs>
      <w:jc w:val="left"/>
      <w:rPr>
        <w:rFonts w:hint="eastAsia"/>
        <w:sz w:val="18"/>
        <w:szCs w:val="18"/>
        <w:lang w:eastAsia="zh-CN"/>
      </w:rPr>
    </w:pPr>
    <w:r>
      <w:rPr>
        <w:rFonts w:hint="eastAsia"/>
        <w:sz w:val="18"/>
        <w:szCs w:val="18"/>
        <w:lang w:val="en-US" w:eastAsia="zh-CN"/>
      </w:rPr>
      <w:t xml:space="preserve">     </w:t>
    </w:r>
    <w:r>
      <w:rPr>
        <w:rFonts w:hint="eastAsia"/>
        <w:sz w:val="18"/>
        <w:szCs w:val="18"/>
      </w:rPr>
      <w:t xml:space="preserve"> </w:t>
    </w:r>
    <w:r>
      <w:rPr>
        <w:rFonts w:hint="eastAsia"/>
        <w:sz w:val="18"/>
        <w:szCs w:val="18"/>
        <w:lang w:val="en-US" w:eastAsia="zh-CN"/>
      </w:rPr>
      <w:t xml:space="preserve">                       </w:t>
    </w:r>
    <w:r>
      <w:rPr>
        <w:rFonts w:hint="eastAsia"/>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14"/>
        <w:tab w:val="right" w:pos="8306"/>
      </w:tabs>
      <w:jc w:val="left"/>
      <w:rPr>
        <w:rFonts w:hint="eastAsia"/>
        <w:sz w:val="18"/>
        <w:szCs w:val="18"/>
        <w:lang w:eastAsia="zh-CN"/>
      </w:rPr>
    </w:pPr>
    <w:r>
      <w:rPr>
        <w:rFonts w:hint="eastAsia"/>
        <w:sz w:val="18"/>
        <w:szCs w:val="18"/>
        <w:lang w:val="en-US" w:eastAsia="zh-CN"/>
      </w:rPr>
      <w:t xml:space="preserve">     </w:t>
    </w:r>
    <w:r>
      <w:rPr>
        <w:rFonts w:hint="eastAsia"/>
        <w:sz w:val="18"/>
        <w:szCs w:val="18"/>
      </w:rPr>
      <w:t xml:space="preserve"> </w:t>
    </w:r>
    <w:r>
      <w:rPr>
        <w:rFonts w:hint="eastAsia"/>
        <w:sz w:val="18"/>
        <w:szCs w:val="18"/>
        <w:lang w:val="en-US" w:eastAsia="zh-CN"/>
      </w:rPr>
      <w:t xml:space="preserve">                       </w:t>
    </w:r>
    <w:r>
      <w:rPr>
        <w:rFonts w:hint="eastAsia"/>
        <w:sz w:val="18"/>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B6B95"/>
    <w:multiLevelType w:val="singleLevel"/>
    <w:tmpl w:val="894B6B95"/>
    <w:lvl w:ilvl="0" w:tentative="0">
      <w:start w:val="1"/>
      <w:numFmt w:val="decimal"/>
      <w:suff w:val="nothing"/>
      <w:lvlText w:val="%1、"/>
      <w:lvlJc w:val="left"/>
    </w:lvl>
  </w:abstractNum>
  <w:abstractNum w:abstractNumId="1">
    <w:nsid w:val="99B19BFF"/>
    <w:multiLevelType w:val="singleLevel"/>
    <w:tmpl w:val="99B19BFF"/>
    <w:lvl w:ilvl="0" w:tentative="0">
      <w:start w:val="4"/>
      <w:numFmt w:val="chineseCounting"/>
      <w:suff w:val="space"/>
      <w:lvlText w:val="第%1章"/>
      <w:lvlJc w:val="left"/>
      <w:rPr>
        <w:rFonts w:hint="eastAsia"/>
      </w:rPr>
    </w:lvl>
  </w:abstractNum>
  <w:abstractNum w:abstractNumId="2">
    <w:nsid w:val="9C6EACCF"/>
    <w:multiLevelType w:val="singleLevel"/>
    <w:tmpl w:val="9C6EACCF"/>
    <w:lvl w:ilvl="0" w:tentative="0">
      <w:start w:val="3"/>
      <w:numFmt w:val="chineseCounting"/>
      <w:suff w:val="space"/>
      <w:lvlText w:val="第%1部分"/>
      <w:lvlJc w:val="left"/>
      <w:rPr>
        <w:rFonts w:hint="eastAsia"/>
      </w:rPr>
    </w:lvl>
  </w:abstractNum>
  <w:abstractNum w:abstractNumId="3">
    <w:nsid w:val="BD96CC2A"/>
    <w:multiLevelType w:val="singleLevel"/>
    <w:tmpl w:val="BD96CC2A"/>
    <w:lvl w:ilvl="0" w:tentative="0">
      <w:start w:val="2"/>
      <w:numFmt w:val="chineseCounting"/>
      <w:suff w:val="nothing"/>
      <w:lvlText w:val="（%1）"/>
      <w:lvlJc w:val="left"/>
      <w:rPr>
        <w:rFonts w:hint="eastAsia"/>
      </w:rPr>
    </w:lvl>
  </w:abstractNum>
  <w:abstractNum w:abstractNumId="4">
    <w:nsid w:val="CE48D951"/>
    <w:multiLevelType w:val="singleLevel"/>
    <w:tmpl w:val="CE48D951"/>
    <w:lvl w:ilvl="0" w:tentative="0">
      <w:start w:val="1"/>
      <w:numFmt w:val="decimal"/>
      <w:pStyle w:val="79"/>
      <w:suff w:val="nothing"/>
      <w:lvlText w:val="%1、"/>
      <w:lvlJc w:val="left"/>
    </w:lvl>
  </w:abstractNum>
  <w:abstractNum w:abstractNumId="5">
    <w:nsid w:val="0000000C"/>
    <w:multiLevelType w:val="multilevel"/>
    <w:tmpl w:val="0000000C"/>
    <w:lvl w:ilvl="0" w:tentative="0">
      <w:start w:val="2"/>
      <w:numFmt w:val="decimal"/>
      <w:pStyle w:val="55"/>
      <w:suff w:val="nothing"/>
      <w:lvlText w:val="%1、"/>
      <w:lvlJc w:val="left"/>
    </w:lvl>
    <w:lvl w:ilvl="1" w:tentative="0">
      <w:start w:val="1"/>
      <w:numFmt w:val="decimal"/>
      <w:pStyle w:val="78"/>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pStyle w:val="6"/>
      <w:lvlText w:val="%4)"/>
      <w:lvlJc w:val="left"/>
      <w:pPr>
        <w:tabs>
          <w:tab w:val="left" w:pos="1680"/>
        </w:tabs>
        <w:ind w:left="1680" w:hanging="420"/>
      </w:pPr>
      <w:rPr>
        <w:rFonts w:hint="default"/>
      </w:rPr>
    </w:lvl>
    <w:lvl w:ilvl="4" w:tentative="0">
      <w:start w:val="1"/>
      <w:numFmt w:val="lowerLetter"/>
      <w:pStyle w:val="7"/>
      <w:lvlText w:val="%5."/>
      <w:lvlJc w:val="left"/>
      <w:pPr>
        <w:tabs>
          <w:tab w:val="left" w:pos="2100"/>
        </w:tabs>
        <w:ind w:left="2100" w:hanging="420"/>
      </w:pPr>
      <w:rPr>
        <w:rFonts w:hint="default"/>
      </w:rPr>
    </w:lvl>
    <w:lvl w:ilvl="5" w:tentative="0">
      <w:start w:val="1"/>
      <w:numFmt w:val="lowerLetter"/>
      <w:pStyle w:val="8"/>
      <w:lvlText w:val="%6)"/>
      <w:lvlJc w:val="left"/>
      <w:pPr>
        <w:tabs>
          <w:tab w:val="left" w:pos="2520"/>
        </w:tabs>
        <w:ind w:left="2520" w:hanging="420"/>
      </w:pPr>
      <w:rPr>
        <w:rFonts w:hint="default"/>
      </w:rPr>
    </w:lvl>
    <w:lvl w:ilvl="6" w:tentative="0">
      <w:start w:val="1"/>
      <w:numFmt w:val="lowerRoman"/>
      <w:pStyle w:val="9"/>
      <w:lvlText w:val="%7."/>
      <w:lvlJc w:val="left"/>
      <w:pPr>
        <w:tabs>
          <w:tab w:val="left" w:pos="2940"/>
        </w:tabs>
        <w:ind w:left="2940" w:hanging="420"/>
      </w:pPr>
      <w:rPr>
        <w:rFonts w:hint="default"/>
      </w:rPr>
    </w:lvl>
    <w:lvl w:ilvl="7" w:tentative="0">
      <w:start w:val="1"/>
      <w:numFmt w:val="lowerRoman"/>
      <w:pStyle w:val="10"/>
      <w:lvlText w:val="%8)"/>
      <w:lvlJc w:val="left"/>
      <w:pPr>
        <w:tabs>
          <w:tab w:val="left" w:pos="3360"/>
        </w:tabs>
        <w:ind w:left="3360" w:hanging="420"/>
      </w:pPr>
      <w:rPr>
        <w:rFonts w:hint="default"/>
      </w:rPr>
    </w:lvl>
    <w:lvl w:ilvl="8" w:tentative="0">
      <w:start w:val="1"/>
      <w:numFmt w:val="lowerLetter"/>
      <w:pStyle w:val="11"/>
      <w:lvlText w:val="%9."/>
      <w:lvlJc w:val="left"/>
      <w:pPr>
        <w:tabs>
          <w:tab w:val="left" w:pos="3780"/>
        </w:tabs>
        <w:ind w:left="3780" w:hanging="420"/>
      </w:pPr>
      <w:rPr>
        <w:rFonts w:hint="default"/>
      </w:rPr>
    </w:lvl>
  </w:abstractNum>
  <w:abstractNum w:abstractNumId="6">
    <w:nsid w:val="00000013"/>
    <w:multiLevelType w:val="singleLevel"/>
    <w:tmpl w:val="00000013"/>
    <w:lvl w:ilvl="0" w:tentative="0">
      <w:start w:val="4"/>
      <w:numFmt w:val="chineseCounting"/>
      <w:suff w:val="nothing"/>
      <w:lvlText w:val="%1、"/>
      <w:lvlJc w:val="left"/>
      <w:pPr>
        <w:ind w:left="3780"/>
      </w:pPr>
    </w:lvl>
  </w:abstractNum>
  <w:abstractNum w:abstractNumId="7">
    <w:nsid w:val="0000001B"/>
    <w:multiLevelType w:val="singleLevel"/>
    <w:tmpl w:val="0000001B"/>
    <w:lvl w:ilvl="0" w:tentative="0">
      <w:start w:val="2"/>
      <w:numFmt w:val="chineseCounting"/>
      <w:suff w:val="nothing"/>
      <w:lvlText w:val="%1、"/>
      <w:lvlJc w:val="left"/>
    </w:lvl>
  </w:abstractNum>
  <w:abstractNum w:abstractNumId="8">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19C5E42D"/>
    <w:multiLevelType w:val="singleLevel"/>
    <w:tmpl w:val="19C5E42D"/>
    <w:lvl w:ilvl="0" w:tentative="0">
      <w:start w:val="1"/>
      <w:numFmt w:val="decimal"/>
      <w:pStyle w:val="13"/>
      <w:lvlText w:val="%1."/>
      <w:lvlJc w:val="left"/>
      <w:pPr>
        <w:tabs>
          <w:tab w:val="left" w:pos="360"/>
        </w:tabs>
        <w:ind w:left="360" w:hanging="360"/>
      </w:pPr>
    </w:lvl>
  </w:abstractNum>
  <w:abstractNum w:abstractNumId="10">
    <w:nsid w:val="26F707B4"/>
    <w:multiLevelType w:val="multilevel"/>
    <w:tmpl w:val="26F707B4"/>
    <w:lvl w:ilvl="0" w:tentative="0">
      <w:start w:val="1"/>
      <w:numFmt w:val="decimal"/>
      <w:lvlText w:val="（%1）"/>
      <w:lvlJc w:val="left"/>
      <w:pPr>
        <w:tabs>
          <w:tab w:val="left" w:pos="1260"/>
        </w:tabs>
        <w:ind w:left="1260" w:hanging="720"/>
        <w:textAlignment w:val="baseline"/>
      </w:pPr>
    </w:lvl>
    <w:lvl w:ilvl="1" w:tentative="0">
      <w:start w:val="1"/>
      <w:numFmt w:val="lowerLetter"/>
      <w:lvlText w:val="%1)"/>
      <w:lvlJc w:val="left"/>
      <w:pPr>
        <w:tabs>
          <w:tab w:val="left" w:pos="900"/>
        </w:tabs>
        <w:ind w:left="900" w:hanging="420"/>
        <w:textAlignment w:val="baseline"/>
      </w:pPr>
    </w:lvl>
    <w:lvl w:ilvl="2" w:tentative="0">
      <w:start w:val="1"/>
      <w:numFmt w:val="lowerRoman"/>
      <w:lvlText w:val="%1."/>
      <w:lvlJc w:val="right"/>
      <w:pPr>
        <w:tabs>
          <w:tab w:val="left" w:pos="1320"/>
        </w:tabs>
        <w:ind w:left="1320" w:hanging="420"/>
        <w:textAlignment w:val="baseline"/>
      </w:pPr>
    </w:lvl>
    <w:lvl w:ilvl="3" w:tentative="0">
      <w:start w:val="1"/>
      <w:numFmt w:val="decimal"/>
      <w:lvlText w:val="%1."/>
      <w:lvlJc w:val="left"/>
      <w:pPr>
        <w:tabs>
          <w:tab w:val="left" w:pos="1740"/>
        </w:tabs>
        <w:ind w:left="1740" w:hanging="420"/>
        <w:textAlignment w:val="baseline"/>
      </w:pPr>
    </w:lvl>
    <w:lvl w:ilvl="4" w:tentative="0">
      <w:start w:val="1"/>
      <w:numFmt w:val="lowerLetter"/>
      <w:lvlText w:val="%1)"/>
      <w:lvlJc w:val="left"/>
      <w:pPr>
        <w:tabs>
          <w:tab w:val="left" w:pos="2160"/>
        </w:tabs>
        <w:ind w:left="2160" w:hanging="420"/>
        <w:textAlignment w:val="baseline"/>
      </w:pPr>
    </w:lvl>
    <w:lvl w:ilvl="5" w:tentative="0">
      <w:start w:val="1"/>
      <w:numFmt w:val="lowerRoman"/>
      <w:lvlText w:val="%1."/>
      <w:lvlJc w:val="right"/>
      <w:pPr>
        <w:tabs>
          <w:tab w:val="left" w:pos="2580"/>
        </w:tabs>
        <w:ind w:left="2580" w:hanging="420"/>
        <w:textAlignment w:val="baseline"/>
      </w:pPr>
    </w:lvl>
    <w:lvl w:ilvl="6" w:tentative="0">
      <w:start w:val="1"/>
      <w:numFmt w:val="decimal"/>
      <w:lvlText w:val="%1."/>
      <w:lvlJc w:val="left"/>
      <w:pPr>
        <w:tabs>
          <w:tab w:val="left" w:pos="3000"/>
        </w:tabs>
        <w:ind w:left="3000" w:hanging="420"/>
        <w:textAlignment w:val="baseline"/>
      </w:pPr>
    </w:lvl>
    <w:lvl w:ilvl="7" w:tentative="0">
      <w:start w:val="1"/>
      <w:numFmt w:val="lowerLetter"/>
      <w:lvlText w:val="%1)"/>
      <w:lvlJc w:val="left"/>
      <w:pPr>
        <w:tabs>
          <w:tab w:val="left" w:pos="3420"/>
        </w:tabs>
        <w:ind w:left="3420" w:hanging="420"/>
        <w:textAlignment w:val="baseline"/>
      </w:pPr>
    </w:lvl>
    <w:lvl w:ilvl="8" w:tentative="0">
      <w:start w:val="1"/>
      <w:numFmt w:val="lowerRoman"/>
      <w:lvlText w:val="%1."/>
      <w:lvlJc w:val="right"/>
      <w:pPr>
        <w:tabs>
          <w:tab w:val="left" w:pos="3840"/>
        </w:tabs>
        <w:ind w:left="3840" w:hanging="420"/>
        <w:textAlignment w:val="baseline"/>
      </w:pPr>
    </w:lvl>
  </w:abstractNum>
  <w:abstractNum w:abstractNumId="11">
    <w:nsid w:val="323AA98F"/>
    <w:multiLevelType w:val="singleLevel"/>
    <w:tmpl w:val="323AA98F"/>
    <w:lvl w:ilvl="0" w:tentative="0">
      <w:start w:val="12"/>
      <w:numFmt w:val="decimal"/>
      <w:suff w:val="nothing"/>
      <w:lvlText w:val="%1、"/>
      <w:lvlJc w:val="left"/>
    </w:lvl>
  </w:abstractNum>
  <w:abstractNum w:abstractNumId="12">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4B8F68CF"/>
    <w:multiLevelType w:val="multilevel"/>
    <w:tmpl w:val="4B8F68CF"/>
    <w:lvl w:ilvl="0" w:tentative="0">
      <w:start w:val="1"/>
      <w:numFmt w:val="decimal"/>
      <w:lvlText w:val="（%1）"/>
      <w:lvlJc w:val="left"/>
      <w:pPr>
        <w:tabs>
          <w:tab w:val="left" w:pos="1200"/>
        </w:tabs>
        <w:ind w:left="1200" w:hanging="720"/>
        <w:textAlignment w:val="baseline"/>
      </w:pPr>
    </w:lvl>
    <w:lvl w:ilvl="1" w:tentative="0">
      <w:start w:val="1"/>
      <w:numFmt w:val="lowerLetter"/>
      <w:lvlText w:val="%1)"/>
      <w:lvlJc w:val="left"/>
      <w:pPr>
        <w:tabs>
          <w:tab w:val="left" w:pos="840"/>
        </w:tabs>
        <w:ind w:left="840" w:hanging="420"/>
        <w:textAlignment w:val="baseline"/>
      </w:pPr>
    </w:lvl>
    <w:lvl w:ilvl="2" w:tentative="0">
      <w:start w:val="1"/>
      <w:numFmt w:val="lowerRoman"/>
      <w:lvlText w:val="%1."/>
      <w:lvlJc w:val="right"/>
      <w:pPr>
        <w:tabs>
          <w:tab w:val="left" w:pos="1260"/>
        </w:tabs>
        <w:ind w:left="1260" w:hanging="420"/>
        <w:textAlignment w:val="baseline"/>
      </w:pPr>
    </w:lvl>
    <w:lvl w:ilvl="3" w:tentative="0">
      <w:start w:val="1"/>
      <w:numFmt w:val="decimal"/>
      <w:lvlText w:val="%1."/>
      <w:lvlJc w:val="left"/>
      <w:pPr>
        <w:tabs>
          <w:tab w:val="left" w:pos="1680"/>
        </w:tabs>
        <w:ind w:left="1680" w:hanging="420"/>
        <w:textAlignment w:val="baseline"/>
      </w:pPr>
    </w:lvl>
    <w:lvl w:ilvl="4" w:tentative="0">
      <w:start w:val="1"/>
      <w:numFmt w:val="lowerLetter"/>
      <w:lvlText w:val="%1)"/>
      <w:lvlJc w:val="left"/>
      <w:pPr>
        <w:tabs>
          <w:tab w:val="left" w:pos="2100"/>
        </w:tabs>
        <w:ind w:left="2100" w:hanging="420"/>
        <w:textAlignment w:val="baseline"/>
      </w:pPr>
    </w:lvl>
    <w:lvl w:ilvl="5" w:tentative="0">
      <w:start w:val="1"/>
      <w:numFmt w:val="lowerRoman"/>
      <w:lvlText w:val="%1."/>
      <w:lvlJc w:val="right"/>
      <w:pPr>
        <w:tabs>
          <w:tab w:val="left" w:pos="2520"/>
        </w:tabs>
        <w:ind w:left="2520" w:hanging="420"/>
        <w:textAlignment w:val="baseline"/>
      </w:pPr>
    </w:lvl>
    <w:lvl w:ilvl="6" w:tentative="0">
      <w:start w:val="1"/>
      <w:numFmt w:val="decimal"/>
      <w:lvlText w:val="%1."/>
      <w:lvlJc w:val="left"/>
      <w:pPr>
        <w:tabs>
          <w:tab w:val="left" w:pos="2940"/>
        </w:tabs>
        <w:ind w:left="2940" w:hanging="420"/>
        <w:textAlignment w:val="baseline"/>
      </w:pPr>
    </w:lvl>
    <w:lvl w:ilvl="7" w:tentative="0">
      <w:start w:val="1"/>
      <w:numFmt w:val="lowerLetter"/>
      <w:lvlText w:val="%1)"/>
      <w:lvlJc w:val="left"/>
      <w:pPr>
        <w:tabs>
          <w:tab w:val="left" w:pos="3360"/>
        </w:tabs>
        <w:ind w:left="3360" w:hanging="420"/>
        <w:textAlignment w:val="baseline"/>
      </w:pPr>
    </w:lvl>
    <w:lvl w:ilvl="8" w:tentative="0">
      <w:start w:val="1"/>
      <w:numFmt w:val="lowerRoman"/>
      <w:lvlText w:val="%1."/>
      <w:lvlJc w:val="right"/>
      <w:pPr>
        <w:tabs>
          <w:tab w:val="left" w:pos="3780"/>
        </w:tabs>
        <w:ind w:left="3780" w:hanging="420"/>
        <w:textAlignment w:val="baseline"/>
      </w:pPr>
    </w:lvl>
  </w:abstractNum>
  <w:abstractNum w:abstractNumId="14">
    <w:nsid w:val="635D2DBE"/>
    <w:multiLevelType w:val="singleLevel"/>
    <w:tmpl w:val="635D2DBE"/>
    <w:lvl w:ilvl="0" w:tentative="0">
      <w:start w:val="1"/>
      <w:numFmt w:val="decimal"/>
      <w:suff w:val="nothing"/>
      <w:lvlText w:val="%1、"/>
      <w:lvlJc w:val="left"/>
      <w:pPr>
        <w:ind w:left="386" w:leftChars="0" w:firstLine="0" w:firstLineChars="0"/>
      </w:pPr>
      <w:rPr>
        <w:rFonts w:hint="default" w:ascii="仿宋" w:hAnsi="仿宋" w:eastAsia="仿宋" w:cs="仿宋"/>
        <w:sz w:val="22"/>
        <w:szCs w:val="22"/>
      </w:rPr>
    </w:lvl>
  </w:abstractNum>
  <w:num w:numId="1">
    <w:abstractNumId w:val="5"/>
  </w:num>
  <w:num w:numId="2">
    <w:abstractNumId w:val="9"/>
  </w:num>
  <w:num w:numId="3">
    <w:abstractNumId w:val="4"/>
  </w:num>
  <w:num w:numId="4">
    <w:abstractNumId w:val="7"/>
  </w:num>
  <w:num w:numId="5">
    <w:abstractNumId w:val="6"/>
  </w:num>
  <w:num w:numId="6">
    <w:abstractNumId w:val="2"/>
  </w:num>
  <w:num w:numId="7">
    <w:abstractNumId w:val="12"/>
  </w:num>
  <w:num w:numId="8">
    <w:abstractNumId w:val="8"/>
  </w:num>
  <w:num w:numId="9">
    <w:abstractNumId w:val="1"/>
  </w:num>
  <w:num w:numId="10">
    <w:abstractNumId w:val="14"/>
  </w:num>
  <w:num w:numId="11">
    <w:abstractNumId w:val="11"/>
  </w:num>
  <w:num w:numId="12">
    <w:abstractNumId w:val="10"/>
  </w:num>
  <w:num w:numId="13">
    <w:abstractNumId w:val="13"/>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7"/>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MGZmODU2YTFiYTNkMTVkOTI3M2EwMWFhMzhkN2YifQ=="/>
    <w:docVar w:name="KSO_WPS_MARK_KEY" w:val="8c1968d9-a75c-4b14-9965-f57eadd48b5d"/>
  </w:docVars>
  <w:rsids>
    <w:rsidRoot w:val="00172A27"/>
    <w:rsid w:val="000969AD"/>
    <w:rsid w:val="000E3FC3"/>
    <w:rsid w:val="000F78F8"/>
    <w:rsid w:val="00164C33"/>
    <w:rsid w:val="001A4716"/>
    <w:rsid w:val="00263E36"/>
    <w:rsid w:val="002F5EFC"/>
    <w:rsid w:val="002F6D43"/>
    <w:rsid w:val="004852A3"/>
    <w:rsid w:val="006843FA"/>
    <w:rsid w:val="006A7838"/>
    <w:rsid w:val="00735ACC"/>
    <w:rsid w:val="0078578F"/>
    <w:rsid w:val="008B3B62"/>
    <w:rsid w:val="009D1D6B"/>
    <w:rsid w:val="00A54779"/>
    <w:rsid w:val="00B42D9D"/>
    <w:rsid w:val="00B71FBF"/>
    <w:rsid w:val="00C56DFF"/>
    <w:rsid w:val="00D41950"/>
    <w:rsid w:val="00D4336C"/>
    <w:rsid w:val="00D70EA7"/>
    <w:rsid w:val="00E77F2B"/>
    <w:rsid w:val="00E83F8F"/>
    <w:rsid w:val="00EF1595"/>
    <w:rsid w:val="00FD7FED"/>
    <w:rsid w:val="011F7035"/>
    <w:rsid w:val="017753C6"/>
    <w:rsid w:val="017F5739"/>
    <w:rsid w:val="01882F2E"/>
    <w:rsid w:val="018E4567"/>
    <w:rsid w:val="01916D9E"/>
    <w:rsid w:val="01B71398"/>
    <w:rsid w:val="01BE7323"/>
    <w:rsid w:val="01D10442"/>
    <w:rsid w:val="01EC4701"/>
    <w:rsid w:val="01EE19B6"/>
    <w:rsid w:val="022A7A8C"/>
    <w:rsid w:val="024055D2"/>
    <w:rsid w:val="024A0BA6"/>
    <w:rsid w:val="025678F5"/>
    <w:rsid w:val="02647AD4"/>
    <w:rsid w:val="02A14C7A"/>
    <w:rsid w:val="02EB4148"/>
    <w:rsid w:val="02FC0103"/>
    <w:rsid w:val="03164A81"/>
    <w:rsid w:val="03411FE4"/>
    <w:rsid w:val="03793B97"/>
    <w:rsid w:val="03895ADE"/>
    <w:rsid w:val="03B64756"/>
    <w:rsid w:val="03CA7259"/>
    <w:rsid w:val="03D604BB"/>
    <w:rsid w:val="040C13C9"/>
    <w:rsid w:val="04257B1C"/>
    <w:rsid w:val="048C2C9E"/>
    <w:rsid w:val="04B213C1"/>
    <w:rsid w:val="04B54A0D"/>
    <w:rsid w:val="04EE6171"/>
    <w:rsid w:val="04FA68C4"/>
    <w:rsid w:val="04FD70C7"/>
    <w:rsid w:val="0510448D"/>
    <w:rsid w:val="054933A7"/>
    <w:rsid w:val="05536562"/>
    <w:rsid w:val="055920B6"/>
    <w:rsid w:val="05621F2C"/>
    <w:rsid w:val="05634469"/>
    <w:rsid w:val="05692D56"/>
    <w:rsid w:val="05DC228D"/>
    <w:rsid w:val="05FE0636"/>
    <w:rsid w:val="060D148A"/>
    <w:rsid w:val="061B11E8"/>
    <w:rsid w:val="062B7991"/>
    <w:rsid w:val="064047AA"/>
    <w:rsid w:val="0641274C"/>
    <w:rsid w:val="066C0011"/>
    <w:rsid w:val="06717375"/>
    <w:rsid w:val="06723A46"/>
    <w:rsid w:val="06915006"/>
    <w:rsid w:val="06AF013D"/>
    <w:rsid w:val="06B90C76"/>
    <w:rsid w:val="06F55595"/>
    <w:rsid w:val="06F9464B"/>
    <w:rsid w:val="06FE2F2D"/>
    <w:rsid w:val="07222102"/>
    <w:rsid w:val="07283BBC"/>
    <w:rsid w:val="07436C5F"/>
    <w:rsid w:val="076369A2"/>
    <w:rsid w:val="07875609"/>
    <w:rsid w:val="07B25F62"/>
    <w:rsid w:val="07BA1167"/>
    <w:rsid w:val="07D476A4"/>
    <w:rsid w:val="07E15CC2"/>
    <w:rsid w:val="080E209C"/>
    <w:rsid w:val="082F3FD3"/>
    <w:rsid w:val="08F655F4"/>
    <w:rsid w:val="09594501"/>
    <w:rsid w:val="095C4021"/>
    <w:rsid w:val="097A4F8F"/>
    <w:rsid w:val="099A5D5B"/>
    <w:rsid w:val="09BE5EBB"/>
    <w:rsid w:val="0A035572"/>
    <w:rsid w:val="0A0E3C10"/>
    <w:rsid w:val="0A0F696E"/>
    <w:rsid w:val="0A124C34"/>
    <w:rsid w:val="0A217926"/>
    <w:rsid w:val="0A3379CB"/>
    <w:rsid w:val="0A8214DE"/>
    <w:rsid w:val="0A932CCA"/>
    <w:rsid w:val="0AD1579D"/>
    <w:rsid w:val="0B113FEA"/>
    <w:rsid w:val="0B196157"/>
    <w:rsid w:val="0B306B9A"/>
    <w:rsid w:val="0B410F8B"/>
    <w:rsid w:val="0B552AA6"/>
    <w:rsid w:val="0B58238F"/>
    <w:rsid w:val="0B7E012E"/>
    <w:rsid w:val="0B8C1F3D"/>
    <w:rsid w:val="0B953861"/>
    <w:rsid w:val="0BB60DCE"/>
    <w:rsid w:val="0BBA6113"/>
    <w:rsid w:val="0BD81D82"/>
    <w:rsid w:val="0C523489"/>
    <w:rsid w:val="0C70367A"/>
    <w:rsid w:val="0C871385"/>
    <w:rsid w:val="0C9B30E4"/>
    <w:rsid w:val="0CBE0748"/>
    <w:rsid w:val="0CBE1BE2"/>
    <w:rsid w:val="0CC54204"/>
    <w:rsid w:val="0D2E6180"/>
    <w:rsid w:val="0D3851A2"/>
    <w:rsid w:val="0D410B01"/>
    <w:rsid w:val="0DC54E21"/>
    <w:rsid w:val="0DDF532F"/>
    <w:rsid w:val="0E187EE3"/>
    <w:rsid w:val="0E293B50"/>
    <w:rsid w:val="0E395338"/>
    <w:rsid w:val="0E3F353B"/>
    <w:rsid w:val="0E4F198B"/>
    <w:rsid w:val="0E572FD9"/>
    <w:rsid w:val="0E687820"/>
    <w:rsid w:val="0E7C0D4C"/>
    <w:rsid w:val="0E8611C8"/>
    <w:rsid w:val="0E900E0E"/>
    <w:rsid w:val="0EAC48BD"/>
    <w:rsid w:val="0EBF3FBE"/>
    <w:rsid w:val="0F225395"/>
    <w:rsid w:val="0F3B0774"/>
    <w:rsid w:val="0F597EC1"/>
    <w:rsid w:val="0F694D72"/>
    <w:rsid w:val="0F6D24C6"/>
    <w:rsid w:val="0F9126B9"/>
    <w:rsid w:val="0FD77F2D"/>
    <w:rsid w:val="104135F9"/>
    <w:rsid w:val="105D6BCF"/>
    <w:rsid w:val="10675755"/>
    <w:rsid w:val="10824ED0"/>
    <w:rsid w:val="108B08F2"/>
    <w:rsid w:val="10907D37"/>
    <w:rsid w:val="10A9611E"/>
    <w:rsid w:val="10C33AE0"/>
    <w:rsid w:val="10E332F1"/>
    <w:rsid w:val="11020FDA"/>
    <w:rsid w:val="11114205"/>
    <w:rsid w:val="1120496E"/>
    <w:rsid w:val="11693E13"/>
    <w:rsid w:val="1173423E"/>
    <w:rsid w:val="119B0672"/>
    <w:rsid w:val="11D9089D"/>
    <w:rsid w:val="11E93B5E"/>
    <w:rsid w:val="121511E1"/>
    <w:rsid w:val="12166813"/>
    <w:rsid w:val="121D1E44"/>
    <w:rsid w:val="12723C85"/>
    <w:rsid w:val="12863E8D"/>
    <w:rsid w:val="12950A7E"/>
    <w:rsid w:val="12A003E8"/>
    <w:rsid w:val="12BF34FA"/>
    <w:rsid w:val="12C107C1"/>
    <w:rsid w:val="12C246A7"/>
    <w:rsid w:val="12C9083A"/>
    <w:rsid w:val="12EE7E64"/>
    <w:rsid w:val="13007235"/>
    <w:rsid w:val="13063E3E"/>
    <w:rsid w:val="131655CE"/>
    <w:rsid w:val="134C2C02"/>
    <w:rsid w:val="134F3193"/>
    <w:rsid w:val="13781EF1"/>
    <w:rsid w:val="13833F28"/>
    <w:rsid w:val="13D754E4"/>
    <w:rsid w:val="13EA53A0"/>
    <w:rsid w:val="13F004E9"/>
    <w:rsid w:val="13F56BD4"/>
    <w:rsid w:val="140D5F5A"/>
    <w:rsid w:val="141B44DB"/>
    <w:rsid w:val="141B698E"/>
    <w:rsid w:val="142C45C0"/>
    <w:rsid w:val="142F202D"/>
    <w:rsid w:val="14311A1E"/>
    <w:rsid w:val="14710DC1"/>
    <w:rsid w:val="14754F4B"/>
    <w:rsid w:val="147F687F"/>
    <w:rsid w:val="14883EEC"/>
    <w:rsid w:val="14985EC3"/>
    <w:rsid w:val="14C82A75"/>
    <w:rsid w:val="14D868FD"/>
    <w:rsid w:val="153F193C"/>
    <w:rsid w:val="153F6289"/>
    <w:rsid w:val="15524BE4"/>
    <w:rsid w:val="157D3325"/>
    <w:rsid w:val="15DB6150"/>
    <w:rsid w:val="16290DB7"/>
    <w:rsid w:val="162D6097"/>
    <w:rsid w:val="1652773F"/>
    <w:rsid w:val="16551BAC"/>
    <w:rsid w:val="165E2C35"/>
    <w:rsid w:val="16866FA7"/>
    <w:rsid w:val="168B7CC4"/>
    <w:rsid w:val="171C50B3"/>
    <w:rsid w:val="17576E38"/>
    <w:rsid w:val="175B1B2C"/>
    <w:rsid w:val="175D48F4"/>
    <w:rsid w:val="178253FE"/>
    <w:rsid w:val="17A0586A"/>
    <w:rsid w:val="17EC02EE"/>
    <w:rsid w:val="1867248F"/>
    <w:rsid w:val="18725D99"/>
    <w:rsid w:val="1891342A"/>
    <w:rsid w:val="189866C8"/>
    <w:rsid w:val="189E2620"/>
    <w:rsid w:val="18C626E1"/>
    <w:rsid w:val="18D46954"/>
    <w:rsid w:val="18F173E8"/>
    <w:rsid w:val="190268FE"/>
    <w:rsid w:val="190D49C0"/>
    <w:rsid w:val="190F0738"/>
    <w:rsid w:val="197163E1"/>
    <w:rsid w:val="19A253D3"/>
    <w:rsid w:val="19A32A2E"/>
    <w:rsid w:val="19BC1F42"/>
    <w:rsid w:val="19BD16CC"/>
    <w:rsid w:val="19D40F30"/>
    <w:rsid w:val="1A312930"/>
    <w:rsid w:val="1A3F123B"/>
    <w:rsid w:val="1A415875"/>
    <w:rsid w:val="1A4268EB"/>
    <w:rsid w:val="1A5F061A"/>
    <w:rsid w:val="1A9609E5"/>
    <w:rsid w:val="1AB055BF"/>
    <w:rsid w:val="1AE33D08"/>
    <w:rsid w:val="1AF23E6D"/>
    <w:rsid w:val="1AF37BE5"/>
    <w:rsid w:val="1AF47500"/>
    <w:rsid w:val="1B2158C7"/>
    <w:rsid w:val="1B7A01B8"/>
    <w:rsid w:val="1BB47375"/>
    <w:rsid w:val="1BE85270"/>
    <w:rsid w:val="1C006EAF"/>
    <w:rsid w:val="1C190A99"/>
    <w:rsid w:val="1C206580"/>
    <w:rsid w:val="1C3D63ED"/>
    <w:rsid w:val="1C6B037B"/>
    <w:rsid w:val="1C744D56"/>
    <w:rsid w:val="1C8E5E18"/>
    <w:rsid w:val="1CBB4922"/>
    <w:rsid w:val="1CC500A1"/>
    <w:rsid w:val="1CCB2A5A"/>
    <w:rsid w:val="1CE0250E"/>
    <w:rsid w:val="1CE2284F"/>
    <w:rsid w:val="1CE27665"/>
    <w:rsid w:val="1D0F010F"/>
    <w:rsid w:val="1D1F7314"/>
    <w:rsid w:val="1D3403C0"/>
    <w:rsid w:val="1D4E3B64"/>
    <w:rsid w:val="1D985169"/>
    <w:rsid w:val="1DAA1CFA"/>
    <w:rsid w:val="1DF47391"/>
    <w:rsid w:val="1E0B6D0F"/>
    <w:rsid w:val="1E220F0E"/>
    <w:rsid w:val="1E436CBC"/>
    <w:rsid w:val="1E4F29BA"/>
    <w:rsid w:val="1E4F50EF"/>
    <w:rsid w:val="1E6705A9"/>
    <w:rsid w:val="1E9637FD"/>
    <w:rsid w:val="1EB83620"/>
    <w:rsid w:val="1EBB7EAA"/>
    <w:rsid w:val="1ECB747F"/>
    <w:rsid w:val="1F026509"/>
    <w:rsid w:val="1F657269"/>
    <w:rsid w:val="1F771A4D"/>
    <w:rsid w:val="1F806155"/>
    <w:rsid w:val="1FA3607E"/>
    <w:rsid w:val="1FA92F69"/>
    <w:rsid w:val="1FBF453A"/>
    <w:rsid w:val="1FDF42FE"/>
    <w:rsid w:val="2027280B"/>
    <w:rsid w:val="20451F26"/>
    <w:rsid w:val="206705CC"/>
    <w:rsid w:val="207C716F"/>
    <w:rsid w:val="207D46DD"/>
    <w:rsid w:val="20A6633B"/>
    <w:rsid w:val="20F011EF"/>
    <w:rsid w:val="21310218"/>
    <w:rsid w:val="21645399"/>
    <w:rsid w:val="217E7567"/>
    <w:rsid w:val="21A16738"/>
    <w:rsid w:val="21BB1762"/>
    <w:rsid w:val="21DC0A70"/>
    <w:rsid w:val="21DC1B3E"/>
    <w:rsid w:val="21E620E9"/>
    <w:rsid w:val="21F46AB2"/>
    <w:rsid w:val="220215B6"/>
    <w:rsid w:val="2236157A"/>
    <w:rsid w:val="226338A3"/>
    <w:rsid w:val="229C3794"/>
    <w:rsid w:val="2318468D"/>
    <w:rsid w:val="23915BF2"/>
    <w:rsid w:val="23AE6F3A"/>
    <w:rsid w:val="23CF305C"/>
    <w:rsid w:val="23F9781D"/>
    <w:rsid w:val="24635540"/>
    <w:rsid w:val="24740FED"/>
    <w:rsid w:val="247B615F"/>
    <w:rsid w:val="248E4857"/>
    <w:rsid w:val="24E53A07"/>
    <w:rsid w:val="24ED1F1B"/>
    <w:rsid w:val="24EF6BB0"/>
    <w:rsid w:val="2500187D"/>
    <w:rsid w:val="252235A1"/>
    <w:rsid w:val="25495698"/>
    <w:rsid w:val="25550F0F"/>
    <w:rsid w:val="2567077F"/>
    <w:rsid w:val="2593449F"/>
    <w:rsid w:val="259B4ADE"/>
    <w:rsid w:val="25C46060"/>
    <w:rsid w:val="25C91C6F"/>
    <w:rsid w:val="260E4A99"/>
    <w:rsid w:val="262D4932"/>
    <w:rsid w:val="26360BC2"/>
    <w:rsid w:val="263B7010"/>
    <w:rsid w:val="26527375"/>
    <w:rsid w:val="26705CF5"/>
    <w:rsid w:val="26845B90"/>
    <w:rsid w:val="26955E2C"/>
    <w:rsid w:val="26977FBF"/>
    <w:rsid w:val="26A15028"/>
    <w:rsid w:val="26C8132F"/>
    <w:rsid w:val="26F70735"/>
    <w:rsid w:val="27196C26"/>
    <w:rsid w:val="27585507"/>
    <w:rsid w:val="275E310C"/>
    <w:rsid w:val="27AB234F"/>
    <w:rsid w:val="27B01338"/>
    <w:rsid w:val="27C47D9D"/>
    <w:rsid w:val="27C54C43"/>
    <w:rsid w:val="27CB1478"/>
    <w:rsid w:val="27D677D0"/>
    <w:rsid w:val="27FE496D"/>
    <w:rsid w:val="280B47C0"/>
    <w:rsid w:val="281015F1"/>
    <w:rsid w:val="28182AA1"/>
    <w:rsid w:val="28433AAB"/>
    <w:rsid w:val="28727659"/>
    <w:rsid w:val="28845CC2"/>
    <w:rsid w:val="28A702B9"/>
    <w:rsid w:val="28B463AC"/>
    <w:rsid w:val="28BE3623"/>
    <w:rsid w:val="28C96735"/>
    <w:rsid w:val="28DB6EAA"/>
    <w:rsid w:val="290556B4"/>
    <w:rsid w:val="291D0C4F"/>
    <w:rsid w:val="2920429C"/>
    <w:rsid w:val="29223A0C"/>
    <w:rsid w:val="293715E5"/>
    <w:rsid w:val="293E0BC6"/>
    <w:rsid w:val="296C4096"/>
    <w:rsid w:val="29B80F87"/>
    <w:rsid w:val="2A337FFE"/>
    <w:rsid w:val="2A3558B4"/>
    <w:rsid w:val="2A3924D8"/>
    <w:rsid w:val="2A3C1DD7"/>
    <w:rsid w:val="2A613DB9"/>
    <w:rsid w:val="2A84085A"/>
    <w:rsid w:val="2AA8758A"/>
    <w:rsid w:val="2AAE6BCF"/>
    <w:rsid w:val="2AE06085"/>
    <w:rsid w:val="2AF05EF0"/>
    <w:rsid w:val="2B433BE2"/>
    <w:rsid w:val="2B7D59D5"/>
    <w:rsid w:val="2B9E594C"/>
    <w:rsid w:val="2C0078D2"/>
    <w:rsid w:val="2C1533AB"/>
    <w:rsid w:val="2C2C721C"/>
    <w:rsid w:val="2C42277B"/>
    <w:rsid w:val="2CBB4B82"/>
    <w:rsid w:val="2CDA0972"/>
    <w:rsid w:val="2D391DD0"/>
    <w:rsid w:val="2D3F156A"/>
    <w:rsid w:val="2D4F7387"/>
    <w:rsid w:val="2D5269EE"/>
    <w:rsid w:val="2D913ECB"/>
    <w:rsid w:val="2DC16D9B"/>
    <w:rsid w:val="2E0C1292"/>
    <w:rsid w:val="2E0C5E9C"/>
    <w:rsid w:val="2E231423"/>
    <w:rsid w:val="2E4B76EC"/>
    <w:rsid w:val="2E76456B"/>
    <w:rsid w:val="2EC51780"/>
    <w:rsid w:val="2ECA72A3"/>
    <w:rsid w:val="2EE43FBD"/>
    <w:rsid w:val="2EEC1136"/>
    <w:rsid w:val="2EF04710"/>
    <w:rsid w:val="2EF56EA2"/>
    <w:rsid w:val="2F1D1D8E"/>
    <w:rsid w:val="2F2A04CA"/>
    <w:rsid w:val="2F2B74F6"/>
    <w:rsid w:val="2F4C12F7"/>
    <w:rsid w:val="2F52087C"/>
    <w:rsid w:val="2F570AD7"/>
    <w:rsid w:val="2F84708E"/>
    <w:rsid w:val="2F9D1627"/>
    <w:rsid w:val="2FCA4A78"/>
    <w:rsid w:val="2FD76221"/>
    <w:rsid w:val="2FEA776D"/>
    <w:rsid w:val="300A4BE4"/>
    <w:rsid w:val="302225B6"/>
    <w:rsid w:val="302945C4"/>
    <w:rsid w:val="30384235"/>
    <w:rsid w:val="304545E8"/>
    <w:rsid w:val="30B240A1"/>
    <w:rsid w:val="30BA5D83"/>
    <w:rsid w:val="30C10112"/>
    <w:rsid w:val="30F465F9"/>
    <w:rsid w:val="31025BFE"/>
    <w:rsid w:val="310B5295"/>
    <w:rsid w:val="313E1763"/>
    <w:rsid w:val="31527353"/>
    <w:rsid w:val="316311C9"/>
    <w:rsid w:val="31665252"/>
    <w:rsid w:val="31A6555A"/>
    <w:rsid w:val="31B732C3"/>
    <w:rsid w:val="31CA749A"/>
    <w:rsid w:val="31CB168D"/>
    <w:rsid w:val="31EB38F9"/>
    <w:rsid w:val="31F877A0"/>
    <w:rsid w:val="320B3E33"/>
    <w:rsid w:val="327021AB"/>
    <w:rsid w:val="32731930"/>
    <w:rsid w:val="329218B6"/>
    <w:rsid w:val="32B05762"/>
    <w:rsid w:val="332E6D2C"/>
    <w:rsid w:val="33501C21"/>
    <w:rsid w:val="33650BC1"/>
    <w:rsid w:val="337551E4"/>
    <w:rsid w:val="337D01A8"/>
    <w:rsid w:val="33A9307D"/>
    <w:rsid w:val="33AD37C7"/>
    <w:rsid w:val="33BD699E"/>
    <w:rsid w:val="33F64849"/>
    <w:rsid w:val="3405793E"/>
    <w:rsid w:val="342601B1"/>
    <w:rsid w:val="34594B05"/>
    <w:rsid w:val="347C79C5"/>
    <w:rsid w:val="34966C87"/>
    <w:rsid w:val="34D23D8F"/>
    <w:rsid w:val="34D96BF3"/>
    <w:rsid w:val="34E17CC1"/>
    <w:rsid w:val="351C3972"/>
    <w:rsid w:val="353C001B"/>
    <w:rsid w:val="35535DF9"/>
    <w:rsid w:val="357830FD"/>
    <w:rsid w:val="358A639D"/>
    <w:rsid w:val="35D538F3"/>
    <w:rsid w:val="36101977"/>
    <w:rsid w:val="361433DA"/>
    <w:rsid w:val="36195F56"/>
    <w:rsid w:val="363A12E4"/>
    <w:rsid w:val="363E6B4A"/>
    <w:rsid w:val="365517B7"/>
    <w:rsid w:val="36722E94"/>
    <w:rsid w:val="3681127D"/>
    <w:rsid w:val="368C74AA"/>
    <w:rsid w:val="368D6CE8"/>
    <w:rsid w:val="369A4AAB"/>
    <w:rsid w:val="36B63A76"/>
    <w:rsid w:val="36D16E9F"/>
    <w:rsid w:val="37155B10"/>
    <w:rsid w:val="37180D0B"/>
    <w:rsid w:val="37352257"/>
    <w:rsid w:val="374C7D9F"/>
    <w:rsid w:val="374E0226"/>
    <w:rsid w:val="374F4745"/>
    <w:rsid w:val="375A3AF3"/>
    <w:rsid w:val="37622048"/>
    <w:rsid w:val="377F5ACE"/>
    <w:rsid w:val="37DF3574"/>
    <w:rsid w:val="38080D1C"/>
    <w:rsid w:val="3810197F"/>
    <w:rsid w:val="383218F5"/>
    <w:rsid w:val="387463B2"/>
    <w:rsid w:val="387B329C"/>
    <w:rsid w:val="388D2FD0"/>
    <w:rsid w:val="38C60AB9"/>
    <w:rsid w:val="38EE5DE8"/>
    <w:rsid w:val="38FA6EBF"/>
    <w:rsid w:val="39083B56"/>
    <w:rsid w:val="390F1C37"/>
    <w:rsid w:val="393377E4"/>
    <w:rsid w:val="394A4C3B"/>
    <w:rsid w:val="39575489"/>
    <w:rsid w:val="395E28CA"/>
    <w:rsid w:val="3982065B"/>
    <w:rsid w:val="39882264"/>
    <w:rsid w:val="39CE3C3C"/>
    <w:rsid w:val="39D54FB1"/>
    <w:rsid w:val="39DD53FD"/>
    <w:rsid w:val="39F5707E"/>
    <w:rsid w:val="3A05640B"/>
    <w:rsid w:val="3A1514CF"/>
    <w:rsid w:val="3A34505A"/>
    <w:rsid w:val="3A3E6C77"/>
    <w:rsid w:val="3A442FE9"/>
    <w:rsid w:val="3A4D25E0"/>
    <w:rsid w:val="3A583AA0"/>
    <w:rsid w:val="3A5969B4"/>
    <w:rsid w:val="3A5E20AE"/>
    <w:rsid w:val="3AB74334"/>
    <w:rsid w:val="3AC56A51"/>
    <w:rsid w:val="3B547DD5"/>
    <w:rsid w:val="3B674DD1"/>
    <w:rsid w:val="3B7F4C3A"/>
    <w:rsid w:val="3B887742"/>
    <w:rsid w:val="3B9603ED"/>
    <w:rsid w:val="3B9628EE"/>
    <w:rsid w:val="3B9B23CA"/>
    <w:rsid w:val="3BBD597A"/>
    <w:rsid w:val="3BD056AD"/>
    <w:rsid w:val="3C3976F6"/>
    <w:rsid w:val="3C3A012D"/>
    <w:rsid w:val="3C457305"/>
    <w:rsid w:val="3C5B7C42"/>
    <w:rsid w:val="3C621722"/>
    <w:rsid w:val="3CA52FDE"/>
    <w:rsid w:val="3CB31014"/>
    <w:rsid w:val="3CC13356"/>
    <w:rsid w:val="3CCF005B"/>
    <w:rsid w:val="3CD218F9"/>
    <w:rsid w:val="3CE17E80"/>
    <w:rsid w:val="3CEB6517"/>
    <w:rsid w:val="3CF83553"/>
    <w:rsid w:val="3D136199"/>
    <w:rsid w:val="3D2F72C4"/>
    <w:rsid w:val="3D477BF1"/>
    <w:rsid w:val="3DD0408A"/>
    <w:rsid w:val="3DE758F0"/>
    <w:rsid w:val="3DF46EE2"/>
    <w:rsid w:val="3E012500"/>
    <w:rsid w:val="3E595E2E"/>
    <w:rsid w:val="3E5F0393"/>
    <w:rsid w:val="3E916A56"/>
    <w:rsid w:val="3E987FAB"/>
    <w:rsid w:val="3E9B3456"/>
    <w:rsid w:val="3EDA5274"/>
    <w:rsid w:val="3EFC2C5D"/>
    <w:rsid w:val="3F1D60A0"/>
    <w:rsid w:val="3F9D1D4A"/>
    <w:rsid w:val="3FA13A7E"/>
    <w:rsid w:val="3FAB056B"/>
    <w:rsid w:val="3FB90913"/>
    <w:rsid w:val="3FC94073"/>
    <w:rsid w:val="3FEE48E2"/>
    <w:rsid w:val="40490124"/>
    <w:rsid w:val="406946E9"/>
    <w:rsid w:val="41012622"/>
    <w:rsid w:val="412C66AB"/>
    <w:rsid w:val="41661607"/>
    <w:rsid w:val="41A05B22"/>
    <w:rsid w:val="41B164B6"/>
    <w:rsid w:val="41CB6494"/>
    <w:rsid w:val="41CF588A"/>
    <w:rsid w:val="41D628A7"/>
    <w:rsid w:val="41DC460C"/>
    <w:rsid w:val="41E24788"/>
    <w:rsid w:val="41EC0D67"/>
    <w:rsid w:val="41EE08A5"/>
    <w:rsid w:val="420C2C04"/>
    <w:rsid w:val="424B7D06"/>
    <w:rsid w:val="427325F4"/>
    <w:rsid w:val="42882165"/>
    <w:rsid w:val="42B0401C"/>
    <w:rsid w:val="430B642E"/>
    <w:rsid w:val="430C2C22"/>
    <w:rsid w:val="433A4925"/>
    <w:rsid w:val="4377495C"/>
    <w:rsid w:val="43AD2778"/>
    <w:rsid w:val="43DF5027"/>
    <w:rsid w:val="44213529"/>
    <w:rsid w:val="442549A0"/>
    <w:rsid w:val="4450382F"/>
    <w:rsid w:val="449432A7"/>
    <w:rsid w:val="44BD7C24"/>
    <w:rsid w:val="44BE22DB"/>
    <w:rsid w:val="44DD2EE3"/>
    <w:rsid w:val="44FF34A7"/>
    <w:rsid w:val="4504461A"/>
    <w:rsid w:val="450D65D4"/>
    <w:rsid w:val="455E1F7C"/>
    <w:rsid w:val="455E4BA2"/>
    <w:rsid w:val="456071E7"/>
    <w:rsid w:val="45863910"/>
    <w:rsid w:val="45920B15"/>
    <w:rsid w:val="45927E77"/>
    <w:rsid w:val="459D123E"/>
    <w:rsid w:val="45D40190"/>
    <w:rsid w:val="45D97854"/>
    <w:rsid w:val="45DB35CC"/>
    <w:rsid w:val="45DE4E6B"/>
    <w:rsid w:val="45EB3DD6"/>
    <w:rsid w:val="45F01CA9"/>
    <w:rsid w:val="45FC3543"/>
    <w:rsid w:val="4610213A"/>
    <w:rsid w:val="461C6256"/>
    <w:rsid w:val="46202A9A"/>
    <w:rsid w:val="462D5C7F"/>
    <w:rsid w:val="46325C58"/>
    <w:rsid w:val="46466F77"/>
    <w:rsid w:val="466271B8"/>
    <w:rsid w:val="467008B0"/>
    <w:rsid w:val="46754D2E"/>
    <w:rsid w:val="469519CD"/>
    <w:rsid w:val="46A74B88"/>
    <w:rsid w:val="46BA07E8"/>
    <w:rsid w:val="46E4489A"/>
    <w:rsid w:val="46F04E55"/>
    <w:rsid w:val="46F43381"/>
    <w:rsid w:val="46F81F5C"/>
    <w:rsid w:val="46FA6535"/>
    <w:rsid w:val="4707219F"/>
    <w:rsid w:val="47304E59"/>
    <w:rsid w:val="474233E0"/>
    <w:rsid w:val="4763741D"/>
    <w:rsid w:val="478A0666"/>
    <w:rsid w:val="47B944D6"/>
    <w:rsid w:val="47DB5B06"/>
    <w:rsid w:val="48313978"/>
    <w:rsid w:val="485633DE"/>
    <w:rsid w:val="4858701A"/>
    <w:rsid w:val="486D481D"/>
    <w:rsid w:val="48761DFC"/>
    <w:rsid w:val="48793F29"/>
    <w:rsid w:val="48AC1460"/>
    <w:rsid w:val="48AF2AEE"/>
    <w:rsid w:val="48B03117"/>
    <w:rsid w:val="48BE55D6"/>
    <w:rsid w:val="48C87B66"/>
    <w:rsid w:val="48E716FF"/>
    <w:rsid w:val="49154F13"/>
    <w:rsid w:val="4941058E"/>
    <w:rsid w:val="496E2020"/>
    <w:rsid w:val="4971269F"/>
    <w:rsid w:val="498B2FA1"/>
    <w:rsid w:val="499E4E67"/>
    <w:rsid w:val="49C71CCA"/>
    <w:rsid w:val="49E13B64"/>
    <w:rsid w:val="4A066022"/>
    <w:rsid w:val="4A0D3931"/>
    <w:rsid w:val="4A2951D7"/>
    <w:rsid w:val="4A3634C7"/>
    <w:rsid w:val="4A363FFE"/>
    <w:rsid w:val="4A4D0245"/>
    <w:rsid w:val="4A9C03CC"/>
    <w:rsid w:val="4A9D7E98"/>
    <w:rsid w:val="4AAF1A5A"/>
    <w:rsid w:val="4AB347C9"/>
    <w:rsid w:val="4AE772C5"/>
    <w:rsid w:val="4AED40DB"/>
    <w:rsid w:val="4B037A9E"/>
    <w:rsid w:val="4B0C247A"/>
    <w:rsid w:val="4B2E23F0"/>
    <w:rsid w:val="4B771FE9"/>
    <w:rsid w:val="4B9009B5"/>
    <w:rsid w:val="4B9F73FC"/>
    <w:rsid w:val="4BA708E2"/>
    <w:rsid w:val="4BBC79FC"/>
    <w:rsid w:val="4BF9540A"/>
    <w:rsid w:val="4C202322"/>
    <w:rsid w:val="4C272F70"/>
    <w:rsid w:val="4C770388"/>
    <w:rsid w:val="4C8046A5"/>
    <w:rsid w:val="4C83676C"/>
    <w:rsid w:val="4C863258"/>
    <w:rsid w:val="4CA014AC"/>
    <w:rsid w:val="4CA87F80"/>
    <w:rsid w:val="4CD34A28"/>
    <w:rsid w:val="4CD7475C"/>
    <w:rsid w:val="4D3105D5"/>
    <w:rsid w:val="4D9D385D"/>
    <w:rsid w:val="4DBA61BD"/>
    <w:rsid w:val="4DF32B56"/>
    <w:rsid w:val="4DF5104E"/>
    <w:rsid w:val="4E355BA4"/>
    <w:rsid w:val="4E37382D"/>
    <w:rsid w:val="4E984E43"/>
    <w:rsid w:val="4EAD1C03"/>
    <w:rsid w:val="4EB8094F"/>
    <w:rsid w:val="4EDE7C89"/>
    <w:rsid w:val="4EE47996"/>
    <w:rsid w:val="4F59232C"/>
    <w:rsid w:val="4F770156"/>
    <w:rsid w:val="4F7D74A2"/>
    <w:rsid w:val="4F960564"/>
    <w:rsid w:val="4FAD7AC0"/>
    <w:rsid w:val="4FBF0985"/>
    <w:rsid w:val="4FD25A40"/>
    <w:rsid w:val="4FF2658A"/>
    <w:rsid w:val="505226DD"/>
    <w:rsid w:val="50681F00"/>
    <w:rsid w:val="506C4329"/>
    <w:rsid w:val="50946C0C"/>
    <w:rsid w:val="50CC2809"/>
    <w:rsid w:val="51044402"/>
    <w:rsid w:val="511D0F3D"/>
    <w:rsid w:val="512F2209"/>
    <w:rsid w:val="513149E8"/>
    <w:rsid w:val="5144471C"/>
    <w:rsid w:val="51586419"/>
    <w:rsid w:val="51681AE8"/>
    <w:rsid w:val="51974B66"/>
    <w:rsid w:val="519F6E1A"/>
    <w:rsid w:val="51A60DC3"/>
    <w:rsid w:val="52103A14"/>
    <w:rsid w:val="521C76E1"/>
    <w:rsid w:val="52BB5599"/>
    <w:rsid w:val="52BE405A"/>
    <w:rsid w:val="52DD1D7B"/>
    <w:rsid w:val="52E2398A"/>
    <w:rsid w:val="52EF4B5B"/>
    <w:rsid w:val="530E61AC"/>
    <w:rsid w:val="53151A46"/>
    <w:rsid w:val="533575BC"/>
    <w:rsid w:val="53395CCF"/>
    <w:rsid w:val="536C4488"/>
    <w:rsid w:val="539C385A"/>
    <w:rsid w:val="53A07C03"/>
    <w:rsid w:val="53A518B7"/>
    <w:rsid w:val="53AD5812"/>
    <w:rsid w:val="53EC2E48"/>
    <w:rsid w:val="540B1521"/>
    <w:rsid w:val="545413CC"/>
    <w:rsid w:val="54B47EFB"/>
    <w:rsid w:val="54BB35F2"/>
    <w:rsid w:val="54D933CD"/>
    <w:rsid w:val="54DA6A4E"/>
    <w:rsid w:val="54DB0F18"/>
    <w:rsid w:val="55011C7A"/>
    <w:rsid w:val="55543AF1"/>
    <w:rsid w:val="5564406D"/>
    <w:rsid w:val="55706241"/>
    <w:rsid w:val="559C6CBA"/>
    <w:rsid w:val="55B94875"/>
    <w:rsid w:val="55BE4A57"/>
    <w:rsid w:val="55CB5E54"/>
    <w:rsid w:val="55CC2F32"/>
    <w:rsid w:val="55D51B93"/>
    <w:rsid w:val="56A63783"/>
    <w:rsid w:val="56AA22E3"/>
    <w:rsid w:val="56F72230"/>
    <w:rsid w:val="5719502F"/>
    <w:rsid w:val="57566F57"/>
    <w:rsid w:val="575923ED"/>
    <w:rsid w:val="578339E3"/>
    <w:rsid w:val="57BD5228"/>
    <w:rsid w:val="57C77E54"/>
    <w:rsid w:val="57CD61F5"/>
    <w:rsid w:val="57E53B64"/>
    <w:rsid w:val="57FA3D86"/>
    <w:rsid w:val="581E4D42"/>
    <w:rsid w:val="583409BB"/>
    <w:rsid w:val="58873C03"/>
    <w:rsid w:val="588F48D4"/>
    <w:rsid w:val="58A67A6A"/>
    <w:rsid w:val="58AB7BD9"/>
    <w:rsid w:val="58AF759C"/>
    <w:rsid w:val="58CB127E"/>
    <w:rsid w:val="58E66A6D"/>
    <w:rsid w:val="58E933AE"/>
    <w:rsid w:val="59012EF2"/>
    <w:rsid w:val="59097FF9"/>
    <w:rsid w:val="59262959"/>
    <w:rsid w:val="597328A2"/>
    <w:rsid w:val="597C6A1D"/>
    <w:rsid w:val="59DB079F"/>
    <w:rsid w:val="59FA4317"/>
    <w:rsid w:val="5A100581"/>
    <w:rsid w:val="5A3306E9"/>
    <w:rsid w:val="5A630FB9"/>
    <w:rsid w:val="5A6539D1"/>
    <w:rsid w:val="5A6A3F7A"/>
    <w:rsid w:val="5A737E20"/>
    <w:rsid w:val="5A88315D"/>
    <w:rsid w:val="5AA2162F"/>
    <w:rsid w:val="5ADD5E18"/>
    <w:rsid w:val="5AED1980"/>
    <w:rsid w:val="5B0B2D3B"/>
    <w:rsid w:val="5B1E4CF9"/>
    <w:rsid w:val="5B212785"/>
    <w:rsid w:val="5B44356A"/>
    <w:rsid w:val="5B80374A"/>
    <w:rsid w:val="5BAF6C35"/>
    <w:rsid w:val="5BB500C9"/>
    <w:rsid w:val="5BD64486"/>
    <w:rsid w:val="5C166CB5"/>
    <w:rsid w:val="5C514CA0"/>
    <w:rsid w:val="5C7129BD"/>
    <w:rsid w:val="5CA57B86"/>
    <w:rsid w:val="5CC77C96"/>
    <w:rsid w:val="5CF557A7"/>
    <w:rsid w:val="5D0E4B0D"/>
    <w:rsid w:val="5D2327C3"/>
    <w:rsid w:val="5D523508"/>
    <w:rsid w:val="5D546753"/>
    <w:rsid w:val="5D6D7EF5"/>
    <w:rsid w:val="5D782FDA"/>
    <w:rsid w:val="5D9500AD"/>
    <w:rsid w:val="5D9B1B67"/>
    <w:rsid w:val="5DA930C5"/>
    <w:rsid w:val="5DB85B94"/>
    <w:rsid w:val="5DF23751"/>
    <w:rsid w:val="5E0A1538"/>
    <w:rsid w:val="5E2A239D"/>
    <w:rsid w:val="5E9465B6"/>
    <w:rsid w:val="5ED859B9"/>
    <w:rsid w:val="5EEC01A1"/>
    <w:rsid w:val="5EF44053"/>
    <w:rsid w:val="5F265461"/>
    <w:rsid w:val="5F480A20"/>
    <w:rsid w:val="5F541A66"/>
    <w:rsid w:val="5F6A29B1"/>
    <w:rsid w:val="5FDF599A"/>
    <w:rsid w:val="5FE56811"/>
    <w:rsid w:val="5FF13CC0"/>
    <w:rsid w:val="5FF37A81"/>
    <w:rsid w:val="5FF53085"/>
    <w:rsid w:val="602C45FD"/>
    <w:rsid w:val="60340051"/>
    <w:rsid w:val="60765F74"/>
    <w:rsid w:val="60795CBD"/>
    <w:rsid w:val="6080108A"/>
    <w:rsid w:val="60824919"/>
    <w:rsid w:val="60DB227B"/>
    <w:rsid w:val="60F47BEC"/>
    <w:rsid w:val="614222FA"/>
    <w:rsid w:val="617701F5"/>
    <w:rsid w:val="61816125"/>
    <w:rsid w:val="61BF0E4D"/>
    <w:rsid w:val="620C169C"/>
    <w:rsid w:val="621C1D54"/>
    <w:rsid w:val="622D2FAA"/>
    <w:rsid w:val="624806F1"/>
    <w:rsid w:val="629D0895"/>
    <w:rsid w:val="629D1EDE"/>
    <w:rsid w:val="62C0222F"/>
    <w:rsid w:val="62C75F18"/>
    <w:rsid w:val="62FB09B2"/>
    <w:rsid w:val="631101D6"/>
    <w:rsid w:val="63160FE5"/>
    <w:rsid w:val="63406860"/>
    <w:rsid w:val="63443247"/>
    <w:rsid w:val="634467FD"/>
    <w:rsid w:val="639C4AA8"/>
    <w:rsid w:val="63EA5A54"/>
    <w:rsid w:val="6415508D"/>
    <w:rsid w:val="64267CB1"/>
    <w:rsid w:val="64746C6E"/>
    <w:rsid w:val="64A734ED"/>
    <w:rsid w:val="64FE216F"/>
    <w:rsid w:val="651F24B3"/>
    <w:rsid w:val="652E216A"/>
    <w:rsid w:val="65476131"/>
    <w:rsid w:val="65516FAF"/>
    <w:rsid w:val="65EB6652"/>
    <w:rsid w:val="66212F88"/>
    <w:rsid w:val="662B15AE"/>
    <w:rsid w:val="66574FE9"/>
    <w:rsid w:val="666C0CE9"/>
    <w:rsid w:val="669727FD"/>
    <w:rsid w:val="669F28F3"/>
    <w:rsid w:val="66B27F22"/>
    <w:rsid w:val="66B94E0C"/>
    <w:rsid w:val="66F629D6"/>
    <w:rsid w:val="672F50CE"/>
    <w:rsid w:val="6744454D"/>
    <w:rsid w:val="67705E13"/>
    <w:rsid w:val="67754838"/>
    <w:rsid w:val="67762C3A"/>
    <w:rsid w:val="677A4210"/>
    <w:rsid w:val="67876CB8"/>
    <w:rsid w:val="679B13E4"/>
    <w:rsid w:val="67AB0BF9"/>
    <w:rsid w:val="67B0620F"/>
    <w:rsid w:val="67B57CC9"/>
    <w:rsid w:val="67BF731D"/>
    <w:rsid w:val="67C27CF0"/>
    <w:rsid w:val="67F264CF"/>
    <w:rsid w:val="67F3434E"/>
    <w:rsid w:val="67FF6CD4"/>
    <w:rsid w:val="68126ECA"/>
    <w:rsid w:val="682C160E"/>
    <w:rsid w:val="68451E1E"/>
    <w:rsid w:val="684D671B"/>
    <w:rsid w:val="685079F2"/>
    <w:rsid w:val="686B65DA"/>
    <w:rsid w:val="68AE4433"/>
    <w:rsid w:val="68CC52CB"/>
    <w:rsid w:val="691E5105"/>
    <w:rsid w:val="69431085"/>
    <w:rsid w:val="69447A3A"/>
    <w:rsid w:val="694F1A58"/>
    <w:rsid w:val="696B5AAD"/>
    <w:rsid w:val="69803202"/>
    <w:rsid w:val="69E20A42"/>
    <w:rsid w:val="69F60484"/>
    <w:rsid w:val="6A1E0CE9"/>
    <w:rsid w:val="6A354541"/>
    <w:rsid w:val="6A615425"/>
    <w:rsid w:val="6AA61B4B"/>
    <w:rsid w:val="6AD47AD9"/>
    <w:rsid w:val="6B1349A9"/>
    <w:rsid w:val="6B2200A7"/>
    <w:rsid w:val="6B453FD7"/>
    <w:rsid w:val="6B680BAF"/>
    <w:rsid w:val="6B6C069F"/>
    <w:rsid w:val="6B707A3D"/>
    <w:rsid w:val="6B7770FD"/>
    <w:rsid w:val="6B7B1A68"/>
    <w:rsid w:val="6BA537D6"/>
    <w:rsid w:val="6BB1273B"/>
    <w:rsid w:val="6BB85D17"/>
    <w:rsid w:val="6BC82C73"/>
    <w:rsid w:val="6BDC44C7"/>
    <w:rsid w:val="6C092392"/>
    <w:rsid w:val="6C2B781D"/>
    <w:rsid w:val="6C2C7FB1"/>
    <w:rsid w:val="6C474B12"/>
    <w:rsid w:val="6C5B4CE2"/>
    <w:rsid w:val="6C9A56E0"/>
    <w:rsid w:val="6D302529"/>
    <w:rsid w:val="6D34343E"/>
    <w:rsid w:val="6D4D62AE"/>
    <w:rsid w:val="6D535911"/>
    <w:rsid w:val="6D780B51"/>
    <w:rsid w:val="6D7878FB"/>
    <w:rsid w:val="6DC64D96"/>
    <w:rsid w:val="6DEC1F6B"/>
    <w:rsid w:val="6E250FD9"/>
    <w:rsid w:val="6E697118"/>
    <w:rsid w:val="6E7D3EAA"/>
    <w:rsid w:val="6EBB207A"/>
    <w:rsid w:val="6EC47B07"/>
    <w:rsid w:val="6EEE1ED2"/>
    <w:rsid w:val="6EF11563"/>
    <w:rsid w:val="6EF9070E"/>
    <w:rsid w:val="6EFC7DC4"/>
    <w:rsid w:val="6F683873"/>
    <w:rsid w:val="6F742218"/>
    <w:rsid w:val="6FBC32DD"/>
    <w:rsid w:val="6FEB70E8"/>
    <w:rsid w:val="70017D21"/>
    <w:rsid w:val="702678A4"/>
    <w:rsid w:val="70310109"/>
    <w:rsid w:val="704A6337"/>
    <w:rsid w:val="70761FC0"/>
    <w:rsid w:val="70957B36"/>
    <w:rsid w:val="709F5ADF"/>
    <w:rsid w:val="70AC03D4"/>
    <w:rsid w:val="70BA2FFA"/>
    <w:rsid w:val="70C66AA3"/>
    <w:rsid w:val="713A744C"/>
    <w:rsid w:val="7141561C"/>
    <w:rsid w:val="71465DA4"/>
    <w:rsid w:val="715A74D5"/>
    <w:rsid w:val="715D5ACB"/>
    <w:rsid w:val="718E0763"/>
    <w:rsid w:val="71D37FA9"/>
    <w:rsid w:val="723E5522"/>
    <w:rsid w:val="723F6274"/>
    <w:rsid w:val="72872262"/>
    <w:rsid w:val="728A5820"/>
    <w:rsid w:val="72AA61C2"/>
    <w:rsid w:val="72C2773E"/>
    <w:rsid w:val="73050C51"/>
    <w:rsid w:val="733A1083"/>
    <w:rsid w:val="7349576A"/>
    <w:rsid w:val="7352233B"/>
    <w:rsid w:val="7358775B"/>
    <w:rsid w:val="73870838"/>
    <w:rsid w:val="739871D5"/>
    <w:rsid w:val="739C16A8"/>
    <w:rsid w:val="73F23F7B"/>
    <w:rsid w:val="74067081"/>
    <w:rsid w:val="741C1C19"/>
    <w:rsid w:val="745E05AD"/>
    <w:rsid w:val="74835184"/>
    <w:rsid w:val="74A4132C"/>
    <w:rsid w:val="74C13107"/>
    <w:rsid w:val="74C90910"/>
    <w:rsid w:val="74D476E4"/>
    <w:rsid w:val="74E05C5A"/>
    <w:rsid w:val="74FD680C"/>
    <w:rsid w:val="75787206"/>
    <w:rsid w:val="758E6836"/>
    <w:rsid w:val="75A512B8"/>
    <w:rsid w:val="75BF77EE"/>
    <w:rsid w:val="75D70FF2"/>
    <w:rsid w:val="75EB2B08"/>
    <w:rsid w:val="75FA1E0C"/>
    <w:rsid w:val="75FB3FF3"/>
    <w:rsid w:val="76045978"/>
    <w:rsid w:val="7610390D"/>
    <w:rsid w:val="76124539"/>
    <w:rsid w:val="76186A30"/>
    <w:rsid w:val="7622799D"/>
    <w:rsid w:val="762C31BE"/>
    <w:rsid w:val="762E64E8"/>
    <w:rsid w:val="76307568"/>
    <w:rsid w:val="763711D3"/>
    <w:rsid w:val="7653467E"/>
    <w:rsid w:val="76A21419"/>
    <w:rsid w:val="76DA2C69"/>
    <w:rsid w:val="76F251C9"/>
    <w:rsid w:val="77057BFA"/>
    <w:rsid w:val="772B4ED2"/>
    <w:rsid w:val="77777E50"/>
    <w:rsid w:val="779D6681"/>
    <w:rsid w:val="77C67389"/>
    <w:rsid w:val="77E652C6"/>
    <w:rsid w:val="77E97927"/>
    <w:rsid w:val="77EC0645"/>
    <w:rsid w:val="782563F5"/>
    <w:rsid w:val="78485FF0"/>
    <w:rsid w:val="78880F29"/>
    <w:rsid w:val="789456D9"/>
    <w:rsid w:val="78975FDB"/>
    <w:rsid w:val="793622EC"/>
    <w:rsid w:val="794723D1"/>
    <w:rsid w:val="7977267E"/>
    <w:rsid w:val="79991513"/>
    <w:rsid w:val="79D044EF"/>
    <w:rsid w:val="79E41D48"/>
    <w:rsid w:val="7A020420"/>
    <w:rsid w:val="7A8A1906"/>
    <w:rsid w:val="7AA80FC8"/>
    <w:rsid w:val="7AB67AD9"/>
    <w:rsid w:val="7ACA6A91"/>
    <w:rsid w:val="7ACE1913"/>
    <w:rsid w:val="7B0E23F7"/>
    <w:rsid w:val="7B155B72"/>
    <w:rsid w:val="7B271BBF"/>
    <w:rsid w:val="7B51340D"/>
    <w:rsid w:val="7B515EAC"/>
    <w:rsid w:val="7B9128FA"/>
    <w:rsid w:val="7B9553D2"/>
    <w:rsid w:val="7BAA251B"/>
    <w:rsid w:val="7BE84176"/>
    <w:rsid w:val="7C06770E"/>
    <w:rsid w:val="7C3B7086"/>
    <w:rsid w:val="7C8C0805"/>
    <w:rsid w:val="7C8E31B6"/>
    <w:rsid w:val="7C90112B"/>
    <w:rsid w:val="7C946125"/>
    <w:rsid w:val="7CAE256B"/>
    <w:rsid w:val="7CC32006"/>
    <w:rsid w:val="7CD35C4B"/>
    <w:rsid w:val="7CD67A48"/>
    <w:rsid w:val="7CE335DB"/>
    <w:rsid w:val="7CF6426C"/>
    <w:rsid w:val="7D0664BA"/>
    <w:rsid w:val="7D2324BD"/>
    <w:rsid w:val="7D376D46"/>
    <w:rsid w:val="7D853013"/>
    <w:rsid w:val="7D994C5A"/>
    <w:rsid w:val="7DCA74A7"/>
    <w:rsid w:val="7DE61A14"/>
    <w:rsid w:val="7E0D5970"/>
    <w:rsid w:val="7E1B0636"/>
    <w:rsid w:val="7E367B16"/>
    <w:rsid w:val="7E3937A2"/>
    <w:rsid w:val="7E5A6E32"/>
    <w:rsid w:val="7E604E32"/>
    <w:rsid w:val="7E6C008C"/>
    <w:rsid w:val="7E702E8C"/>
    <w:rsid w:val="7EC34539"/>
    <w:rsid w:val="7F2B0A14"/>
    <w:rsid w:val="7F3103EC"/>
    <w:rsid w:val="7F3C4CF7"/>
    <w:rsid w:val="7F4219EB"/>
    <w:rsid w:val="7F5176FB"/>
    <w:rsid w:val="7F74591C"/>
    <w:rsid w:val="7FC560F6"/>
    <w:rsid w:val="7FD650F3"/>
    <w:rsid w:val="7FF767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7"/>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link w:val="134"/>
    <w:qFormat/>
    <w:uiPriority w:val="0"/>
    <w:pPr>
      <w:keepNext/>
      <w:keepLines/>
      <w:spacing w:before="260" w:beforeLines="0" w:after="260" w:afterLines="0" w:line="416" w:lineRule="auto"/>
      <w:outlineLvl w:val="1"/>
    </w:pPr>
    <w:rPr>
      <w:rFonts w:ascii="Arial Black" w:hAnsi="Arial Black" w:eastAsia="黑体"/>
      <w:b/>
      <w:bCs/>
      <w:sz w:val="32"/>
      <w:szCs w:val="32"/>
    </w:rPr>
  </w:style>
  <w:style w:type="paragraph" w:styleId="5">
    <w:name w:val="heading 3"/>
    <w:basedOn w:val="1"/>
    <w:next w:val="1"/>
    <w:link w:val="147"/>
    <w:qFormat/>
    <w:uiPriority w:val="0"/>
    <w:pPr>
      <w:keepNext/>
      <w:keepLines/>
      <w:spacing w:before="260" w:beforeLines="0" w:after="260" w:afterLines="0" w:line="416" w:lineRule="auto"/>
      <w:outlineLvl w:val="2"/>
    </w:pPr>
    <w:rPr>
      <w:rFonts w:eastAsia="宋体"/>
      <w:b/>
      <w:bCs/>
      <w:kern w:val="2"/>
      <w:sz w:val="32"/>
      <w:szCs w:val="32"/>
      <w:lang w:val="en-US" w:eastAsia="zh-CN" w:bidi="ar-SA"/>
    </w:rPr>
  </w:style>
  <w:style w:type="paragraph" w:styleId="6">
    <w:name w:val="heading 4"/>
    <w:basedOn w:val="1"/>
    <w:next w:val="1"/>
    <w:link w:val="14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7">
    <w:name w:val="heading 5"/>
    <w:basedOn w:val="1"/>
    <w:next w:val="1"/>
    <w:link w:val="135"/>
    <w:qFormat/>
    <w:uiPriority w:val="0"/>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link w:val="111"/>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9">
    <w:name w:val="heading 7"/>
    <w:basedOn w:val="1"/>
    <w:next w:val="1"/>
    <w:link w:val="136"/>
    <w:qFormat/>
    <w:uiPriority w:val="0"/>
    <w:pPr>
      <w:keepNext/>
      <w:keepLines/>
      <w:numPr>
        <w:ilvl w:val="6"/>
        <w:numId w:val="1"/>
      </w:numPr>
      <w:adjustRightInd w:val="0"/>
      <w:spacing w:before="240" w:after="64" w:line="320" w:lineRule="atLeast"/>
      <w:jc w:val="left"/>
      <w:textAlignment w:val="baseline"/>
      <w:outlineLvl w:val="6"/>
    </w:pPr>
    <w:rPr>
      <w:b/>
      <w:bCs/>
      <w:kern w:val="0"/>
      <w:sz w:val="24"/>
      <w:szCs w:val="24"/>
    </w:rPr>
  </w:style>
  <w:style w:type="paragraph" w:styleId="10">
    <w:name w:val="heading 8"/>
    <w:basedOn w:val="1"/>
    <w:next w:val="1"/>
    <w:link w:val="116"/>
    <w:qFormat/>
    <w:uiPriority w:val="0"/>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szCs w:val="24"/>
    </w:rPr>
  </w:style>
  <w:style w:type="paragraph" w:styleId="11">
    <w:name w:val="heading 9"/>
    <w:basedOn w:val="1"/>
    <w:next w:val="1"/>
    <w:link w:val="140"/>
    <w:qFormat/>
    <w:uiPriority w:val="0"/>
    <w:pPr>
      <w:keepNext/>
      <w:keepLines/>
      <w:numPr>
        <w:ilvl w:val="8"/>
        <w:numId w:val="1"/>
      </w:numPr>
      <w:adjustRightInd w:val="0"/>
      <w:spacing w:before="240" w:after="64" w:line="320" w:lineRule="atLeast"/>
      <w:jc w:val="left"/>
      <w:textAlignment w:val="baseline"/>
      <w:outlineLvl w:val="8"/>
    </w:pPr>
    <w:rPr>
      <w:rFonts w:ascii="Arial" w:hAnsi="Arial" w:eastAsia="黑体"/>
      <w:kern w:val="0"/>
      <w:szCs w:val="21"/>
    </w:rPr>
  </w:style>
  <w:style w:type="character" w:default="1" w:styleId="46">
    <w:name w:val="Default Paragraph Font"/>
    <w:link w:val="47"/>
    <w:qFormat/>
    <w:uiPriority w:val="0"/>
    <w:rPr>
      <w:szCs w:val="21"/>
    </w:rPr>
  </w:style>
  <w:style w:type="table" w:default="1" w:styleId="4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ind w:firstLine="420"/>
    </w:pPr>
    <w:rPr>
      <w:rFonts w:eastAsia="楷体_GB2312"/>
      <w:sz w:val="24"/>
      <w:lang w:val="en-US" w:eastAsia="zh-CN" w:bidi="ar-SA"/>
    </w:rPr>
  </w:style>
  <w:style w:type="paragraph" w:styleId="12">
    <w:name w:val="List 3"/>
    <w:basedOn w:val="1"/>
    <w:qFormat/>
    <w:uiPriority w:val="0"/>
    <w:pPr>
      <w:ind w:left="100" w:leftChars="400" w:hanging="200" w:hangingChars="200"/>
    </w:pPr>
    <w:rPr>
      <w:szCs w:val="24"/>
    </w:rPr>
  </w:style>
  <w:style w:type="paragraph" w:styleId="13">
    <w:name w:val="List Number"/>
    <w:basedOn w:val="1"/>
    <w:qFormat/>
    <w:uiPriority w:val="0"/>
    <w:pPr>
      <w:numPr>
        <w:ilvl w:val="0"/>
        <w:numId w:val="2"/>
      </w:numPr>
    </w:pPr>
  </w:style>
  <w:style w:type="paragraph" w:styleId="14">
    <w:name w:val="caption"/>
    <w:basedOn w:val="1"/>
    <w:next w:val="1"/>
    <w:qFormat/>
    <w:uiPriority w:val="0"/>
    <w:pPr>
      <w:spacing w:before="152" w:after="160"/>
    </w:pPr>
    <w:rPr>
      <w:rFonts w:ascii="Arial" w:hAnsi="Arial" w:eastAsia="黑体" w:cs="Arial"/>
      <w:sz w:val="20"/>
    </w:rPr>
  </w:style>
  <w:style w:type="paragraph" w:styleId="15">
    <w:name w:val="Document Map"/>
    <w:basedOn w:val="1"/>
    <w:link w:val="114"/>
    <w:qFormat/>
    <w:uiPriority w:val="0"/>
    <w:pPr>
      <w:shd w:val="clear" w:color="auto" w:fill="000080"/>
    </w:pPr>
    <w:rPr>
      <w:szCs w:val="24"/>
    </w:rPr>
  </w:style>
  <w:style w:type="paragraph" w:styleId="16">
    <w:name w:val="toa heading"/>
    <w:basedOn w:val="1"/>
    <w:next w:val="1"/>
    <w:qFormat/>
    <w:uiPriority w:val="99"/>
    <w:pPr>
      <w:spacing w:before="120"/>
    </w:pPr>
    <w:rPr>
      <w:rFonts w:ascii="Arial" w:hAnsi="Arial" w:eastAsia="仿宋"/>
      <w:sz w:val="24"/>
      <w:szCs w:val="20"/>
    </w:rPr>
  </w:style>
  <w:style w:type="paragraph" w:styleId="17">
    <w:name w:val="annotation text"/>
    <w:basedOn w:val="1"/>
    <w:link w:val="97"/>
    <w:qFormat/>
    <w:uiPriority w:val="0"/>
    <w:pPr>
      <w:jc w:val="left"/>
    </w:pPr>
  </w:style>
  <w:style w:type="paragraph" w:styleId="18">
    <w:name w:val="Body Text 3"/>
    <w:basedOn w:val="1"/>
    <w:link w:val="137"/>
    <w:qFormat/>
    <w:uiPriority w:val="0"/>
    <w:pPr>
      <w:spacing w:after="120"/>
    </w:pPr>
    <w:rPr>
      <w:sz w:val="16"/>
      <w:szCs w:val="16"/>
    </w:rPr>
  </w:style>
  <w:style w:type="paragraph" w:styleId="19">
    <w:name w:val="Body Text"/>
    <w:basedOn w:val="1"/>
    <w:link w:val="128"/>
    <w:qFormat/>
    <w:uiPriority w:val="0"/>
    <w:pPr>
      <w:spacing w:after="120"/>
    </w:pPr>
    <w:rPr>
      <w:szCs w:val="24"/>
    </w:rPr>
  </w:style>
  <w:style w:type="paragraph" w:styleId="20">
    <w:name w:val="Body Text Indent"/>
    <w:basedOn w:val="1"/>
    <w:next w:val="21"/>
    <w:link w:val="121"/>
    <w:qFormat/>
    <w:uiPriority w:val="0"/>
    <w:pPr>
      <w:spacing w:line="360" w:lineRule="auto"/>
      <w:ind w:firstLine="560" w:firstLineChars="200"/>
    </w:pPr>
    <w:rPr>
      <w:sz w:val="28"/>
    </w:rPr>
  </w:style>
  <w:style w:type="paragraph" w:customStyle="1" w:styleId="21">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2">
    <w:name w:val="List 2"/>
    <w:basedOn w:val="1"/>
    <w:qFormat/>
    <w:uiPriority w:val="0"/>
    <w:pPr>
      <w:ind w:left="100" w:leftChars="200" w:hanging="200" w:hangingChars="200"/>
    </w:pPr>
    <w:rPr>
      <w:szCs w:val="24"/>
    </w:rPr>
  </w:style>
  <w:style w:type="paragraph" w:styleId="23">
    <w:name w:val="toc 3"/>
    <w:basedOn w:val="1"/>
    <w:next w:val="1"/>
    <w:qFormat/>
    <w:uiPriority w:val="39"/>
    <w:pPr>
      <w:ind w:left="840" w:leftChars="400"/>
    </w:pPr>
    <w:rPr>
      <w:szCs w:val="24"/>
    </w:rPr>
  </w:style>
  <w:style w:type="paragraph" w:styleId="24">
    <w:name w:val="Plain Text"/>
    <w:basedOn w:val="1"/>
    <w:next w:val="25"/>
    <w:link w:val="117"/>
    <w:qFormat/>
    <w:uiPriority w:val="0"/>
    <w:rPr>
      <w:rFonts w:ascii="宋体" w:hAnsi="Courier New"/>
    </w:rPr>
  </w:style>
  <w:style w:type="paragraph" w:styleId="25">
    <w:name w:val="index 7"/>
    <w:basedOn w:val="1"/>
    <w:next w:val="1"/>
    <w:qFormat/>
    <w:uiPriority w:val="0"/>
    <w:pPr>
      <w:autoSpaceDE/>
      <w:autoSpaceDN/>
      <w:adjustRightInd/>
      <w:ind w:left="1200" w:leftChars="1200"/>
    </w:pPr>
    <w:rPr>
      <w:color w:val="auto"/>
      <w:kern w:val="2"/>
      <w:szCs w:val="24"/>
    </w:rPr>
  </w:style>
  <w:style w:type="paragraph" w:styleId="26">
    <w:name w:val="Date"/>
    <w:basedOn w:val="1"/>
    <w:next w:val="1"/>
    <w:link w:val="131"/>
    <w:qFormat/>
    <w:uiPriority w:val="0"/>
    <w:pPr>
      <w:ind w:left="100" w:leftChars="2500"/>
    </w:pPr>
    <w:rPr>
      <w:szCs w:val="24"/>
    </w:rPr>
  </w:style>
  <w:style w:type="paragraph" w:styleId="27">
    <w:name w:val="Body Text Indent 2"/>
    <w:basedOn w:val="1"/>
    <w:link w:val="139"/>
    <w:qFormat/>
    <w:uiPriority w:val="0"/>
    <w:pPr>
      <w:spacing w:after="120" w:line="480" w:lineRule="auto"/>
      <w:ind w:left="420" w:leftChars="200"/>
    </w:pPr>
    <w:rPr>
      <w:szCs w:val="24"/>
    </w:rPr>
  </w:style>
  <w:style w:type="paragraph" w:styleId="28">
    <w:name w:val="Balloon Text"/>
    <w:basedOn w:val="1"/>
    <w:link w:val="138"/>
    <w:qFormat/>
    <w:uiPriority w:val="0"/>
    <w:rPr>
      <w:sz w:val="18"/>
      <w:szCs w:val="18"/>
    </w:rPr>
  </w:style>
  <w:style w:type="paragraph" w:styleId="29">
    <w:name w:val="footer"/>
    <w:basedOn w:val="1"/>
    <w:next w:val="1"/>
    <w:link w:val="115"/>
    <w:qFormat/>
    <w:uiPriority w:val="99"/>
    <w:pPr>
      <w:tabs>
        <w:tab w:val="center" w:pos="4153"/>
        <w:tab w:val="right" w:pos="8306"/>
      </w:tabs>
      <w:snapToGrid w:val="0"/>
      <w:jc w:val="left"/>
    </w:pPr>
    <w:rPr>
      <w:sz w:val="18"/>
      <w:szCs w:val="18"/>
    </w:rPr>
  </w:style>
  <w:style w:type="paragraph" w:styleId="30">
    <w:name w:val="header"/>
    <w:basedOn w:val="1"/>
    <w:next w:val="1"/>
    <w:qFormat/>
    <w:uiPriority w:val="0"/>
    <w:pPr>
      <w:pBdr>
        <w:bottom w:val="single" w:color="auto" w:sz="6" w:space="1"/>
      </w:pBdr>
      <w:tabs>
        <w:tab w:val="center" w:pos="4153"/>
        <w:tab w:val="right" w:pos="8306"/>
      </w:tabs>
      <w:snapToGrid w:val="0"/>
      <w:jc w:val="center"/>
    </w:pPr>
    <w:rPr>
      <w:sz w:val="18"/>
    </w:rPr>
  </w:style>
  <w:style w:type="paragraph" w:styleId="31">
    <w:name w:val="toc 1"/>
    <w:basedOn w:val="1"/>
    <w:next w:val="1"/>
    <w:qFormat/>
    <w:uiPriority w:val="39"/>
    <w:rPr>
      <w:szCs w:val="24"/>
    </w:rPr>
  </w:style>
  <w:style w:type="paragraph" w:styleId="32">
    <w:name w:val="Subtitle"/>
    <w:basedOn w:val="1"/>
    <w:next w:val="1"/>
    <w:link w:val="126"/>
    <w:qFormat/>
    <w:uiPriority w:val="0"/>
    <w:pPr>
      <w:spacing w:before="240" w:beforeLines="0" w:after="60" w:afterLines="0" w:line="312" w:lineRule="auto"/>
      <w:jc w:val="center"/>
      <w:outlineLvl w:val="1"/>
    </w:pPr>
    <w:rPr>
      <w:rFonts w:ascii="Cambria" w:hAnsi="Cambria"/>
      <w:b/>
      <w:bCs/>
      <w:kern w:val="28"/>
      <w:sz w:val="32"/>
      <w:szCs w:val="32"/>
    </w:rPr>
  </w:style>
  <w:style w:type="paragraph" w:styleId="33">
    <w:name w:val="List"/>
    <w:basedOn w:val="1"/>
    <w:qFormat/>
    <w:uiPriority w:val="0"/>
    <w:pPr>
      <w:spacing w:before="312" w:beforeLines="100" w:line="360" w:lineRule="auto"/>
      <w:jc w:val="center"/>
    </w:pPr>
    <w:rPr>
      <w:rFonts w:ascii="宋体" w:hAnsi="宋体"/>
      <w:b/>
      <w:sz w:val="28"/>
      <w:szCs w:val="24"/>
    </w:rPr>
  </w:style>
  <w:style w:type="paragraph" w:styleId="34">
    <w:name w:val="footnote text"/>
    <w:basedOn w:val="1"/>
    <w:link w:val="125"/>
    <w:qFormat/>
    <w:uiPriority w:val="0"/>
    <w:pPr>
      <w:adjustRightInd w:val="0"/>
      <w:spacing w:line="312" w:lineRule="atLeast"/>
      <w:textAlignment w:val="baseline"/>
    </w:pPr>
    <w:rPr>
      <w:kern w:val="0"/>
      <w:sz w:val="18"/>
    </w:rPr>
  </w:style>
  <w:style w:type="paragraph" w:styleId="35">
    <w:name w:val="toc 6"/>
    <w:basedOn w:val="1"/>
    <w:next w:val="1"/>
    <w:qFormat/>
    <w:uiPriority w:val="0"/>
    <w:pPr>
      <w:ind w:left="2100" w:leftChars="1000"/>
    </w:pPr>
  </w:style>
  <w:style w:type="paragraph" w:styleId="36">
    <w:name w:val="Body Text Indent 3"/>
    <w:basedOn w:val="1"/>
    <w:link w:val="102"/>
    <w:qFormat/>
    <w:uiPriority w:val="0"/>
    <w:pPr>
      <w:tabs>
        <w:tab w:val="left" w:pos="1134"/>
        <w:tab w:val="left" w:pos="5481"/>
        <w:tab w:val="left" w:pos="5859"/>
      </w:tabs>
      <w:spacing w:line="500" w:lineRule="exact"/>
      <w:ind w:firstLine="8275" w:firstLineChars="1200"/>
    </w:pPr>
    <w:rPr>
      <w:rFonts w:eastAsia="黑体"/>
      <w:b/>
      <w:bCs/>
      <w:sz w:val="72"/>
      <w:szCs w:val="24"/>
    </w:rPr>
  </w:style>
  <w:style w:type="paragraph" w:styleId="37">
    <w:name w:val="toc 2"/>
    <w:basedOn w:val="1"/>
    <w:next w:val="1"/>
    <w:qFormat/>
    <w:uiPriority w:val="39"/>
    <w:pPr>
      <w:ind w:left="420" w:leftChars="200"/>
    </w:pPr>
    <w:rPr>
      <w:szCs w:val="24"/>
    </w:rPr>
  </w:style>
  <w:style w:type="paragraph" w:styleId="38">
    <w:name w:val="HTML Preformatted"/>
    <w:basedOn w:val="1"/>
    <w:link w:val="1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39">
    <w:name w:val="Normal (Web)"/>
    <w:basedOn w:val="1"/>
    <w:qFormat/>
    <w:uiPriority w:val="0"/>
    <w:pPr>
      <w:spacing w:before="100" w:beforeLines="0" w:beforeAutospacing="1" w:after="100" w:afterLines="0" w:afterAutospacing="1"/>
      <w:jc w:val="left"/>
    </w:pPr>
    <w:rPr>
      <w:rFonts w:ascii="Calibri" w:hAnsi="Calibri"/>
      <w:kern w:val="0"/>
      <w:sz w:val="24"/>
      <w:szCs w:val="24"/>
    </w:rPr>
  </w:style>
  <w:style w:type="paragraph" w:styleId="40">
    <w:name w:val="Title"/>
    <w:basedOn w:val="1"/>
    <w:next w:val="1"/>
    <w:link w:val="130"/>
    <w:qFormat/>
    <w:uiPriority w:val="0"/>
    <w:pPr>
      <w:spacing w:before="240" w:after="60"/>
      <w:jc w:val="center"/>
      <w:outlineLvl w:val="0"/>
    </w:pPr>
    <w:rPr>
      <w:rFonts w:ascii="Cambria" w:hAnsi="Cambria"/>
      <w:b/>
      <w:bCs/>
      <w:sz w:val="32"/>
      <w:szCs w:val="32"/>
    </w:rPr>
  </w:style>
  <w:style w:type="paragraph" w:styleId="41">
    <w:name w:val="annotation subject"/>
    <w:basedOn w:val="17"/>
    <w:next w:val="17"/>
    <w:link w:val="110"/>
    <w:qFormat/>
    <w:uiPriority w:val="0"/>
    <w:rPr>
      <w:b/>
      <w:bCs/>
      <w:szCs w:val="24"/>
    </w:rPr>
  </w:style>
  <w:style w:type="paragraph" w:styleId="42">
    <w:name w:val="Body Text First Indent"/>
    <w:basedOn w:val="19"/>
    <w:next w:val="35"/>
    <w:qFormat/>
    <w:uiPriority w:val="0"/>
    <w:pPr>
      <w:tabs>
        <w:tab w:val="left" w:pos="9214"/>
      </w:tabs>
      <w:spacing w:after="0"/>
      <w:ind w:firstLine="200" w:firstLineChars="200"/>
    </w:pPr>
  </w:style>
  <w:style w:type="paragraph" w:styleId="43">
    <w:name w:val="Body Text First Indent 2"/>
    <w:basedOn w:val="20"/>
    <w:next w:val="1"/>
    <w:link w:val="120"/>
    <w:qFormat/>
    <w:uiPriority w:val="0"/>
    <w:pPr>
      <w:ind w:left="1588" w:leftChars="832" w:firstLine="433"/>
    </w:pPr>
    <w:rPr>
      <w:rFonts w:eastAsia="仿宋_GB2312"/>
      <w:spacing w:val="15"/>
      <w:kern w:val="10"/>
      <w:sz w:val="24"/>
      <w:szCs w:val="24"/>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
    <w:name w:val="Char Char Char Char"/>
    <w:basedOn w:val="1"/>
    <w:link w:val="46"/>
    <w:qFormat/>
    <w:uiPriority w:val="0"/>
    <w:rPr>
      <w:szCs w:val="21"/>
    </w:rPr>
  </w:style>
  <w:style w:type="character" w:styleId="48">
    <w:name w:val="Strong"/>
    <w:basedOn w:val="46"/>
    <w:qFormat/>
    <w:uiPriority w:val="0"/>
    <w:rPr>
      <w:b/>
      <w:bCs/>
    </w:rPr>
  </w:style>
  <w:style w:type="character" w:styleId="49">
    <w:name w:val="page number"/>
    <w:basedOn w:val="46"/>
    <w:qFormat/>
    <w:uiPriority w:val="0"/>
  </w:style>
  <w:style w:type="character" w:styleId="50">
    <w:name w:val="Emphasis"/>
    <w:basedOn w:val="46"/>
    <w:qFormat/>
    <w:uiPriority w:val="0"/>
    <w:rPr>
      <w:i/>
    </w:rPr>
  </w:style>
  <w:style w:type="character" w:styleId="51">
    <w:name w:val="Hyperlink"/>
    <w:basedOn w:val="46"/>
    <w:qFormat/>
    <w:uiPriority w:val="99"/>
    <w:rPr>
      <w:color w:val="0000FF"/>
      <w:u w:val="single"/>
    </w:rPr>
  </w:style>
  <w:style w:type="character" w:styleId="52">
    <w:name w:val="annotation reference"/>
    <w:qFormat/>
    <w:uiPriority w:val="0"/>
    <w:rPr>
      <w:sz w:val="21"/>
      <w:szCs w:val="21"/>
    </w:rPr>
  </w:style>
  <w:style w:type="paragraph" w:customStyle="1" w:styleId="53">
    <w:name w:val="NormalIndent"/>
    <w:basedOn w:val="1"/>
    <w:qFormat/>
    <w:uiPriority w:val="0"/>
    <w:pPr>
      <w:ind w:firstLine="420"/>
      <w:jc w:val="left"/>
    </w:pPr>
    <w:rPr>
      <w:rFonts w:ascii="宋体" w:hAnsi="Calibri"/>
      <w:kern w:val="0"/>
      <w:sz w:val="24"/>
      <w:szCs w:val="20"/>
    </w:rPr>
  </w:style>
  <w:style w:type="paragraph" w:customStyle="1" w:styleId="54">
    <w:name w:val="引用1"/>
    <w:next w:val="1"/>
    <w:qFormat/>
    <w:uiPriority w:val="99"/>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55">
    <w:name w:val="样式1"/>
    <w:basedOn w:val="16"/>
    <w:next w:val="6"/>
    <w:qFormat/>
    <w:uiPriority w:val="0"/>
    <w:pPr>
      <w:numPr>
        <w:ilvl w:val="0"/>
        <w:numId w:val="1"/>
      </w:numPr>
      <w:tabs>
        <w:tab w:val="left" w:pos="1110"/>
      </w:tabs>
      <w:adjustRightInd w:val="0"/>
      <w:textAlignment w:val="baseline"/>
    </w:pPr>
    <w:rPr>
      <w:rFonts w:ascii="宋体" w:hAnsi="宋体"/>
      <w:kern w:val="0"/>
      <w:szCs w:val="21"/>
    </w:rPr>
  </w:style>
  <w:style w:type="paragraph" w:customStyle="1" w:styleId="56">
    <w:name w:val="文本正文"/>
    <w:basedOn w:val="1"/>
    <w:qFormat/>
    <w:uiPriority w:val="0"/>
    <w:pPr>
      <w:spacing w:afterLines="50"/>
      <w:ind w:firstLine="200" w:firstLineChars="200"/>
      <w:jc w:val="left"/>
    </w:pPr>
    <w:rPr>
      <w:rFonts w:ascii="Calibri" w:hAnsi="Calibri"/>
      <w:szCs w:val="22"/>
      <w:lang w:bidi="en-US"/>
    </w:rPr>
  </w:style>
  <w:style w:type="character" w:customStyle="1" w:styleId="57">
    <w:name w:val="标题 1 Char"/>
    <w:link w:val="3"/>
    <w:qFormat/>
    <w:uiPriority w:val="0"/>
    <w:rPr>
      <w:b/>
      <w:bCs/>
      <w:kern w:val="44"/>
      <w:sz w:val="44"/>
      <w:szCs w:val="44"/>
    </w:rPr>
  </w:style>
  <w:style w:type="paragraph" w:customStyle="1" w:styleId="58">
    <w:name w:val="_Style 5"/>
    <w:basedOn w:val="1"/>
    <w:qFormat/>
    <w:uiPriority w:val="0"/>
    <w:pPr>
      <w:tabs>
        <w:tab w:val="left" w:pos="360"/>
      </w:tabs>
      <w:ind w:firstLine="420" w:firstLineChars="150"/>
    </w:pPr>
    <w:rPr>
      <w:rFonts w:ascii="Arial" w:hAnsi="Arial" w:cs="Arial"/>
      <w:sz w:val="20"/>
    </w:rPr>
  </w:style>
  <w:style w:type="paragraph" w:customStyle="1" w:styleId="59">
    <w:name w:val="WPSOffice手动目录 1"/>
    <w:qFormat/>
    <w:uiPriority w:val="0"/>
    <w:rPr>
      <w:rFonts w:ascii="Times New Roman" w:hAnsi="Times New Roman" w:eastAsia="宋体" w:cs="Times New Roman"/>
      <w:lang w:val="en-US" w:eastAsia="zh-CN" w:bidi="ar-SA"/>
    </w:rPr>
  </w:style>
  <w:style w:type="paragraph" w:customStyle="1" w:styleId="60">
    <w:name w:val="pa-7"/>
    <w:basedOn w:val="1"/>
    <w:qFormat/>
    <w:uiPriority w:val="0"/>
    <w:pPr>
      <w:widowControl/>
      <w:spacing w:before="150" w:beforeLines="0" w:after="150" w:afterLines="0"/>
      <w:jc w:val="left"/>
    </w:pPr>
    <w:rPr>
      <w:rFonts w:ascii="宋体" w:hAnsi="宋体" w:cs="宋体"/>
      <w:kern w:val="0"/>
      <w:sz w:val="24"/>
      <w:szCs w:val="24"/>
    </w:rPr>
  </w:style>
  <w:style w:type="paragraph" w:customStyle="1" w:styleId="61">
    <w:name w:val="Char Char Char Char Char Char"/>
    <w:basedOn w:val="15"/>
    <w:qFormat/>
    <w:uiPriority w:val="0"/>
    <w:rPr>
      <w:rFonts w:ascii="Tahoma" w:hAnsi="Tahoma"/>
      <w:sz w:val="24"/>
    </w:rPr>
  </w:style>
  <w:style w:type="paragraph" w:customStyle="1" w:styleId="62">
    <w:name w:val="缺省文本"/>
    <w:qFormat/>
    <w:uiPriority w:val="99"/>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63">
    <w:name w:val="p16"/>
    <w:basedOn w:val="1"/>
    <w:qFormat/>
    <w:uiPriority w:val="0"/>
    <w:pPr>
      <w:widowControl/>
    </w:pPr>
    <w:rPr>
      <w:kern w:val="0"/>
      <w:szCs w:val="21"/>
    </w:rPr>
  </w:style>
  <w:style w:type="paragraph" w:customStyle="1" w:styleId="64">
    <w:name w:val="WPSOffice手动目录 2"/>
    <w:qFormat/>
    <w:uiPriority w:val="0"/>
    <w:pPr>
      <w:ind w:leftChars="200"/>
    </w:pPr>
    <w:rPr>
      <w:rFonts w:ascii="Times New Roman" w:hAnsi="Times New Roman" w:eastAsia="宋体" w:cs="Times New Roman"/>
      <w:sz w:val="20"/>
      <w:szCs w:val="20"/>
    </w:rPr>
  </w:style>
  <w:style w:type="paragraph" w:customStyle="1" w:styleId="65">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6">
    <w:name w:val=" Char Char Char Char"/>
    <w:basedOn w:val="1"/>
    <w:qFormat/>
    <w:uiPriority w:val="0"/>
    <w:pPr>
      <w:tabs>
        <w:tab w:val="left" w:pos="360"/>
      </w:tabs>
      <w:ind w:firstLine="420" w:firstLineChars="150"/>
    </w:pPr>
    <w:rPr>
      <w:rFonts w:ascii="Arial" w:hAnsi="Arial" w:cs="Arial"/>
      <w:sz w:val="20"/>
    </w:rPr>
  </w:style>
  <w:style w:type="paragraph" w:customStyle="1" w:styleId="67">
    <w:name w:val="Plain Text1"/>
    <w:basedOn w:val="1"/>
    <w:qFormat/>
    <w:uiPriority w:val="99"/>
    <w:rPr>
      <w:rFonts w:ascii="宋体" w:hAnsi="Courier New"/>
    </w:rPr>
  </w:style>
  <w:style w:type="paragraph" w:customStyle="1" w:styleId="68">
    <w:name w:val="Char Char Char"/>
    <w:basedOn w:val="1"/>
    <w:qFormat/>
    <w:uiPriority w:val="0"/>
    <w:pPr>
      <w:widowControl/>
      <w:spacing w:after="160" w:line="240" w:lineRule="exact"/>
      <w:jc w:val="left"/>
    </w:pPr>
    <w:rPr>
      <w:szCs w:val="24"/>
    </w:rPr>
  </w:style>
  <w:style w:type="paragraph" w:customStyle="1" w:styleId="69">
    <w:name w:val="正文缩进1"/>
    <w:basedOn w:val="1"/>
    <w:qFormat/>
    <w:uiPriority w:val="0"/>
    <w:pPr>
      <w:autoSpaceDE w:val="0"/>
      <w:autoSpaceDN w:val="0"/>
      <w:adjustRightInd w:val="0"/>
      <w:ind w:firstLine="420"/>
    </w:pPr>
    <w:rPr>
      <w:rFonts w:ascii="宋体" w:hAnsi="Calibri"/>
      <w:szCs w:val="22"/>
    </w:rPr>
  </w:style>
  <w:style w:type="paragraph" w:customStyle="1" w:styleId="70">
    <w:name w:val="Normal"/>
    <w:qFormat/>
    <w:uiPriority w:val="0"/>
    <w:rPr>
      <w:rFonts w:ascii="Times New Roman" w:hAnsi="Times New Roman" w:eastAsia="Times New Roman" w:cs="Times New Roman"/>
      <w:sz w:val="24"/>
      <w:szCs w:val="24"/>
      <w:lang w:val="en-US" w:eastAsia="zh-CN" w:bidi="ar-SA"/>
    </w:rPr>
  </w:style>
  <w:style w:type="paragraph" w:customStyle="1" w:styleId="71">
    <w:name w:val="List 2"/>
    <w:basedOn w:val="1"/>
    <w:qFormat/>
    <w:uiPriority w:val="0"/>
    <w:pPr>
      <w:spacing w:beforeAutospacing="1" w:afterAutospacing="1" w:line="360" w:lineRule="auto"/>
      <w:ind w:left="100" w:leftChars="200" w:hanging="200" w:hangingChars="200"/>
      <w:contextualSpacing/>
    </w:pPr>
    <w:rPr>
      <w:sz w:val="24"/>
    </w:rPr>
  </w:style>
  <w:style w:type="paragraph" w:customStyle="1" w:styleId="72">
    <w:name w:val="_Style 62"/>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3">
    <w:name w:val="_Style 7"/>
    <w:basedOn w:val="1"/>
    <w:qFormat/>
    <w:uiPriority w:val="0"/>
    <w:pPr>
      <w:tabs>
        <w:tab w:val="left" w:pos="360"/>
      </w:tabs>
      <w:ind w:firstLine="420" w:firstLineChars="150"/>
    </w:pPr>
    <w:rPr>
      <w:rFonts w:ascii="Arial" w:hAnsi="Arial" w:cs="Arial"/>
      <w:sz w:val="20"/>
    </w:rPr>
  </w:style>
  <w:style w:type="paragraph" w:customStyle="1" w:styleId="74">
    <w:name w:val="_Style 11"/>
    <w:basedOn w:val="1"/>
    <w:qFormat/>
    <w:uiPriority w:val="0"/>
    <w:pPr>
      <w:tabs>
        <w:tab w:val="left" w:pos="360"/>
      </w:tabs>
      <w:ind w:firstLine="420" w:firstLineChars="150"/>
    </w:pPr>
    <w:rPr>
      <w:rFonts w:ascii="Arial" w:hAnsi="Arial" w:cs="Arial"/>
      <w:sz w:val="20"/>
    </w:rPr>
  </w:style>
  <w:style w:type="paragraph" w:customStyle="1" w:styleId="75">
    <w:name w:val="p15"/>
    <w:basedOn w:val="1"/>
    <w:qFormat/>
    <w:uiPriority w:val="0"/>
    <w:pPr>
      <w:widowControl/>
    </w:pPr>
    <w:rPr>
      <w:rFonts w:ascii="宋体" w:hAnsi="宋体" w:cs="宋体"/>
      <w:kern w:val="0"/>
      <w:szCs w:val="21"/>
    </w:rPr>
  </w:style>
  <w:style w:type="paragraph" w:customStyle="1" w:styleId="76">
    <w:name w:val="正文_0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77">
    <w:name w:val="正文1"/>
    <w:basedOn w:val="1"/>
    <w:qFormat/>
    <w:uiPriority w:val="0"/>
    <w:pPr>
      <w:spacing w:before="156" w:beforeLines="50" w:line="360" w:lineRule="auto"/>
      <w:ind w:firstLine="420" w:firstLineChars="200"/>
    </w:pPr>
    <w:rPr>
      <w:rFonts w:ascii="宋体" w:hAnsi="宋体"/>
      <w:iCs/>
      <w:szCs w:val="21"/>
    </w:rPr>
  </w:style>
  <w:style w:type="paragraph" w:customStyle="1" w:styleId="78">
    <w:name w:val="样式 标题 2 + 宋体 五号 非加粗 黑色"/>
    <w:basedOn w:val="4"/>
    <w:qFormat/>
    <w:uiPriority w:val="0"/>
    <w:pPr>
      <w:numPr>
        <w:ilvl w:val="1"/>
        <w:numId w:val="1"/>
      </w:numPr>
      <w:adjustRightInd w:val="0"/>
      <w:spacing w:line="416" w:lineRule="atLeast"/>
      <w:jc w:val="left"/>
      <w:textAlignment w:val="baseline"/>
    </w:pPr>
    <w:rPr>
      <w:rFonts w:ascii="宋体" w:hAnsi="宋体" w:eastAsia="宋体"/>
      <w:b w:val="0"/>
      <w:bCs w:val="0"/>
      <w:color w:val="000000"/>
      <w:kern w:val="0"/>
      <w:sz w:val="21"/>
    </w:rPr>
  </w:style>
  <w:style w:type="paragraph" w:customStyle="1" w:styleId="79">
    <w:name w:val="正文序号 1"/>
    <w:basedOn w:val="1"/>
    <w:qFormat/>
    <w:uiPriority w:val="0"/>
    <w:pPr>
      <w:numPr>
        <w:ilvl w:val="0"/>
        <w:numId w:val="3"/>
      </w:numPr>
      <w:tabs>
        <w:tab w:val="left" w:pos="502"/>
        <w:tab w:val="left" w:pos="839"/>
      </w:tabs>
      <w:spacing w:before="60"/>
    </w:pPr>
    <w:rPr>
      <w:szCs w:val="24"/>
    </w:rPr>
  </w:style>
  <w:style w:type="paragraph" w:customStyle="1" w:styleId="80">
    <w:name w:val="p0"/>
    <w:basedOn w:val="1"/>
    <w:qFormat/>
    <w:uiPriority w:val="0"/>
    <w:pPr>
      <w:widowControl/>
      <w:jc w:val="left"/>
    </w:pPr>
    <w:rPr>
      <w:kern w:val="0"/>
      <w:szCs w:val="21"/>
    </w:rPr>
  </w:style>
  <w:style w:type="paragraph" w:customStyle="1" w:styleId="81">
    <w:name w:val="Char Char2"/>
    <w:basedOn w:val="1"/>
    <w:qFormat/>
    <w:uiPriority w:val="0"/>
    <w:pPr>
      <w:widowControl/>
      <w:spacing w:after="160" w:line="240" w:lineRule="exact"/>
      <w:jc w:val="left"/>
    </w:pPr>
    <w:rPr>
      <w:rFonts w:ascii="Verdana" w:hAnsi="Verdana"/>
      <w:kern w:val="0"/>
      <w:sz w:val="20"/>
      <w:lang w:eastAsia="en-US"/>
    </w:rPr>
  </w:style>
  <w:style w:type="paragraph" w:customStyle="1" w:styleId="82">
    <w:name w:val="样式 标题 4 + 段前: 5 磅 段后: 5 磅 行距: 单倍行距"/>
    <w:basedOn w:val="6"/>
    <w:qFormat/>
    <w:uiPriority w:val="0"/>
    <w:pPr>
      <w:spacing w:before="100" w:after="100" w:line="240" w:lineRule="auto"/>
    </w:pPr>
    <w:rPr>
      <w:rFonts w:cs="宋体"/>
      <w:szCs w:val="20"/>
    </w:rPr>
  </w:style>
  <w:style w:type="paragraph" w:customStyle="1" w:styleId="83">
    <w:name w:val=" Char"/>
    <w:basedOn w:val="1"/>
    <w:qFormat/>
    <w:uiPriority w:val="0"/>
    <w:pPr>
      <w:widowControl/>
      <w:spacing w:after="160" w:afterLines="0" w:line="240" w:lineRule="exact"/>
      <w:jc w:val="left"/>
    </w:pPr>
    <w:rPr>
      <w:rFonts w:ascii="Verdana" w:hAnsi="Verdana" w:cs="Verdana"/>
      <w:kern w:val="0"/>
      <w:szCs w:val="21"/>
      <w:lang w:eastAsia="en-US"/>
    </w:rPr>
  </w:style>
  <w:style w:type="paragraph" w:customStyle="1" w:styleId="84">
    <w:name w:val="列出段落1"/>
    <w:basedOn w:val="1"/>
    <w:qFormat/>
    <w:uiPriority w:val="34"/>
    <w:pPr>
      <w:ind w:firstLine="420" w:firstLineChars="200"/>
    </w:pPr>
  </w:style>
  <w:style w:type="paragraph" w:customStyle="1" w:styleId="8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6">
    <w:name w:val="Char"/>
    <w:basedOn w:val="1"/>
    <w:qFormat/>
    <w:uiPriority w:val="0"/>
    <w:pPr>
      <w:tabs>
        <w:tab w:val="left" w:pos="360"/>
      </w:tabs>
      <w:spacing w:line="360" w:lineRule="auto"/>
      <w:ind w:firstLine="480" w:firstLineChars="200"/>
    </w:pPr>
    <w:rPr>
      <w:rFonts w:ascii="楷体_GB2312" w:eastAsia="楷体_GB2312"/>
      <w:sz w:val="24"/>
      <w:szCs w:val="24"/>
    </w:rPr>
  </w:style>
  <w:style w:type="paragraph" w:customStyle="1" w:styleId="87">
    <w:name w:val="表头文本"/>
    <w:basedOn w:val="1"/>
    <w:qFormat/>
    <w:uiPriority w:val="0"/>
    <w:pPr>
      <w:autoSpaceDE w:val="0"/>
      <w:autoSpaceDN w:val="0"/>
      <w:adjustRightInd w:val="0"/>
      <w:jc w:val="center"/>
    </w:pPr>
    <w:rPr>
      <w:b/>
      <w:kern w:val="0"/>
      <w:sz w:val="24"/>
    </w:rPr>
  </w:style>
  <w:style w:type="paragraph" w:customStyle="1" w:styleId="88">
    <w:name w:val="默认段落字体 Para Char Char Char Char Char Char Char Char Char Char Char Char Char Char Char Char"/>
    <w:basedOn w:val="1"/>
    <w:qFormat/>
    <w:uiPriority w:val="0"/>
    <w:rPr>
      <w:rFonts w:ascii="Tahoma" w:hAnsi="Tahoma"/>
      <w:sz w:val="24"/>
    </w:rPr>
  </w:style>
  <w:style w:type="paragraph" w:customStyle="1" w:styleId="89">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
    <w:name w:val="正文样式2"/>
    <w:basedOn w:val="1"/>
    <w:qFormat/>
    <w:uiPriority w:val="0"/>
    <w:pPr>
      <w:spacing w:line="560" w:lineRule="exact"/>
      <w:ind w:firstLine="601"/>
    </w:pPr>
    <w:rPr>
      <w:rFonts w:eastAsia="宋体"/>
      <w:kern w:val="2"/>
      <w:sz w:val="28"/>
      <w:lang w:val="en-US" w:eastAsia="zh-CN" w:bidi="ar-SA"/>
    </w:rPr>
  </w:style>
  <w:style w:type="paragraph" w:customStyle="1" w:styleId="91">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2">
    <w:name w:val="标题 3_0"/>
    <w:basedOn w:val="76"/>
    <w:next w:val="76"/>
    <w:link w:val="123"/>
    <w:qFormat/>
    <w:uiPriority w:val="0"/>
    <w:pPr>
      <w:autoSpaceDE w:val="0"/>
      <w:autoSpaceDN w:val="0"/>
      <w:adjustRightInd w:val="0"/>
      <w:spacing w:line="500" w:lineRule="exact"/>
      <w:jc w:val="center"/>
      <w:outlineLvl w:val="2"/>
    </w:pPr>
    <w:rPr>
      <w:rFonts w:ascii="宋体" w:hAnsi="宋体"/>
      <w:b/>
      <w:szCs w:val="28"/>
    </w:rPr>
  </w:style>
  <w:style w:type="paragraph" w:customStyle="1" w:styleId="93">
    <w:name w:val="附件正文"/>
    <w:basedOn w:val="1"/>
    <w:qFormat/>
    <w:uiPriority w:val="0"/>
    <w:pPr>
      <w:snapToGrid w:val="0"/>
      <w:spacing w:line="500" w:lineRule="exact"/>
      <w:ind w:firstLine="540" w:firstLineChars="225"/>
    </w:pPr>
    <w:rPr>
      <w:kern w:val="0"/>
      <w:sz w:val="24"/>
      <w:szCs w:val="24"/>
    </w:rPr>
  </w:style>
  <w:style w:type="paragraph" w:styleId="94">
    <w:name w:val="List Paragraph"/>
    <w:basedOn w:val="1"/>
    <w:qFormat/>
    <w:uiPriority w:val="0"/>
    <w:pPr>
      <w:ind w:firstLine="420" w:firstLineChars="200"/>
    </w:pPr>
    <w:rPr>
      <w:rFonts w:ascii="Calibri" w:hAnsi="Calibri"/>
      <w:szCs w:val="22"/>
    </w:rPr>
  </w:style>
  <w:style w:type="paragraph" w:customStyle="1" w:styleId="95">
    <w:name w:val="正文文字"/>
    <w:basedOn w:val="1"/>
    <w:link w:val="122"/>
    <w:qFormat/>
    <w:uiPriority w:val="0"/>
    <w:pPr>
      <w:widowControl/>
      <w:spacing w:line="2375" w:lineRule="atLeast"/>
      <w:ind w:firstLine="419"/>
      <w:textAlignment w:val="baseline"/>
    </w:pPr>
    <w:rPr>
      <w:rFonts w:ascii="宋体"/>
      <w:color w:val="000000"/>
      <w:kern w:val="0"/>
      <w:sz w:val="28"/>
      <w:u w:val="none" w:color="000000"/>
    </w:rPr>
  </w:style>
  <w:style w:type="paragraph" w:customStyle="1" w:styleId="96">
    <w:name w:val="WPSOffice手动目录 3"/>
    <w:qFormat/>
    <w:uiPriority w:val="0"/>
    <w:pPr>
      <w:ind w:leftChars="400"/>
    </w:pPr>
    <w:rPr>
      <w:rFonts w:ascii="Times New Roman" w:hAnsi="Times New Roman" w:eastAsia="宋体" w:cs="Times New Roman"/>
      <w:sz w:val="20"/>
      <w:szCs w:val="20"/>
    </w:rPr>
  </w:style>
  <w:style w:type="character" w:customStyle="1" w:styleId="97">
    <w:name w:val="批注文字 Char1"/>
    <w:basedOn w:val="46"/>
    <w:link w:val="17"/>
    <w:qFormat/>
    <w:uiPriority w:val="0"/>
    <w:rPr>
      <w:kern w:val="2"/>
      <w:sz w:val="21"/>
    </w:rPr>
  </w:style>
  <w:style w:type="character" w:customStyle="1" w:styleId="98">
    <w:name w:val="批注文字 Char"/>
    <w:qFormat/>
    <w:uiPriority w:val="0"/>
    <w:rPr>
      <w:rFonts w:eastAsia="宋体"/>
      <w:kern w:val="2"/>
      <w:sz w:val="21"/>
      <w:szCs w:val="24"/>
      <w:lang w:val="en-US" w:eastAsia="zh-CN" w:bidi="ar-SA"/>
    </w:rPr>
  </w:style>
  <w:style w:type="character" w:customStyle="1" w:styleId="99">
    <w:name w:val="font41"/>
    <w:basedOn w:val="46"/>
    <w:qFormat/>
    <w:uiPriority w:val="0"/>
    <w:rPr>
      <w:rFonts w:hint="eastAsia" w:ascii="宋体" w:hAnsi="宋体" w:eastAsia="宋体" w:cs="宋体"/>
      <w:color w:val="000000"/>
      <w:sz w:val="20"/>
      <w:szCs w:val="20"/>
      <w:u w:val="none"/>
    </w:rPr>
  </w:style>
  <w:style w:type="character" w:customStyle="1" w:styleId="100">
    <w:name w:val="font141"/>
    <w:basedOn w:val="46"/>
    <w:qFormat/>
    <w:uiPriority w:val="0"/>
    <w:rPr>
      <w:rFonts w:hint="eastAsia" w:ascii="宋体" w:hAnsi="宋体" w:eastAsia="宋体" w:cs="宋体"/>
      <w:color w:val="000000"/>
      <w:sz w:val="24"/>
      <w:szCs w:val="24"/>
      <w:u w:val="none"/>
    </w:rPr>
  </w:style>
  <w:style w:type="character" w:customStyle="1" w:styleId="101">
    <w:name w:val="font51"/>
    <w:basedOn w:val="46"/>
    <w:qFormat/>
    <w:uiPriority w:val="0"/>
    <w:rPr>
      <w:rFonts w:hint="eastAsia" w:ascii="宋体" w:hAnsi="宋体" w:eastAsia="宋体" w:cs="宋体"/>
      <w:color w:val="FF0000"/>
      <w:sz w:val="20"/>
      <w:szCs w:val="20"/>
      <w:u w:val="none"/>
    </w:rPr>
  </w:style>
  <w:style w:type="character" w:customStyle="1" w:styleId="102">
    <w:name w:val="正文文本缩进 3 Char"/>
    <w:basedOn w:val="46"/>
    <w:link w:val="36"/>
    <w:qFormat/>
    <w:uiPriority w:val="0"/>
    <w:rPr>
      <w:rFonts w:eastAsia="黑体"/>
      <w:b/>
      <w:bCs/>
      <w:kern w:val="2"/>
      <w:sz w:val="72"/>
      <w:szCs w:val="24"/>
    </w:rPr>
  </w:style>
  <w:style w:type="character" w:customStyle="1" w:styleId="103">
    <w:name w:val="HTML 预设格式 Char"/>
    <w:basedOn w:val="46"/>
    <w:link w:val="38"/>
    <w:qFormat/>
    <w:uiPriority w:val="0"/>
    <w:rPr>
      <w:rFonts w:ascii="宋体" w:hAnsi="宋体"/>
      <w:sz w:val="24"/>
      <w:szCs w:val="24"/>
    </w:rPr>
  </w:style>
  <w:style w:type="character" w:customStyle="1" w:styleId="104">
    <w:name w:val="font31"/>
    <w:basedOn w:val="46"/>
    <w:qFormat/>
    <w:uiPriority w:val="0"/>
    <w:rPr>
      <w:rFonts w:hint="eastAsia" w:ascii="宋体" w:hAnsi="宋体" w:eastAsia="宋体" w:cs="宋体"/>
      <w:color w:val="000000"/>
      <w:sz w:val="16"/>
      <w:szCs w:val="16"/>
      <w:u w:val="none"/>
    </w:rPr>
  </w:style>
  <w:style w:type="character" w:customStyle="1" w:styleId="105">
    <w:name w:val="标题 3 Char"/>
    <w:basedOn w:val="46"/>
    <w:link w:val="5"/>
    <w:qFormat/>
    <w:uiPriority w:val="0"/>
    <w:rPr>
      <w:b/>
      <w:bCs/>
      <w:kern w:val="2"/>
      <w:sz w:val="32"/>
      <w:szCs w:val="32"/>
    </w:rPr>
  </w:style>
  <w:style w:type="character" w:customStyle="1" w:styleId="106">
    <w:name w:val="正文文本缩进 Char"/>
    <w:qFormat/>
    <w:uiPriority w:val="0"/>
    <w:rPr>
      <w:rFonts w:eastAsia="宋体"/>
      <w:kern w:val="2"/>
      <w:sz w:val="24"/>
      <w:szCs w:val="24"/>
      <w:lang w:val="en-US" w:eastAsia="zh-CN" w:bidi="ar-SA"/>
    </w:rPr>
  </w:style>
  <w:style w:type="character" w:customStyle="1" w:styleId="107">
    <w:name w:val="font11"/>
    <w:basedOn w:val="46"/>
    <w:qFormat/>
    <w:uiPriority w:val="0"/>
    <w:rPr>
      <w:rFonts w:hint="eastAsia" w:ascii="宋体" w:hAnsi="宋体" w:eastAsia="宋体" w:cs="宋体"/>
      <w:color w:val="000000"/>
      <w:sz w:val="16"/>
      <w:szCs w:val="16"/>
      <w:u w:val="none"/>
    </w:rPr>
  </w:style>
  <w:style w:type="character" w:customStyle="1" w:styleId="108">
    <w:name w:val="font01"/>
    <w:basedOn w:val="46"/>
    <w:qFormat/>
    <w:uiPriority w:val="0"/>
    <w:rPr>
      <w:rFonts w:hint="eastAsia" w:ascii="宋体" w:hAnsi="宋体" w:eastAsia="宋体" w:cs="宋体"/>
      <w:color w:val="000000"/>
      <w:sz w:val="24"/>
      <w:szCs w:val="24"/>
      <w:u w:val="none"/>
    </w:rPr>
  </w:style>
  <w:style w:type="character" w:customStyle="1" w:styleId="109">
    <w:name w:val="正文文本 Char1"/>
    <w:basedOn w:val="46"/>
    <w:link w:val="19"/>
    <w:qFormat/>
    <w:uiPriority w:val="0"/>
    <w:rPr>
      <w:kern w:val="2"/>
      <w:sz w:val="21"/>
    </w:rPr>
  </w:style>
  <w:style w:type="character" w:customStyle="1" w:styleId="110">
    <w:name w:val="批注主题 Char"/>
    <w:basedOn w:val="97"/>
    <w:link w:val="41"/>
    <w:qFormat/>
    <w:uiPriority w:val="0"/>
  </w:style>
  <w:style w:type="character" w:customStyle="1" w:styleId="111">
    <w:name w:val="标题 6 Char"/>
    <w:basedOn w:val="46"/>
    <w:link w:val="8"/>
    <w:qFormat/>
    <w:uiPriority w:val="0"/>
    <w:rPr>
      <w:rFonts w:eastAsia="黑体"/>
      <w:b/>
      <w:bCs/>
      <w:sz w:val="24"/>
      <w:szCs w:val="24"/>
    </w:rPr>
  </w:style>
  <w:style w:type="character" w:customStyle="1" w:styleId="112">
    <w:name w:val="font151"/>
    <w:basedOn w:val="46"/>
    <w:qFormat/>
    <w:uiPriority w:val="0"/>
    <w:rPr>
      <w:rFonts w:hint="default" w:ascii="Times New Roman" w:hAnsi="Times New Roman" w:cs="Times New Roman"/>
      <w:color w:val="000000"/>
      <w:sz w:val="20"/>
      <w:szCs w:val="20"/>
      <w:u w:val="none"/>
    </w:rPr>
  </w:style>
  <w:style w:type="character" w:customStyle="1" w:styleId="113">
    <w:name w:val="font61"/>
    <w:basedOn w:val="46"/>
    <w:qFormat/>
    <w:uiPriority w:val="0"/>
    <w:rPr>
      <w:rFonts w:hint="eastAsia" w:ascii="微软雅黑" w:hAnsi="微软雅黑" w:eastAsia="微软雅黑" w:cs="微软雅黑"/>
      <w:color w:val="000000"/>
      <w:sz w:val="16"/>
      <w:szCs w:val="16"/>
      <w:u w:val="none"/>
    </w:rPr>
  </w:style>
  <w:style w:type="character" w:customStyle="1" w:styleId="114">
    <w:name w:val="文档结构图 Char"/>
    <w:basedOn w:val="46"/>
    <w:link w:val="15"/>
    <w:qFormat/>
    <w:uiPriority w:val="0"/>
    <w:rPr>
      <w:kern w:val="2"/>
      <w:sz w:val="21"/>
      <w:szCs w:val="24"/>
      <w:shd w:val="clear" w:color="auto" w:fill="000080"/>
    </w:rPr>
  </w:style>
  <w:style w:type="character" w:customStyle="1" w:styleId="115">
    <w:name w:val="页脚 Char"/>
    <w:link w:val="29"/>
    <w:qFormat/>
    <w:uiPriority w:val="99"/>
    <w:rPr>
      <w:kern w:val="2"/>
      <w:sz w:val="18"/>
      <w:szCs w:val="18"/>
    </w:rPr>
  </w:style>
  <w:style w:type="character" w:customStyle="1" w:styleId="116">
    <w:name w:val="标题 8 Char"/>
    <w:basedOn w:val="46"/>
    <w:link w:val="10"/>
    <w:qFormat/>
    <w:uiPriority w:val="0"/>
    <w:rPr>
      <w:rFonts w:eastAsia="黑体"/>
      <w:sz w:val="24"/>
      <w:szCs w:val="24"/>
    </w:rPr>
  </w:style>
  <w:style w:type="character" w:customStyle="1" w:styleId="117">
    <w:name w:val="纯文本 Char"/>
    <w:link w:val="24"/>
    <w:qFormat/>
    <w:uiPriority w:val="0"/>
    <w:rPr>
      <w:rFonts w:ascii="宋体" w:hAnsi="Courier New"/>
      <w:kern w:val="2"/>
      <w:sz w:val="21"/>
    </w:rPr>
  </w:style>
  <w:style w:type="character" w:customStyle="1" w:styleId="118">
    <w:name w:val="font112"/>
    <w:basedOn w:val="46"/>
    <w:qFormat/>
    <w:uiPriority w:val="0"/>
    <w:rPr>
      <w:rFonts w:hint="eastAsia" w:ascii="宋体" w:hAnsi="宋体" w:eastAsia="宋体" w:cs="宋体"/>
      <w:color w:val="000000"/>
      <w:sz w:val="16"/>
      <w:szCs w:val="16"/>
      <w:u w:val="none"/>
    </w:rPr>
  </w:style>
  <w:style w:type="character" w:customStyle="1" w:styleId="119">
    <w:name w:val="纯文本 Char1"/>
    <w:basedOn w:val="46"/>
    <w:qFormat/>
    <w:uiPriority w:val="0"/>
    <w:rPr>
      <w:rFonts w:eastAsia="宋体"/>
      <w:kern w:val="2"/>
      <w:sz w:val="24"/>
      <w:lang w:val="en-US" w:eastAsia="zh-CN" w:bidi="ar-SA"/>
    </w:rPr>
  </w:style>
  <w:style w:type="character" w:customStyle="1" w:styleId="120">
    <w:name w:val="正文首行缩进 2 Char"/>
    <w:basedOn w:val="121"/>
    <w:link w:val="43"/>
    <w:qFormat/>
    <w:uiPriority w:val="0"/>
  </w:style>
  <w:style w:type="character" w:customStyle="1" w:styleId="121">
    <w:name w:val="正文文本缩进 Char1"/>
    <w:basedOn w:val="46"/>
    <w:link w:val="20"/>
    <w:qFormat/>
    <w:uiPriority w:val="0"/>
    <w:rPr>
      <w:kern w:val="2"/>
      <w:sz w:val="28"/>
    </w:rPr>
  </w:style>
  <w:style w:type="character" w:customStyle="1" w:styleId="122">
    <w:name w:val="正文文字 Char1"/>
    <w:basedOn w:val="46"/>
    <w:link w:val="95"/>
    <w:qFormat/>
    <w:uiPriority w:val="0"/>
    <w:rPr>
      <w:rFonts w:ascii="宋体"/>
      <w:color w:val="000000"/>
      <w:kern w:val="0"/>
      <w:sz w:val="28"/>
      <w:u w:val="none" w:color="000000"/>
    </w:rPr>
  </w:style>
  <w:style w:type="character" w:customStyle="1" w:styleId="123">
    <w:name w:val="标题 3 Char_0"/>
    <w:link w:val="92"/>
    <w:qFormat/>
    <w:uiPriority w:val="0"/>
    <w:rPr>
      <w:rFonts w:ascii="宋体" w:hAnsi="宋体"/>
      <w:b/>
      <w:kern w:val="2"/>
      <w:sz w:val="28"/>
      <w:szCs w:val="28"/>
    </w:rPr>
  </w:style>
  <w:style w:type="character" w:customStyle="1" w:styleId="124">
    <w:name w:val="font21"/>
    <w:basedOn w:val="46"/>
    <w:qFormat/>
    <w:uiPriority w:val="0"/>
    <w:rPr>
      <w:rFonts w:hint="eastAsia" w:ascii="宋体" w:hAnsi="宋体" w:eastAsia="宋体" w:cs="宋体"/>
      <w:color w:val="000000"/>
      <w:sz w:val="22"/>
      <w:szCs w:val="22"/>
      <w:u w:val="none"/>
    </w:rPr>
  </w:style>
  <w:style w:type="character" w:customStyle="1" w:styleId="125">
    <w:name w:val="脚注文本 Char"/>
    <w:basedOn w:val="46"/>
    <w:link w:val="34"/>
    <w:qFormat/>
    <w:uiPriority w:val="0"/>
    <w:rPr>
      <w:sz w:val="18"/>
    </w:rPr>
  </w:style>
  <w:style w:type="character" w:customStyle="1" w:styleId="126">
    <w:name w:val="副标题 Char"/>
    <w:link w:val="32"/>
    <w:qFormat/>
    <w:uiPriority w:val="0"/>
    <w:rPr>
      <w:rFonts w:ascii="Cambria" w:hAnsi="Cambria" w:eastAsia="宋体"/>
      <w:b/>
      <w:bCs/>
      <w:kern w:val="28"/>
      <w:sz w:val="32"/>
      <w:szCs w:val="32"/>
      <w:lang w:val="en-US" w:eastAsia="zh-CN" w:bidi="ar-SA"/>
    </w:rPr>
  </w:style>
  <w:style w:type="character" w:customStyle="1" w:styleId="127">
    <w:name w:val=" Char Char3"/>
    <w:qFormat/>
    <w:uiPriority w:val="0"/>
    <w:rPr>
      <w:rFonts w:eastAsia="宋体"/>
      <w:kern w:val="2"/>
      <w:sz w:val="21"/>
      <w:szCs w:val="24"/>
      <w:lang w:val="en-US" w:eastAsia="zh-CN" w:bidi="ar-SA"/>
    </w:rPr>
  </w:style>
  <w:style w:type="character" w:customStyle="1" w:styleId="128">
    <w:name w:val="正文文本 Char"/>
    <w:link w:val="19"/>
    <w:qFormat/>
    <w:uiPriority w:val="0"/>
    <w:rPr>
      <w:kern w:val="2"/>
      <w:sz w:val="21"/>
      <w:szCs w:val="24"/>
    </w:rPr>
  </w:style>
  <w:style w:type="character" w:customStyle="1" w:styleId="129">
    <w:name w:val=" Char Char6"/>
    <w:qFormat/>
    <w:uiPriority w:val="0"/>
    <w:rPr>
      <w:rFonts w:eastAsia="宋体"/>
      <w:kern w:val="2"/>
      <w:sz w:val="21"/>
      <w:szCs w:val="24"/>
      <w:lang w:val="en-US" w:eastAsia="zh-CN" w:bidi="ar-SA"/>
    </w:rPr>
  </w:style>
  <w:style w:type="character" w:customStyle="1" w:styleId="130">
    <w:name w:val="标题 Char"/>
    <w:basedOn w:val="46"/>
    <w:link w:val="40"/>
    <w:qFormat/>
    <w:uiPriority w:val="0"/>
    <w:rPr>
      <w:rFonts w:ascii="Cambria" w:hAnsi="Cambria"/>
      <w:b/>
      <w:bCs/>
      <w:kern w:val="2"/>
      <w:sz w:val="32"/>
      <w:szCs w:val="32"/>
    </w:rPr>
  </w:style>
  <w:style w:type="character" w:customStyle="1" w:styleId="131">
    <w:name w:val="日期 Char"/>
    <w:basedOn w:val="46"/>
    <w:link w:val="26"/>
    <w:qFormat/>
    <w:uiPriority w:val="0"/>
    <w:rPr>
      <w:kern w:val="2"/>
      <w:sz w:val="21"/>
      <w:szCs w:val="24"/>
    </w:rPr>
  </w:style>
  <w:style w:type="character" w:customStyle="1" w:styleId="132">
    <w:name w:val="ca-1"/>
    <w:basedOn w:val="46"/>
    <w:qFormat/>
    <w:uiPriority w:val="0"/>
  </w:style>
  <w:style w:type="character" w:customStyle="1" w:styleId="133">
    <w:name w:val="font101"/>
    <w:basedOn w:val="46"/>
    <w:qFormat/>
    <w:uiPriority w:val="0"/>
    <w:rPr>
      <w:rFonts w:ascii="Arial Unicode MS" w:hAnsi="Arial Unicode MS" w:eastAsia="Arial Unicode MS" w:cs="Arial Unicode MS"/>
      <w:color w:val="000000"/>
      <w:sz w:val="16"/>
      <w:szCs w:val="16"/>
      <w:u w:val="none"/>
    </w:rPr>
  </w:style>
  <w:style w:type="character" w:customStyle="1" w:styleId="134">
    <w:name w:val="标题 2 Char"/>
    <w:link w:val="4"/>
    <w:qFormat/>
    <w:uiPriority w:val="0"/>
    <w:rPr>
      <w:rFonts w:ascii="Arial Black" w:hAnsi="Arial Black" w:eastAsia="黑体"/>
      <w:b/>
      <w:bCs/>
      <w:kern w:val="2"/>
      <w:sz w:val="32"/>
      <w:szCs w:val="32"/>
      <w:lang w:val="en-US" w:eastAsia="zh-CN" w:bidi="ar-SA"/>
    </w:rPr>
  </w:style>
  <w:style w:type="character" w:customStyle="1" w:styleId="135">
    <w:name w:val="标题 5 Char"/>
    <w:basedOn w:val="46"/>
    <w:link w:val="7"/>
    <w:qFormat/>
    <w:uiPriority w:val="0"/>
    <w:rPr>
      <w:b/>
      <w:bCs/>
      <w:sz w:val="28"/>
      <w:szCs w:val="28"/>
    </w:rPr>
  </w:style>
  <w:style w:type="character" w:customStyle="1" w:styleId="136">
    <w:name w:val="标题 7 Char"/>
    <w:basedOn w:val="46"/>
    <w:link w:val="9"/>
    <w:qFormat/>
    <w:uiPriority w:val="0"/>
    <w:rPr>
      <w:b/>
      <w:bCs/>
      <w:sz w:val="24"/>
      <w:szCs w:val="24"/>
    </w:rPr>
  </w:style>
  <w:style w:type="character" w:customStyle="1" w:styleId="137">
    <w:name w:val="正文文本 3 Char"/>
    <w:basedOn w:val="46"/>
    <w:link w:val="18"/>
    <w:qFormat/>
    <w:uiPriority w:val="0"/>
    <w:rPr>
      <w:kern w:val="2"/>
      <w:sz w:val="16"/>
      <w:szCs w:val="16"/>
    </w:rPr>
  </w:style>
  <w:style w:type="character" w:customStyle="1" w:styleId="138">
    <w:name w:val="批注框文本 Char"/>
    <w:basedOn w:val="46"/>
    <w:link w:val="28"/>
    <w:qFormat/>
    <w:uiPriority w:val="0"/>
    <w:rPr>
      <w:kern w:val="2"/>
      <w:sz w:val="18"/>
      <w:szCs w:val="18"/>
    </w:rPr>
  </w:style>
  <w:style w:type="character" w:customStyle="1" w:styleId="139">
    <w:name w:val="正文文本缩进 2 Char"/>
    <w:basedOn w:val="46"/>
    <w:link w:val="27"/>
    <w:qFormat/>
    <w:uiPriority w:val="0"/>
    <w:rPr>
      <w:kern w:val="2"/>
      <w:sz w:val="21"/>
      <w:szCs w:val="24"/>
    </w:rPr>
  </w:style>
  <w:style w:type="character" w:customStyle="1" w:styleId="140">
    <w:name w:val="标题 9 Char"/>
    <w:basedOn w:val="46"/>
    <w:link w:val="11"/>
    <w:qFormat/>
    <w:uiPriority w:val="0"/>
    <w:rPr>
      <w:rFonts w:eastAsia="黑体"/>
      <w:sz w:val="21"/>
      <w:szCs w:val="21"/>
    </w:rPr>
  </w:style>
  <w:style w:type="character" w:customStyle="1" w:styleId="141">
    <w:name w:val="标题 4 Char"/>
    <w:basedOn w:val="46"/>
    <w:link w:val="6"/>
    <w:qFormat/>
    <w:uiPriority w:val="0"/>
    <w:rPr>
      <w:rFonts w:eastAsia="黑体"/>
      <w:b/>
      <w:bCs/>
      <w:sz w:val="28"/>
      <w:szCs w:val="28"/>
    </w:rPr>
  </w:style>
  <w:style w:type="character" w:customStyle="1" w:styleId="142">
    <w:name w:val="font91"/>
    <w:basedOn w:val="46"/>
    <w:qFormat/>
    <w:uiPriority w:val="0"/>
    <w:rPr>
      <w:rFonts w:hint="eastAsia" w:ascii="宋体" w:hAnsi="宋体" w:eastAsia="宋体" w:cs="宋体"/>
      <w:b/>
      <w:color w:val="FF0000"/>
      <w:sz w:val="20"/>
      <w:szCs w:val="20"/>
      <w:u w:val="none"/>
    </w:rPr>
  </w:style>
  <w:style w:type="paragraph" w:customStyle="1" w:styleId="143">
    <w:name w:val="Table Paragraph"/>
    <w:basedOn w:val="1"/>
    <w:qFormat/>
    <w:uiPriority w:val="1"/>
    <w:rPr>
      <w:rFonts w:ascii="宋体" w:hAnsi="宋体" w:eastAsia="宋体" w:cs="宋体"/>
      <w:lang w:val="zh-CN" w:eastAsia="zh-CN" w:bidi="zh-CN"/>
    </w:rPr>
  </w:style>
  <w:style w:type="paragraph" w:customStyle="1" w:styleId="144">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paragraph" w:customStyle="1" w:styleId="145">
    <w:name w:val="样式3"/>
    <w:basedOn w:val="24"/>
    <w:qFormat/>
    <w:uiPriority w:val="0"/>
    <w:pPr>
      <w:spacing w:line="0" w:lineRule="atLeast"/>
      <w:outlineLvl w:val="0"/>
    </w:pPr>
    <w:rPr>
      <w:sz w:val="28"/>
    </w:rPr>
  </w:style>
  <w:style w:type="paragraph" w:customStyle="1" w:styleId="146">
    <w:name w:val="?y??"/>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character" w:customStyle="1" w:styleId="147">
    <w:name w:val="标题 3 字符"/>
    <w:basedOn w:val="46"/>
    <w:link w:val="5"/>
    <w:semiHidden/>
    <w:qFormat/>
    <w:locked/>
    <w:uiPriority w:val="99"/>
    <w:rPr>
      <w:rFonts w:cs="Times New Roman"/>
      <w:b/>
      <w:bCs/>
      <w:sz w:val="32"/>
      <w:szCs w:val="32"/>
    </w:rPr>
  </w:style>
  <w:style w:type="character" w:customStyle="1" w:styleId="148">
    <w:name w:val="NormalCharacter"/>
    <w:qFormat/>
    <w:uiPriority w:val="0"/>
    <w:rPr>
      <w:rFonts w:ascii="Times New Roman" w:hAnsi="Times New Roman" w:eastAsia="宋体"/>
      <w:kern w:val="2"/>
      <w:sz w:val="21"/>
      <w:lang w:val="en-US" w:eastAsia="zh-CN" w:bidi="ar-SA"/>
    </w:rPr>
  </w:style>
  <w:style w:type="paragraph" w:customStyle="1" w:styleId="149">
    <w:name w:val="UserStyle_10"/>
    <w:basedOn w:val="1"/>
    <w:qFormat/>
    <w:uiPriority w:val="0"/>
    <w:pPr>
      <w:jc w:val="left"/>
    </w:pPr>
    <w:rPr>
      <w:rFonts w:ascii="宋体" w:hAnsi="宋体"/>
      <w:kern w:val="0"/>
    </w:rPr>
  </w:style>
  <w:style w:type="paragraph" w:customStyle="1" w:styleId="150">
    <w:name w:val="BodyText"/>
    <w:basedOn w:val="1"/>
    <w:qFormat/>
    <w:uiPriority w:val="0"/>
    <w:pPr>
      <w:spacing w:line="380" w:lineRule="exact"/>
      <w:jc w:val="both"/>
    </w:pPr>
    <w:rPr>
      <w:kern w:val="2"/>
      <w:sz w:val="24"/>
      <w:szCs w:val="24"/>
      <w:lang w:val="en-US" w:eastAsia="zh-CN" w:bidi="ar-SA"/>
    </w:rPr>
  </w:style>
  <w:style w:type="table" w:customStyle="1" w:styleId="151">
    <w:name w:val="Table Normal"/>
    <w:semiHidden/>
    <w:unhideWhenUsed/>
    <w:qFormat/>
    <w:uiPriority w:val="0"/>
    <w:tblPr>
      <w:tblCellMar>
        <w:top w:w="0" w:type="dxa"/>
        <w:left w:w="0" w:type="dxa"/>
        <w:bottom w:w="0" w:type="dxa"/>
        <w:right w:w="0" w:type="dxa"/>
      </w:tblCellMar>
    </w:tblPr>
  </w:style>
  <w:style w:type="paragraph" w:customStyle="1" w:styleId="152">
    <w:name w:val="Table Text"/>
    <w:basedOn w:val="1"/>
    <w:semiHidden/>
    <w:qFormat/>
    <w:uiPriority w:val="0"/>
    <w:rPr>
      <w:rFonts w:ascii="Arial" w:hAnsi="Arial" w:eastAsia="Arial" w:cs="Arial"/>
      <w:sz w:val="21"/>
      <w:szCs w:val="21"/>
      <w:lang w:val="en-US" w:eastAsia="en-US" w:bidi="ar-SA"/>
    </w:rPr>
  </w:style>
  <w:style w:type="paragraph" w:customStyle="1" w:styleId="153">
    <w:name w:val="无间隔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4">
    <w:name w:val="Normal_0"/>
    <w:qFormat/>
    <w:uiPriority w:val="0"/>
    <w:rPr>
      <w:rFonts w:ascii="黑体" w:hAnsi="黑体" w:eastAsia="黑体" w:cs="Times New Roman"/>
      <w:b/>
      <w:sz w:val="32"/>
      <w:szCs w:val="24"/>
      <w:lang w:bidi="ar-SA"/>
    </w:rPr>
  </w:style>
  <w:style w:type="paragraph" w:customStyle="1" w:styleId="155">
    <w:name w:val="列表_0"/>
    <w:basedOn w:val="156"/>
    <w:qFormat/>
    <w:uiPriority w:val="0"/>
    <w:pPr>
      <w:spacing w:afterAutospacing="1" w:line="360" w:lineRule="auto"/>
      <w:jc w:val="center"/>
    </w:pPr>
    <w:rPr>
      <w:rFonts w:ascii="宋体" w:hAnsi="宋体"/>
      <w:b/>
      <w:bCs/>
      <w:sz w:val="28"/>
      <w:szCs w:val="28"/>
    </w:rPr>
  </w:style>
  <w:style w:type="paragraph" w:customStyle="1" w:styleId="156">
    <w:name w:val="正文_15_0"/>
    <w:basedOn w:val="157"/>
    <w:next w:val="155"/>
    <w:qFormat/>
    <w:uiPriority w:val="0"/>
    <w:rPr>
      <w:rFonts w:ascii="Times New Roman" w:hAnsi="Times New Roman"/>
      <w:szCs w:val="21"/>
    </w:rPr>
  </w:style>
  <w:style w:type="paragraph" w:customStyle="1" w:styleId="157">
    <w:name w:val="正文_16"/>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8">
    <w:name w:val="10_0"/>
    <w:basedOn w:val="46"/>
    <w:qFormat/>
    <w:uiPriority w:val="0"/>
    <w:rPr>
      <w:rFonts w:ascii="Times New Roman" w:hAnsi="Times New Roman" w:eastAsia="宋体" w:cs="Times New Roman"/>
    </w:rPr>
  </w:style>
  <w:style w:type="paragraph" w:customStyle="1" w:styleId="159">
    <w:name w:val="表格文字2"/>
    <w:basedOn w:val="77"/>
    <w:qFormat/>
    <w:uiPriority w:val="99"/>
    <w:pPr>
      <w:widowControl/>
      <w:spacing w:before="25" w:after="25" w:line="240" w:lineRule="auto"/>
      <w:ind w:firstLine="0"/>
      <w:jc w:val="left"/>
    </w:pPr>
    <w:rPr>
      <w:rFonts w:ascii="Times New Roman" w:hAnsi="Times New Roman"/>
      <w:bCs/>
      <w:spacing w:val="10"/>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107</Pages>
  <Words>52948</Words>
  <Characters>57040</Characters>
  <Lines>227</Lines>
  <Paragraphs>64</Paragraphs>
  <TotalTime>1</TotalTime>
  <ScaleCrop>false</ScaleCrop>
  <LinksUpToDate>false</LinksUpToDate>
  <CharactersWithSpaces>61838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2011-04-12T08:42:00Z</dcterms:created>
  <dc:creator>微软用户</dc:creator>
  <cp:lastModifiedBy>lenovo</cp:lastModifiedBy>
  <cp:lastPrinted>2023-12-27T16:54:00Z</cp:lastPrinted>
  <dcterms:modified xsi:type="dcterms:W3CDTF">2024-01-03T13:24:41Z</dcterms:modified>
  <dc:title>招标文件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D96A8FE665784FBF9A59C3A4EFA0A1CC</vt:lpwstr>
  </property>
</Properties>
</file>