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eastAsia="zh-CN"/>
        </w:rPr>
        <w:t>墨玉县萨依巴格乡寄宿制学校设备采购项目</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p>
    <w:p>
      <w:pPr>
        <w:pStyle w:val="53"/>
        <w:rPr>
          <w:rFonts w:hint="default"/>
          <w:lang w:val="en-US" w:eastAsia="zh-CN"/>
        </w:rPr>
      </w:pPr>
    </w:p>
    <w:p>
      <w:pPr>
        <w:pageBreakBefore w:val="0"/>
        <w:numPr>
          <w:ilvl w:val="0"/>
          <w:numId w:val="0"/>
        </w:numPr>
        <w:shd w:val="clea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项目编号：XYTDZB-GK-2023487号</w:t>
      </w:r>
    </w:p>
    <w:p>
      <w:pPr>
        <w:pStyle w:val="3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仿宋" w:hAnsi="仿宋" w:eastAsia="仿宋" w:cs="仿宋"/>
          <w:bCs/>
          <w:color w:val="auto"/>
          <w:sz w:val="28"/>
          <w:szCs w:val="28"/>
          <w:highlight w:val="none"/>
          <w:lang w:val="en-US" w:eastAsia="zh-CN"/>
        </w:rPr>
      </w:pP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采</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购</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人（盖章）：</w:t>
      </w:r>
      <w:r>
        <w:rPr>
          <w:rFonts w:hint="eastAsia" w:ascii="仿宋" w:hAnsi="仿宋" w:eastAsia="仿宋" w:cs="仿宋"/>
          <w:bCs/>
          <w:color w:val="auto"/>
          <w:sz w:val="28"/>
          <w:szCs w:val="28"/>
          <w:highlight w:val="none"/>
          <w:lang w:eastAsia="zh-CN"/>
        </w:rPr>
        <w:t>墨玉县教育局</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联 系 人：</w:t>
      </w:r>
      <w:r>
        <w:rPr>
          <w:rFonts w:hint="eastAsia" w:ascii="仿宋" w:hAnsi="仿宋" w:eastAsia="仿宋" w:cs="仿宋"/>
          <w:bCs/>
          <w:color w:val="auto"/>
          <w:sz w:val="28"/>
          <w:szCs w:val="28"/>
          <w:highlight w:val="none"/>
          <w:lang w:eastAsia="zh-CN"/>
        </w:rPr>
        <w:t>秦老师</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电    话：</w:t>
      </w:r>
      <w:r>
        <w:rPr>
          <w:rFonts w:hint="eastAsia" w:ascii="仿宋" w:hAnsi="仿宋" w:eastAsia="仿宋" w:cs="仿宋"/>
          <w:bCs/>
          <w:color w:val="auto"/>
          <w:sz w:val="28"/>
          <w:szCs w:val="28"/>
          <w:highlight w:val="none"/>
          <w:lang w:eastAsia="zh-CN"/>
        </w:rPr>
        <w:t xml:space="preserve"> 0903-6514235</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详细地址：</w:t>
      </w:r>
      <w:r>
        <w:rPr>
          <w:rFonts w:hint="eastAsia" w:ascii="仿宋" w:hAnsi="仿宋" w:eastAsia="仿宋" w:cs="仿宋"/>
          <w:bCs/>
          <w:color w:val="auto"/>
          <w:sz w:val="28"/>
          <w:szCs w:val="28"/>
          <w:highlight w:val="none"/>
          <w:lang w:eastAsia="zh-CN"/>
        </w:rPr>
        <w:t>墨玉县同心路81号</w:t>
      </w:r>
    </w:p>
    <w:p>
      <w:pPr>
        <w:autoSpaceDE w:val="0"/>
        <w:autoSpaceDN w:val="0"/>
        <w:adjustRightInd w:val="0"/>
        <w:spacing w:line="480" w:lineRule="auto"/>
        <w:ind w:left="4302" w:leftChars="382" w:hanging="3500" w:hangingChars="1250"/>
        <w:rPr>
          <w:rFonts w:hint="eastAsia" w:ascii="仿宋" w:hAnsi="仿宋" w:eastAsia="仿宋" w:cs="仿宋"/>
          <w:bCs/>
          <w:color w:val="auto"/>
          <w:sz w:val="28"/>
          <w:szCs w:val="28"/>
          <w:highlight w:val="none"/>
          <w:lang w:val="zh-CN"/>
        </w:rPr>
      </w:pPr>
    </w:p>
    <w:p>
      <w:pPr>
        <w:autoSpaceDE w:val="0"/>
        <w:autoSpaceDN w:val="0"/>
        <w:adjustRightInd w:val="0"/>
        <w:spacing w:line="48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rPr>
        <w:t>招标代理机构</w:t>
      </w:r>
      <w:r>
        <w:rPr>
          <w:rFonts w:hint="eastAsia" w:ascii="仿宋" w:hAnsi="仿宋" w:eastAsia="仿宋" w:cs="仿宋"/>
          <w:color w:val="auto"/>
          <w:sz w:val="28"/>
          <w:szCs w:val="28"/>
          <w:highlight w:val="none"/>
          <w:lang w:val="zh-CN"/>
        </w:rPr>
        <w:t>（盖章）</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rPr>
        <w:t>新疆星耀天都项目管理有限责任公司</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项目负责人</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王先生</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电    话</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0903-6860585</w:t>
      </w:r>
    </w:p>
    <w:p>
      <w:pPr>
        <w:autoSpaceDE w:val="0"/>
        <w:autoSpaceDN w:val="0"/>
        <w:adjustRightInd w:val="0"/>
        <w:spacing w:line="480" w:lineRule="auto"/>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zh-CN"/>
        </w:rPr>
        <w:t>详细地址：和田市古江巴格乡屯垦西路35号</w:t>
      </w:r>
    </w:p>
    <w:p>
      <w:pPr>
        <w:autoSpaceDE w:val="0"/>
        <w:autoSpaceDN w:val="0"/>
        <w:adjustRightInd w:val="0"/>
        <w:spacing w:line="480" w:lineRule="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日    期：</w:t>
      </w:r>
      <w:r>
        <w:rPr>
          <w:rFonts w:hint="eastAsia" w:ascii="仿宋" w:hAnsi="仿宋" w:eastAsia="仿宋" w:cs="仿宋"/>
          <w:bCs/>
          <w:color w:val="auto"/>
          <w:kern w:val="0"/>
          <w:sz w:val="28"/>
          <w:szCs w:val="28"/>
          <w:highlight w:val="none"/>
          <w:lang w:eastAsia="zh-CN"/>
        </w:rPr>
        <w:t>2024年</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月</w:t>
      </w:r>
    </w:p>
    <w:p>
      <w:pPr>
        <w:pStyle w:val="5"/>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5"/>
        <w:rPr>
          <w:rFonts w:hint="eastAsia" w:ascii="仿宋" w:hAnsi="仿宋" w:eastAsia="仿宋" w:cs="仿宋"/>
          <w:highlight w:val="none"/>
          <w:lang w:val="en-US" w:eastAsia="zh-CN"/>
        </w:rPr>
      </w:pPr>
    </w:p>
    <w:p>
      <w:pPr>
        <w:pStyle w:val="2"/>
        <w:rPr>
          <w:rFonts w:hint="eastAsia" w:ascii="仿宋" w:hAnsi="仿宋" w:eastAsia="仿宋" w:cs="仿宋"/>
          <w:highlight w:val="none"/>
          <w:lang w:val="en-US" w:eastAsia="zh-CN"/>
        </w:rPr>
      </w:pPr>
    </w:p>
    <w:p>
      <w:pPr>
        <w:spacing w:line="360" w:lineRule="auto"/>
        <w:rPr>
          <w:rFonts w:hint="eastAsia" w:ascii="仿宋" w:hAnsi="仿宋" w:eastAsia="仿宋" w:cs="仿宋"/>
          <w:color w:val="auto"/>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评标办法及标准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第四章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 xml:space="preserve">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rPr>
          <w:rFonts w:hint="eastAsia" w:ascii="仿宋" w:hAnsi="仿宋" w:eastAsia="仿宋" w:cs="仿宋"/>
          <w:color w:val="auto"/>
          <w:highlight w:val="none"/>
        </w:rPr>
      </w:pP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第六章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5"/>
        <w:rPr>
          <w:rFonts w:hint="eastAsia" w:ascii="仿宋" w:hAnsi="仿宋" w:eastAsia="仿宋" w:cs="仿宋"/>
          <w:color w:val="auto"/>
          <w:kern w:val="0"/>
          <w:sz w:val="28"/>
          <w:szCs w:val="28"/>
          <w:highlight w:val="none"/>
        </w:rPr>
      </w:pPr>
    </w:p>
    <w:p>
      <w:pPr>
        <w:rPr>
          <w:rFonts w:hint="eastAsia"/>
        </w:rPr>
      </w:pPr>
    </w:p>
    <w:p>
      <w:pPr>
        <w:rPr>
          <w:rFonts w:hint="eastAsia" w:ascii="仿宋" w:hAnsi="仿宋" w:eastAsia="仿宋" w:cs="仿宋"/>
          <w:color w:val="auto"/>
          <w:kern w:val="0"/>
          <w:sz w:val="28"/>
          <w:szCs w:val="28"/>
          <w:highlight w:val="none"/>
        </w:rPr>
      </w:pP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bookmarkStart w:id="0" w:name="_Toc27002"/>
      <w:bookmarkStart w:id="1" w:name="_Toc30491"/>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w:t>
      </w: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公开招标公告</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969" w:type="dxa"/>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项目概况：</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墨玉县萨依巴格乡寄宿制学校设备采购项目招标项目的潜在投标人应在政采云平台线上获取获取招标文件，并于2024年01月24日 11:00（北京时间）前递交投标文件。</w:t>
            </w:r>
          </w:p>
        </w:tc>
      </w:tr>
    </w:tbl>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一、项目基本情况</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项目编号：XYTDZB-GK-2023487-05号</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项目名称：墨玉县萨依巴格乡寄宿制学校设备采购项目（包五） </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采购方式：公开招标</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采购预算金额（元）：6643650.00元；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最高限价：包一：898000.00元；包二：2258183.00元；包三：630985.00元；包四：1124482.00元；包五：1732000.00元；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合同履约期限：签订合同之日起30日历天（具体时间以与甲方签订合同为准）</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简要规格描述或项目基本概况介绍</w:t>
      </w:r>
    </w:p>
    <w:tbl>
      <w:tblPr>
        <w:tblStyle w:val="151"/>
        <w:tblW w:w="8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055"/>
        <w:gridCol w:w="675"/>
        <w:gridCol w:w="645"/>
        <w:gridCol w:w="2805"/>
        <w:gridCol w:w="1123"/>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9" w:type="dxa"/>
            <w:tcBorders>
              <w:right w:val="single" w:color="000000" w:sz="6"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2055" w:type="dxa"/>
            <w:tcBorders>
              <w:left w:val="single" w:color="000000" w:sz="6"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标项名称</w:t>
            </w:r>
          </w:p>
        </w:tc>
        <w:tc>
          <w:tcPr>
            <w:tcW w:w="67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w:t>
            </w:r>
          </w:p>
        </w:tc>
        <w:tc>
          <w:tcPr>
            <w:tcW w:w="64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w:t>
            </w:r>
          </w:p>
        </w:tc>
        <w:tc>
          <w:tcPr>
            <w:tcW w:w="1123"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（万元）</w:t>
            </w:r>
          </w:p>
        </w:tc>
        <w:tc>
          <w:tcPr>
            <w:tcW w:w="692"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679" w:type="dxa"/>
            <w:tcBorders>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2055" w:type="dxa"/>
            <w:tcBorders>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墨玉县萨依巴格乡寄宿制学校设备采购项目（包一）</w:t>
            </w:r>
          </w:p>
        </w:tc>
        <w:tc>
          <w:tcPr>
            <w:tcW w:w="67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办公家具等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89.8</w:t>
            </w:r>
          </w:p>
        </w:tc>
        <w:tc>
          <w:tcPr>
            <w:tcW w:w="692"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墨玉县萨依巴格乡寄宿制学校设备采购项目（包二）</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top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电子设备等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225.8183</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墨玉县萨依巴格乡寄宿制学校设备采购项目（包三）</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厨房设备等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63.0985</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墨玉县萨依巴格乡寄宿制学校设备采购项目（包四）</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生活附属及安防设备等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112.4482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墨玉县萨依巴格乡寄宿制学校设备采购项目（包五）</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教学功能室等（具体参数详见招标文件）</w:t>
            </w:r>
          </w:p>
        </w:tc>
        <w:tc>
          <w:tcPr>
            <w:tcW w:w="1123"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173.2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bl>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二、申请人的资格要求：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2.1 中小企业政策标项1专门面向中小企业；标项2不专门面向中小企业预留采购份额；标项3专门面向中小企业；标项4专门面向中小企业；标项5专门面向中小企业；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（2）财政部、民政部、中国残疾人联合会《关于促进残疾人就业政府采购政策的通知》（财库[2017]141号）；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（8）提供有效的中小企业声明函。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（9）本项目不接受联合体投标；</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三、获取招标文件</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时间：2024年1月4日至 2024年1月 23日每天上午00:00至14:00，下午15:30至23:59（法定节假日均可领取）。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地点：政采云平台（https://www.zcygov.cn/）线上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方式：投标人登录政采云平台https://www.zcygov.cn/在线申请获取采购文件（进入“项目采购”应用，在获取采购文件菜单中选择项目，申请获取采购文件）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售价（元）：0元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四、提交投标文件截止时间、开标时间和地点</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提交投标文件截止时间：2024年01月24日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投标地点：请登录政采云投标客户端投标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开标地点：墨玉县公共资源交易平台中心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五、公告期限</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自本公告发布之日起5个工作日。</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六、其他补充事宜</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1、本项目实行网上投标，采用电子投标文件。若投标人参与投标，自行承担投标一切费用。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4、投标人在开标时须使用制作加密电子投标文件所使用的CA锁及电脑，电脑须提前配置好浏览器（使用谷歌浏览器），并确保开标期间电脑网络环境畅通，以便开标时解锁。</w:t>
      </w:r>
      <w:r>
        <w:rPr>
          <w:rFonts w:hint="eastAsia" w:ascii="仿宋" w:hAnsi="仿宋" w:eastAsia="仿宋" w:cs="仿宋"/>
          <w:i w:val="0"/>
          <w:iCs w:val="0"/>
          <w:caps w:val="0"/>
          <w:color w:val="000000"/>
          <w:spacing w:val="0"/>
          <w:sz w:val="24"/>
          <w:szCs w:val="24"/>
          <w:highlight w:val="none"/>
          <w:lang w:val="en-US" w:eastAsia="zh-CN"/>
        </w:rPr>
        <w:br w:type="textWrapping"/>
      </w:r>
      <w:r>
        <w:rPr>
          <w:rFonts w:hint="eastAsia" w:ascii="仿宋" w:hAnsi="仿宋" w:eastAsia="仿宋" w:cs="仿宋"/>
          <w:i w:val="0"/>
          <w:iCs w:val="0"/>
          <w:caps w:val="0"/>
          <w:color w:val="000000"/>
          <w:spacing w:val="0"/>
          <w:sz w:val="24"/>
          <w:szCs w:val="24"/>
          <w:highlight w:val="none"/>
          <w:lang w:val="en-US" w:eastAsia="zh-CN"/>
        </w:rPr>
        <w:t xml:space="preserve">   5.为了保证开评标顺利进行，政采云线上开标功能完全实现，投标人开标所使用的电脑设备须具有视频及语音功能。</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特别提示：</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1、采购限额标准以上，200 万元以下的货物和服务采购项目、400 万元以下的工程采购 项目，适宜由中小企业提供的，采购人应当专门面向中小企业采购。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2、超过 200 万元的货物和服务采购项目，预留该部分采购项目预算总额的 40%以上专门 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3、超过 400 万元的工程采购项目中适宜由中小企业提供的，预留该部分采购项目预算总 额的 40%以上专门面向中小企业采购，其中预留给小微企业的比例不低于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4、对于未预留份额专门面向中小企业的采购项目，以及预留份额项目中的非预留部分采 购包，采购人、采购代理机构应当对符合规定的小微企业报价给予 10%~20%（工程项目为 3%~5%）的扣除，用扣除后的价格参加评审。适用招标投标法的政府采购工程建设项目，采用 综合评估法但未采用低价优先法计算价格分的，评标时应当在采用原报价进行评分的基础上 增加其价格得分的 3%~5%作为其价格分。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 础上增加其价格得分的 1%~2%作为其价格分。</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七、对本次采购提出询问，请按以下方式联系</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1.采购人信息</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称：墨玉县教育局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址：墨玉县同心路81号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联系人：秦老师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w:t>
      </w:r>
      <w:bookmarkStart w:id="2" w:name="_Toc28359009"/>
      <w:bookmarkStart w:id="3" w:name="_Toc28359086"/>
      <w:r>
        <w:rPr>
          <w:rFonts w:hint="eastAsia" w:ascii="仿宋" w:hAnsi="仿宋" w:eastAsia="仿宋" w:cs="仿宋"/>
          <w:i w:val="0"/>
          <w:iCs w:val="0"/>
          <w:caps w:val="0"/>
          <w:color w:val="000000"/>
          <w:spacing w:val="0"/>
          <w:sz w:val="24"/>
          <w:szCs w:val="24"/>
          <w:highlight w:val="none"/>
          <w:lang w:val="en-US" w:eastAsia="zh-CN"/>
        </w:rPr>
        <w:t>0903-6514235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2.采购代理机构信息</w:t>
      </w:r>
      <w:bookmarkEnd w:id="2"/>
      <w:bookmarkEnd w:id="3"/>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称：新疆星耀天都项目管理有限责任公司</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址：和田市古江巴格乡屯垦西路35号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联系人：王先生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联系方式：0903-6860585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3.同级财政监管部门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单位名称：墨玉县财政局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地址：墨玉县行政服务中心</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联系人：李先生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24"/>
          <w:szCs w:val="24"/>
          <w:highlight w:val="none"/>
          <w:lang w:val="en-US" w:eastAsia="zh-CN"/>
        </w:rPr>
        <w:t>联系电话：0903-6565453</w:t>
      </w:r>
    </w:p>
    <w:p>
      <w:pPr>
        <w:keepNext/>
        <w:keepLines w:val="0"/>
        <w:pageBreakBefore w:val="0"/>
        <w:widowControl w:val="0"/>
        <w:suppressLineNumbers w:val="0"/>
        <w:kinsoku w:val="0"/>
        <w:wordWrap/>
        <w:overflowPunct/>
        <w:topLinePunct w:val="0"/>
        <w:autoSpaceDE/>
        <w:autoSpaceDN/>
        <w:bidi w:val="0"/>
        <w:adjustRightInd w:val="0"/>
        <w:snapToGrid w:val="0"/>
        <w:jc w:val="left"/>
        <w:textAlignment w:val="auto"/>
      </w:pPr>
      <w:bookmarkStart w:id="4" w:name="_Toc5064"/>
      <w:bookmarkStart w:id="5" w:name="_Toc1277"/>
      <w:bookmarkStart w:id="6" w:name="_Toc19282"/>
      <w:bookmarkStart w:id="7" w:name="_Toc25035"/>
      <w:bookmarkStart w:id="8" w:name="_Toc30559"/>
      <w:bookmarkStart w:id="9" w:name="_Toc15770"/>
      <w:bookmarkStart w:id="10" w:name="_Toc15231"/>
      <w:r>
        <w:rPr>
          <w:rFonts w:ascii="仿宋" w:hAnsi="仿宋" w:eastAsia="仿宋" w:cs="仿宋"/>
          <w:b/>
          <w:bCs/>
          <w:color w:val="000000"/>
          <w:kern w:val="0"/>
          <w:sz w:val="24"/>
          <w:szCs w:val="24"/>
          <w:lang w:val="en-US" w:eastAsia="zh-CN" w:bidi="ar"/>
        </w:rPr>
        <w:t xml:space="preserve">特别提醒：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1、投标企业采用银行转账或电汇的方式的，投标保证金由投标人账户汇出（投标保证金需一笔汇出，分笔汇出银行系统将不予统计），投标保证金需在2024年01月24日11：00（北京时间）前到账，超过时间则不予认可。投标人须在汇款单备注栏标明：XXX项目XXX包段（标段）或采购项目编号。该项目不换取保证金收据，由银行出具投标企业保证金缴纳情况。晚于规定时间缴纳保证金的企业一切责任将由贵公司自行承担。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2、投标企业下载招标文件后请仔细阅读，如对招标文件内容有质疑，投标人应在投标截止7日前按招标文件中载明的邮箱：2013809061@qq.com地址:和田市古江巴格乡屯垦西路35号 ，以书面形式一次提出所有质疑内容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3、为确保投标保证金的及时退还，评标结束后投标企业需提供保证金汇款凭证、开户许可证复印件、收据并注明开户行行号、联系方式（加盖公司鲜红公章）交至墨玉县公共资源交易平台中心财务室办理。（注：废标项目投保证金在后续项目再次招标时银行系统不做统计，请投标企业及时办理退款），中标企业签订政府采购合同后，携带合同原件一份及以上资料办理退投标保证金事宜。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4.电子保函使用方法：1、登录新疆自治区政府采购网，首页点击“电子保函”直接进入新疆政府采购电子保函申请页，点击【立即申请】2、依次完善页面显示的投保人信息（投标人信息），确认您要投保的项目信息，在投标项目选择页面选择您需要投保的项目（可根据项目名称或项目保函进行搜索），选择投保项目后填写被保险人信息及投保内容。服务热线:400-9039583 </w:t>
      </w:r>
    </w:p>
    <w:p>
      <w:pPr>
        <w:keepNext w:val="0"/>
        <w:keepLines w:val="0"/>
        <w:widowControl/>
        <w:suppressLineNumbers w:val="0"/>
        <w:jc w:val="left"/>
        <w:rPr>
          <w:rFonts w:hint="eastAsia" w:ascii="仿宋" w:hAnsi="仿宋" w:eastAsia="仿宋" w:cs="仿宋"/>
          <w:b/>
          <w:color w:val="auto"/>
          <w:sz w:val="28"/>
          <w:szCs w:val="28"/>
          <w:highlight w:val="none"/>
          <w:lang w:eastAsia="zh-CN"/>
        </w:rPr>
        <w:sectPr>
          <w:footerReference r:id="rId3" w:type="default"/>
          <w:pgSz w:w="11905" w:h="16838"/>
          <w:pgMar w:top="1440" w:right="1800" w:bottom="1440" w:left="1800" w:header="567" w:footer="454" w:gutter="0"/>
          <w:pgNumType w:fmt="decimal" w:start="1"/>
          <w:cols w:space="720" w:num="1"/>
          <w:rtlGutter w:val="0"/>
          <w:docGrid w:type="lines" w:linePitch="317" w:charSpace="0"/>
        </w:sectPr>
      </w:pPr>
    </w:p>
    <w:p>
      <w:pPr>
        <w:ind w:firstLine="42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投标人须知</w:t>
      </w:r>
      <w:bookmarkEnd w:id="0"/>
      <w:bookmarkEnd w:id="1"/>
      <w:bookmarkEnd w:id="4"/>
      <w:bookmarkEnd w:id="5"/>
      <w:bookmarkEnd w:id="6"/>
      <w:bookmarkEnd w:id="7"/>
      <w:bookmarkEnd w:id="8"/>
      <w:bookmarkEnd w:id="9"/>
      <w:bookmarkEnd w:id="10"/>
    </w:p>
    <w:p>
      <w:pPr>
        <w:ind w:firstLine="420"/>
        <w:jc w:val="center"/>
        <w:outlineLvl w:val="0"/>
        <w:rPr>
          <w:rFonts w:hint="eastAsia" w:ascii="仿宋" w:hAnsi="仿宋" w:eastAsia="仿宋" w:cs="仿宋"/>
          <w:b/>
          <w:color w:val="auto"/>
          <w:sz w:val="28"/>
          <w:szCs w:val="28"/>
          <w:highlight w:val="none"/>
        </w:rPr>
      </w:pPr>
      <w:bookmarkStart w:id="11" w:name="_Toc29111"/>
      <w:bookmarkStart w:id="12" w:name="_Toc7237"/>
      <w:bookmarkStart w:id="13" w:name="_Toc9144"/>
      <w:bookmarkStart w:id="14" w:name="_Toc18219"/>
      <w:bookmarkStart w:id="15" w:name="_Toc17655"/>
      <w:bookmarkStart w:id="16" w:name="_Toc10040"/>
      <w:bookmarkStart w:id="17" w:name="_Toc14053"/>
      <w:bookmarkStart w:id="18" w:name="_Toc8971"/>
      <w:bookmarkStart w:id="19" w:name="_Toc24832"/>
      <w:bookmarkStart w:id="20" w:name="_Toc21348_WPSOffice_Level1"/>
      <w:bookmarkStart w:id="21" w:name="_Toc12827"/>
      <w:bookmarkStart w:id="22" w:name="_Toc10179"/>
      <w:r>
        <w:rPr>
          <w:rFonts w:hint="eastAsia" w:ascii="仿宋" w:hAnsi="仿宋" w:eastAsia="仿宋" w:cs="仿宋"/>
          <w:b/>
          <w:color w:val="auto"/>
          <w:sz w:val="28"/>
          <w:szCs w:val="28"/>
          <w:highlight w:val="none"/>
        </w:rPr>
        <w:t>投标人须知前附表</w:t>
      </w:r>
      <w:bookmarkEnd w:id="11"/>
      <w:bookmarkEnd w:id="12"/>
      <w:bookmarkEnd w:id="13"/>
      <w:bookmarkEnd w:id="14"/>
      <w:bookmarkEnd w:id="15"/>
      <w:bookmarkEnd w:id="16"/>
      <w:bookmarkEnd w:id="17"/>
      <w:bookmarkEnd w:id="18"/>
      <w:bookmarkEnd w:id="19"/>
      <w:bookmarkEnd w:id="20"/>
      <w:bookmarkEnd w:id="21"/>
      <w:bookmarkEnd w:id="22"/>
    </w:p>
    <w:tbl>
      <w:tblPr>
        <w:tblStyle w:val="44"/>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称：墨玉县教育局</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秦老师</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0903-6514235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 新疆星耀天都项目管理有限责任公司</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地  址: 和田市古江巴格乡屯垦西路35号 </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王先生</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0903-6860585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r>
              <w:rPr>
                <w:rFonts w:hint="eastAsia" w:ascii="仿宋" w:hAnsi="仿宋" w:eastAsia="仿宋" w:cs="仿宋"/>
                <w:color w:val="auto"/>
                <w:sz w:val="24"/>
                <w:szCs w:val="24"/>
                <w:highlight w:val="none"/>
              </w:rPr>
              <w:t>项目名称</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项目编号：XYTDZB-GK-2023487-05号</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项目名称：墨玉县萨依巴格乡寄宿制学校设备采购项目（包五）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项目属性</w:t>
            </w:r>
          </w:p>
        </w:tc>
        <w:tc>
          <w:tcPr>
            <w:tcW w:w="7784" w:type="dxa"/>
            <w:vAlign w:val="center"/>
          </w:tcPr>
          <w:p>
            <w:pPr>
              <w:jc w:val="left"/>
              <w:rPr>
                <w:rFonts w:hint="eastAsia" w:ascii="仿宋" w:hAnsi="仿宋" w:eastAsia="仿宋" w:cs="仿宋"/>
                <w:sz w:val="24"/>
              </w:rPr>
            </w:pPr>
            <w:r>
              <w:rPr>
                <w:rFonts w:hint="eastAsia" w:ascii="仿宋" w:hAnsi="仿宋" w:eastAsia="仿宋" w:cs="仿宋"/>
                <w:sz w:val="24"/>
              </w:rPr>
              <w:t>项目属性：</w:t>
            </w:r>
          </w:p>
          <w:p>
            <w:pPr>
              <w:jc w:val="left"/>
              <w:rPr>
                <w:rFonts w:hint="eastAsia"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货物</w:t>
            </w:r>
          </w:p>
          <w:p>
            <w:pPr>
              <w:jc w:val="left"/>
              <w:rPr>
                <w:rFonts w:hint="eastAsia" w:ascii="仿宋" w:hAnsi="仿宋" w:eastAsia="仿宋" w:cs="仿宋"/>
                <w:kern w:val="0"/>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7784" w:type="dxa"/>
            <w:vAlign w:val="center"/>
          </w:tcPr>
          <w:p>
            <w:pPr>
              <w:spacing w:line="240" w:lineRule="auto"/>
              <w:ind w:firstLine="0" w:firstLineChars="0"/>
              <w:jc w:val="left"/>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北京援疆资金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p>
        </w:tc>
        <w:tc>
          <w:tcPr>
            <w:tcW w:w="7784" w:type="dxa"/>
            <w:vAlign w:val="center"/>
          </w:tcPr>
          <w:p>
            <w:pPr>
              <w:widowControl/>
              <w:spacing w:line="360" w:lineRule="auto"/>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664.365</w:t>
            </w:r>
            <w:r>
              <w:rPr>
                <w:rFonts w:hint="eastAsia" w:ascii="仿宋" w:hAnsi="仿宋" w:eastAsia="仿宋" w:cs="仿宋"/>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需求</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办公家具等（具体参数详见招标文件）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7784" w:type="dxa"/>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sz w:val="24"/>
                <w:highlight w:val="none"/>
              </w:rPr>
              <w:t>本项目</w:t>
            </w:r>
            <w:r>
              <w:rPr>
                <w:rFonts w:hint="eastAsia" w:ascii="仿宋" w:hAnsi="仿宋" w:eastAsia="仿宋" w:cs="仿宋"/>
                <w:b/>
                <w:bCs w:val="0"/>
                <w:sz w:val="24"/>
                <w:highlight w:val="none"/>
                <w:lang w:val="en-US" w:eastAsia="zh-CN"/>
              </w:rPr>
              <w:t>最高限价为：</w:t>
            </w:r>
            <w:r>
              <w:rPr>
                <w:rFonts w:hint="eastAsia" w:ascii="仿宋" w:hAnsi="仿宋" w:eastAsia="仿宋" w:cs="仿宋"/>
                <w:b/>
                <w:bCs w:val="0"/>
                <w:sz w:val="24"/>
                <w:highlight w:val="none"/>
                <w:u w:val="single"/>
                <w:lang w:val="en-US" w:eastAsia="zh-CN"/>
              </w:rPr>
              <w:t>173.2万元</w:t>
            </w:r>
            <w:r>
              <w:rPr>
                <w:rFonts w:hint="eastAsia" w:ascii="仿宋" w:hAnsi="仿宋" w:eastAsia="仿宋" w:cs="仿宋"/>
                <w:b/>
                <w:bCs w:val="0"/>
                <w:sz w:val="24"/>
                <w:highlight w:val="none"/>
                <w:lang w:val="en-US" w:eastAsia="zh-CN"/>
              </w:rPr>
              <w:t>；</w:t>
            </w:r>
            <w:r>
              <w:rPr>
                <w:rFonts w:hint="eastAsia" w:ascii="仿宋" w:hAnsi="仿宋" w:eastAsia="仿宋" w:cs="仿宋"/>
                <w:b/>
                <w:bCs w:val="0"/>
                <w:sz w:val="24"/>
                <w:highlight w:val="none"/>
              </w:rPr>
              <w:t>高于最高限价的，其投标文件按无效投标处理。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投标保证金</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w:t>
            </w:r>
            <w:r>
              <w:rPr>
                <w:rFonts w:hint="eastAsia" w:ascii="仿宋" w:hAnsi="仿宋" w:eastAsia="仿宋" w:cs="仿宋"/>
                <w:b w:val="0"/>
                <w:bCs w:val="0"/>
                <w:color w:val="auto"/>
                <w:kern w:val="0"/>
                <w:sz w:val="24"/>
                <w:szCs w:val="24"/>
                <w:highlight w:val="none"/>
                <w:lang w:val="en-US" w:eastAsia="zh-CN"/>
              </w:rPr>
              <w:t>标保证金：17000.00元（壹万柒仟元整）；</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投标保证金的提交形式：转账、 电汇、保函等非现金形式</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收款单位：墨玉县公共资源交易平台中心</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开户行：墨玉县农村信用合作联社</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帐 号：879010012010178915451</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墨玉县公共资源交易平台中心财务室电话：0903-7863806</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1）投标保证金请于2024年01月24日11:00之前（北京时间）前汇至墨玉县公共资源交易平台中心专用账户，各投标企业保证金缴纳只接受企业基本帐户足额对公转帐，其他以私人名义或现金缴纳等存入、汇款方式均视为无效投标保证金，未按规定时间交保证金的投标人不得参加本次投标（以到账时间为准）。</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（2）电子保函使用方法： 1、登录新疆自治区政府采购网，首页点击“ 电子保函 ”直 接进入新疆政府采购电子保函申请页，点击【立即申请】2、依次完善页面显示的 投保人信息 (投标人信息) ，确认您要投保的项目信息，在投标项目选择页面选择 您需要投保的项目 (可根据项目名称或项目保函进行搜索) ，选择投保项目后填写 被保险人信息及投保内容。服务热线:400-9039583。</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（3）投标单位须在汇款单备注栏标明：XXX项目XXX包段（标段）或项目编号。</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（4）保函承保期限：2024年01月24日-2024年4月22日（90日历天）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投标人资格要求</w:t>
            </w:r>
          </w:p>
          <w:p>
            <w:pPr>
              <w:widowControl/>
              <w:spacing w:line="240" w:lineRule="auto"/>
              <w:jc w:val="left"/>
              <w:rPr>
                <w:rFonts w:hint="eastAsia" w:ascii="仿宋" w:hAnsi="仿宋" w:eastAsia="仿宋" w:cs="仿宋"/>
                <w:color w:val="auto"/>
                <w:sz w:val="24"/>
                <w:szCs w:val="24"/>
                <w:highlight w:val="none"/>
                <w:lang w:val="en-US" w:eastAsia="zh-CN"/>
              </w:rPr>
            </w:pPr>
          </w:p>
        </w:tc>
        <w:tc>
          <w:tcPr>
            <w:tcW w:w="7784" w:type="dxa"/>
            <w:vAlign w:val="center"/>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2.落实政府采购政策需满足的资格要求：《政府采购促进中小企业发展管理办法》（财库〔2020〕46 号）本项目专门面向中小企业（含中型、小型、微型企业）；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（8）提供有效的中小企业声明函。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（9）本项目不接受联合体投标；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中小企业政策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（2）财政部、民政部、中国残疾人联合会《关于促进残疾人就业政府采购政策的通知》（财库[2017]141号）；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标前准备</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1、本项目实行网上投标，采用电子投标文件。若投标人参与投标，自行承担投标一切费用。</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为电子招投标，投标人需要使用CA加密设备，有意向参与新疆区域电子开评标的投标人，请访问新疆数字证书认证中心官方网站（https://www.xjca.com.cn/）或下载;“新疆政务通”APP自行进行申领。如需咨询，请联系新疆CA货物热线0991-2819290</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货物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信用情况</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1、信用记录查询时间及方式：</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（1）查询时间：自招标公告发布日期起至开标日期止，超出此时间范围将被视为无效投标。</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投标人，其投标文件将被视为无效投标。未提供证明材料的视为不响应招标文件。</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（3）投标人参加政府采购活动时，应当就自己的诚信情况在响应性文件中进行承诺。</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签订合同后30日历天完成供货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7784" w:type="dxa"/>
            <w:vAlign w:val="center"/>
          </w:tcPr>
          <w:p>
            <w:pPr>
              <w:pStyle w:val="89"/>
              <w:spacing w:line="24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784" w:type="dxa"/>
            <w:vAlign w:val="center"/>
          </w:tcPr>
          <w:p>
            <w:pPr>
              <w:widowControl/>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自货物验收合格后1年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质量要求</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付款方式</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签订合同后支付20%，货物采购、运输、装卸、安装、调试、培训及相关服务完成后支付30%，验收合格后支付47%，履约期满后支付剩余3%（具体以甲乙双方签订合同为准）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70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eastAsia="zh-CN"/>
              </w:rPr>
              <w:t>标的所属行业</w:t>
            </w:r>
          </w:p>
        </w:tc>
        <w:tc>
          <w:tcPr>
            <w:tcW w:w="778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val="en-US" w:eastAsia="zh-CN"/>
              </w:rPr>
              <w:t>本项目采购标的对应的中小企业划分标准所属行业：</w:t>
            </w:r>
            <w:r>
              <w:rPr>
                <w:rFonts w:hint="eastAsia" w:ascii="仿宋" w:hAnsi="仿宋" w:eastAsia="仿宋" w:cs="仿宋"/>
                <w:b/>
                <w:bCs/>
                <w:sz w:val="24"/>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联合体投标</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考察现场</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签字盖章</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投标人必须按照招标文件的规定和要求签字、盖章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质疑须知</w:t>
            </w:r>
          </w:p>
        </w:tc>
        <w:tc>
          <w:tcPr>
            <w:tcW w:w="7784" w:type="dxa"/>
            <w:vAlign w:val="center"/>
          </w:tcPr>
          <w:p>
            <w:pPr>
              <w:overflowPunct w:val="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接收质疑函的方式：自招标文件发售时间起的7个工作日内（各潜在投标人如有质疑，请于规定的日期内提出，以书面形式提出质疑，质疑书应列明理由、依据，加盖单位公章递交至</w:t>
            </w:r>
            <w:r>
              <w:rPr>
                <w:rFonts w:hint="eastAsia" w:ascii="仿宋" w:hAnsi="仿宋" w:eastAsia="仿宋" w:cs="仿宋"/>
                <w:color w:val="auto"/>
                <w:sz w:val="24"/>
                <w:szCs w:val="24"/>
                <w:highlight w:val="none"/>
                <w:lang w:val="en-US" w:eastAsia="zh-CN"/>
              </w:rPr>
              <w:t>新疆星耀天都项目管理有限责任公司</w:t>
            </w:r>
            <w:r>
              <w:rPr>
                <w:rFonts w:hint="eastAsia" w:ascii="仿宋" w:hAnsi="仿宋" w:eastAsia="仿宋" w:cs="仿宋"/>
                <w:color w:val="auto"/>
                <w:kern w:val="0"/>
                <w:sz w:val="24"/>
                <w:szCs w:val="24"/>
                <w:highlight w:val="none"/>
                <w:lang w:val="en-US" w:eastAsia="zh-CN"/>
              </w:rPr>
              <w:t>或将PDF格式电子版质疑文件加盖公章扫描发送至邮箱：2013809061@qq.com。投标人须对质疑内容的真实性承担责任，由招标人或招标代理机构负责解释。如在规定的日期内未收到任何投标人递交的质疑书，视为投标人可完全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接受质疑的单位：新疆星耀天都项目管理有限责任公司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联系电话：0903-6860585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地址：和田市古江巴格乡屯垦西路35号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bCs/>
                <w:color w:val="auto"/>
                <w:sz w:val="24"/>
                <w:szCs w:val="24"/>
                <w:highlight w:val="none"/>
                <w:lang w:val="en-US" w:eastAsia="zh-CN"/>
              </w:rPr>
              <w:t>应商认为采购文件、采购过程、中标或者成交结果使自己的权益受到损害的，可以根据中华人民共和国财政部令第94号中第十条，投标人在法定质疑期内以书面形式向采购人、代理机构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构成招标文件的其他文件</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开标时间及投标文件递交截止时间</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2024年01月24日 11:00</w:t>
            </w:r>
            <w:r>
              <w:rPr>
                <w:rFonts w:hint="eastAsia" w:ascii="仿宋" w:hAnsi="仿宋" w:eastAsia="仿宋" w:cs="仿宋"/>
                <w:b w:val="0"/>
                <w:bCs/>
                <w:color w:val="auto"/>
                <w:sz w:val="24"/>
                <w:szCs w:val="24"/>
                <w:highlight w:val="none"/>
                <w:u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投标文件递交及开标地点</w:t>
            </w:r>
          </w:p>
        </w:tc>
        <w:tc>
          <w:tcPr>
            <w:tcW w:w="7784" w:type="dxa"/>
            <w:vAlign w:val="center"/>
          </w:tcPr>
          <w:p>
            <w:pPr>
              <w:spacing w:line="500" w:lineRule="exact"/>
              <w:rPr>
                <w:rFonts w:hint="eastAsia" w:ascii="仿宋" w:hAnsi="仿宋" w:eastAsia="仿宋" w:cs="仿宋"/>
                <w:kern w:val="2"/>
                <w:sz w:val="24"/>
                <w:lang w:val="en-US" w:eastAsia="zh-CN" w:bidi="ar-SA"/>
              </w:rPr>
            </w:pPr>
            <w:r>
              <w:rPr>
                <w:rFonts w:hint="eastAsia" w:ascii="仿宋" w:hAnsi="仿宋" w:eastAsia="仿宋" w:cs="仿宋"/>
                <w:sz w:val="24"/>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递交投标文件的地点及方式</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sz w:val="24"/>
              </w:rPr>
            </w:pPr>
            <w:r>
              <w:rPr>
                <w:rFonts w:hint="eastAsia" w:ascii="仿宋" w:hAnsi="仿宋" w:eastAsia="仿宋" w:cs="仿宋"/>
                <w:sz w:val="24"/>
              </w:rPr>
              <w:t>新疆政府采购网政采云平台（www.zcygov.cn）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投标人应于2024年01月24日 11:00时整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开标结束后 7 日内，所有投标人将上传新疆政府采购网政采云平台（www.zcygov.cn）的投标文件使用A4纸胶装成册（1正3副）递交或邮寄至新疆星耀天都项目管理有限责任公司，和田市古江巴格乡屯垦西路35号 。 纸质版必须与电子版投标文件内容一致。（纸质版投标文件由系统生成打印，1正3副，封皮需加盖公章）纸质版投标文件4份、不加密电子版U 盘 3 份、 光盘 3 份。（接受邮寄，不接受到付）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解密时间</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rPr>
            </w:pPr>
            <w:r>
              <w:rPr>
                <w:rFonts w:hint="eastAsia" w:ascii="仿宋" w:hAnsi="仿宋" w:eastAsia="仿宋" w:cs="仿宋"/>
                <w:b/>
                <w:bCs w:val="0"/>
                <w:color w:val="auto"/>
                <w:sz w:val="24"/>
                <w:szCs w:val="24"/>
                <w:highlight w:val="none"/>
                <w:lang w:val="en-US" w:eastAsia="zh-CN"/>
              </w:rPr>
              <w:t>开标方式：不见面电子开标.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eastAsia="zh-CN"/>
              </w:rPr>
              <w:t>2024年01月24日上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可以登录“政采云”平台，用“项目采购-开标评标”功能进行解密投标文件。若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在规定时间内（</w:t>
            </w:r>
            <w:r>
              <w:rPr>
                <w:rFonts w:hint="eastAsia" w:ascii="仿宋" w:hAnsi="仿宋" w:eastAsia="仿宋" w:cs="仿宋"/>
                <w:b/>
                <w:bCs w:val="0"/>
                <w:color w:val="auto"/>
                <w:sz w:val="24"/>
                <w:szCs w:val="24"/>
                <w:highlight w:val="none"/>
                <w:lang w:eastAsia="zh-CN"/>
              </w:rPr>
              <w:t>202</w:t>
            </w: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lang w:eastAsia="zh-CN"/>
              </w:rPr>
              <w:t>年</w:t>
            </w:r>
            <w:r>
              <w:rPr>
                <w:rFonts w:hint="eastAsia" w:ascii="仿宋" w:hAnsi="仿宋" w:eastAsia="仿宋" w:cs="仿宋"/>
                <w:b/>
                <w:bCs w:val="0"/>
                <w:color w:val="auto"/>
                <w:sz w:val="24"/>
                <w:szCs w:val="24"/>
                <w:highlight w:val="none"/>
                <w:lang w:val="en-US" w:eastAsia="zh-CN"/>
              </w:rPr>
              <w:t>01月24日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评标委员会的组成</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评标委员会构成：5人组成，其中采购人代表1人和专家评委4人；评标专家确定方式：由招标代理在开标前48小时在政采云专家库中随机抽取此次评标专家。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w:t>
            </w:r>
          </w:p>
        </w:tc>
        <w:tc>
          <w:tcPr>
            <w:tcW w:w="1704" w:type="dxa"/>
            <w:vAlign w:val="center"/>
          </w:tcPr>
          <w:p>
            <w:pPr>
              <w:keepNext w:val="0"/>
              <w:keepLines w:val="0"/>
              <w:widowControl/>
              <w:suppressLineNumbers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投标报价</w:t>
            </w: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本次采购设置</w:t>
            </w:r>
            <w:r>
              <w:rPr>
                <w:rFonts w:hint="eastAsia" w:ascii="仿宋" w:hAnsi="仿宋" w:eastAsia="仿宋" w:cs="仿宋"/>
                <w:b/>
                <w:bCs/>
                <w:color w:val="auto"/>
                <w:sz w:val="24"/>
                <w:szCs w:val="24"/>
                <w:highlight w:val="none"/>
                <w:lang w:val="en-US" w:eastAsia="zh-CN"/>
              </w:rPr>
              <w:t>最高限</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val="en-US" w:eastAsia="zh-CN"/>
              </w:rPr>
              <w:t>1732000.00元</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的报价超出此范围将作废标处理。</w:t>
            </w:r>
          </w:p>
          <w:p>
            <w:pPr>
              <w:numPr>
                <w:ilvl w:val="0"/>
                <w:numId w:val="0"/>
              </w:numPr>
              <w:tabs>
                <w:tab w:val="left" w:pos="900"/>
              </w:tabs>
              <w:spacing w:before="24" w:beforeLines="10" w:after="24" w:afterLines="10" w:line="240" w:lineRule="auto"/>
              <w:ind w:leftChars="0"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投标货币：</w:t>
            </w:r>
            <w:r>
              <w:rPr>
                <w:rFonts w:hint="eastAsia" w:ascii="仿宋" w:hAnsi="仿宋" w:eastAsia="仿宋" w:cs="仿宋"/>
                <w:b/>
                <w:bCs/>
                <w:color w:val="auto"/>
                <w:kern w:val="0"/>
                <w:sz w:val="24"/>
                <w:szCs w:val="24"/>
                <w:highlight w:val="none"/>
                <w:u w:val="single"/>
              </w:rPr>
              <w:t>人民币；</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的报价超过本项目的最高限价，按无效投标处理。</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投标报价：</w:t>
            </w:r>
            <w:r>
              <w:rPr>
                <w:rFonts w:hint="eastAsia" w:ascii="仿宋" w:hAnsi="仿宋" w:eastAsia="仿宋" w:cs="仿宋"/>
                <w:b/>
                <w:bCs/>
                <w:color w:val="auto"/>
                <w:kern w:val="0"/>
                <w:sz w:val="24"/>
                <w:szCs w:val="24"/>
                <w:highlight w:val="none"/>
                <w:u w:val="single"/>
              </w:rPr>
              <w:t>货物到达交货地点并安装调试完成的包干总价；</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投标报价应包括：</w:t>
            </w:r>
            <w:r>
              <w:rPr>
                <w:rFonts w:hint="eastAsia" w:ascii="仿宋" w:hAnsi="仿宋" w:eastAsia="仿宋" w:cs="仿宋"/>
                <w:b/>
                <w:bCs/>
                <w:color w:val="auto"/>
                <w:kern w:val="0"/>
                <w:sz w:val="24"/>
                <w:szCs w:val="24"/>
                <w:highlight w:val="none"/>
                <w:u w:val="single"/>
              </w:rPr>
              <w:t>投标人应在开标一览表中标明其提供的所有货物及相关工作范围内所有费用的总价；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704" w:type="dxa"/>
            <w:vAlign w:val="center"/>
          </w:tcPr>
          <w:p>
            <w:pPr>
              <w:numPr>
                <w:ilvl w:val="0"/>
                <w:numId w:val="0"/>
              </w:numPr>
              <w:tabs>
                <w:tab w:val="left" w:pos="900"/>
              </w:tabs>
              <w:spacing w:before="24" w:beforeLines="10" w:after="24" w:afterLines="10"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招标代理费</w:t>
            </w:r>
          </w:p>
          <w:p>
            <w:pPr>
              <w:numPr>
                <w:ilvl w:val="0"/>
                <w:numId w:val="0"/>
              </w:numPr>
              <w:tabs>
                <w:tab w:val="left" w:pos="900"/>
              </w:tabs>
              <w:spacing w:before="24" w:beforeLines="10" w:after="24" w:afterLines="10" w:line="240" w:lineRule="auto"/>
              <w:ind w:left="0" w:leftChars="0" w:firstLine="0" w:firstLineChars="0"/>
              <w:jc w:val="center"/>
              <w:rPr>
                <w:rFonts w:hint="eastAsia" w:ascii="仿宋" w:hAnsi="仿宋" w:eastAsia="仿宋" w:cs="仿宋"/>
                <w:color w:val="auto"/>
                <w:kern w:val="0"/>
                <w:sz w:val="24"/>
                <w:szCs w:val="24"/>
                <w:highlight w:val="none"/>
              </w:rPr>
            </w:pP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招标代理服务费由</w:t>
            </w:r>
            <w:r>
              <w:rPr>
                <w:rFonts w:hint="eastAsia" w:ascii="仿宋" w:hAnsi="仿宋" w:eastAsia="仿宋" w:cs="仿宋"/>
                <w:b/>
                <w:bCs/>
                <w:color w:val="auto"/>
                <w:sz w:val="24"/>
                <w:szCs w:val="24"/>
                <w:highlight w:val="none"/>
              </w:rPr>
              <w:t>中标单位领取中标通知书时一次性支付</w:t>
            </w:r>
            <w:r>
              <w:rPr>
                <w:rFonts w:hint="eastAsia" w:ascii="仿宋" w:hAnsi="仿宋" w:eastAsia="仿宋" w:cs="仿宋"/>
                <w:b/>
                <w:bCs/>
                <w:color w:val="auto"/>
                <w:sz w:val="24"/>
                <w:szCs w:val="24"/>
                <w:highlight w:val="none"/>
                <w:lang w:val="en-US" w:eastAsia="zh-CN"/>
              </w:rPr>
              <w:t>,投标人在投标报价时，应考虑招标代理费</w:t>
            </w:r>
            <w:r>
              <w:rPr>
                <w:rFonts w:hint="eastAsia" w:ascii="仿宋" w:hAnsi="仿宋" w:eastAsia="仿宋" w:cs="仿宋"/>
                <w:b/>
                <w:bCs/>
                <w:color w:val="auto"/>
                <w:sz w:val="24"/>
                <w:szCs w:val="24"/>
                <w:highlight w:val="none"/>
              </w:rPr>
              <w:t>。</w:t>
            </w:r>
            <w:r>
              <w:rPr>
                <w:rFonts w:hint="eastAsia" w:ascii="仿宋" w:hAnsi="仿宋" w:eastAsia="仿宋" w:cs="仿宋"/>
                <w:color w:val="auto"/>
                <w:kern w:val="0"/>
                <w:sz w:val="24"/>
                <w:szCs w:val="24"/>
                <w:highlight w:val="none"/>
                <w:lang w:val="en-US" w:eastAsia="zh-CN"/>
              </w:rPr>
              <w:t>成交投标人在收到成交通知书前，须向新疆星耀天都项目管理有限责任公司支付采购代理费。收费标准：参考文件标准计取。敬请投标人注意！</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drawing>
                <wp:inline distT="0" distB="0" distL="114300" distR="114300">
                  <wp:extent cx="4434205" cy="15240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434205" cy="1524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本项目评标办法</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根据《中华人民共和国政府采购法》及其实施条例、《中华人民共和国财政部令第87号--政府采购货物和服务招标投标管理办法》及招标文件，</w:t>
            </w:r>
            <w:r>
              <w:rPr>
                <w:rFonts w:hint="eastAsia" w:ascii="仿宋" w:hAnsi="仿宋" w:eastAsia="仿宋" w:cs="仿宋"/>
                <w:b w:val="0"/>
                <w:bCs w:val="0"/>
                <w:color w:val="auto"/>
                <w:sz w:val="24"/>
                <w:szCs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35</w:t>
            </w:r>
          </w:p>
        </w:tc>
        <w:tc>
          <w:tcPr>
            <w:tcW w:w="1704" w:type="dxa"/>
            <w:vAlign w:val="center"/>
          </w:tcPr>
          <w:p>
            <w:pPr>
              <w:spacing w:line="24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t>低于成本价不正当竞争预防措施</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在评标过程中，评标委员会认为投标人报价明显低于其他有效投标人报价，有可能影响产品质量或者不能诚信履约的，评标委员会应当要求其在评标现场合理的时间内提供成本构成书面说明，并提交相关证明材料。</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书面说明应当按照国家财务会计制度的规定要求，逐项就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提供的货物、工程和</w:t>
            </w:r>
            <w:r>
              <w:rPr>
                <w:rFonts w:hint="eastAsia" w:ascii="仿宋" w:hAnsi="仿宋" w:eastAsia="仿宋" w:cs="仿宋"/>
                <w:b/>
                <w:bCs/>
                <w:color w:val="auto"/>
                <w:sz w:val="24"/>
                <w:szCs w:val="24"/>
                <w:highlight w:val="none"/>
                <w:lang w:eastAsia="zh-CN"/>
              </w:rPr>
              <w:t>货物</w:t>
            </w:r>
            <w:r>
              <w:rPr>
                <w:rFonts w:hint="eastAsia" w:ascii="仿宋" w:hAnsi="仿宋" w:eastAsia="仿宋" w:cs="仿宋"/>
                <w:b/>
                <w:bCs/>
                <w:color w:val="auto"/>
                <w:sz w:val="24"/>
                <w:szCs w:val="24"/>
                <w:highlight w:val="none"/>
              </w:rPr>
              <w:t xml:space="preserve">的主营业务成本（应根据供 应商企业类型予以区别）、税金及附加、销售费用、管理费用、财务费用等成本构成事项详细陈述。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书面说明应当签字确认或者加盖公章，否则无效。书面说明的签字确认，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为法人的，由其法定代表人或者代理人签字确认；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为其他组织的，由其主要负责人或者代理人签字确认；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为自然人的，由其本人或者代理人签字确认。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提供书面说明后，评标委员会应当结合采购项目采购需求、专业实际情况、</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财务状况报告、与其他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比较情况等就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书面说明进行审查评价。</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7784" w:type="dxa"/>
            <w:vAlign w:val="center"/>
          </w:tcPr>
          <w:p>
            <w:pPr>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《中华人民共和国政府采购法实施条例》第四十八条履约保证金或履约保函的数额不得超过政府采购合同金额的 10%。由中标人和采购人协商确定金额，中标人与采购人签订合同前提交履约保证金或履约保函，如中标人未按招标文件规定的期限供货，则扣除履约保证金，且三年内不得参加和田市所有政府采购招投标活动。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37</w:t>
            </w:r>
          </w:p>
        </w:tc>
        <w:tc>
          <w:tcPr>
            <w:tcW w:w="1704" w:type="dxa"/>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不予退还保证金的情形</w:t>
            </w:r>
          </w:p>
        </w:tc>
        <w:tc>
          <w:tcPr>
            <w:tcW w:w="7784" w:type="dxa"/>
            <w:vAlign w:val="center"/>
          </w:tcPr>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有下列情形之一的，保证金不予退还：</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在提交投标文件截止时间后撤回投标文件的；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在投标文件中提供虚假材料的；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（3）除因不可抗力或招标文件认可的情形以外，成交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不与采购人签订合同的；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与采购人、其他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或者采购代理机构恶意串通的；</w:t>
            </w:r>
          </w:p>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利害关系代理人处理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2家以上的投标人不得在同一合同项下的采购项目中，同时委托同一个自然人、同一家庭的人员、同一单位的人员作为其代理人，否则，其投标文件作为无效处理。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w:t>
            </w:r>
          </w:p>
        </w:tc>
        <w:tc>
          <w:tcPr>
            <w:tcW w:w="1704" w:type="dxa"/>
            <w:vAlign w:val="center"/>
          </w:tcPr>
          <w:p>
            <w:pP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利害关系投标人处理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40</w:t>
            </w:r>
          </w:p>
        </w:tc>
        <w:tc>
          <w:tcPr>
            <w:tcW w:w="170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政府采购政策支持</w:t>
            </w:r>
          </w:p>
        </w:tc>
        <w:tc>
          <w:tcPr>
            <w:tcW w:w="7784" w:type="dxa"/>
            <w:vAlign w:val="center"/>
          </w:tcPr>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根据《中华人民共和国政府采购法》、财政部、 工信部《政府采购促进中小企业发展管理办法》（财库〔2020〕46 号）、《关于进一步加大政府采购支持中小企业力度的通知财库〔2022〕19 号》等有关法律法规执行；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2.落实政府采购政策需满足的资格要求：</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□本项目不专门面向中小企业预留采购份额。</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☑本项目专门面向 ☑中小企业 ☑小微企业 采购。即：提供的货物或服务全部由符合政策要求的中小/小微企业制造、服务全部由符合政策要求的中小/小微企业承接。</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        /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2.2 其它落实政府采购政策的资格要求</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（1）财政部、国家发展改革委、生态环境部、市场监管总局《关于调整优化节能产品、环境标志产</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品政府采购执行机制的通知》（财库[2019]9号文）；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（2）财政部、生态环境部《关于印发环境标志产品政府采购品目清单的通知》（财库[2019]18号文）;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（3）财政部、发展改革委《关于印发节能产品政府采购品目清单的通知》（财库[2019]19号文）；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（4）市场监管总局《市场监管总局关于发布参与实施政府采购节能产品、环境标志产品认证机构名录的公告》（2019年第16号）；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（6）财政部、民政部、中国残疾人联合会《关于促进残疾人就业政府采购政策的通知》（财库[2017]141号）；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（7）财政部、司法部《关于政府采购支持监狱企业发展有关问题的通知》（财库[2014]68号文）；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（8）财政部、生态环境部、国家邮政局《关于印发《商品包装政府采购需求标准（试行）》、 《快递包装政府采购需求标准（试行）》的通知》（财办库〔2020〕123号）。</w:t>
            </w:r>
          </w:p>
          <w:p>
            <w:pPr>
              <w:spacing w:line="240" w:lineRule="auto"/>
              <w:ind w:firstLine="482" w:firstLineChars="20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关于小微企业报价扣除比例说明</w:t>
            </w:r>
          </w:p>
        </w:tc>
        <w:tc>
          <w:tcPr>
            <w:tcW w:w="7784" w:type="dxa"/>
            <w:vAlign w:val="top"/>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1.投标人为非联合体投标的，对其投标货物的制造商为小微型企业的给予10%的扣除，以扣除后的报价参与评审。</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4%-6%由采购人在幅度范围内确定）的扣除，用扣除后的价格参加评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1</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特别提醒：</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1、所有投标人的报价高于本项目（标项）最高限价额度的视为无效报价（即作否决投标处理）。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4、更正补充公告请自行登录新疆政府采购网查看下载。</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5、采购代理机构将拒绝接受未在政采云平台获取招标文件的投标人的投标文件。</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6、所有投标单位对招标文件中所有条款如有疑问或异议请在开标以书面形式提出，否则不予受理。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为确保投标保证金的及时退还，结果公示后投标企业需提供保证金汇款凭证、开户许可证复印件、收据并注明开户行行号、联系方式（加盖公司鲜公章）。（注：废标项目投标保证金在后续项目再次招标时银行系统不做统计，投标企业及时办理退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8、本项目资格审查模块由招标代理组织进行。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2</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本项目的招标投标活动以及相关当事人须接受财政监督部门依法实施的监督。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成本（应根据投标人企业类型予以区别）、税金及附加、销售费用、管理费用、财务费用等成本构成事项详细陈述。</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重要提示</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（1）中标投标人应在规定期限内领取《中标通知书》，若中标投标人未在规定期限内领取《中标通知书》，采购人有权取消中标投标人中标资格，并将相关违约行为报送监管部门，实施信用惩戒；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中标投标人应在规定期限内提交履约担保并与采购人签订合同，若中标投标人未能在规定期限内提交履约担保或签订合同，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合同签订后，中标投标人存在规定时间内不组织人员进场开工，不履行供货、安装或服务义务等情况，采购人有权解除合同，并追究违约责任，同时将相关违约行为报送监管部门，记不良行为记录，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（4）中标投标人中标后被监管部门查实存在违法行为，不满足中标条件的，由采购人取消中标资格，并做好项目后续工作；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（5）中标投标人在中标项目发生投诉、信访举报案件、履约存在争议时，拒绝协助配合执法部门调查案件的，采购人可以取消其中标资格或解除合同，并追究其违约责任。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其他方式采购</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公开采购数额标准以上的采购项目，投标截止后投标人不足3家或者通过资格审查或符合性审查的投标人不足3家的，除采购任务取消情形外，根据《政府采购货物和服务采购投标管理办法》（中华人民共和国财政部令第87号）第四十三条规定，按照以下方式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（1）招标文件存在不合理条款或者采购程序不符合规定的，采购人、采购代理机构改正后依法重新采购；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（2）招标文件没有不合理条款、采购程序符合规定，需要采用其他采购方式采购的，采购人应当依法报财政部门批准。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46</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质疑</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或中标结果使自己的合法权益受到损害的，应当在知道或者应知其权益受到损害之日起在规定的期限内，以书面或邮件形式一次性向采购人（采购代理机构）提出质疑或投标人对采购人（采购代理机构）的质疑答复不满意或者采购人（采购代理机构）未在规定时间内做出答复的，可以在答复期满后五个工作日内向有关监管部门投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注：根据《中华人民共和国政府采购法》的规定，投标人质疑不得超出公开招标文件、公开招标过程及公开招标结果的范围及时效限制。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47</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投诉</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（1）质疑投标人对采购人、采购代理机构的答复不满意或者采购人、采购代理机构未在规定的时间内作出答复的，可以在答复期满后十五个工作日内向同级政府采购监督管理部门投诉。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注：根据《中华人民共和国政府采购法实施条例》的规定，投标人投诉事项不得超出已质疑事项的范围。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48</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合同备案</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1、中标投标人须在中标通知书发出之日起 30 日内与采购人签订合同；</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2、中标投标人与采购人签订合同后，2 日历天内将合同扫描件电子版发给新疆星耀天都项目管理有限责任公司：邮箱：2013809061@qq.com；</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 、 本 项 目 政 府 采 购 合同 按 规 定 在 新 疆 政 府 采 购 网（www.ccgp-xinjiang.gov.cn/）予以公告。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61"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1）投标人必须认真阅读招标文件中所有的事项、格式、条款和采购需求等。投标人没有按照招标文件要求提交全部资料，或者投标文件没有对招标文件在各方面都做出实质性响应的可能导致其投标无效或被拒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（2）投标人需在投标文件截止时间前，将加密投标文件上传至云平台项目采购系统，逾期上传或错误方式投递送达将导致投标无效。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b/>
                <w:bCs/>
                <w:color w:val="auto"/>
                <w:kern w:val="0"/>
                <w:sz w:val="24"/>
                <w:szCs w:val="24"/>
                <w:highlight w:val="none"/>
                <w:lang w:val="en-US" w:eastAsia="zh-CN" w:bidi="ar-SA"/>
              </w:rPr>
              <w:t>如本《投标须知前附表》相关内容与招标文件中的相关内容如有不一致处，则以本《投标须知前附表》相关内容为准。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（4）投标人应保证在本项目使用的任何产品和货物（包括部分使用）时，不会产生因第三方提出侵犯其专利权、商标权或其它知识产权而引起的法律和经济纠纷，如因专利权、商标权 或其它知识产权而引起法律和经济纠纷，由投标人承担所有相关责任的同时不得耽误本项目供应。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en-US" w:eastAsia="zh-CN" w:bidi="ar-SA"/>
              </w:rPr>
              <w:t>招标文件中部分加“*”、“★”、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0"/>
                <w:sz w:val="24"/>
                <w:szCs w:val="24"/>
                <w:highlight w:val="none"/>
                <w:lang w:val="en-US" w:eastAsia="zh-CN" w:bidi="ar-SA"/>
              </w:rPr>
              <w:t>加粗、加下划线为招标的实质性要求和条件，着重提醒各投标人注意，并认真查看招标文件中的每一个条款及要求，因误读招标文件而造成的后果，招标人概不负责。</w:t>
            </w:r>
          </w:p>
        </w:tc>
      </w:tr>
    </w:tbl>
    <w:p>
      <w:pPr>
        <w:rPr>
          <w:rFonts w:hint="eastAsia" w:ascii="仿宋" w:hAnsi="仿宋" w:eastAsia="仿宋" w:cs="仿宋"/>
          <w:color w:val="auto"/>
          <w:highlight w:val="none"/>
        </w:rPr>
      </w:pPr>
      <w:bookmarkStart w:id="23" w:name="_Toc32496"/>
      <w:bookmarkStart w:id="24" w:name="_Toc17755"/>
      <w:bookmarkStart w:id="25" w:name="_Toc27167"/>
      <w:bookmarkStart w:id="26" w:name="_Toc27509"/>
      <w:bookmarkStart w:id="27" w:name="_Toc3877"/>
      <w:bookmarkStart w:id="28" w:name="_Toc24863"/>
      <w:bookmarkStart w:id="29" w:name="_Toc3745"/>
      <w:bookmarkStart w:id="30" w:name="_Toc22081"/>
      <w:bookmarkStart w:id="31" w:name="_Toc31564"/>
      <w:r>
        <w:rPr>
          <w:rFonts w:hint="eastAsia" w:ascii="仿宋" w:hAnsi="仿宋" w:eastAsia="仿宋" w:cs="仿宋"/>
          <w:color w:val="auto"/>
          <w:highlight w:val="none"/>
        </w:rPr>
        <w:br w:type="page"/>
      </w:r>
    </w:p>
    <w:bookmarkEnd w:id="23"/>
    <w:bookmarkEnd w:id="24"/>
    <w:bookmarkEnd w:id="25"/>
    <w:bookmarkEnd w:id="26"/>
    <w:bookmarkEnd w:id="27"/>
    <w:bookmarkEnd w:id="28"/>
    <w:bookmarkEnd w:id="29"/>
    <w:bookmarkEnd w:id="30"/>
    <w:bookmarkEnd w:id="31"/>
    <w:p>
      <w:pPr>
        <w:spacing w:line="360" w:lineRule="auto"/>
        <w:jc w:val="center"/>
        <w:outlineLvl w:val="1"/>
        <w:rPr>
          <w:rFonts w:hint="eastAsia" w:ascii="仿宋" w:hAnsi="仿宋" w:eastAsia="仿宋" w:cs="仿宋"/>
          <w:b/>
          <w:color w:val="auto"/>
          <w:sz w:val="32"/>
          <w:szCs w:val="28"/>
          <w:highlight w:val="none"/>
        </w:rPr>
      </w:pPr>
      <w:bookmarkStart w:id="32" w:name="_Toc2805"/>
      <w:bookmarkStart w:id="33" w:name="_Toc13351"/>
      <w:r>
        <w:rPr>
          <w:rFonts w:hint="eastAsia" w:ascii="仿宋" w:hAnsi="仿宋" w:eastAsia="仿宋" w:cs="仿宋"/>
          <w:b/>
          <w:color w:val="auto"/>
          <w:sz w:val="32"/>
          <w:szCs w:val="28"/>
          <w:highlight w:val="none"/>
        </w:rPr>
        <w:t xml:space="preserve">一、  </w:t>
      </w:r>
      <w:bookmarkStart w:id="34" w:name="_Toc20677"/>
      <w:bookmarkStart w:id="35" w:name="_Toc3855"/>
      <w:r>
        <w:rPr>
          <w:rFonts w:hint="eastAsia" w:ascii="仿宋" w:hAnsi="仿宋" w:eastAsia="仿宋" w:cs="仿宋"/>
          <w:b/>
          <w:color w:val="auto"/>
          <w:sz w:val="32"/>
          <w:szCs w:val="28"/>
          <w:highlight w:val="none"/>
        </w:rPr>
        <w:t>总  则</w:t>
      </w:r>
      <w:bookmarkEnd w:id="34"/>
      <w:bookmarkEnd w:id="35"/>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本招标文件适用于墨玉县萨依巴格乡寄宿制学校设备采购项目的招标、投标、评标、定标、验收、合同履约、付款等行为（法律、法规另有规定的，从其规定）。</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bookmarkEnd w:id="32"/>
    <w:bookmarkEnd w:id="33"/>
    <w:p>
      <w:pPr>
        <w:spacing w:line="360" w:lineRule="auto"/>
        <w:ind w:firstLine="482" w:firstLineChars="200"/>
        <w:rPr>
          <w:rFonts w:hint="eastAsia" w:ascii="仿宋" w:hAnsi="仿宋" w:eastAsia="仿宋" w:cs="仿宋"/>
          <w:b/>
          <w:color w:val="auto"/>
          <w:sz w:val="24"/>
          <w:szCs w:val="24"/>
          <w:highlight w:val="none"/>
          <w:lang w:val="en-US" w:eastAsia="zh-CN"/>
        </w:rPr>
      </w:pPr>
      <w:bookmarkStart w:id="36" w:name="_Toc24194"/>
      <w:bookmarkStart w:id="37" w:name="_Toc11973"/>
      <w:bookmarkStart w:id="38" w:name="_Toc28817"/>
      <w:bookmarkStart w:id="39" w:name="_Toc19723"/>
      <w:bookmarkStart w:id="40" w:name="_Toc25254"/>
      <w:bookmarkStart w:id="41" w:name="_Toc26060"/>
      <w:bookmarkStart w:id="42" w:name="_Toc18832"/>
      <w:bookmarkStart w:id="43" w:name="_Toc7241"/>
      <w:bookmarkStart w:id="44" w:name="_Toc20061"/>
      <w:bookmarkStart w:id="45" w:name="_Toc13536"/>
      <w:bookmarkStart w:id="46" w:name="_Toc700"/>
      <w:bookmarkStart w:id="47" w:name="_Toc32237"/>
      <w:bookmarkStart w:id="48" w:name="_Toc19312"/>
      <w:r>
        <w:rPr>
          <w:rFonts w:hint="eastAsia" w:ascii="仿宋" w:hAnsi="仿宋" w:eastAsia="仿宋" w:cs="仿宋"/>
          <w:b/>
          <w:color w:val="auto"/>
          <w:sz w:val="24"/>
          <w:szCs w:val="24"/>
          <w:highlight w:val="none"/>
          <w:lang w:val="en-US" w:eastAsia="zh-CN"/>
        </w:rPr>
        <w:t>1.满足《中华人民共和国政府采购法》第二十二条规定；</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2.落实政府采购政策需满足的资格要求：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2.1 中小企业政策</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□本项目不专门面向中小企业预留采购份额。</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2.2 其它落实政府采购政策的资格要求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（2）财政部、民政部、中国残疾人联合会《关于促进残疾人就业政府采购政策的通知》（财库[2017]141号）；</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3.本项目的特定资格要求：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（1）提供经年审合格（三证合一）的营业执照；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（3）需提供公司近三个月社保证明（缴费凭证及明细）（新成立时间少于3个月的公司，按实际发生提供）；</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（4）提供2022年度的财务审计报告（2023年8月后成立的公司可不提供但需提供银行出具的近三个月的资信证明）；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（5）提供参加政府采购活动前 3 年内在经营活动中没有重大违法记录的书面声明；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（6）企业负责人为同一人或者存在直接控股、管理关系的不同投标人，不得参加同一合同项下的政府采购活动的声明函；否则，皆取消投标资格；</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（7）提供有效的中小企业声明函。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（8）本项目不接受联合体投标；</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1.招标采购单位系指组织本次招标的代理机构（“招标人”）和采购单位。</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49" w:name="_Toc16199"/>
      <w:r>
        <w:rPr>
          <w:rFonts w:hint="eastAsia" w:ascii="仿宋" w:hAnsi="仿宋" w:eastAsia="仿宋" w:cs="仿宋"/>
          <w:color w:val="auto"/>
          <w:sz w:val="24"/>
          <w:szCs w:val="24"/>
          <w:highlight w:val="none"/>
          <w:lang w:val="en-US" w:eastAsia="zh-CN"/>
        </w:rPr>
        <w:t>2.“投标人”系指向招标方提交投标文件的单位或个人。</w:t>
      </w:r>
      <w:bookmarkEnd w:id="49"/>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3.“产品”系指供方按招标文件规定，须向招标人提供的一切服务及其它有关技术资料和材料。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4.“服务”系指招标文件规定投标人须承担的技术协助、校准、培训、技术指导以及其他类似的义务。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5.“项目”系指投标人按招标文件规定向招标人提供的产品和服务。</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50" w:name="_Toc20586"/>
      <w:r>
        <w:rPr>
          <w:rFonts w:hint="eastAsia" w:ascii="仿宋" w:hAnsi="仿宋" w:eastAsia="仿宋" w:cs="仿宋"/>
          <w:color w:val="auto"/>
          <w:sz w:val="24"/>
          <w:szCs w:val="24"/>
          <w:highlight w:val="none"/>
          <w:lang w:val="en-US" w:eastAsia="zh-CN"/>
        </w:rPr>
        <w:t>6.“书面形式”包括信函、传真、电报等。</w:t>
      </w:r>
      <w:bookmarkEnd w:id="5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7.“▲”系指实质性要求条款。</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无论投标结果如何，投标人须自行承担所有与参加投标有关的全部费用。</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1" w:name="_Toc14030"/>
      <w:bookmarkStart w:id="52" w:name="_Toc15840"/>
      <w:r>
        <w:rPr>
          <w:rFonts w:hint="eastAsia" w:ascii="仿宋" w:hAnsi="仿宋" w:eastAsia="仿宋" w:cs="仿宋"/>
          <w:b/>
          <w:bCs/>
          <w:color w:val="auto"/>
          <w:sz w:val="24"/>
          <w:szCs w:val="24"/>
          <w:highlight w:val="none"/>
          <w:lang w:val="en-US" w:eastAsia="zh-CN"/>
        </w:rPr>
        <w:t>5、招标方式</w:t>
      </w:r>
      <w:bookmarkEnd w:id="51"/>
      <w:bookmarkEnd w:id="52"/>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本次招标采用公开招标方式进行。</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3" w:name="_Toc22117"/>
      <w:r>
        <w:rPr>
          <w:rFonts w:hint="eastAsia" w:ascii="仿宋" w:hAnsi="仿宋" w:eastAsia="仿宋" w:cs="仿宋"/>
          <w:b/>
          <w:bCs/>
          <w:color w:val="auto"/>
          <w:sz w:val="24"/>
          <w:szCs w:val="24"/>
          <w:highlight w:val="none"/>
          <w:lang w:val="en-US" w:eastAsia="zh-CN"/>
        </w:rPr>
        <w:t>6、联合体投标</w:t>
      </w:r>
      <w:bookmarkEnd w:id="5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1联合体各方均应当满足《中华人民共和国政府采购法》第二十二条规定的条件，并在投标文件中提供联合体各方的相关证明材料。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4联合体成员存在不良信用记录的，视同联合体存在不良信用记录。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联合体各方均应满足《中华人民共和国政府采购法》第二十二条规定的条件。根据《中华人民共和国政府采购法实施条例》第二十二条，联合体中有同类资质的投标人按照联合体分工承担相同工作的，应当按照资质等级较低的投标人确定资质等级。</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6联合体各方应当共同与采购人签订采购合同，就合同约定的事项对采购人承担连带责任。</w:t>
      </w:r>
    </w:p>
    <w:p>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本项目不接受联合体投标。</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4" w:name="_Toc11478"/>
      <w:bookmarkStart w:id="55" w:name="_Toc21389"/>
      <w:r>
        <w:rPr>
          <w:rFonts w:hint="eastAsia" w:ascii="仿宋" w:hAnsi="仿宋" w:eastAsia="仿宋" w:cs="仿宋"/>
          <w:b/>
          <w:bCs/>
          <w:color w:val="auto"/>
          <w:sz w:val="24"/>
          <w:szCs w:val="24"/>
          <w:highlight w:val="none"/>
          <w:lang w:val="en-US" w:eastAsia="zh-CN"/>
        </w:rPr>
        <w:t>7、转包与分包</w:t>
      </w:r>
      <w:bookmarkEnd w:id="54"/>
      <w:bookmarkEnd w:id="55"/>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1.本项目不允许转包。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2.本项目不分包。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3.投标人应仔细阅读招标文件的所有内容，按照招标文件的要求提交投标文件，并对所提供的全部资料的真实性承担法律责任。</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6" w:name="_Toc4294"/>
      <w:bookmarkStart w:id="57" w:name="_Toc14774"/>
      <w:r>
        <w:rPr>
          <w:rFonts w:hint="eastAsia" w:ascii="仿宋" w:hAnsi="仿宋" w:eastAsia="仿宋" w:cs="仿宋"/>
          <w:b/>
          <w:bCs/>
          <w:color w:val="auto"/>
          <w:sz w:val="24"/>
          <w:szCs w:val="24"/>
          <w:highlight w:val="none"/>
          <w:lang w:val="en-US" w:eastAsia="zh-CN"/>
        </w:rPr>
        <w:t>8、质疑和投诉</w:t>
      </w:r>
      <w:bookmarkEnd w:id="56"/>
      <w:bookmarkEnd w:id="57"/>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9、纪律与保密事项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2在确定中标投标人之前，投标人不得与采购人就投标价格、投标方案等实质性内容进行谈判，也不得私下接触评标委员会成员。</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3在确定中标投标人之前，投标人试图在投标文件审查、澄清、比较和评价时对评标委员会、采购人和采购代理机构施加任何影响都可能导致其投标无效。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4获得本招标文件者，须履行本项目下保密义务，不得将因本次项目获得的信息向第三人外传，不得将招标文件用作本次投标以外的任何用途。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5由采购人向投标人其它资料，均为保密资料，仅被用于它所规定的用途。除非得到采购人的同意，不能向任何第三方透露。开标结束后，应采购人要求，投标人应归还所有从采购人处获得的保密资料。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6采购人或采购代理机构有权将投标人提供的所有资料向有关政府部门或评审小组披露。</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在采购人或采购代理机构认为适当时、国家机关调查、审查、审计时以及其他符合法律规定的情形下，采购人或采购代理机构无须事先征求投标人同意而可以披露关于采购过程、合同文本、签署情况的资料、投标人的名称及地址、响应文件的有关信息以及补充条款等，但应当在合理的必要范围内。对任何已经公布过的内容或与之内容相同的资料，以及投标人已经泄露或公开的，无须再承担保密责任。</w:t>
      </w:r>
    </w:p>
    <w:p>
      <w:pPr>
        <w:numPr>
          <w:ilvl w:val="0"/>
          <w:numId w:val="4"/>
        </w:numPr>
        <w:spacing w:line="460" w:lineRule="exact"/>
        <w:jc w:val="center"/>
        <w:outlineLvl w:val="2"/>
        <w:rPr>
          <w:rFonts w:hint="eastAsia" w:ascii="仿宋" w:hAnsi="仿宋" w:eastAsia="仿宋" w:cs="仿宋"/>
          <w:b/>
          <w:color w:val="auto"/>
          <w:sz w:val="28"/>
          <w:szCs w:val="28"/>
          <w:highlight w:val="none"/>
        </w:rPr>
      </w:pPr>
      <w:bookmarkStart w:id="58" w:name="_Toc29853"/>
      <w:bookmarkStart w:id="59" w:name="_Toc1575"/>
      <w:r>
        <w:rPr>
          <w:rFonts w:hint="eastAsia" w:ascii="仿宋" w:hAnsi="仿宋" w:eastAsia="仿宋" w:cs="仿宋"/>
          <w:b/>
          <w:color w:val="auto"/>
          <w:sz w:val="28"/>
          <w:szCs w:val="28"/>
          <w:highlight w:val="none"/>
        </w:rPr>
        <w:t>招标文件</w:t>
      </w:r>
      <w:bookmarkEnd w:id="58"/>
      <w:bookmarkEnd w:id="59"/>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bCs/>
          <w:color w:val="auto"/>
          <w:sz w:val="24"/>
          <w:szCs w:val="24"/>
          <w:highlight w:val="none"/>
          <w:lang w:val="en-US" w:eastAsia="zh-CN"/>
        </w:rPr>
      </w:pPr>
      <w:bookmarkStart w:id="60" w:name="_Toc24935"/>
      <w:bookmarkStart w:id="61" w:name="_Toc4675"/>
      <w:r>
        <w:rPr>
          <w:rFonts w:hint="eastAsia" w:ascii="仿宋" w:hAnsi="仿宋" w:eastAsia="仿宋" w:cs="仿宋"/>
          <w:b/>
          <w:bCs/>
          <w:color w:val="auto"/>
          <w:sz w:val="24"/>
          <w:szCs w:val="24"/>
          <w:highlight w:val="none"/>
          <w:lang w:val="en-US" w:eastAsia="zh-CN"/>
        </w:rPr>
        <w:t>1、招标文件的构成。本招标文件由以下部份组成：</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第一章 招标公告</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 投标人须知</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第三章 评标办法及标准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第四章 招标需求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第五章 合同主要条款</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第六章 投标文件格式</w:t>
      </w:r>
    </w:p>
    <w:p>
      <w:pPr>
        <w:spacing w:line="240" w:lineRule="auto"/>
        <w:outlineLvl w:val="1"/>
        <w:rPr>
          <w:rFonts w:hint="eastAsia" w:ascii="仿宋" w:hAnsi="仿宋" w:eastAsia="仿宋" w:cs="仿宋"/>
          <w:b/>
          <w:bCs/>
          <w:color w:val="auto"/>
          <w:sz w:val="24"/>
          <w:szCs w:val="24"/>
          <w:highlight w:val="none"/>
          <w:lang w:val="en-US" w:eastAsia="zh-CN"/>
        </w:rPr>
      </w:pPr>
      <w:bookmarkStart w:id="62" w:name="_Toc18044"/>
      <w:bookmarkStart w:id="63" w:name="_Toc12877"/>
      <w:r>
        <w:rPr>
          <w:rFonts w:hint="eastAsia" w:ascii="仿宋" w:hAnsi="仿宋" w:eastAsia="仿宋" w:cs="仿宋"/>
          <w:b/>
          <w:bCs/>
          <w:color w:val="auto"/>
          <w:sz w:val="24"/>
          <w:szCs w:val="24"/>
          <w:highlight w:val="none"/>
          <w:lang w:val="en-US" w:eastAsia="zh-CN"/>
        </w:rPr>
        <w:t>2、投标人的风险</w:t>
      </w:r>
      <w:bookmarkEnd w:id="62"/>
      <w:bookmarkEnd w:id="6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投标人没有按照招标文件要求提供全部资料，或者投标人没有对招标文件在各方面作出实质性响应是投标人的风险，并可能导致其投标为无效标。</w:t>
      </w:r>
    </w:p>
    <w:p>
      <w:pPr>
        <w:spacing w:line="240" w:lineRule="auto"/>
        <w:outlineLvl w:val="1"/>
        <w:rPr>
          <w:rFonts w:hint="eastAsia" w:ascii="仿宋" w:hAnsi="仿宋" w:eastAsia="仿宋" w:cs="仿宋"/>
          <w:b/>
          <w:bCs/>
          <w:color w:val="auto"/>
          <w:sz w:val="24"/>
          <w:szCs w:val="24"/>
          <w:highlight w:val="none"/>
          <w:lang w:val="en-US" w:eastAsia="zh-CN"/>
        </w:rPr>
      </w:pPr>
      <w:bookmarkStart w:id="64" w:name="_Toc15241"/>
      <w:bookmarkStart w:id="65" w:name="_Toc27766"/>
      <w:r>
        <w:rPr>
          <w:rFonts w:hint="eastAsia" w:ascii="仿宋" w:hAnsi="仿宋" w:eastAsia="仿宋" w:cs="仿宋"/>
          <w:b/>
          <w:bCs/>
          <w:color w:val="auto"/>
          <w:sz w:val="24"/>
          <w:szCs w:val="24"/>
          <w:highlight w:val="none"/>
          <w:lang w:val="en-US" w:eastAsia="zh-CN"/>
        </w:rPr>
        <w:t>3、招标文件的澄清与修改</w:t>
      </w:r>
      <w:bookmarkEnd w:id="64"/>
      <w:bookmarkEnd w:id="65"/>
      <w:r>
        <w:rPr>
          <w:rFonts w:hint="eastAsia" w:ascii="仿宋" w:hAnsi="仿宋" w:eastAsia="仿宋" w:cs="仿宋"/>
          <w:b/>
          <w:bCs/>
          <w:color w:val="auto"/>
          <w:sz w:val="24"/>
          <w:szCs w:val="24"/>
          <w:highlight w:val="non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3.招标文件的澄清、答复、修改或补充都应该通过本代理机构以法定形式发布，招标人非通过本机构，不得擅自澄清、答复、修改或补充招标文件。</w:t>
      </w:r>
    </w:p>
    <w:p>
      <w:pPr>
        <w:spacing w:line="240" w:lineRule="auto"/>
        <w:jc w:val="center"/>
        <w:rPr>
          <w:rFonts w:hint="eastAsia" w:ascii="仿宋" w:hAnsi="仿宋" w:eastAsia="仿宋" w:cs="仿宋"/>
          <w:b/>
          <w:bCs/>
          <w:color w:val="auto"/>
          <w:sz w:val="24"/>
          <w:szCs w:val="24"/>
          <w:highlight w:val="none"/>
        </w:rPr>
      </w:pPr>
      <w:bookmarkStart w:id="66" w:name="_Toc23068"/>
      <w:bookmarkStart w:id="67" w:name="_Toc521014779"/>
      <w:bookmarkStart w:id="68" w:name="_Toc503212211"/>
      <w:bookmarkStart w:id="69" w:name="_Toc29977"/>
      <w:r>
        <w:rPr>
          <w:rFonts w:hint="eastAsia" w:ascii="仿宋" w:hAnsi="仿宋" w:eastAsia="仿宋" w:cs="仿宋"/>
          <w:b/>
          <w:bCs/>
          <w:color w:val="auto"/>
          <w:sz w:val="28"/>
          <w:szCs w:val="28"/>
          <w:highlight w:val="none"/>
        </w:rPr>
        <w:t>三、投标文件的编写</w:t>
      </w:r>
    </w:p>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投标文件的组成</w:t>
      </w:r>
      <w:bookmarkEnd w:id="66"/>
      <w:bookmarkEnd w:id="67"/>
      <w:bookmarkEnd w:id="68"/>
      <w:bookmarkEnd w:id="69"/>
    </w:p>
    <w:p>
      <w:pPr>
        <w:spacing w:line="360" w:lineRule="auto"/>
        <w:ind w:firstLine="480" w:firstLineChars="200"/>
        <w:rPr>
          <w:rFonts w:hint="eastAsia" w:ascii="仿宋" w:hAnsi="仿宋" w:eastAsia="仿宋" w:cs="仿宋"/>
          <w:color w:val="auto"/>
          <w:sz w:val="24"/>
          <w:szCs w:val="24"/>
          <w:highlight w:val="none"/>
          <w:lang w:val="en-US" w:eastAsia="zh-CN"/>
        </w:rPr>
      </w:pPr>
      <w:bookmarkStart w:id="70" w:name="_Toc21340"/>
      <w:r>
        <w:rPr>
          <w:rFonts w:hint="eastAsia" w:ascii="仿宋" w:hAnsi="仿宋" w:eastAsia="仿宋" w:cs="仿宋"/>
          <w:color w:val="auto"/>
          <w:sz w:val="24"/>
          <w:szCs w:val="24"/>
          <w:highlight w:val="none"/>
          <w:lang w:val="en-US" w:eastAsia="zh-CN"/>
        </w:rPr>
        <w:t>1、投标文件由报价部分、商务部分、技术部分组成。</w:t>
      </w:r>
      <w:bookmarkEnd w:id="7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2、投标单位应按招标文件的要求提供招标文件，并保证所有材料的真实性，以确保其投标对招标文件做出实质性的响应。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3、招标文件使用的计量单位，应采用国家法定的计量单位。</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4、投标人所递交的投标文件应包含以下文件：</w:t>
      </w:r>
    </w:p>
    <w:bookmarkEnd w:id="60"/>
    <w:bookmarkEnd w:id="61"/>
    <w:p>
      <w:pPr>
        <w:spacing w:line="460" w:lineRule="exact"/>
        <w:rPr>
          <w:rFonts w:hint="eastAsia" w:ascii="仿宋" w:hAnsi="仿宋" w:eastAsia="仿宋" w:cs="仿宋"/>
          <w:b/>
          <w:bCs/>
          <w:color w:val="auto"/>
          <w:sz w:val="24"/>
          <w:szCs w:val="22"/>
          <w:highlight w:val="none"/>
        </w:rPr>
      </w:pPr>
      <w:r>
        <w:rPr>
          <w:rFonts w:hint="eastAsia" w:ascii="仿宋" w:hAnsi="仿宋" w:eastAsia="仿宋" w:cs="仿宋"/>
          <w:b/>
          <w:bCs/>
          <w:color w:val="auto"/>
          <w:sz w:val="24"/>
          <w:highlight w:val="none"/>
        </w:rPr>
        <w:t>投标文件由经济报价部分、商务部分、技术部分其他部分组成主要包括</w:t>
      </w:r>
      <w:r>
        <w:rPr>
          <w:rFonts w:hint="eastAsia" w:ascii="仿宋" w:hAnsi="仿宋" w:eastAsia="仿宋" w:cs="仿宋"/>
          <w:b/>
          <w:bCs/>
          <w:color w:val="auto"/>
          <w:sz w:val="24"/>
          <w:szCs w:val="22"/>
          <w:highlight w:val="none"/>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一、投 标 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二、投标文件真实性和不存在限制投标情形的声明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三、开标一览表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四、联合体协议书；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五、法定代表人身份证明、法定代表人授权委托书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六、投标保证金回单或电子保函凭证表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七、技术规格功能要求偏离表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八、商务条款偏离表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九、本项目人员配置一览表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十、最近三年同类项目业绩表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十一、投标人基本情况表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十二、质量保证书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十三、售后货物承诺书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十四、产品保证供货有效证明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十五、符合《政府采购法》第二十二条规定的条件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十六、投标单位（投标人）反商业贿赂承诺书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十七、中小企业声明函(货物)</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十八、售后服务方案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十九、培训服务方案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二十、配件供应能力及承诺</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二十一、服务方案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二十二、投标人</w:t>
      </w:r>
      <w:r>
        <w:rPr>
          <w:rFonts w:hint="eastAsia" w:ascii="仿宋" w:hAnsi="仿宋" w:eastAsia="仿宋" w:cs="仿宋"/>
          <w:sz w:val="24"/>
          <w:szCs w:val="24"/>
        </w:rPr>
        <w:t>实施方案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二十三、不参与围标串标承诺书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二十四、提供材料真实性承诺书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二十五、投标人认为需要提供的其他资料</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法定代表人授权委托书、投标声明书、投标函、投标报价一览表必须由法定代表人签名或盖章并加盖单位公章。</w:t>
      </w:r>
    </w:p>
    <w:p>
      <w:pPr>
        <w:spacing w:line="360" w:lineRule="auto"/>
        <w:outlineLvl w:val="1"/>
        <w:rPr>
          <w:rFonts w:hint="eastAsia" w:ascii="仿宋" w:hAnsi="仿宋" w:eastAsia="仿宋" w:cs="仿宋"/>
          <w:b/>
          <w:bCs/>
          <w:color w:val="auto"/>
          <w:sz w:val="24"/>
          <w:szCs w:val="24"/>
          <w:highlight w:val="none"/>
        </w:rPr>
      </w:pPr>
      <w:bookmarkStart w:id="71" w:name="_Toc28971"/>
      <w:bookmarkStart w:id="72" w:name="_Toc503212212"/>
      <w:bookmarkStart w:id="73" w:name="_Toc14838"/>
      <w:bookmarkStart w:id="74" w:name="_Toc24112"/>
      <w:bookmarkStart w:id="75" w:name="_Toc18015"/>
      <w:bookmarkStart w:id="76" w:name="_Toc521014780"/>
      <w:r>
        <w:rPr>
          <w:rFonts w:hint="eastAsia" w:ascii="仿宋" w:hAnsi="仿宋" w:eastAsia="仿宋" w:cs="仿宋"/>
          <w:b/>
          <w:bCs/>
          <w:color w:val="auto"/>
          <w:sz w:val="24"/>
          <w:szCs w:val="24"/>
          <w:highlight w:val="none"/>
        </w:rPr>
        <w:t>投标文件的语言及计量</w:t>
      </w:r>
      <w:bookmarkEnd w:id="71"/>
      <w:bookmarkEnd w:id="72"/>
      <w:bookmarkEnd w:id="73"/>
      <w:bookmarkEnd w:id="74"/>
      <w:bookmarkEnd w:id="75"/>
      <w:bookmarkEnd w:id="76"/>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.投标文件以及投标方与招标方就有关投标事宜的所有来往函电，均应以中文汉语书写。除签名、盖章、专用名称等特殊情形外，以中文汉语以外的文字表述的投标文件视同未提供。</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w:t>
      </w:r>
      <w:r>
        <w:rPr>
          <w:rFonts w:hint="eastAsia" w:ascii="仿宋" w:hAnsi="仿宋" w:eastAsia="仿宋" w:cs="仿宋"/>
          <w:color w:val="auto"/>
          <w:sz w:val="24"/>
          <w:szCs w:val="24"/>
          <w:highlight w:val="none"/>
          <w:lang w:val="en-US" w:eastAsia="zh-CN"/>
        </w:rPr>
        <w:t>位，招标文件已有明确规定的，使用招标文件规定的计量单位；招标文件没有规定的，应采用中华人民共和国法定计量单位（货币单位：人民币元），否则视同未响应。</w:t>
      </w:r>
    </w:p>
    <w:p>
      <w:pPr>
        <w:spacing w:line="360" w:lineRule="auto"/>
        <w:rPr>
          <w:rFonts w:hint="eastAsia" w:ascii="仿宋" w:hAnsi="仿宋" w:eastAsia="仿宋" w:cs="仿宋"/>
          <w:b/>
          <w:bCs/>
          <w:color w:val="auto"/>
          <w:sz w:val="24"/>
          <w:szCs w:val="24"/>
          <w:highlight w:val="none"/>
        </w:rPr>
      </w:pPr>
      <w:bookmarkStart w:id="77" w:name="_Toc521014781"/>
      <w:bookmarkStart w:id="78" w:name="_Toc6985"/>
      <w:bookmarkStart w:id="79" w:name="_Toc3970"/>
      <w:bookmarkStart w:id="80" w:name="_Toc503212213"/>
      <w:r>
        <w:rPr>
          <w:rFonts w:hint="eastAsia" w:ascii="仿宋" w:hAnsi="仿宋" w:eastAsia="仿宋" w:cs="仿宋"/>
          <w:b/>
          <w:bCs/>
          <w:color w:val="auto"/>
          <w:sz w:val="24"/>
          <w:szCs w:val="24"/>
          <w:highlight w:val="none"/>
        </w:rPr>
        <w:t>投标报价</w:t>
      </w:r>
      <w:bookmarkEnd w:id="77"/>
      <w:bookmarkEnd w:id="78"/>
      <w:bookmarkEnd w:id="79"/>
      <w:bookmarkEnd w:id="8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 报价应在招标报价表上标明单价和总价。单价和总价要相符。价格不一致时，</w:t>
      </w:r>
      <w:r>
        <w:rPr>
          <w:rFonts w:hint="eastAsia" w:ascii="仿宋" w:hAnsi="仿宋" w:eastAsia="仿宋" w:cs="仿宋"/>
          <w:color w:val="auto"/>
          <w:sz w:val="24"/>
          <w:szCs w:val="24"/>
          <w:highlight w:val="none"/>
          <w:lang w:val="en-US" w:eastAsia="zh-CN"/>
        </w:rPr>
        <w:t>根据《中华人民共和国财政部令第87号--政府采购货物和服务招标投标管理办法》第五十九条投标文件报价出现前后不一致的，除招标文件另有规定外，按照下列规定修正：</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（一）投标文件中开标一览表（报价表）内容与投标文件中相应内容不一致的，以开标一览表（报价表）为准；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（二）大写金额和小写金额不一致的，以大写金额为准；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（三）单价金额小数点或者百分比有明显错位的，以开标一览表的总价为准，并修改单价；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（四）总价金额与单价汇总金额不一致的，以单价金额计算结果为准。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应在投标报价表中标明其提供的所有货物及其相关工作范围内所在费用的总价，不接受有任何选择性报价。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▲3报价时应对下列几点特别注明：</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招标文件中特别要求的验收、税费和相关售后服务等费用及其它附带服务的全部费用。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算术性修正。算术性修正是指对招标响应文件的报价明细进行校核，并对其算术上和运算上的差错给予修正。修正的原则如下：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当以数字表示的金额与文字表示的金额有差异时，以文字表示的金额为准；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当单价与数量相乘不等于合价时，以单价计算为准。如果单价有明显的小数点位置差错，应以标出的合价为准，同时对单价予以修正；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当各明细部分的价格累计不等于合价时，应以各明细的累计计数为准，修正合价。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按以上原则对算术性差错修正，应取得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的同意，并确认修正后最终招标报价。如果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拒绝确认，则其招标响应文件将不予以评审并按废标处理，没收其投标担保。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投标文件只允许有一个报价，有选择的或有条件的报价将不予接受。</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招标代理服务费由中标单位支付，投标单位在报价时请考虑。</w:t>
      </w:r>
    </w:p>
    <w:p>
      <w:pPr>
        <w:spacing w:line="360" w:lineRule="auto"/>
        <w:rPr>
          <w:rFonts w:hint="eastAsia" w:ascii="仿宋" w:hAnsi="仿宋" w:eastAsia="仿宋" w:cs="仿宋"/>
          <w:b/>
          <w:bCs/>
          <w:color w:val="auto"/>
          <w:sz w:val="24"/>
          <w:szCs w:val="24"/>
          <w:highlight w:val="none"/>
        </w:rPr>
      </w:pPr>
      <w:bookmarkStart w:id="81" w:name="_Toc521014782"/>
      <w:bookmarkStart w:id="82" w:name="_Toc21800"/>
      <w:bookmarkStart w:id="83" w:name="_Toc503212214"/>
      <w:bookmarkStart w:id="84" w:name="_Toc21211"/>
      <w:r>
        <w:rPr>
          <w:rFonts w:hint="eastAsia" w:ascii="仿宋" w:hAnsi="仿宋" w:eastAsia="仿宋" w:cs="仿宋"/>
          <w:b/>
          <w:bCs/>
          <w:color w:val="auto"/>
          <w:sz w:val="24"/>
          <w:szCs w:val="24"/>
          <w:highlight w:val="none"/>
        </w:rPr>
        <w:t>投标文件的有效期</w:t>
      </w:r>
      <w:bookmarkEnd w:id="81"/>
      <w:bookmarkEnd w:id="82"/>
      <w:bookmarkEnd w:id="83"/>
      <w:bookmarkEnd w:id="84"/>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▲1.自投标截止日起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天投标文件应保持有效。有效期不足的投标文件将被拒绝。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2.在特殊情况下，招标人可与投标人协商延长投标书的有效期，这种要求和答复均以书面形式进行。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3.投标人可拒绝接受延期要求而不会导致投标保证金被没收。同意延长有效期的投标人需要相应延长投标保证金的有效期，但不能修改投标文件。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4.中标人的投标文件自开标之日起至合同履行完毕止均应保持有效。</w:t>
      </w:r>
    </w:p>
    <w:p>
      <w:pPr>
        <w:spacing w:line="360" w:lineRule="auto"/>
        <w:rPr>
          <w:rFonts w:hint="eastAsia" w:ascii="仿宋" w:hAnsi="仿宋" w:eastAsia="仿宋" w:cs="仿宋"/>
          <w:b/>
          <w:bCs/>
          <w:color w:val="auto"/>
          <w:sz w:val="24"/>
          <w:szCs w:val="24"/>
          <w:highlight w:val="none"/>
        </w:rPr>
      </w:pPr>
      <w:bookmarkStart w:id="85" w:name="_Toc22838"/>
      <w:bookmarkStart w:id="86" w:name="_Toc521014783"/>
      <w:bookmarkStart w:id="87" w:name="_Toc503212215"/>
      <w:bookmarkStart w:id="88" w:name="_Toc16117"/>
      <w:r>
        <w:rPr>
          <w:rFonts w:hint="eastAsia" w:ascii="仿宋" w:hAnsi="仿宋" w:eastAsia="仿宋" w:cs="仿宋"/>
          <w:b/>
          <w:bCs/>
          <w:color w:val="auto"/>
          <w:sz w:val="24"/>
          <w:szCs w:val="24"/>
          <w:highlight w:val="none"/>
        </w:rPr>
        <w:t>投标保证金</w:t>
      </w:r>
      <w:bookmarkEnd w:id="85"/>
      <w:bookmarkEnd w:id="86"/>
      <w:bookmarkEnd w:id="87"/>
      <w:bookmarkEnd w:id="88"/>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▲1.投标人须按规定提交投标保证金</w:t>
      </w:r>
      <w:r>
        <w:rPr>
          <w:rFonts w:hint="eastAsia" w:ascii="仿宋" w:hAnsi="仿宋" w:eastAsia="仿宋" w:cs="仿宋"/>
          <w:color w:val="auto"/>
          <w:sz w:val="24"/>
          <w:szCs w:val="24"/>
          <w:highlight w:val="none"/>
          <w:lang w:val="en-US" w:eastAsia="zh-CN"/>
        </w:rPr>
        <w:t>或电子保函</w:t>
      </w:r>
      <w:r>
        <w:rPr>
          <w:rFonts w:hint="eastAsia" w:ascii="仿宋" w:hAnsi="仿宋" w:eastAsia="仿宋" w:cs="仿宋"/>
          <w:color w:val="auto"/>
          <w:sz w:val="24"/>
          <w:szCs w:val="24"/>
          <w:highlight w:val="none"/>
        </w:rPr>
        <w:t>。否则，其投标将被拒绝。</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2.保证金形式：</w:t>
      </w:r>
      <w:r>
        <w:rPr>
          <w:rFonts w:hint="eastAsia" w:ascii="仿宋" w:hAnsi="仿宋" w:eastAsia="仿宋" w:cs="仿宋"/>
          <w:color w:val="auto"/>
          <w:sz w:val="24"/>
          <w:szCs w:val="24"/>
          <w:highlight w:val="none"/>
          <w:lang w:val="en-US" w:eastAsia="zh-CN"/>
        </w:rPr>
        <w:t>转账、汇款</w:t>
      </w:r>
      <w:r>
        <w:rPr>
          <w:rFonts w:hint="eastAsia" w:ascii="仿宋" w:hAnsi="仿宋" w:eastAsia="仿宋" w:cs="仿宋"/>
          <w:color w:val="auto"/>
          <w:sz w:val="24"/>
          <w:szCs w:val="24"/>
          <w:highlight w:val="none"/>
        </w:rPr>
        <w:t>（必须从基本账户转出）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电子保函</w:t>
      </w:r>
      <w:r>
        <w:rPr>
          <w:rFonts w:hint="eastAsia" w:ascii="仿宋" w:hAnsi="仿宋" w:eastAsia="仿宋" w:cs="仿宋"/>
          <w:color w:val="auto"/>
          <w:sz w:val="24"/>
          <w:szCs w:val="24"/>
          <w:highlight w:val="none"/>
        </w:rPr>
        <w:t xml:space="preserve">。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3.未中标人的投标保证金在公示期截止后退还。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4.中标人的投标保证金在中标通知书发出签订正式采购合同，</w:t>
      </w:r>
      <w:r>
        <w:rPr>
          <w:rFonts w:hint="eastAsia" w:ascii="仿宋" w:hAnsi="仿宋" w:eastAsia="仿宋" w:cs="仿宋"/>
          <w:color w:val="auto"/>
          <w:sz w:val="24"/>
          <w:szCs w:val="24"/>
          <w:highlight w:val="none"/>
          <w:lang w:val="en-US" w:eastAsia="zh-CN"/>
        </w:rPr>
        <w:t>需提供一份合同原件及相关材料办理退还投标保证金事宜</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5.保证金不计息。</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6.投标人有下列情形之一的，投标保证金将不予退还：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（1）投标人在投标有效期内撤回投标文件的；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（2）投标人在投标过程中弄虚作假，提供虚假材料的；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（3）中标人无正当理由不与招标人签订合同的；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（4）其他严重扰乱招投标程序的。</w:t>
      </w:r>
    </w:p>
    <w:p>
      <w:pPr>
        <w:spacing w:line="360" w:lineRule="auto"/>
        <w:rPr>
          <w:rFonts w:hint="eastAsia" w:ascii="仿宋" w:hAnsi="仿宋" w:eastAsia="仿宋" w:cs="仿宋"/>
          <w:b/>
          <w:bCs/>
          <w:color w:val="auto"/>
          <w:sz w:val="24"/>
          <w:szCs w:val="24"/>
          <w:highlight w:val="none"/>
        </w:rPr>
      </w:pPr>
      <w:bookmarkStart w:id="89" w:name="_Toc4584"/>
      <w:bookmarkStart w:id="90" w:name="_Toc521014784"/>
      <w:bookmarkStart w:id="91" w:name="_Toc25982"/>
      <w:bookmarkStart w:id="92" w:name="_Toc503212216"/>
      <w:r>
        <w:rPr>
          <w:rFonts w:hint="eastAsia" w:ascii="仿宋" w:hAnsi="仿宋" w:eastAsia="仿宋" w:cs="仿宋"/>
          <w:b/>
          <w:bCs/>
          <w:color w:val="auto"/>
          <w:sz w:val="24"/>
          <w:szCs w:val="24"/>
          <w:highlight w:val="none"/>
        </w:rPr>
        <w:t>投标文件的签署和</w:t>
      </w:r>
      <w:bookmarkEnd w:id="89"/>
      <w:bookmarkEnd w:id="90"/>
      <w:bookmarkEnd w:id="91"/>
      <w:bookmarkEnd w:id="92"/>
      <w:r>
        <w:rPr>
          <w:rFonts w:hint="eastAsia" w:ascii="仿宋" w:hAnsi="仿宋" w:eastAsia="仿宋" w:cs="仿宋"/>
          <w:b/>
          <w:bCs/>
          <w:color w:val="auto"/>
          <w:sz w:val="24"/>
          <w:szCs w:val="24"/>
          <w:highlight w:val="none"/>
          <w:lang w:eastAsia="zh-CN"/>
        </w:rPr>
        <w:t>递交</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投标人应按本招标文件规定的格式和顺序编制、装订投标文件并标注页码，投标文件内容不完整、编排混乱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上传不完整</w:t>
      </w:r>
      <w:r>
        <w:rPr>
          <w:rFonts w:hint="eastAsia" w:ascii="仿宋" w:hAnsi="仿宋" w:eastAsia="仿宋" w:cs="仿宋"/>
          <w:color w:val="auto"/>
          <w:sz w:val="24"/>
          <w:szCs w:val="24"/>
          <w:highlight w:val="none"/>
        </w:rPr>
        <w:t>导致投标文件被误读、漏读或者查找不到相关内容的，是投标人的责任。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投标人应于</w:t>
      </w:r>
      <w:r>
        <w:rPr>
          <w:rFonts w:hint="eastAsia" w:ascii="仿宋" w:hAnsi="仿宋" w:eastAsia="仿宋" w:cs="仿宋"/>
          <w:color w:val="auto"/>
          <w:sz w:val="24"/>
          <w:szCs w:val="24"/>
          <w:highlight w:val="none"/>
          <w:lang w:val="en-US" w:eastAsia="zh-CN"/>
        </w:rPr>
        <w:t>2024年01月24日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前将电子投标文件上传到“</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”平台。应按照本项目招标文件和</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平台的要求编制、加密传输投标文件。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在使用系统进行投标的过程中遇到涉及平台使用的任何问题，可致电</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.投标文件须由投标人在规定位置盖章并由法定代表人或法定代表人的授权委托人签署，投标人应写全称。</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应严格响应招标文件要求，有表述</w:t>
      </w:r>
      <w:r>
        <w:rPr>
          <w:rFonts w:hint="eastAsia" w:ascii="仿宋" w:hAnsi="仿宋" w:eastAsia="仿宋" w:cs="仿宋"/>
          <w:color w:val="auto"/>
          <w:sz w:val="24"/>
          <w:szCs w:val="24"/>
          <w:highlight w:val="none"/>
        </w:rPr>
        <w:t>不清所引起的后果由投标人负责。</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color w:val="auto"/>
          <w:sz w:val="24"/>
          <w:szCs w:val="24"/>
          <w:highlight w:val="none"/>
          <w:lang w:eastAsia="zh-CN"/>
        </w:rPr>
        <w:t>http://www.ccgp-xinjiang.gov.cn/</w:t>
      </w:r>
      <w:r>
        <w:rPr>
          <w:rFonts w:hint="eastAsia" w:ascii="仿宋" w:hAnsi="仿宋" w:eastAsia="仿宋" w:cs="仿宋"/>
          <w:color w:val="auto"/>
          <w:sz w:val="24"/>
          <w:szCs w:val="24"/>
          <w:highlight w:val="none"/>
        </w:rPr>
        <w:t>/）下载专区查看，如有问题可拨打政采云客户服务热线400-881-7190进行咨询。</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开标时间后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分钟内投标人</w:t>
      </w:r>
      <w:r>
        <w:rPr>
          <w:rFonts w:hint="eastAsia" w:ascii="仿宋" w:hAnsi="仿宋" w:eastAsia="仿宋" w:cs="仿宋"/>
          <w:color w:val="auto"/>
          <w:sz w:val="24"/>
          <w:szCs w:val="24"/>
          <w:highlight w:val="none"/>
        </w:rPr>
        <w:t>可以登录“政采云”平台，用“项目采购-开标评标”功能进行解密投标文件。若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在规定时间内未按时解密的，视为投标文件撤回。</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因系统（非投标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行为）的原因，造成投标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未能在规定的解密时限内解密的，请及时与招标代理机构或与新疆政府采购网投标客户端进行联系。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投标文件未按规定上传的，视为其自动放弃投标。</w:t>
      </w:r>
    </w:p>
    <w:p>
      <w:pPr>
        <w:spacing w:line="360" w:lineRule="auto"/>
        <w:rPr>
          <w:rFonts w:hint="eastAsia" w:ascii="仿宋" w:hAnsi="仿宋" w:eastAsia="仿宋" w:cs="仿宋"/>
          <w:b/>
          <w:bCs/>
          <w:color w:val="auto"/>
          <w:sz w:val="24"/>
          <w:szCs w:val="24"/>
          <w:highlight w:val="none"/>
        </w:rPr>
      </w:pPr>
      <w:bookmarkStart w:id="93" w:name="_Toc521014786"/>
      <w:bookmarkStart w:id="94" w:name="_Toc503212218"/>
      <w:bookmarkStart w:id="95" w:name="_Toc6355"/>
      <w:bookmarkStart w:id="96" w:name="_Toc4197"/>
      <w:bookmarkStart w:id="97" w:name="_Toc17234"/>
      <w:bookmarkStart w:id="98" w:name="_Toc18548"/>
      <w:r>
        <w:rPr>
          <w:rFonts w:hint="eastAsia" w:ascii="仿宋" w:hAnsi="仿宋" w:eastAsia="仿宋" w:cs="仿宋"/>
          <w:b/>
          <w:bCs/>
          <w:color w:val="auto"/>
          <w:sz w:val="24"/>
          <w:szCs w:val="24"/>
          <w:highlight w:val="none"/>
        </w:rPr>
        <w:t>投标文件的修改、撤回与撤销</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2投标人在投标截止期后不得修改、撤回投标文件。投标人在投标截止期后修改投标文件的，其投标无效。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在规定的时间内（“投标人须知前附表”的中规定）未能解密的，也将被视为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对其投标文件的撤回。</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投标文件的解密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1投标有效期内投标人撤销投标文件的，采购人或者采购代理机构可以不退还投标保证金（如有）。采用投标保函方式替代保证金的，采购人或者采购代理机构可以向担保机构索赔保证金。</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投标无效的情形</w:t>
      </w:r>
      <w:bookmarkEnd w:id="93"/>
      <w:bookmarkEnd w:id="94"/>
      <w:bookmarkEnd w:id="95"/>
      <w:bookmarkEnd w:id="96"/>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1投标文件未按照招标文件要求签署、盖章；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2不符合招标文件中规定的资格要求；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3投标报价超过招标文件中规定的预算金额或最高限价；</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4投标文件含有采购人不能接受的附加条件；</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5有关法律、法规和规章及招标文件规定的其他无效情形。</w:t>
      </w:r>
    </w:p>
    <w:p>
      <w:pPr>
        <w:numPr>
          <w:ilvl w:val="0"/>
          <w:numId w:val="5"/>
        </w:numPr>
        <w:spacing w:line="360" w:lineRule="auto"/>
        <w:ind w:left="3780" w:leftChars="0" w:firstLineChars="0"/>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    标</w:t>
      </w:r>
      <w:bookmarkEnd w:id="97"/>
      <w:bookmarkEnd w:id="98"/>
    </w:p>
    <w:p>
      <w:pPr>
        <w:pStyle w:val="24"/>
        <w:snapToGrid w:val="0"/>
        <w:spacing w:line="360" w:lineRule="auto"/>
        <w:rPr>
          <w:rFonts w:hint="eastAsia" w:ascii="仿宋" w:hAnsi="仿宋" w:eastAsia="仿宋" w:cs="仿宋"/>
          <w:b/>
          <w:bCs/>
          <w:color w:val="auto"/>
          <w:kern w:val="2"/>
          <w:sz w:val="24"/>
          <w:szCs w:val="24"/>
          <w:highlight w:val="none"/>
          <w:lang w:val="en-US" w:eastAsia="zh-CN" w:bidi="ar-SA"/>
        </w:rPr>
      </w:pPr>
      <w:bookmarkStart w:id="99" w:name="_Toc12791"/>
      <w:bookmarkStart w:id="100" w:name="_Toc11241"/>
      <w:r>
        <w:rPr>
          <w:rFonts w:hint="eastAsia" w:ascii="仿宋" w:hAnsi="仿宋" w:eastAsia="仿宋" w:cs="仿宋"/>
          <w:b/>
          <w:bCs/>
          <w:color w:val="auto"/>
          <w:kern w:val="2"/>
          <w:sz w:val="24"/>
          <w:szCs w:val="24"/>
          <w:highlight w:val="none"/>
          <w:lang w:val="en-US" w:eastAsia="zh-CN" w:bidi="ar-SA"/>
        </w:rPr>
        <w:t>（一）开标准备</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将在规定的时间和地点进行开标，投标投标人无需到场，但应按照招标文件要求按时参与网上投标文件解密。（本项目实行网上投标，采用电子投标文件。若投标人参与投标，自行承担投标一切费用；各投标人应在开标前应确保成为新疆政府采购网正式注册入库投标人，并完成CA数字证书申领。因未注册入库、未办理CA数字证书等原因造成无法投标或投标失败等后果由投标人自行承担；投标人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"http://www.ccgp-xinjiang.gov.cn/"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http://www.ccgp-xinjiang.gov.cn/</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）下载专区查看，如有问题可拨打新疆政府采购客户服务热线95763进行咨询。）</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1" w:name="_Toc24853"/>
      <w:bookmarkStart w:id="102" w:name="_Toc1875"/>
      <w:r>
        <w:rPr>
          <w:rFonts w:hint="eastAsia" w:ascii="仿宋" w:hAnsi="仿宋" w:eastAsia="仿宋" w:cs="仿宋"/>
          <w:b/>
          <w:bCs/>
          <w:color w:val="auto"/>
          <w:kern w:val="2"/>
          <w:sz w:val="24"/>
          <w:szCs w:val="24"/>
          <w:highlight w:val="none"/>
          <w:lang w:val="en-US" w:eastAsia="zh-CN" w:bidi="ar-SA"/>
        </w:rPr>
        <w:t>（二） 开标程序：</w:t>
      </w:r>
      <w:bookmarkEnd w:id="101"/>
      <w:bookmarkEnd w:id="102"/>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开标程序</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1.2开标异议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投标人代表对开标过程和开标记录有疑义，以及认为采购人、采购代理机构相关工作人员有需要回避的情形的，应当场提出询问或者回避申请。投标人未参加开标的，视同认可开标结果。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投标截止时间后，投标人不足须知前附表中约定的有效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家数的，不得开标。同时，本次采购活动结束。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1.4开标时出现下列情况的，视为投标无效处理：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（1）经检查数字证书无效的；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（2）因投标人自身原因，未在规定时间内完成电子投标文件解密的；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5"/>
        <w:jc w:val="center"/>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lang w:val="en-US" w:eastAsia="zh-CN"/>
        </w:rPr>
        <w:t>五、</w:t>
      </w:r>
      <w:r>
        <w:rPr>
          <w:rFonts w:hint="eastAsia" w:ascii="仿宋" w:hAnsi="仿宋" w:eastAsia="仿宋" w:cs="仿宋"/>
          <w:bCs w:val="0"/>
          <w:color w:val="auto"/>
          <w:sz w:val="28"/>
          <w:szCs w:val="28"/>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资格审查小组由采购人组成。</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在开标结束后评标开始前对投标企业的资格进行审查，如果投标文件中有一项未通过上述审查标准，资格审查小组将认定整个投标文件不响应招标文件而予以废标，并且不允许投标人通过修改或撤销其不符合要求的差异或保留，使之成为具有响应性的投标。</w:t>
      </w:r>
    </w:p>
    <w:p>
      <w:pPr>
        <w:pStyle w:val="5"/>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Cs w:val="0"/>
          <w:color w:val="auto"/>
          <w:sz w:val="28"/>
          <w:szCs w:val="28"/>
          <w:highlight w:val="none"/>
        </w:rPr>
        <w:t xml:space="preserve">  六、评标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（一）组建评标委员会</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bookmarkStart w:id="103" w:name="_Toc27271"/>
      <w:bookmarkStart w:id="104" w:name="_Toc26886"/>
      <w:r>
        <w:rPr>
          <w:rFonts w:hint="eastAsia" w:ascii="仿宋" w:hAnsi="仿宋" w:eastAsia="仿宋" w:cs="仿宋"/>
          <w:color w:val="auto"/>
          <w:kern w:val="2"/>
          <w:sz w:val="24"/>
          <w:szCs w:val="24"/>
          <w:highlight w:val="none"/>
          <w:lang w:val="en-US" w:eastAsia="zh-CN" w:bidi="ar-SA"/>
        </w:rPr>
        <w:t>评标委员会或评标小组（以下简称评标委员会）的评标工作由招标单位负责组织，具体评标事务由评标委员会负责，并独立履行其法规规定的职责。</w:t>
      </w:r>
    </w:p>
    <w:p>
      <w:pPr>
        <w:pStyle w:val="24"/>
        <w:snapToGrid w:val="0"/>
        <w:spacing w:line="360" w:lineRule="auto"/>
        <w:ind w:left="479" w:leftChars="228" w:firstLine="0" w:firstLineChars="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本项目评标委员会构成: 5 人组成，其中采购人代表 1 人和专家评委4人:评标专家确定方式: 由招标代理在开标前 48 小时在政采云专家库中随机抽取此次评标专家。其中熟悉相关技术方面的专家不得少于成员总数的三分之二。</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（二）评标的方式</w:t>
      </w:r>
      <w:bookmarkEnd w:id="103"/>
      <w:bookmarkEnd w:id="10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本项目采用不公开方式评标，评标的依据为</w:t>
      </w:r>
      <w:r>
        <w:rPr>
          <w:rFonts w:hint="eastAsia" w:ascii="仿宋" w:hAnsi="仿宋" w:eastAsia="仿宋" w:cs="仿宋"/>
          <w:b w:val="0"/>
          <w:bCs w:val="0"/>
          <w:color w:val="auto"/>
          <w:kern w:val="0"/>
          <w:sz w:val="24"/>
          <w:highlight w:val="none"/>
          <w:lang w:val="en-US" w:eastAsia="zh-CN"/>
        </w:rPr>
        <w:t>《中华人民共和国政府采购法》、《中华人民共和国财政部令第87号--政府采购货物和服务招标投标管理办法》、《政府采购非招标采购方式管理办法--财政部第74号令》及招标文件，采用综合评分法。</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（三）评标原则</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2.1评标活动遵循公平、公正、科学和择优的原则，以招标文件和投标文件为评标的基本依据，并按照招标文件规定的评标方法和评标标准进行评标。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2.2具体评标事项由评标委员会负责，并按招标文件的规定办法进行评审。</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2.3合格投标人不足须知前附表中约定的有效投标人家数的，不得评标。</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（四）评标应遵守下列评标纪律：</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（1）评标情况不得私自外泄，有关信息由新疆星耀天都项目管理有限责任公司统一对外发布。</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（2）对新疆星耀天都项目管理有限责任公司或投标人提供的要求保密的资料，不得摘记翻印和外传。</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（3）不得收受投标投标人或有关人员的任何礼物，不得串联鼓动其他人袒护某投标人。若与投标人存在利害关系，则应主动声明并回避。</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（4）全体评委应按照招标文件规定进行评标，一切认定事项应查有实据且不得弄虚作假。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（5）评标委员会各成员应当独立对每个投标人的投标文件进行评价，并对评价意见承担个人责任。评审过程中，不得发表倾向性言论。</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※对违反评标纪律的评委，将取消其评委资格，对评标工作造成严重损失者将予以通报批评乃至追究法律责任。</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5" w:name="_Toc13223"/>
      <w:bookmarkStart w:id="106" w:name="_Toc4747"/>
      <w:r>
        <w:rPr>
          <w:rFonts w:hint="eastAsia" w:ascii="仿宋" w:hAnsi="仿宋" w:eastAsia="仿宋" w:cs="仿宋"/>
          <w:b/>
          <w:bCs/>
          <w:color w:val="auto"/>
          <w:kern w:val="2"/>
          <w:sz w:val="24"/>
          <w:szCs w:val="24"/>
          <w:highlight w:val="none"/>
          <w:lang w:val="en-US" w:eastAsia="zh-CN" w:bidi="ar-SA"/>
        </w:rPr>
        <w:t>（五）评标程序</w:t>
      </w:r>
      <w:bookmarkEnd w:id="105"/>
      <w:bookmarkEnd w:id="106"/>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 本项目采用</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综合评分法,是指投标文件满足招标文件全部实质性要求，且按照评审因素的量化指标评审得分最高的投标人为中标候选人的评标方法。（最低报价不是中标的唯一依据。）</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07" w:name="_Toc17462"/>
      <w:r>
        <w:rPr>
          <w:rFonts w:hint="eastAsia" w:ascii="仿宋" w:hAnsi="仿宋" w:eastAsia="仿宋" w:cs="仿宋"/>
          <w:color w:val="auto"/>
          <w:kern w:val="2"/>
          <w:sz w:val="24"/>
          <w:szCs w:val="24"/>
          <w:highlight w:val="none"/>
          <w:lang w:val="en-US" w:eastAsia="zh-CN" w:bidi="ar-SA"/>
        </w:rPr>
        <w:t>2. 评标的依据为招标文件和投标文件。</w:t>
      </w:r>
      <w:bookmarkEnd w:id="107"/>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 评标过程的保密性。开标后，直到授予投标人合同为止，凡是属于审查、澄清、评价和比较的有关资料以及授标建议等均不得向投标人或其他无关的人员透露。</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投标人在评标过程中所进行的试图影响评标结果、有悖于招标规则的活动，可能导致取消其中标资格。</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bookmarkStart w:id="108" w:name="_Toc3963"/>
      <w:r>
        <w:rPr>
          <w:rFonts w:hint="eastAsia" w:ascii="仿宋" w:hAnsi="仿宋" w:eastAsia="仿宋" w:cs="仿宋"/>
          <w:color w:val="auto"/>
          <w:kern w:val="2"/>
          <w:sz w:val="24"/>
          <w:szCs w:val="24"/>
          <w:highlight w:val="none"/>
          <w:lang w:val="en-US" w:eastAsia="zh-CN" w:bidi="ar-SA"/>
        </w:rPr>
        <w:t>.对投标文件的符合性审查和响应性确定</w:t>
      </w:r>
      <w:bookmarkEnd w:id="108"/>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8.招标人判断投标文件的响应性是基于投标文件本身而不靠外部证据。</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9.招标人将拒绝被定为非响应性的投标，投标人不能通过修正或撤消不符之处而使其投标成为响应性投标。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9" w:name="_Toc13450"/>
      <w:bookmarkStart w:id="110" w:name="_Toc32133"/>
      <w:r>
        <w:rPr>
          <w:rFonts w:hint="eastAsia" w:ascii="仿宋" w:hAnsi="仿宋" w:eastAsia="仿宋" w:cs="仿宋"/>
          <w:b/>
          <w:bCs/>
          <w:color w:val="auto"/>
          <w:kern w:val="2"/>
          <w:sz w:val="24"/>
          <w:szCs w:val="24"/>
          <w:highlight w:val="none"/>
          <w:lang w:val="en-US" w:eastAsia="zh-CN" w:bidi="ar-SA"/>
        </w:rPr>
        <w:t>（六）澄清问题的形式</w:t>
      </w:r>
      <w:bookmarkEnd w:id="109"/>
      <w:bookmarkEnd w:id="110"/>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11" w:name="_Toc31156"/>
      <w:bookmarkStart w:id="112" w:name="_Toc30297"/>
      <w:r>
        <w:rPr>
          <w:rFonts w:hint="eastAsia" w:ascii="仿宋" w:hAnsi="仿宋" w:eastAsia="仿宋" w:cs="仿宋"/>
          <w:b/>
          <w:bCs/>
          <w:color w:val="auto"/>
          <w:kern w:val="2"/>
          <w:sz w:val="24"/>
          <w:szCs w:val="24"/>
          <w:highlight w:val="none"/>
          <w:lang w:val="en-US" w:eastAsia="zh-CN" w:bidi="ar-SA"/>
        </w:rPr>
        <w:t>（七）错误修正</w:t>
      </w:r>
      <w:bookmarkEnd w:id="111"/>
      <w:bookmarkEnd w:id="112"/>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投标文件如果出现计算或表达上的错误，修正错误的原则如下：</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1.投标报价一览表总价与投标报价明细表汇总数不一致的，以投标报价一览表为准；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3" w:name="_Toc29280"/>
      <w:r>
        <w:rPr>
          <w:rFonts w:hint="eastAsia" w:ascii="仿宋" w:hAnsi="仿宋" w:eastAsia="仿宋" w:cs="仿宋"/>
          <w:color w:val="auto"/>
          <w:kern w:val="2"/>
          <w:sz w:val="24"/>
          <w:szCs w:val="24"/>
          <w:highlight w:val="none"/>
          <w:lang w:val="en-US" w:eastAsia="zh-CN" w:bidi="ar-SA"/>
        </w:rPr>
        <w:t>2.投标文件的大写金额和小写金额不一致的，以大写金额为准；</w:t>
      </w:r>
      <w:bookmarkEnd w:id="113"/>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3.总价金额与按单价汇总金额不一致的，以单价金额计算结果为准；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4" w:name="_Toc16465"/>
      <w:r>
        <w:rPr>
          <w:rFonts w:hint="eastAsia" w:ascii="仿宋" w:hAnsi="仿宋" w:eastAsia="仿宋" w:cs="仿宋"/>
          <w:color w:val="auto"/>
          <w:kern w:val="2"/>
          <w:sz w:val="24"/>
          <w:szCs w:val="24"/>
          <w:highlight w:val="none"/>
          <w:lang w:val="en-US" w:eastAsia="zh-CN" w:bidi="ar-SA"/>
        </w:rPr>
        <w:t>4.对不同文字文本投标文件的解释发生异议的，以中文文本为准。</w:t>
      </w:r>
      <w:bookmarkEnd w:id="11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bookmarkStart w:id="115" w:name="_Toc19846"/>
      <w:bookmarkStart w:id="116" w:name="_Toc15699"/>
      <w:r>
        <w:rPr>
          <w:rFonts w:hint="eastAsia" w:ascii="仿宋" w:hAnsi="仿宋" w:eastAsia="仿宋" w:cs="仿宋"/>
          <w:b/>
          <w:bCs/>
          <w:color w:val="auto"/>
          <w:kern w:val="2"/>
          <w:sz w:val="24"/>
          <w:szCs w:val="24"/>
          <w:highlight w:val="none"/>
          <w:lang w:val="en-US" w:eastAsia="zh-CN" w:bidi="ar-SA"/>
        </w:rPr>
        <w:t>（八）</w:t>
      </w:r>
      <w:bookmarkEnd w:id="115"/>
      <w:bookmarkEnd w:id="116"/>
      <w:r>
        <w:rPr>
          <w:rFonts w:hint="eastAsia" w:ascii="仿宋" w:hAnsi="仿宋" w:eastAsia="仿宋" w:cs="仿宋"/>
          <w:b/>
          <w:bCs/>
          <w:color w:val="auto"/>
          <w:kern w:val="2"/>
          <w:sz w:val="24"/>
          <w:szCs w:val="24"/>
          <w:highlight w:val="none"/>
          <w:lang w:val="en-US" w:eastAsia="zh-CN" w:bidi="ar-SA"/>
        </w:rPr>
        <w:t>有下列情形之一的，视为投标人串通投标，其投标无效</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117" w:name="_Toc9664"/>
      <w:bookmarkStart w:id="118" w:name="_Toc29743"/>
      <w:r>
        <w:rPr>
          <w:rFonts w:hint="eastAsia" w:ascii="仿宋" w:hAnsi="仿宋" w:eastAsia="仿宋" w:cs="仿宋"/>
          <w:color w:val="auto"/>
          <w:kern w:val="2"/>
          <w:sz w:val="24"/>
          <w:szCs w:val="24"/>
          <w:highlight w:val="none"/>
          <w:lang w:val="en-US" w:eastAsia="zh-CN" w:bidi="ar-SA"/>
        </w:rPr>
        <w:t>1不同投标人的投标文件由同一单位或者个人编制；</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2不同投标人委托同一单位或者个人办理投标事宜；</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3不同投标人的投标文件载明的项目管理成员或者联系人员为同一人；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4不同投标人的投标文件异常一致或者投标报价呈规律性差异；</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5不同投标人的投标文件相互混装；</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6不同投标人的投标保证金或购买电子保函支付款为从同一单位或个人的账户转出；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7投标人上传的电子投标文件使用该项目其他投标人的数字证书加密的或加盖该项目的其他投标人的电子印章的。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说明：在评标过程中发现投标人有上述情形的，评标委员会应当认定其投标无效。同时，项目评审时被认定为串通投标的投标人不得参加该合同项下的采购活动。</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（九）评标过程的监控</w:t>
      </w:r>
      <w:bookmarkEnd w:id="117"/>
      <w:bookmarkEnd w:id="118"/>
    </w:p>
    <w:p>
      <w:pPr>
        <w:pStyle w:val="5"/>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本项目评标过程实行录像监控、照片记录，且由监标人员进行现场监督，评标过程中所发生的试图影响评标结果的不公正活动，可能导致其投标被拒绝。</w:t>
      </w:r>
    </w:p>
    <w:p>
      <w:pPr>
        <w:pStyle w:val="5"/>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eastAsia="zh-CN"/>
        </w:rPr>
        <w:t>七、</w:t>
      </w:r>
      <w:r>
        <w:rPr>
          <w:rFonts w:hint="eastAsia" w:ascii="仿宋" w:hAnsi="仿宋" w:eastAsia="仿宋" w:cs="仿宋"/>
          <w:bCs w:val="0"/>
          <w:color w:val="auto"/>
          <w:sz w:val="28"/>
          <w:szCs w:val="28"/>
          <w:highlight w:val="none"/>
        </w:rPr>
        <w:t>定标</w:t>
      </w:r>
      <w:bookmarkEnd w:id="99"/>
      <w:bookmarkEnd w:id="100"/>
    </w:p>
    <w:p>
      <w:pPr>
        <w:snapToGrid w:val="0"/>
        <w:spacing w:line="360" w:lineRule="auto"/>
        <w:ind w:left="10" w:leftChars="0" w:hanging="10" w:firstLineChars="0"/>
        <w:rPr>
          <w:rFonts w:hint="eastAsia" w:ascii="仿宋" w:hAnsi="仿宋" w:eastAsia="仿宋" w:cs="仿宋"/>
          <w:color w:val="auto"/>
          <w:kern w:val="2"/>
          <w:sz w:val="24"/>
          <w:szCs w:val="24"/>
          <w:highlight w:val="none"/>
          <w:lang w:val="en-US" w:eastAsia="zh-CN" w:bidi="ar-SA"/>
        </w:rPr>
      </w:pPr>
      <w:bookmarkStart w:id="119" w:name="_Toc4609"/>
      <w:bookmarkStart w:id="120" w:name="_Toc24055"/>
      <w:r>
        <w:rPr>
          <w:rFonts w:hint="eastAsia" w:ascii="仿宋" w:hAnsi="仿宋" w:eastAsia="仿宋" w:cs="仿宋"/>
          <w:b/>
          <w:bCs/>
          <w:color w:val="auto"/>
          <w:kern w:val="2"/>
          <w:sz w:val="24"/>
          <w:szCs w:val="24"/>
          <w:highlight w:val="none"/>
          <w:lang w:val="en-US" w:eastAsia="zh-CN" w:bidi="ar-SA"/>
        </w:rPr>
        <w:t>确定中标人：</w:t>
      </w:r>
      <w:r>
        <w:rPr>
          <w:rFonts w:hint="eastAsia" w:ascii="仿宋" w:hAnsi="仿宋" w:eastAsia="仿宋" w:cs="仿宋"/>
          <w:color w:val="auto"/>
          <w:kern w:val="2"/>
          <w:sz w:val="24"/>
          <w:szCs w:val="24"/>
          <w:highlight w:val="none"/>
          <w:lang w:val="en-US" w:eastAsia="zh-CN" w:bidi="ar-SA"/>
        </w:rPr>
        <w:t>本项目由招标人根据评标结果排名第一位的候选人为中标人。</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中标公告：</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确定之日起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个工作日内，采购人或采购代理机构将在新疆政府采购网(http://www.ccgp-xinjiang.gov.cn/)上以公告的形式发布中标结果，中标公告的公告期限为1个工作日。中标公告同时作为采购代理机构通知除中标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外的其他投标人没有中标的书面形式，采购代理机构不再以其它方式另行通知。</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中标通知书在发布中标公告时，同步发除中标通知书至中标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。中标通知书发出后，采购人不得违法改变中标结果，中标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不得放弃中标。中标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放弃中标的，应当依法承担相应的法律责任。</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项目废标处理：</w:t>
      </w:r>
      <w:r>
        <w:rPr>
          <w:rFonts w:hint="eastAsia" w:ascii="仿宋" w:hAnsi="仿宋" w:eastAsia="仿宋" w:cs="仿宋"/>
          <w:color w:val="auto"/>
          <w:sz w:val="24"/>
          <w:szCs w:val="24"/>
          <w:highlight w:val="none"/>
        </w:rPr>
        <w:t>根据《中华人民共和国政府采购法》第三十六条及招标文件的约定，本项目或分包下列情况出现将作废标处理：</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对废标的采购项目，评标委员会应出具采购文件是否存在不合理条款的论证意见。</w:t>
      </w:r>
    </w:p>
    <w:p>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终止公告：</w:t>
      </w:r>
      <w:r>
        <w:rPr>
          <w:rFonts w:hint="eastAsia" w:ascii="仿宋" w:hAnsi="仿宋" w:eastAsia="仿宋" w:cs="仿宋"/>
          <w:color w:val="auto"/>
          <w:sz w:val="24"/>
          <w:szCs w:val="24"/>
          <w:highlight w:val="none"/>
        </w:rPr>
        <w:t>项目废标后，采购人或采购代理机构将在新疆政府采购网(http://www.ccgp-xinjiang.gov.cn/)、上发布终止公告，终止公告的公告期限为1个工作日。</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签定合同</w:t>
      </w:r>
      <w:bookmarkEnd w:id="119"/>
      <w:bookmarkEnd w:id="120"/>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1.合同签订</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1.1采购人应当自《中标通知书》发出之日起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十日内，按照招标文件和中标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投标文件的约定，与中标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签订合同。所签订的合同不得对招标文件和中标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投标文件作实质性修改。超过30天尚未完成政府采购合同签订的政府采购项目，采购人应当登录新疆政府采购网，填报未能依法签订政府采购合同的具体原因、整改措施和预计签订合同时间等信息。</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1.2采购人不得提出试用合格等任何不合理的要求作为签订合同的条件，且不得与中标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私下订立背离合同实质性内容的协议。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2.合同的履行</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2.2政府采购合同履行中，采购人需追加与合同标的相同的货物、工程或者服务的，在不改变合同其他条款的前提下，可以与中标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签订补充合同，但所补充合同的采购金额不得超过原采购金额的10%。依法签订的补充合同，也应在补充合同签订之日起2个工作日内登录新疆政府采购网上传备案。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2.3有融资要求的中标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可根据自身情况，在新疆政府采购网上自行选择金融机构及其融资产品，凭政府采购中标通知书或政府采购合同向金融机构提出融资申请。</w:t>
      </w:r>
    </w:p>
    <w:p>
      <w:pPr>
        <w:pStyle w:val="2"/>
        <w:overflowPunct w:val="0"/>
        <w:spacing w:line="360" w:lineRule="auto"/>
        <w:ind w:firstLine="480" w:firstLineChars="200"/>
        <w:rPr>
          <w:rFonts w:hint="eastAsia" w:ascii="仿宋" w:hAnsi="仿宋" w:eastAsia="仿宋" w:cs="仿宋"/>
          <w:color w:val="auto"/>
          <w:szCs w:val="24"/>
          <w:highlight w:val="none"/>
        </w:rPr>
      </w:pP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rPr>
      </w:pPr>
      <w:bookmarkStart w:id="121" w:name="_Toc28496"/>
      <w:bookmarkStart w:id="122" w:name="_Toc18703"/>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法律责任</w:t>
      </w:r>
    </w:p>
    <w:p>
      <w:pPr>
        <w:shd w:val="clear" w:color="auto" w:fill="auto"/>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法律责任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（一）提供虚假材料谋取中标的；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（二）采取不正当手段诋毁、排挤其他投标人的；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（三）与招标人、采购人、其他投标人恶意串通的；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（四）向招标人、采购人行贿或者提供其他不正当利益的；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（五）在招标过程中与招标人、采购人进行协商谈判、不按照招标文件、投标文件订立合同，或者与采购人另行订立背离合同实质性内容的协议的；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（六）拒绝有关部门监督检查或者提供虚假情况的。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投标人有前款第（一）至（五）项情形之一的，中标无效。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（一）中标后无正当理由不与采购人签订合同的；</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（二）将中标项目转让给他人，或者在投标文件中未说明，且未经招标人同意，将中标项目分包给他人的；</w:t>
      </w:r>
    </w:p>
    <w:p>
      <w:pPr>
        <w:pStyle w:val="24"/>
        <w:snapToGrid w:val="0"/>
        <w:spacing w:line="360" w:lineRule="auto"/>
        <w:ind w:left="210" w:leftChars="100" w:firstLine="360" w:firstLineChars="1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（三）拒绝履行合同义务的。</w:t>
      </w: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十、</w:t>
      </w:r>
      <w:bookmarkEnd w:id="121"/>
      <w:bookmarkEnd w:id="122"/>
      <w:r>
        <w:rPr>
          <w:rFonts w:hint="eastAsia" w:ascii="仿宋" w:hAnsi="仿宋" w:eastAsia="仿宋" w:cs="仿宋"/>
          <w:b/>
          <w:color w:val="auto"/>
          <w:sz w:val="28"/>
          <w:szCs w:val="28"/>
          <w:highlight w:val="none"/>
          <w:lang w:val="en-US" w:eastAsia="zh-CN"/>
        </w:rPr>
        <w:t>部分提醒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31、投标人应认真研读招标文件，充分考虑招标文件中的技术要求和合同条款后编制投标文件。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32、如招标文件中未提供的各类表格样式，投标人可另行设计表格样式，但力求内容完整，表达清晰、准确。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应在开标前应确保成为新疆维吾尔自治区政府采购网正式注册入库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36、</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37、本招标文件是根据《中华人民共和国政府采购法》及相关的法律法规规定编制的，解释权属新疆星耀天都项目管理有限责任公司。</w:t>
      </w:r>
    </w:p>
    <w:p>
      <w:pPr>
        <w:numPr>
          <w:ilvl w:val="0"/>
          <w:numId w:val="0"/>
        </w:numPr>
        <w:shd w:val="clear" w:color="auto" w:fill="auto"/>
        <w:spacing w:line="360" w:lineRule="auto"/>
        <w:ind w:leftChars="-50" w:right="62" w:rightChars="0"/>
        <w:jc w:val="center"/>
        <w:outlineLvl w:val="1"/>
        <w:rPr>
          <w:rFonts w:hint="eastAsia" w:ascii="仿宋" w:hAnsi="仿宋" w:eastAsia="仿宋" w:cs="仿宋"/>
          <w:b/>
          <w:color w:val="auto"/>
          <w:sz w:val="24"/>
          <w:szCs w:val="24"/>
          <w:highlight w:val="none"/>
        </w:rPr>
      </w:pPr>
      <w:bookmarkStart w:id="123" w:name="_Toc22021"/>
      <w:bookmarkStart w:id="124" w:name="_Toc15933"/>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w:t>
      </w:r>
      <w:bookmarkEnd w:id="123"/>
      <w:bookmarkEnd w:id="124"/>
      <w:r>
        <w:rPr>
          <w:rFonts w:hint="eastAsia" w:ascii="仿宋" w:hAnsi="仿宋" w:eastAsia="仿宋" w:cs="仿宋"/>
          <w:b/>
          <w:color w:val="auto"/>
          <w:sz w:val="24"/>
          <w:szCs w:val="24"/>
          <w:highlight w:val="none"/>
        </w:rPr>
        <w:t>重新招标和其他方式采购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1.1在招标采购中，出现下列情形之一的，应当在废标后重新招标：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（1）符合专业条件的投标人或者对招标文件作实质响应的投标人不足三家的；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（2）出现影响采购公正的违法、违规行为的；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（3）投标人的报价均超过了采购预算，采购人不能支付的；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（4）因重大变故，采购任务取消的。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pPr>
        <w:shd w:val="clear" w:color="auto" w:fill="auto"/>
        <w:spacing w:line="360" w:lineRule="auto"/>
        <w:jc w:val="center"/>
        <w:outlineLvl w:val="1"/>
        <w:rPr>
          <w:rFonts w:hint="eastAsia" w:ascii="仿宋" w:hAnsi="仿宋" w:eastAsia="仿宋" w:cs="仿宋"/>
          <w:b/>
          <w:color w:val="auto"/>
          <w:sz w:val="28"/>
          <w:szCs w:val="28"/>
          <w:highlight w:val="none"/>
        </w:rPr>
      </w:pPr>
    </w:p>
    <w:p>
      <w:pPr>
        <w:shd w:val="clear" w:color="auto" w:fill="auto"/>
        <w:spacing w:line="360" w:lineRule="auto"/>
        <w:jc w:val="center"/>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w:t>
      </w:r>
      <w:r>
        <w:rPr>
          <w:rFonts w:hint="eastAsia" w:ascii="仿宋" w:hAnsi="仿宋" w:eastAsia="仿宋" w:cs="仿宋"/>
          <w:b/>
          <w:color w:val="auto"/>
          <w:sz w:val="24"/>
          <w:szCs w:val="24"/>
          <w:highlight w:val="none"/>
        </w:rPr>
        <w:t>质疑及答复</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投诉</w:t>
      </w:r>
    </w:p>
    <w:p>
      <w:pPr>
        <w:shd w:val="clear" w:color="auto" w:fill="auto"/>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本采购文件中所称质疑及答复，是指参加本次采购活动的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对政府采购活动中的采购文件、采购过程和中标结果向采购方</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提出质疑，采购方答复质疑的行为。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 7 个工作日内，以书面形式</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向采购方提出质疑。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 xml:space="preserve">  提出质疑应当符合下列条件：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质疑人提出质疑时应当提交质疑函。质疑函包括下列内容：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、质疑的审查和受理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.2对不符合质疑受理条件的，分别按照下列不同情形予以处理：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、质疑的处理和答复</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按照《政府采购质疑和投诉办法（财政部94号令）》处理及答复质疑。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采购方受理质疑后，将及时把质疑函发送给被质疑人，并要求其在一定限期人提交书面答复，同时提供有关证据、依据和相关材料。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.4对评审过程、中标结果提出质疑的，采购方可以组织原评审委员会协助答复质疑。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.5质疑处理过程中，质疑人书面申请撤回质疑的，将终止质疑处理程序。</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 采购方将书面答复质疑，质疑答复包括下列内容：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shd w:val="clear" w:color="auto" w:fill="auto"/>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（二）收到质疑函的日期、质疑项目名称及编号</w:t>
      </w:r>
      <w:r>
        <w:rPr>
          <w:rFonts w:hint="eastAsia" w:ascii="仿宋" w:hAnsi="仿宋" w:eastAsia="仿宋" w:cs="仿宋"/>
          <w:color w:val="auto"/>
          <w:sz w:val="24"/>
          <w:szCs w:val="24"/>
          <w:highlight w:val="none"/>
          <w:lang w:eastAsia="zh-CN"/>
        </w:rPr>
        <w:t>；</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color="auto" w:fill="auto"/>
        <w:spacing w:before="101" w:line="240" w:lineRule="auto"/>
        <w:outlineLvl w:val="2"/>
        <w:rPr>
          <w:rFonts w:hint="eastAsia" w:ascii="仿宋" w:hAnsi="仿宋" w:eastAsia="仿宋" w:cs="仿宋"/>
          <w:color w:val="auto"/>
          <w:sz w:val="24"/>
          <w:szCs w:val="24"/>
          <w:highlight w:val="none"/>
        </w:rPr>
      </w:pPr>
      <w:bookmarkStart w:id="125" w:name="_Toc21178"/>
      <w:bookmarkStart w:id="126" w:name="_Toc110010424"/>
      <w:bookmarkStart w:id="127" w:name="_Toc1224"/>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件：质疑函范本</w:t>
      </w:r>
      <w:bookmarkEnd w:id="125"/>
      <w:bookmarkEnd w:id="126"/>
      <w:bookmarkEnd w:id="127"/>
    </w:p>
    <w:p>
      <w:pPr>
        <w:shd w:val="clear" w:color="auto" w:fill="auto"/>
        <w:spacing w:before="101" w:line="240" w:lineRule="auto"/>
        <w:ind w:left="3656"/>
        <w:rPr>
          <w:rFonts w:hint="eastAsia" w:ascii="仿宋" w:hAnsi="仿宋" w:eastAsia="仿宋" w:cs="仿宋"/>
          <w:color w:val="auto"/>
          <w:sz w:val="24"/>
          <w:szCs w:val="24"/>
          <w:highlight w:val="none"/>
        </w:rPr>
      </w:pPr>
      <w:r>
        <w:rPr>
          <w:rFonts w:hint="eastAsia" w:ascii="仿宋" w:hAnsi="仿宋" w:eastAsia="仿宋" w:cs="仿宋"/>
          <w:color w:val="auto"/>
          <w:spacing w:val="25"/>
          <w:sz w:val="24"/>
          <w:szCs w:val="24"/>
          <w:highlight w:val="none"/>
        </w:rPr>
        <w:t>质</w:t>
      </w:r>
      <w:r>
        <w:rPr>
          <w:rFonts w:hint="eastAsia" w:ascii="仿宋" w:hAnsi="仿宋" w:eastAsia="仿宋" w:cs="仿宋"/>
          <w:color w:val="auto"/>
          <w:spacing w:val="24"/>
          <w:sz w:val="24"/>
          <w:szCs w:val="24"/>
          <w:highlight w:val="none"/>
        </w:rPr>
        <w:t>疑函</w:t>
      </w:r>
    </w:p>
    <w:p>
      <w:pPr>
        <w:shd w:val="clear" w:color="auto" w:fill="auto"/>
        <w:spacing w:before="237" w:line="240" w:lineRule="auto"/>
        <w:ind w:left="27"/>
        <w:outlineLvl w:val="2"/>
        <w:rPr>
          <w:rFonts w:hint="eastAsia" w:ascii="仿宋" w:hAnsi="仿宋" w:eastAsia="仿宋" w:cs="仿宋"/>
          <w:color w:val="auto"/>
          <w:sz w:val="24"/>
          <w:szCs w:val="24"/>
          <w:highlight w:val="none"/>
        </w:rPr>
      </w:pPr>
      <w:bookmarkStart w:id="128" w:name="_Toc5896"/>
      <w:bookmarkStart w:id="129" w:name="_Toc25739"/>
      <w:bookmarkStart w:id="130" w:name="_Toc1299"/>
      <w:bookmarkStart w:id="131" w:name="_Toc110010425"/>
      <w:r>
        <w:rPr>
          <w:rFonts w:hint="eastAsia" w:ascii="仿宋" w:hAnsi="仿宋" w:eastAsia="仿宋" w:cs="仿宋"/>
          <w:color w:val="auto"/>
          <w:spacing w:val="-2"/>
          <w:position w:val="2"/>
          <w:sz w:val="24"/>
          <w:szCs w:val="24"/>
          <w:highlight w:val="none"/>
        </w:rPr>
        <w:t>一、质</w:t>
      </w:r>
      <w:r>
        <w:rPr>
          <w:rFonts w:hint="eastAsia" w:ascii="仿宋" w:hAnsi="仿宋" w:eastAsia="仿宋" w:cs="仿宋"/>
          <w:color w:val="auto"/>
          <w:spacing w:val="-1"/>
          <w:position w:val="2"/>
          <w:sz w:val="24"/>
          <w:szCs w:val="24"/>
          <w:highlight w:val="none"/>
        </w:rPr>
        <w:t>疑</w:t>
      </w:r>
      <w:r>
        <w:rPr>
          <w:rFonts w:hint="eastAsia" w:ascii="仿宋" w:hAnsi="仿宋" w:eastAsia="仿宋" w:cs="仿宋"/>
          <w:color w:val="auto"/>
          <w:spacing w:val="-1"/>
          <w:position w:val="2"/>
          <w:sz w:val="24"/>
          <w:szCs w:val="24"/>
          <w:highlight w:val="none"/>
          <w:lang w:eastAsia="zh-CN"/>
        </w:rPr>
        <w:t>投标人</w:t>
      </w:r>
      <w:r>
        <w:rPr>
          <w:rFonts w:hint="eastAsia" w:ascii="仿宋" w:hAnsi="仿宋" w:eastAsia="仿宋" w:cs="仿宋"/>
          <w:color w:val="auto"/>
          <w:spacing w:val="-1"/>
          <w:position w:val="2"/>
          <w:sz w:val="24"/>
          <w:szCs w:val="24"/>
          <w:highlight w:val="none"/>
        </w:rPr>
        <w:t>基本信息</w:t>
      </w:r>
      <w:bookmarkEnd w:id="128"/>
      <w:bookmarkEnd w:id="129"/>
      <w:bookmarkEnd w:id="130"/>
      <w:bookmarkEnd w:id="131"/>
    </w:p>
    <w:p>
      <w:pPr>
        <w:shd w:val="clear" w:color="auto" w:fill="auto"/>
        <w:spacing w:before="7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205"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w:t>
      </w:r>
      <w:r>
        <w:rPr>
          <w:rFonts w:hint="eastAsia" w:ascii="仿宋" w:hAnsi="仿宋" w:eastAsia="仿宋" w:cs="仿宋"/>
          <w:color w:val="auto"/>
          <w:spacing w:val="-2"/>
          <w:sz w:val="24"/>
          <w:szCs w:val="24"/>
          <w:highlight w:val="none"/>
        </w:rPr>
        <w:t>权代表：</w:t>
      </w:r>
      <w:r>
        <w:rPr>
          <w:rFonts w:hint="eastAsia" w:ascii="仿宋" w:hAnsi="仿宋" w:eastAsia="仿宋" w:cs="仿宋"/>
          <w:color w:val="auto"/>
          <w:sz w:val="24"/>
          <w:szCs w:val="24"/>
          <w:highlight w:val="none"/>
          <w:u w:val="dotted"/>
        </w:rPr>
        <w:t xml:space="preserve">                                         </w:t>
      </w:r>
    </w:p>
    <w:p>
      <w:pPr>
        <w:shd w:val="clear" w:color="auto" w:fill="auto"/>
        <w:spacing w:before="21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208"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09" w:line="240" w:lineRule="auto"/>
        <w:ind w:left="27"/>
        <w:outlineLvl w:val="2"/>
        <w:rPr>
          <w:rFonts w:hint="eastAsia" w:ascii="仿宋" w:hAnsi="仿宋" w:eastAsia="仿宋" w:cs="仿宋"/>
          <w:color w:val="auto"/>
          <w:sz w:val="24"/>
          <w:szCs w:val="24"/>
          <w:highlight w:val="none"/>
        </w:rPr>
      </w:pPr>
      <w:bookmarkStart w:id="132" w:name="_Toc110010426"/>
      <w:bookmarkStart w:id="133" w:name="_Toc1061"/>
      <w:bookmarkStart w:id="134" w:name="_Toc3585"/>
      <w:bookmarkStart w:id="135" w:name="_Toc15098"/>
      <w:r>
        <w:rPr>
          <w:rFonts w:hint="eastAsia" w:ascii="仿宋" w:hAnsi="仿宋" w:eastAsia="仿宋" w:cs="仿宋"/>
          <w:color w:val="auto"/>
          <w:spacing w:val="-2"/>
          <w:position w:val="1"/>
          <w:sz w:val="24"/>
          <w:szCs w:val="24"/>
          <w:highlight w:val="none"/>
        </w:rPr>
        <w:t>二、质疑项</w:t>
      </w:r>
      <w:r>
        <w:rPr>
          <w:rFonts w:hint="eastAsia" w:ascii="仿宋" w:hAnsi="仿宋" w:eastAsia="仿宋" w:cs="仿宋"/>
          <w:color w:val="auto"/>
          <w:spacing w:val="-1"/>
          <w:position w:val="1"/>
          <w:sz w:val="24"/>
          <w:szCs w:val="24"/>
          <w:highlight w:val="none"/>
        </w:rPr>
        <w:t>目基本情况</w:t>
      </w:r>
      <w:bookmarkEnd w:id="132"/>
      <w:bookmarkEnd w:id="133"/>
      <w:bookmarkEnd w:id="134"/>
      <w:bookmarkEnd w:id="135"/>
    </w:p>
    <w:p>
      <w:pPr>
        <w:shd w:val="clear" w:color="auto" w:fill="auto"/>
        <w:spacing w:before="173"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w:t>
      </w:r>
      <w:r>
        <w:rPr>
          <w:rFonts w:hint="eastAsia" w:ascii="仿宋" w:hAnsi="仿宋" w:eastAsia="仿宋" w:cs="仿宋"/>
          <w:color w:val="auto"/>
          <w:spacing w:val="-1"/>
          <w:sz w:val="24"/>
          <w:szCs w:val="24"/>
          <w:highlight w:val="none"/>
        </w:rPr>
        <w:t>的名称：</w:t>
      </w:r>
      <w:r>
        <w:rPr>
          <w:rFonts w:hint="eastAsia" w:ascii="仿宋" w:hAnsi="仿宋" w:eastAsia="仿宋" w:cs="仿宋"/>
          <w:color w:val="auto"/>
          <w:sz w:val="24"/>
          <w:szCs w:val="24"/>
          <w:highlight w:val="none"/>
          <w:u w:val="dotted"/>
        </w:rPr>
        <w:t xml:space="preserve">                                         </w:t>
      </w:r>
    </w:p>
    <w:p>
      <w:pPr>
        <w:shd w:val="clear" w:color="auto" w:fill="auto"/>
        <w:spacing w:before="21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质疑项</w:t>
      </w:r>
      <w:r>
        <w:rPr>
          <w:rFonts w:hint="eastAsia" w:ascii="仿宋" w:hAnsi="仿宋" w:eastAsia="仿宋" w:cs="仿宋"/>
          <w:color w:val="auto"/>
          <w:spacing w:val="-9"/>
          <w:sz w:val="24"/>
          <w:szCs w:val="24"/>
          <w:highlight w:val="none"/>
        </w:rPr>
        <w:t>目</w:t>
      </w:r>
      <w:r>
        <w:rPr>
          <w:rFonts w:hint="eastAsia" w:ascii="仿宋" w:hAnsi="仿宋" w:eastAsia="仿宋" w:cs="仿宋"/>
          <w:color w:val="auto"/>
          <w:spacing w:val="-5"/>
          <w:sz w:val="24"/>
          <w:szCs w:val="24"/>
          <w:highlight w:val="none"/>
        </w:rPr>
        <w:t>的编号：</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5"/>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w:t>
      </w:r>
      <w:r>
        <w:rPr>
          <w:rFonts w:hint="eastAsia" w:ascii="仿宋" w:hAnsi="仿宋" w:eastAsia="仿宋" w:cs="仿宋"/>
          <w:color w:val="auto"/>
          <w:spacing w:val="-1"/>
          <w:sz w:val="24"/>
          <w:szCs w:val="24"/>
          <w:highlight w:val="none"/>
        </w:rPr>
        <w:t>文件获取日期：</w:t>
      </w:r>
      <w:r>
        <w:rPr>
          <w:rFonts w:hint="eastAsia" w:ascii="仿宋" w:hAnsi="仿宋" w:eastAsia="仿宋" w:cs="仿宋"/>
          <w:color w:val="auto"/>
          <w:sz w:val="24"/>
          <w:szCs w:val="24"/>
          <w:highlight w:val="none"/>
          <w:u w:val="dotted"/>
        </w:rPr>
        <w:t xml:space="preserve">                                       </w:t>
      </w:r>
    </w:p>
    <w:p>
      <w:pPr>
        <w:shd w:val="clear" w:color="auto" w:fill="auto"/>
        <w:spacing w:before="213" w:line="240" w:lineRule="auto"/>
        <w:ind w:left="22"/>
        <w:outlineLvl w:val="2"/>
        <w:rPr>
          <w:rFonts w:hint="eastAsia" w:ascii="仿宋" w:hAnsi="仿宋" w:eastAsia="仿宋" w:cs="仿宋"/>
          <w:color w:val="auto"/>
          <w:sz w:val="24"/>
          <w:szCs w:val="24"/>
          <w:highlight w:val="none"/>
        </w:rPr>
      </w:pPr>
      <w:bookmarkStart w:id="136" w:name="_Toc22496"/>
      <w:bookmarkStart w:id="137" w:name="_Toc32569"/>
      <w:bookmarkStart w:id="138" w:name="_Toc110010427"/>
      <w:bookmarkStart w:id="139" w:name="_Toc14686"/>
      <w:r>
        <w:rPr>
          <w:rFonts w:hint="eastAsia" w:ascii="仿宋" w:hAnsi="仿宋" w:eastAsia="仿宋" w:cs="仿宋"/>
          <w:color w:val="auto"/>
          <w:spacing w:val="-2"/>
          <w:sz w:val="24"/>
          <w:szCs w:val="24"/>
          <w:highlight w:val="none"/>
        </w:rPr>
        <w:t>三</w:t>
      </w:r>
      <w:r>
        <w:rPr>
          <w:rFonts w:hint="eastAsia" w:ascii="仿宋" w:hAnsi="仿宋" w:eastAsia="仿宋" w:cs="仿宋"/>
          <w:color w:val="auto"/>
          <w:spacing w:val="-1"/>
          <w:sz w:val="24"/>
          <w:szCs w:val="24"/>
          <w:highlight w:val="none"/>
        </w:rPr>
        <w:t>、质疑事项具体内容</w:t>
      </w:r>
      <w:bookmarkEnd w:id="136"/>
      <w:bookmarkEnd w:id="137"/>
      <w:bookmarkEnd w:id="138"/>
      <w:bookmarkEnd w:id="139"/>
    </w:p>
    <w:p>
      <w:pPr>
        <w:shd w:val="clear" w:color="auto" w:fill="auto"/>
        <w:spacing w:before="18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质</w:t>
      </w:r>
      <w:r>
        <w:rPr>
          <w:rFonts w:hint="eastAsia" w:ascii="仿宋" w:hAnsi="仿宋" w:eastAsia="仿宋" w:cs="仿宋"/>
          <w:color w:val="auto"/>
          <w:spacing w:val="-11"/>
          <w:sz w:val="24"/>
          <w:szCs w:val="24"/>
          <w:highlight w:val="none"/>
        </w:rPr>
        <w:t>疑事项 1：</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6"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3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9"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2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5"/>
          <w:position w:val="19"/>
          <w:sz w:val="24"/>
          <w:szCs w:val="24"/>
          <w:highlight w:val="none"/>
        </w:rPr>
        <w:t>质</w:t>
      </w:r>
      <w:r>
        <w:rPr>
          <w:rFonts w:hint="eastAsia" w:ascii="仿宋" w:hAnsi="仿宋" w:eastAsia="仿宋" w:cs="仿宋"/>
          <w:color w:val="auto"/>
          <w:spacing w:val="-11"/>
          <w:position w:val="19"/>
          <w:sz w:val="24"/>
          <w:szCs w:val="24"/>
          <w:highlight w:val="none"/>
        </w:rPr>
        <w:t>疑事项 2</w:t>
      </w:r>
    </w:p>
    <w:p>
      <w:pPr>
        <w:shd w:val="clear" w:color="auto" w:fill="auto"/>
        <w:spacing w:line="24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line="240" w:lineRule="auto"/>
        <w:jc w:val="center"/>
        <w:rPr>
          <w:rFonts w:hint="eastAsia" w:ascii="仿宋" w:hAnsi="仿宋" w:eastAsia="仿宋" w:cs="仿宋"/>
          <w:color w:val="auto"/>
          <w:sz w:val="24"/>
          <w:szCs w:val="24"/>
          <w:highlight w:val="none"/>
        </w:rPr>
      </w:pPr>
    </w:p>
    <w:p>
      <w:pPr>
        <w:shd w:val="clear" w:color="auto" w:fill="auto"/>
        <w:spacing w:line="240" w:lineRule="auto"/>
        <w:ind w:left="522"/>
        <w:rPr>
          <w:rFonts w:hint="eastAsia" w:ascii="仿宋" w:hAnsi="仿宋" w:eastAsia="仿宋" w:cs="仿宋"/>
          <w:color w:val="auto"/>
          <w:position w:val="3"/>
          <w:sz w:val="24"/>
          <w:szCs w:val="24"/>
          <w:highlight w:val="none"/>
        </w:rPr>
      </w:pPr>
      <w:r>
        <w:rPr>
          <w:rFonts w:hint="eastAsia" w:ascii="仿宋" w:hAnsi="仿宋" w:eastAsia="仿宋" w:cs="仿宋"/>
          <w:color w:val="auto"/>
          <w:position w:val="3"/>
          <w:sz w:val="24"/>
          <w:szCs w:val="24"/>
          <w:highlight w:val="none"/>
        </w:rPr>
        <w:t>签字(签章)：                          日期：</w:t>
      </w:r>
    </w:p>
    <w:p>
      <w:pPr>
        <w:shd w:val="clear" w:color="auto" w:fill="auto"/>
        <w:spacing w:before="56"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sectPr>
          <w:pgSz w:w="11905" w:h="16838"/>
          <w:pgMar w:top="1440" w:right="1800" w:bottom="1440" w:left="1800" w:header="567" w:footer="454" w:gutter="0"/>
          <w:pgNumType w:fmt="decimal" w:start="1"/>
          <w:cols w:space="720" w:num="1"/>
          <w:rtlGutter w:val="0"/>
          <w:docGrid w:type="lines" w:linePitch="317" w:charSpace="0"/>
        </w:sectPr>
      </w:pPr>
    </w:p>
    <w:p>
      <w:pPr>
        <w:shd w:val="clear" w:color="auto" w:fill="auto"/>
        <w:spacing w:before="9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质疑函制</w:t>
      </w:r>
      <w:r>
        <w:rPr>
          <w:rFonts w:hint="eastAsia" w:ascii="仿宋" w:hAnsi="仿宋" w:eastAsia="仿宋" w:cs="仿宋"/>
          <w:color w:val="auto"/>
          <w:spacing w:val="-1"/>
          <w:sz w:val="24"/>
          <w:szCs w:val="24"/>
          <w:highlight w:val="none"/>
        </w:rPr>
        <w:t>作说明：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提出质疑时，应提交质疑函和必要的证明材料。</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若委托代理人进行质疑的，质疑函应按要求列明 “授权代表”的有关内容，并在附件中提交由质疑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签署的授权 委托书。授权委托书应载明代理人的姓名或者名称、代理事项、具体 权限、期限和相关事项。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若对项目的某一分包进行质疑，质疑函中应列明具 体分包号。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4.质疑函的质疑事项应具体、明确，并有必要的事实依据和法律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5.质疑函的质疑请求应与质疑事项相关。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为自然人的，质疑函应由本人签字；质疑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 法人或者其他组织的，质疑函应由法定代表人、主要负责人，或者其 授权代表签字或者盖章，并加盖公章。</w:t>
      </w:r>
    </w:p>
    <w:p>
      <w:pPr>
        <w:shd w:val="clear" w:color="auto" w:fill="auto"/>
        <w:spacing w:line="360" w:lineRule="auto"/>
        <w:jc w:val="center"/>
        <w:rPr>
          <w:rFonts w:hint="eastAsia" w:ascii="仿宋" w:hAnsi="仿宋" w:eastAsia="仿宋" w:cs="仿宋"/>
          <w:color w:val="auto"/>
          <w:kern w:val="0"/>
          <w:sz w:val="24"/>
          <w:szCs w:val="24"/>
          <w:highlight w:val="none"/>
        </w:rPr>
      </w:pPr>
    </w:p>
    <w:p>
      <w:pPr>
        <w:shd w:val="clear" w:color="auto" w:fill="auto"/>
        <w:spacing w:before="101" w:line="360" w:lineRule="auto"/>
        <w:ind w:left="49"/>
        <w:outlineLvl w:val="2"/>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br w:type="page"/>
      </w:r>
      <w:bookmarkStart w:id="140" w:name="_Toc23110"/>
      <w:bookmarkStart w:id="141" w:name="_Toc31259"/>
      <w:bookmarkStart w:id="142" w:name="_Toc110010428"/>
      <w:bookmarkStart w:id="143" w:name="_Toc22150"/>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件：投诉书范本</w:t>
      </w:r>
      <w:bookmarkEnd w:id="140"/>
      <w:bookmarkEnd w:id="141"/>
      <w:bookmarkEnd w:id="142"/>
      <w:bookmarkEnd w:id="143"/>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15"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4"/>
          <w:sz w:val="24"/>
          <w:szCs w:val="24"/>
          <w:highlight w:val="none"/>
        </w:rPr>
        <w:t>投诉</w:t>
      </w:r>
      <w:r>
        <w:rPr>
          <w:rFonts w:hint="eastAsia" w:ascii="仿宋" w:hAnsi="仿宋" w:eastAsia="仿宋" w:cs="仿宋"/>
          <w:color w:val="auto"/>
          <w:spacing w:val="23"/>
          <w:sz w:val="24"/>
          <w:szCs w:val="24"/>
          <w:highlight w:val="none"/>
        </w:rPr>
        <w:t>书</w:t>
      </w:r>
    </w:p>
    <w:p>
      <w:pPr>
        <w:shd w:val="clear" w:color="auto" w:fill="auto"/>
        <w:spacing w:before="265" w:line="360" w:lineRule="auto"/>
        <w:ind w:left="27"/>
        <w:outlineLvl w:val="2"/>
        <w:rPr>
          <w:rFonts w:hint="eastAsia" w:ascii="仿宋" w:hAnsi="仿宋" w:eastAsia="仿宋" w:cs="仿宋"/>
          <w:color w:val="auto"/>
          <w:sz w:val="24"/>
          <w:szCs w:val="24"/>
          <w:highlight w:val="none"/>
        </w:rPr>
      </w:pPr>
      <w:bookmarkStart w:id="144" w:name="_Toc110010429"/>
      <w:bookmarkStart w:id="145" w:name="_Toc21592"/>
      <w:bookmarkStart w:id="146" w:name="_Toc26371"/>
      <w:bookmarkStart w:id="147" w:name="_Toc5746"/>
      <w:r>
        <w:rPr>
          <w:rFonts w:hint="eastAsia" w:ascii="仿宋" w:hAnsi="仿宋" w:eastAsia="仿宋" w:cs="仿宋"/>
          <w:color w:val="auto"/>
          <w:spacing w:val="-2"/>
          <w:position w:val="1"/>
          <w:sz w:val="24"/>
          <w:szCs w:val="24"/>
          <w:highlight w:val="none"/>
        </w:rPr>
        <w:t>一、投诉</w:t>
      </w:r>
      <w:r>
        <w:rPr>
          <w:rFonts w:hint="eastAsia" w:ascii="仿宋" w:hAnsi="仿宋" w:eastAsia="仿宋" w:cs="仿宋"/>
          <w:color w:val="auto"/>
          <w:spacing w:val="-1"/>
          <w:position w:val="1"/>
          <w:sz w:val="24"/>
          <w:szCs w:val="24"/>
          <w:highlight w:val="none"/>
        </w:rPr>
        <w:t>相关主体基本情况</w:t>
      </w:r>
      <w:bookmarkEnd w:id="144"/>
      <w:bookmarkEnd w:id="145"/>
      <w:bookmarkEnd w:id="146"/>
      <w:bookmarkEnd w:id="147"/>
    </w:p>
    <w:p>
      <w:pPr>
        <w:shd w:val="clear" w:color="auto" w:fill="auto"/>
        <w:spacing w:before="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w:t>
      </w:r>
      <w:r>
        <w:rPr>
          <w:rFonts w:hint="eastAsia" w:ascii="仿宋" w:hAnsi="仿宋" w:eastAsia="仿宋" w:cs="仿宋"/>
          <w:color w:val="auto"/>
          <w:spacing w:val="-3"/>
          <w:sz w:val="24"/>
          <w:szCs w:val="24"/>
          <w:highlight w:val="none"/>
        </w:rPr>
        <w:t>诉人：</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w:t>
      </w:r>
      <w:r>
        <w:rPr>
          <w:rFonts w:hint="eastAsia" w:ascii="仿宋" w:hAnsi="仿宋" w:eastAsia="仿宋" w:cs="仿宋"/>
          <w:color w:val="auto"/>
          <w:spacing w:val="-1"/>
          <w:sz w:val="24"/>
          <w:szCs w:val="24"/>
          <w:highlight w:val="none"/>
        </w:rPr>
        <w:t>表人/主要负责人：</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99"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授权代表：</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被</w:t>
      </w:r>
      <w:r>
        <w:rPr>
          <w:rFonts w:hint="eastAsia" w:ascii="仿宋" w:hAnsi="仿宋" w:eastAsia="仿宋" w:cs="仿宋"/>
          <w:color w:val="auto"/>
          <w:spacing w:val="-11"/>
          <w:sz w:val="24"/>
          <w:szCs w:val="24"/>
          <w:highlight w:val="none"/>
        </w:rPr>
        <w:t>投诉人 1：</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03" w:line="360" w:lineRule="auto"/>
        <w:ind w:left="505"/>
        <w:rPr>
          <w:rFonts w:hint="eastAsia"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27"/>
        <w:outlineLvl w:val="2"/>
        <w:rPr>
          <w:rFonts w:hint="eastAsia" w:ascii="仿宋" w:hAnsi="仿宋" w:eastAsia="仿宋" w:cs="仿宋"/>
          <w:color w:val="auto"/>
          <w:sz w:val="24"/>
          <w:szCs w:val="24"/>
          <w:highlight w:val="none"/>
        </w:rPr>
      </w:pPr>
      <w:bookmarkStart w:id="148" w:name="_Toc27620"/>
      <w:bookmarkStart w:id="149" w:name="_Toc25199"/>
      <w:bookmarkStart w:id="150" w:name="_Toc110010430"/>
      <w:bookmarkStart w:id="151" w:name="_Toc377"/>
      <w:r>
        <w:rPr>
          <w:rFonts w:hint="eastAsia" w:ascii="仿宋" w:hAnsi="仿宋" w:eastAsia="仿宋" w:cs="仿宋"/>
          <w:color w:val="auto"/>
          <w:spacing w:val="-2"/>
          <w:position w:val="1"/>
          <w:sz w:val="24"/>
          <w:szCs w:val="24"/>
          <w:highlight w:val="none"/>
        </w:rPr>
        <w:t>二、投诉项目</w:t>
      </w:r>
      <w:r>
        <w:rPr>
          <w:rFonts w:hint="eastAsia" w:ascii="仿宋" w:hAnsi="仿宋" w:eastAsia="仿宋" w:cs="仿宋"/>
          <w:color w:val="auto"/>
          <w:spacing w:val="-1"/>
          <w:position w:val="1"/>
          <w:sz w:val="24"/>
          <w:szCs w:val="24"/>
          <w:highlight w:val="none"/>
        </w:rPr>
        <w:t>基本情况</w:t>
      </w:r>
      <w:bookmarkEnd w:id="148"/>
      <w:bookmarkEnd w:id="149"/>
      <w:bookmarkEnd w:id="150"/>
      <w:bookmarkEnd w:id="151"/>
    </w:p>
    <w:p>
      <w:pPr>
        <w:shd w:val="clear" w:color="auto" w:fill="auto"/>
        <w:spacing w:before="6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w:t>
      </w:r>
      <w:r>
        <w:rPr>
          <w:rFonts w:hint="eastAsia" w:ascii="仿宋" w:hAnsi="仿宋" w:eastAsia="仿宋" w:cs="仿宋"/>
          <w:color w:val="auto"/>
          <w:spacing w:val="-1"/>
          <w:sz w:val="24"/>
          <w:szCs w:val="24"/>
          <w:highlight w:val="none"/>
        </w:rPr>
        <w:t>目名称：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采购项目</w:t>
      </w:r>
      <w:r>
        <w:rPr>
          <w:rFonts w:hint="eastAsia" w:ascii="仿宋" w:hAnsi="仿宋" w:eastAsia="仿宋" w:cs="仿宋"/>
          <w:color w:val="auto"/>
          <w:spacing w:val="-4"/>
          <w:sz w:val="24"/>
          <w:szCs w:val="24"/>
          <w:highlight w:val="none"/>
        </w:rPr>
        <w:t>编号：</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5"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代理机构名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采购文件公告:</w:t>
      </w:r>
      <w:r>
        <w:rPr>
          <w:rFonts w:hint="eastAsia" w:ascii="仿宋" w:hAnsi="仿宋" w:eastAsia="仿宋" w:cs="仿宋"/>
          <w:color w:val="auto"/>
          <w:spacing w:val="7"/>
          <w:sz w:val="24"/>
          <w:szCs w:val="24"/>
          <w:highlight w:val="none"/>
          <w:u w:val="single"/>
        </w:rPr>
        <w:t xml:space="preserve">  是/否 </w:t>
      </w:r>
      <w:r>
        <w:rPr>
          <w:rFonts w:hint="eastAsia" w:ascii="仿宋" w:hAnsi="仿宋" w:eastAsia="仿宋" w:cs="仿宋"/>
          <w:color w:val="auto"/>
          <w:spacing w:val="7"/>
          <w:sz w:val="24"/>
          <w:szCs w:val="24"/>
          <w:highlight w:val="none"/>
        </w:rPr>
        <w:t xml:space="preserve"> 公告期限</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22" w:right="12"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采购结果公告：</w:t>
      </w:r>
      <w:r>
        <w:rPr>
          <w:rFonts w:hint="eastAsia" w:ascii="仿宋" w:hAnsi="仿宋" w:eastAsia="仿宋" w:cs="仿宋"/>
          <w:color w:val="auto"/>
          <w:spacing w:val="-1"/>
          <w:sz w:val="24"/>
          <w:szCs w:val="24"/>
          <w:highlight w:val="none"/>
          <w:u w:val="single"/>
        </w:rPr>
        <w:t xml:space="preserve">  是/否 </w:t>
      </w:r>
      <w:r>
        <w:rPr>
          <w:rFonts w:hint="eastAsia" w:ascii="仿宋" w:hAnsi="仿宋" w:eastAsia="仿宋" w:cs="仿宋"/>
          <w:color w:val="auto"/>
          <w:spacing w:val="-1"/>
          <w:sz w:val="24"/>
          <w:szCs w:val="24"/>
          <w:highlight w:val="none"/>
        </w:rPr>
        <w:t xml:space="preserve"> 公告期限：</w:t>
      </w:r>
      <w:r>
        <w:rPr>
          <w:rFonts w:hint="eastAsia" w:ascii="仿宋" w:hAnsi="仿宋" w:eastAsia="仿宋" w:cs="仿宋"/>
          <w:color w:val="auto"/>
          <w:spacing w:val="-1"/>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hd w:val="clear" w:color="auto" w:fill="auto"/>
        <w:spacing w:before="100" w:line="360" w:lineRule="auto"/>
        <w:ind w:left="27" w:right="0" w:firstLine="0"/>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rPr>
        <w:t>三、质疑基本情况</w:t>
      </w:r>
    </w:p>
    <w:p>
      <w:pPr>
        <w:shd w:val="clear" w:color="auto" w:fill="auto"/>
        <w:spacing w:before="1" w:line="360" w:lineRule="auto"/>
        <w:ind w:left="23" w:right="11" w:firstLine="484"/>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投</w:t>
      </w:r>
      <w:r>
        <w:rPr>
          <w:rFonts w:hint="eastAsia" w:ascii="仿宋" w:hAnsi="仿宋" w:eastAsia="仿宋" w:cs="仿宋"/>
          <w:color w:val="auto"/>
          <w:spacing w:val="-6"/>
          <w:sz w:val="24"/>
          <w:szCs w:val="24"/>
          <w:highlight w:val="none"/>
        </w:rPr>
        <w:t>诉人于</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日 ，向</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2"/>
          <w:sz w:val="24"/>
          <w:szCs w:val="24"/>
          <w:highlight w:val="none"/>
        </w:rPr>
        <w:t>出质疑，</w:t>
      </w:r>
    </w:p>
    <w:p>
      <w:pPr>
        <w:shd w:val="clear" w:color="auto" w:fill="auto"/>
        <w:spacing w:before="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疑事项为：</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459" w:right="11" w:firstLine="1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w:t>
      </w:r>
      <w:r>
        <w:rPr>
          <w:rFonts w:hint="eastAsia" w:ascii="仿宋" w:hAnsi="仿宋" w:eastAsia="仿宋" w:cs="仿宋"/>
          <w:color w:val="auto"/>
          <w:spacing w:val="-2"/>
          <w:sz w:val="24"/>
          <w:szCs w:val="24"/>
          <w:highlight w:val="none"/>
        </w:rPr>
        <w:t>采购代理机构于</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年</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月</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日，就质疑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事项做出了答复/没有在</w:t>
      </w:r>
      <w:r>
        <w:rPr>
          <w:rFonts w:hint="eastAsia" w:ascii="仿宋" w:hAnsi="仿宋" w:eastAsia="仿宋" w:cs="仿宋"/>
          <w:color w:val="auto"/>
          <w:sz w:val="24"/>
          <w:szCs w:val="24"/>
          <w:highlight w:val="none"/>
        </w:rPr>
        <w:t>法定期限内做出答复。</w:t>
      </w:r>
    </w:p>
    <w:p>
      <w:pPr>
        <w:shd w:val="clear" w:color="auto" w:fill="auto"/>
        <w:spacing w:before="100" w:line="360" w:lineRule="auto"/>
        <w:ind w:left="27"/>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lang w:val="en-US" w:eastAsia="zh-CN"/>
        </w:rPr>
        <w:t>四</w:t>
      </w:r>
      <w:r>
        <w:rPr>
          <w:rFonts w:hint="eastAsia" w:ascii="仿宋" w:hAnsi="仿宋" w:eastAsia="仿宋" w:cs="仿宋"/>
          <w:color w:val="auto"/>
          <w:spacing w:val="-2"/>
          <w:position w:val="1"/>
          <w:sz w:val="24"/>
          <w:szCs w:val="24"/>
          <w:highlight w:val="none"/>
        </w:rPr>
        <w:t>、投诉事项具体内容</w:t>
      </w:r>
    </w:p>
    <w:p>
      <w:pPr>
        <w:shd w:val="clear" w:color="auto" w:fill="auto"/>
        <w:spacing w:before="9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投</w:t>
      </w:r>
      <w:r>
        <w:rPr>
          <w:rFonts w:hint="eastAsia" w:ascii="仿宋" w:hAnsi="仿宋" w:eastAsia="仿宋" w:cs="仿宋"/>
          <w:color w:val="auto"/>
          <w:spacing w:val="-10"/>
          <w:sz w:val="24"/>
          <w:szCs w:val="24"/>
          <w:highlight w:val="none"/>
        </w:rPr>
        <w:t>诉事项 1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3"/>
          <w:position w:val="11"/>
          <w:sz w:val="24"/>
          <w:szCs w:val="24"/>
          <w:highlight w:val="none"/>
        </w:rPr>
        <w:t>投</w:t>
      </w:r>
      <w:r>
        <w:rPr>
          <w:rFonts w:hint="eastAsia" w:ascii="仿宋" w:hAnsi="仿宋" w:eastAsia="仿宋" w:cs="仿宋"/>
          <w:color w:val="auto"/>
          <w:spacing w:val="-12"/>
          <w:position w:val="11"/>
          <w:sz w:val="24"/>
          <w:szCs w:val="24"/>
          <w:highlight w:val="none"/>
        </w:rPr>
        <w:t>诉事项 2</w:t>
      </w:r>
    </w:p>
    <w:p>
      <w:pPr>
        <w:shd w:val="clear" w:color="auto" w:fill="auto"/>
        <w:spacing w:line="36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
          <w:position w:val="11"/>
          <w:sz w:val="24"/>
          <w:szCs w:val="24"/>
          <w:highlight w:val="none"/>
        </w:rPr>
        <w:t>签字(签</w:t>
      </w:r>
      <w:r>
        <w:rPr>
          <w:rFonts w:hint="eastAsia" w:ascii="仿宋" w:hAnsi="仿宋" w:eastAsia="仿宋" w:cs="仿宋"/>
          <w:color w:val="auto"/>
          <w:spacing w:val="-1"/>
          <w:position w:val="11"/>
          <w:sz w:val="24"/>
          <w:szCs w:val="24"/>
          <w:highlight w:val="none"/>
        </w:rPr>
        <w:t xml:space="preserve">章)： </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0"/>
          <w:sz w:val="24"/>
          <w:szCs w:val="24"/>
          <w:highlight w:val="none"/>
        </w:rPr>
        <w:t>日</w:t>
      </w:r>
      <w:r>
        <w:rPr>
          <w:rFonts w:hint="eastAsia" w:ascii="仿宋" w:hAnsi="仿宋" w:eastAsia="仿宋" w:cs="仿宋"/>
          <w:color w:val="auto"/>
          <w:spacing w:val="-19"/>
          <w:sz w:val="24"/>
          <w:szCs w:val="24"/>
          <w:highlight w:val="none"/>
        </w:rPr>
        <w:t>期：</w:t>
      </w:r>
      <w:r>
        <w:rPr>
          <w:rFonts w:hint="eastAsia" w:ascii="仿宋" w:hAnsi="仿宋" w:eastAsia="仿宋" w:cs="仿宋"/>
          <w:color w:val="auto"/>
          <w:spacing w:val="-1"/>
          <w:position w:val="11"/>
          <w:sz w:val="24"/>
          <w:szCs w:val="24"/>
          <w:highlight w:val="none"/>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9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投诉书制作说</w:t>
      </w:r>
      <w:r>
        <w:rPr>
          <w:rFonts w:hint="eastAsia" w:ascii="仿宋" w:hAnsi="仿宋" w:eastAsia="仿宋" w:cs="仿宋"/>
          <w:color w:val="auto"/>
          <w:spacing w:val="-1"/>
          <w:sz w:val="24"/>
          <w:szCs w:val="24"/>
          <w:highlight w:val="none"/>
        </w:rPr>
        <w:t>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1.投诉人提起投诉时，应当提交投诉书和必要的证明材料，并按 照被投诉人和与投诉事项有关的</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数量提供投诉书副本。</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3.投诉人若对项目的某一分包进行投诉，投诉书中应列明具体分 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4.投诉书应简要列明质疑事项，质疑函、质疑答复等作为附件材 料提供。</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5.投诉书的投诉事项应具体、明确，并有必要的事实依据和法律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6.投诉书的投诉请求应与投诉事项相关。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8"/>
          <w:szCs w:val="28"/>
          <w:highlight w:val="none"/>
        </w:rPr>
        <w:br w:type="page"/>
      </w:r>
    </w:p>
    <w:p>
      <w:pPr>
        <w:spacing w:after="0" w:line="357" w:lineRule="exact"/>
        <w:jc w:val="left"/>
        <w:rPr>
          <w:rFonts w:hint="eastAsia" w:ascii="仿宋" w:hAnsi="仿宋" w:eastAsia="仿宋" w:cs="仿宋"/>
          <w:color w:val="auto"/>
          <w:sz w:val="28"/>
          <w:highlight w:val="none"/>
        </w:rPr>
        <w:sectPr>
          <w:footerReference r:id="rId4" w:type="default"/>
          <w:pgSz w:w="11910" w:h="16840"/>
          <w:pgMar w:top="1440" w:right="1800" w:bottom="1440" w:left="1800" w:header="0" w:footer="1037" w:gutter="0"/>
          <w:cols w:space="720" w:num="1"/>
        </w:sectPr>
      </w:pPr>
    </w:p>
    <w:p>
      <w:pPr>
        <w:keepNext w:val="0"/>
        <w:keepLines w:val="0"/>
        <w:widowControl/>
        <w:numPr>
          <w:ilvl w:val="0"/>
          <w:numId w:val="6"/>
        </w:numPr>
        <w:suppressLineNumbers w:val="0"/>
        <w:jc w:val="center"/>
        <w:rPr>
          <w:rFonts w:hint="eastAsia" w:ascii="仿宋" w:hAnsi="仿宋" w:eastAsia="仿宋" w:cs="仿宋"/>
          <w:b/>
          <w:bCs/>
          <w:color w:val="auto"/>
          <w:kern w:val="0"/>
          <w:sz w:val="36"/>
          <w:szCs w:val="36"/>
          <w:highlight w:val="none"/>
          <w:lang w:val="en-US" w:eastAsia="zh-CN" w:bidi="ar"/>
        </w:rPr>
      </w:pPr>
      <w:bookmarkStart w:id="152" w:name="_Toc6417"/>
      <w:bookmarkStart w:id="153" w:name="_Toc20110"/>
      <w:bookmarkStart w:id="154" w:name="_Toc1354"/>
      <w:bookmarkStart w:id="155" w:name="_Toc29710"/>
      <w:bookmarkStart w:id="156" w:name="_Toc23028"/>
      <w:r>
        <w:rPr>
          <w:rFonts w:hint="eastAsia" w:ascii="仿宋" w:hAnsi="仿宋" w:eastAsia="仿宋" w:cs="仿宋"/>
          <w:b/>
          <w:bCs/>
          <w:color w:val="auto"/>
          <w:kern w:val="0"/>
          <w:sz w:val="36"/>
          <w:szCs w:val="36"/>
          <w:highlight w:val="none"/>
          <w:lang w:val="en-US" w:eastAsia="zh-CN" w:bidi="ar"/>
        </w:rPr>
        <w:t xml:space="preserve"> 资格审查</w:t>
      </w:r>
    </w:p>
    <w:p>
      <w:pPr>
        <w:tabs>
          <w:tab w:val="left" w:pos="360"/>
          <w:tab w:val="left" w:pos="900"/>
        </w:tabs>
        <w:snapToGrid w:val="0"/>
        <w:spacing w:line="360" w:lineRule="auto"/>
        <w:jc w:val="center"/>
        <w:outlineLvl w:val="1"/>
        <w:rPr>
          <w:rFonts w:hint="eastAsia" w:ascii="仿宋" w:hAnsi="仿宋" w:eastAsia="仿宋" w:cs="仿宋"/>
          <w:b/>
          <w:color w:val="auto"/>
          <w:sz w:val="24"/>
          <w:highlight w:val="none"/>
        </w:rPr>
      </w:pPr>
      <w:bookmarkStart w:id="157" w:name="_Toc99301422"/>
      <w:r>
        <w:rPr>
          <w:rFonts w:hint="eastAsia" w:ascii="仿宋" w:hAnsi="仿宋" w:eastAsia="仿宋" w:cs="仿宋"/>
          <w:b/>
          <w:color w:val="auto"/>
          <w:sz w:val="24"/>
          <w:highlight w:val="none"/>
        </w:rPr>
        <w:t>一、资格审查程序</w:t>
      </w:r>
      <w:bookmarkEnd w:id="157"/>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开标结束后，采购人或采购代理机构将根据《资格审查要求》中的规定，对投标人进行资格审查，并形成资格审查结果。</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《资格审查要求》中对格式有要求的，除招标文件另有规定外，均为“实质性格式”文件。</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投标人《资格证明文件》有任何一项不符合《资格审查要求》的，资格审查不合格，其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资格审查合格的投标人不足3家的，不进行评标。</w:t>
      </w:r>
    </w:p>
    <w:p>
      <w:pPr>
        <w:tabs>
          <w:tab w:val="left" w:pos="360"/>
          <w:tab w:val="left" w:pos="900"/>
        </w:tabs>
        <w:snapToGrid w:val="0"/>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二、资格审查要求</w:t>
      </w:r>
    </w:p>
    <w:tbl>
      <w:tblPr>
        <w:tblStyle w:val="44"/>
        <w:tblW w:w="873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859"/>
        <w:gridCol w:w="5911"/>
        <w:gridCol w:w="61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资格性评审</w:t>
            </w:r>
          </w:p>
        </w:tc>
        <w:tc>
          <w:tcPr>
            <w:tcW w:w="859"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5911"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评审内容</w:t>
            </w:r>
          </w:p>
        </w:tc>
        <w:tc>
          <w:tcPr>
            <w:tcW w:w="1482" w:type="dxa"/>
            <w:gridSpan w:val="2"/>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5911" w:type="dxa"/>
            <w:vMerge w:val="continue"/>
            <w:vAlign w:val="center"/>
          </w:tcPr>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通过</w:t>
            </w: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提供经年审合格（三证合一）的营业执照；</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有效的法定代表人身份证明（法人）及身份证 或具有法定效力的法人授权委托书（非法人，须明确 采购项目及包段名称、授权事项、权限、期限等）、 被委托人身份证；</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需提供公司近三个月社保证明（缴费凭证及明细）（新成立时间少于3个月的公司，按实际发生提供）；</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zh-CN" w:eastAsia="zh-CN"/>
              </w:rPr>
            </w:pPr>
            <w:r>
              <w:rPr>
                <w:rFonts w:hint="eastAsia" w:ascii="仿宋" w:hAnsi="仿宋" w:eastAsia="仿宋" w:cs="仿宋"/>
                <w:i w:val="0"/>
                <w:iCs w:val="0"/>
                <w:caps w:val="0"/>
                <w:color w:val="000000"/>
                <w:spacing w:val="0"/>
                <w:sz w:val="24"/>
                <w:szCs w:val="24"/>
                <w:highlight w:val="none"/>
                <w:lang w:val="zh-CN" w:eastAsia="zh-CN"/>
              </w:rPr>
              <w:t>提供2022年度的财务审计报告（2023年8月后成立的公司可不提供但需提供银行出具的近三个月的资信证明）；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提供参加政府采购活动前 3 年内在经营活动中没有重大违法记录的书面声明；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投标人是否提供投标保证金缴纳凭证或电子保函；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企业负责人为同一人或者存在直接控股、管理关系的不同投标人，不得参加同一合同项下的政府采购活动的声明函；否则，皆取消投标资格；</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提供有效的中小企业声明函。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38" w:type="dxa"/>
            <w:gridSpan w:val="5"/>
            <w:tcBorders>
              <w:top w:val="single" w:color="auto" w:sz="4" w:space="0"/>
              <w:left w:val="nil"/>
              <w:bottom w:val="single" w:color="auto" w:sz="4" w:space="0"/>
              <w:right w:val="nil"/>
            </w:tcBorders>
            <w:vAlign w:val="center"/>
          </w:tcPr>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评标程序、评标方法和评标标准</w:t>
            </w:r>
          </w:p>
          <w:p>
            <w:pPr>
              <w:tabs>
                <w:tab w:val="left" w:pos="360"/>
                <w:tab w:val="left" w:pos="900"/>
              </w:tabs>
              <w:snapToGrid w:val="0"/>
              <w:spacing w:line="360" w:lineRule="auto"/>
              <w:jc w:val="center"/>
              <w:outlineLvl w:val="1"/>
              <w:rPr>
                <w:rFonts w:hint="eastAsia" w:ascii="仿宋" w:hAnsi="仿宋" w:eastAsia="仿宋" w:cs="仿宋"/>
                <w:b/>
                <w:color w:val="auto"/>
                <w:highlight w:val="none"/>
              </w:rPr>
            </w:pPr>
            <w:r>
              <w:rPr>
                <w:rFonts w:hint="eastAsia" w:ascii="仿宋" w:hAnsi="仿宋" w:eastAsia="仿宋" w:cs="仿宋"/>
                <w:b/>
                <w:color w:val="auto"/>
                <w:sz w:val="24"/>
                <w:highlight w:val="none"/>
              </w:rPr>
              <w:t>一、评标方法</w:t>
            </w:r>
          </w:p>
          <w:p>
            <w:pPr>
              <w:numPr>
                <w:ilvl w:val="0"/>
                <w:numId w:val="8"/>
              </w:numPr>
              <w:tabs>
                <w:tab w:val="left" w:pos="360"/>
              </w:tabs>
              <w:snapToGrid w:val="0"/>
              <w:spacing w:line="360" w:lineRule="auto"/>
              <w:outlineLvl w:val="1"/>
              <w:rPr>
                <w:rFonts w:hint="eastAsia" w:ascii="仿宋" w:hAnsi="仿宋" w:eastAsia="仿宋" w:cs="仿宋"/>
                <w:color w:val="auto"/>
                <w:sz w:val="24"/>
                <w:szCs w:val="24"/>
                <w:highlight w:val="none"/>
              </w:rPr>
            </w:pPr>
            <w:bookmarkStart w:id="158" w:name="_Toc226965814"/>
            <w:bookmarkStart w:id="159" w:name="_Toc265228379"/>
            <w:bookmarkStart w:id="160" w:name="_Toc127151541"/>
            <w:bookmarkStart w:id="161" w:name="_Toc151193855"/>
            <w:bookmarkStart w:id="162" w:name="_Toc226309785"/>
            <w:bookmarkStart w:id="163" w:name="_Toc150509292"/>
            <w:bookmarkStart w:id="164" w:name="_Toc164229236"/>
            <w:bookmarkStart w:id="165" w:name="_Toc151193783"/>
            <w:bookmarkStart w:id="166" w:name="_Toc305158883"/>
            <w:bookmarkStart w:id="167" w:name="_Toc149720834"/>
            <w:bookmarkStart w:id="168" w:name="_Toc305158809"/>
            <w:bookmarkStart w:id="169" w:name="_Toc151193639"/>
            <w:bookmarkStart w:id="170" w:name="_Toc150774746"/>
            <w:bookmarkStart w:id="171" w:name="_Toc127161455"/>
            <w:bookmarkStart w:id="172" w:name="_Toc151193711"/>
            <w:bookmarkStart w:id="173" w:name="_Toc151190168"/>
            <w:bookmarkStart w:id="174" w:name="_Toc150480779"/>
            <w:bookmarkStart w:id="175" w:name="_Toc164351635"/>
            <w:bookmarkStart w:id="176" w:name="_Toc164608655"/>
            <w:bookmarkStart w:id="177" w:name="_Toc195842906"/>
            <w:bookmarkStart w:id="178" w:name="_Toc150774641"/>
            <w:bookmarkStart w:id="179" w:name="_Toc164608810"/>
            <w:bookmarkStart w:id="180" w:name="_Toc142311043"/>
            <w:bookmarkStart w:id="181" w:name="_Toc226965731"/>
            <w:bookmarkStart w:id="182" w:name="_Toc226337237"/>
            <w:bookmarkStart w:id="183" w:name="_Toc127151742"/>
            <w:bookmarkStart w:id="184" w:name="_Toc164229382"/>
            <w:bookmarkStart w:id="185" w:name="_Toc151193929"/>
            <w:bookmarkStart w:id="186" w:name="_Toc264969231"/>
            <w:r>
              <w:rPr>
                <w:rFonts w:hint="eastAsia" w:ascii="仿宋" w:hAnsi="仿宋" w:eastAsia="仿宋" w:cs="仿宋"/>
                <w:color w:val="auto"/>
                <w:sz w:val="24"/>
                <w:szCs w:val="24"/>
                <w:highlight w:val="none"/>
              </w:rPr>
              <w:t>投标文件的符合性审查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评标委员会对资格审查合格的投标人的投标文件进行符合性审查，以确定其是否满足招标文件的实质性要求。</w:t>
            </w:r>
            <w:bookmarkStart w:id="187" w:name="_Toc520356167"/>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87"/>
            <w:r>
              <w:rPr>
                <w:rFonts w:hint="eastAsia" w:ascii="仿宋" w:hAnsi="仿宋" w:eastAsia="仿宋" w:cs="仿宋"/>
                <w:color w:val="auto"/>
                <w:sz w:val="24"/>
                <w:szCs w:val="24"/>
                <w:highlight w:val="none"/>
              </w:rPr>
              <w:t>要求的，</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auto"/>
                <w:sz w:val="24"/>
                <w:szCs w:val="24"/>
                <w:highlight w:val="none"/>
              </w:rPr>
            </w:pP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color w:val="auto"/>
                <w:sz w:val="24"/>
                <w:szCs w:val="24"/>
                <w:highlight w:val="none"/>
              </w:rPr>
              <w:t>符合性审查要求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符合性评审</w:t>
            </w: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1</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投标报价高于设定的采购最高限价的；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2</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投标报价为唯一报价，有不同报价时是否明确有效力的报价；</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投标文件是否不齐全或者内容虚假的；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投标文件应由企业法人或法人授权代表在凡规定签字处 签字并加盖电子签章；</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tcBorders>
              <w:top w:val="single" w:color="auto" w:sz="4" w:space="0"/>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11"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改变招标文件提供的清单中的计量单位、数量的；</w:t>
            </w:r>
          </w:p>
        </w:tc>
        <w:tc>
          <w:tcPr>
            <w:tcW w:w="61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格式填写是否按规定的格式填写，没有内容不全或关键字迹模糊、无法辨认的；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实质性条款的响应是否有不符合招标文件中规定的其他实质性要求；</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评标委员会共同确定有实质上不响应招标文件要求的；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是否存在法律、法规和招标文件规定的其他无效情形；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10</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投标文件载明的技术规格等，不符合招标文件要求的；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不满足招标文件实质性要求的其他情形。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12</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交货期是否满足采购文件规定交货期限；</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738" w:type="dxa"/>
            <w:gridSpan w:val="5"/>
            <w:vAlign w:val="center"/>
          </w:tcPr>
          <w:p>
            <w:pPr>
              <w:pStyle w:val="143"/>
              <w:spacing w:before="138" w:line="240" w:lineRule="auto"/>
              <w:ind w:left="107"/>
              <w:jc w:val="left"/>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注：以上有一项不通过结论为不通过，投标人将拒绝进行下一阶段评审！</w:t>
            </w:r>
          </w:p>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请投标人特别注意！</w:t>
            </w:r>
          </w:p>
        </w:tc>
      </w:tr>
    </w:tbl>
    <w:p>
      <w:pPr>
        <w:numPr>
          <w:ilvl w:val="0"/>
          <w:numId w:val="8"/>
        </w:numPr>
        <w:tabs>
          <w:tab w:val="left" w:pos="360"/>
        </w:tabs>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投标文件有关事项的澄清或者说明</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color w:val="auto"/>
          <w:sz w:val="24"/>
          <w:highlight w:val="none"/>
        </w:rPr>
        <w:t>无效投标处理</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投标文件报价出现前后不一致的，按照下列规定修正：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2.4.1</w:t>
      </w:r>
      <w:r>
        <w:rPr>
          <w:rFonts w:hint="eastAsia" w:ascii="仿宋" w:hAnsi="仿宋" w:eastAsia="仿宋" w:cs="仿宋"/>
          <w:color w:val="auto"/>
          <w:sz w:val="24"/>
          <w:highlight w:val="none"/>
        </w:rPr>
        <w:t>招标文件对于报价修正是否另有规定：</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□有，具体规定为：______________</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□无，按下述2.4.2-2.4.7项规定修正。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2.4.2</w:t>
      </w:r>
      <w:r>
        <w:rPr>
          <w:rFonts w:hint="eastAsia" w:ascii="仿宋" w:hAnsi="仿宋" w:eastAsia="仿宋" w:cs="仿宋"/>
          <w:color w:val="auto"/>
          <w:sz w:val="24"/>
          <w:highlight w:val="none"/>
        </w:rPr>
        <w:t>单独递交的开标一览表（报价表）与投标文件中开标一览表（报价表）内容不一致的，以单独递交的开标一览表（报价表）为准；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2.4.3</w:t>
      </w:r>
      <w:r>
        <w:rPr>
          <w:rFonts w:hint="eastAsia" w:ascii="仿宋" w:hAnsi="仿宋" w:eastAsia="仿宋" w:cs="仿宋"/>
          <w:color w:val="auto"/>
          <w:sz w:val="24"/>
          <w:highlight w:val="none"/>
        </w:rPr>
        <w:t>投标文件中开标一览表（报价表）内容与投标文件中相应内容不一致的，以开标一览表（报价表）为准；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2.4.4</w:t>
      </w:r>
      <w:r>
        <w:rPr>
          <w:rFonts w:hint="eastAsia" w:ascii="仿宋" w:hAnsi="仿宋" w:eastAsia="仿宋" w:cs="仿宋"/>
          <w:color w:val="auto"/>
          <w:sz w:val="24"/>
          <w:highlight w:val="none"/>
        </w:rPr>
        <w:t>大写金额和小写金额不一致的，以大写金额为准；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2.4.5</w:t>
      </w:r>
      <w:r>
        <w:rPr>
          <w:rFonts w:hint="eastAsia" w:ascii="仿宋" w:hAnsi="仿宋" w:eastAsia="仿宋" w:cs="仿宋"/>
          <w:color w:val="auto"/>
          <w:sz w:val="24"/>
          <w:highlight w:val="none"/>
        </w:rPr>
        <w:t>单价金额小数点或者百分比有明显错位的，以开标一览表的总价为准，并修改单价；</w:t>
      </w:r>
    </w:p>
    <w:p>
      <w:pPr>
        <w:numPr>
          <w:ilvl w:val="0"/>
          <w:numId w:val="0"/>
        </w:numPr>
        <w:tabs>
          <w:tab w:val="left" w:pos="2035"/>
          <w:tab w:val="left" w:pos="2114"/>
          <w:tab w:val="left" w:pos="2977"/>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2.4.6</w:t>
      </w:r>
      <w:r>
        <w:rPr>
          <w:rFonts w:hint="eastAsia" w:ascii="仿宋" w:hAnsi="仿宋" w:eastAsia="仿宋" w:cs="仿宋"/>
          <w:color w:val="auto"/>
          <w:sz w:val="24"/>
          <w:highlight w:val="none"/>
        </w:rPr>
        <w:t>总价金额与按单价汇总金额不一致的，以单价金额计算结果为准。</w:t>
      </w:r>
    </w:p>
    <w:p>
      <w:pPr>
        <w:numPr>
          <w:ilvl w:val="0"/>
          <w:numId w:val="0"/>
        </w:numPr>
        <w:tabs>
          <w:tab w:val="left" w:pos="1080"/>
          <w:tab w:val="left" w:pos="1589"/>
          <w:tab w:val="left" w:pos="2035"/>
          <w:tab w:val="left" w:pos="2114"/>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2.4.7</w:t>
      </w:r>
      <w:r>
        <w:rPr>
          <w:rFonts w:hint="eastAsia" w:ascii="仿宋" w:hAnsi="仿宋" w:eastAsia="仿宋" w:cs="仿宋"/>
          <w:color w:val="auto"/>
          <w:sz w:val="24"/>
          <w:highlight w:val="none"/>
        </w:rPr>
        <w:t>同时出现两种以上不一致的，按照前款规定的顺序修正。修正后的报价经投标人书面确认后产生约束力，投标人不确认的，其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落实政府采购政策的价格调整：只有符合第二章《投标人须知》规定情形的，可以享受中小企业扶持政策，用扣除后的价格参加评审；否则，评标时价格不予扣除。</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2.5.1</w:t>
      </w:r>
      <w:r>
        <w:rPr>
          <w:rFonts w:hint="eastAsia" w:ascii="仿宋" w:hAnsi="仿宋" w:eastAsia="仿宋" w:cs="仿宋"/>
          <w:color w:val="auto"/>
          <w:sz w:val="24"/>
          <w:highlight w:val="none"/>
        </w:rPr>
        <w:t>对于未预留份额专门面向中小企业采购的采购项目，以及预留份额项目中的非预留部分采购包，对小微企业报价给予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2.5.2</w:t>
      </w:r>
      <w:r>
        <w:rPr>
          <w:rFonts w:hint="eastAsia" w:ascii="仿宋" w:hAnsi="仿宋" w:eastAsia="仿宋" w:cs="仿宋"/>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%以上的联合体或者大中型企业的报价给予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2.5.3</w:t>
      </w: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2.5.4</w:t>
      </w:r>
      <w:r>
        <w:rPr>
          <w:rFonts w:hint="eastAsia" w:ascii="仿宋" w:hAnsi="仿宋" w:eastAsia="仿宋" w:cs="仿宋"/>
          <w:color w:val="auto"/>
          <w:sz w:val="24"/>
          <w:highlight w:val="none"/>
        </w:rPr>
        <w:t>价格扣除比例对小型企业和微型企业同等对待，不作区分。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2.5.5</w:t>
      </w:r>
      <w:r>
        <w:rPr>
          <w:rFonts w:hint="eastAsia" w:ascii="仿宋" w:hAnsi="仿宋" w:eastAsia="仿宋" w:cs="仿宋"/>
          <w:color w:val="auto"/>
          <w:sz w:val="24"/>
          <w:highlight w:val="none"/>
        </w:rPr>
        <w:t>中小企业参加政府采购活动，应当按照招标文件给定的格式出具《中小企业声明函》，</w:t>
      </w:r>
      <w:r>
        <w:rPr>
          <w:rFonts w:hint="eastAsia" w:ascii="仿宋" w:hAnsi="仿宋" w:eastAsia="仿宋" w:cs="仿宋"/>
          <w:color w:val="auto"/>
          <w:sz w:val="24"/>
          <w:highlight w:val="none"/>
          <w:lang w:val="en-US" w:eastAsia="zh-CN"/>
        </w:rPr>
        <w:t>☑本项目专门面向 ☑中小企业 ☑小微企业采购。即：提供的货物或服务全部由符合政策要求的中小/小微企业制造、服务全部由符合政策要求的中小/小微企业承接。</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2.5.6</w:t>
      </w:r>
      <w:r>
        <w:rPr>
          <w:rFonts w:hint="eastAsia" w:ascii="仿宋" w:hAnsi="仿宋" w:eastAsia="仿宋" w:cs="仿宋"/>
          <w:color w:val="auto"/>
          <w:sz w:val="24"/>
          <w:highlight w:val="none"/>
        </w:rPr>
        <w:t>监狱企业提供了由省级以上监狱管理局（北京市含教育矫治局）、戒毒管理局（含新疆生产建设兵团）出具的属于监狱企业的证明文件的，视同小微企业。</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2.5.7</w:t>
      </w:r>
      <w:r>
        <w:rPr>
          <w:rFonts w:hint="eastAsia" w:ascii="仿宋" w:hAnsi="仿宋" w:eastAsia="仿宋" w:cs="仿宋"/>
          <w:color w:val="auto"/>
          <w:sz w:val="24"/>
          <w:highlight w:val="none"/>
        </w:rPr>
        <w:t>残疾人福利性单位按招标文件要求提供了《残疾人福利性单位声明函》（见附件）的，视同小微企业。</w:t>
      </w:r>
    </w:p>
    <w:p>
      <w:pPr>
        <w:numPr>
          <w:ilvl w:val="0"/>
          <w:numId w:val="0"/>
        </w:numPr>
        <w:tabs>
          <w:tab w:val="left" w:pos="1080"/>
          <w:tab w:val="left" w:pos="1589"/>
          <w:tab w:val="left" w:pos="2014"/>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2.5.8</w:t>
      </w:r>
      <w:r>
        <w:rPr>
          <w:rFonts w:hint="eastAsia" w:ascii="仿宋" w:hAnsi="仿宋" w:eastAsia="仿宋" w:cs="仿宋"/>
          <w:color w:val="auto"/>
          <w:sz w:val="24"/>
          <w:highlight w:val="none"/>
        </w:rPr>
        <w:t>若投标人同时属于小型或微型企业、监狱企业、残疾人福利性单位中的两种及以上，将不重复享受小微企业价格扣减的优惠政策。</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投标文件的比较和评价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评标方法和评标标准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rPr>
        <w:t>本项目采用的评标方法为：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2" w:char="0052"/>
      </w:r>
      <w:r>
        <w:rPr>
          <w:rFonts w:hint="eastAsia" w:ascii="仿宋" w:hAnsi="仿宋" w:eastAsia="仿宋" w:cs="仿宋"/>
          <w:color w:val="auto"/>
          <w:sz w:val="24"/>
          <w:highlight w:val="none"/>
          <w:u w:val="single"/>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□最低评标价法，指投标文件满足招标文件全部实质性要求，且投标报价最低的投标人为中标候选人的评标方法。</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A8"/>
      </w:r>
      <w:r>
        <w:rPr>
          <w:rFonts w:hint="eastAsia" w:ascii="仿宋" w:hAnsi="仿宋" w:eastAsia="仿宋" w:cs="仿宋"/>
          <w:color w:val="auto"/>
          <w:sz w:val="24"/>
          <w:highlight w:val="none"/>
          <w:u w:val="single"/>
          <w:lang w:val="en-US" w:eastAsia="zh-CN"/>
        </w:rPr>
        <w:t>随机抽取</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□其他方式，具体要求：_____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3.2.3非政府强制采购的节能产品或环境标志产品，依据品目清单和认证证书实施政府优先采购。优先采购的具体规定（如涉及）_____。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3.2.4关于无线局域网认证产品政府采购清单中的产品，优先采购的具体规定（如涉及）_____。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4确定</w:t>
      </w:r>
      <w:bookmarkStart w:id="188" w:name="_Toc264969236"/>
      <w:bookmarkStart w:id="189" w:name="_Toc149720839"/>
      <w:bookmarkStart w:id="190" w:name="_Toc520356170"/>
      <w:bookmarkStart w:id="191" w:name="_Toc164229387"/>
      <w:bookmarkStart w:id="192" w:name="_Toc151193716"/>
      <w:bookmarkStart w:id="193" w:name="_Toc127161460"/>
      <w:bookmarkStart w:id="194" w:name="_Toc150480784"/>
      <w:bookmarkStart w:id="195" w:name="_Toc150774751"/>
      <w:bookmarkStart w:id="196" w:name="_Toc142311048"/>
      <w:bookmarkStart w:id="197" w:name="_Toc164608660"/>
      <w:bookmarkStart w:id="198" w:name="_Toc164229241"/>
      <w:bookmarkStart w:id="199" w:name="_Toc151193860"/>
      <w:bookmarkStart w:id="200" w:name="_Toc305158888"/>
      <w:bookmarkStart w:id="201" w:name="_Toc151193788"/>
      <w:bookmarkStart w:id="202" w:name="_Toc164608815"/>
      <w:bookmarkStart w:id="203" w:name="_Toc226965736"/>
      <w:bookmarkStart w:id="204" w:name="_Toc151193934"/>
      <w:bookmarkStart w:id="205" w:name="_Toc151193644"/>
      <w:bookmarkStart w:id="206" w:name="_Toc305158814"/>
      <w:bookmarkStart w:id="207" w:name="_Toc151190173"/>
      <w:bookmarkStart w:id="208" w:name="_Ref467307010"/>
      <w:bookmarkStart w:id="209" w:name="_Toc127151546"/>
      <w:bookmarkStart w:id="210" w:name="_Toc150509297"/>
      <w:bookmarkStart w:id="211" w:name="_Toc226309790"/>
      <w:bookmarkStart w:id="212" w:name="_Toc226337242"/>
      <w:bookmarkStart w:id="213" w:name="_Toc150774646"/>
      <w:bookmarkStart w:id="214" w:name="_Toc265228384"/>
      <w:bookmarkStart w:id="215" w:name="_Toc164351640"/>
      <w:bookmarkStart w:id="216" w:name="_Toc226965819"/>
      <w:bookmarkStart w:id="217" w:name="_Toc195842911"/>
      <w:bookmarkStart w:id="218" w:name="_Toc127151747"/>
      <w:r>
        <w:rPr>
          <w:rFonts w:hint="eastAsia" w:ascii="仿宋" w:hAnsi="仿宋" w:eastAsia="仿宋" w:cs="仿宋"/>
          <w:color w:val="auto"/>
          <w:sz w:val="24"/>
          <w:highlight w:val="none"/>
          <w:u w:val="single"/>
          <w:lang w:val="en-US" w:eastAsia="zh-CN"/>
        </w:rPr>
        <w:t>中标候选人名单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FE"/>
      </w:r>
      <w:r>
        <w:rPr>
          <w:rFonts w:hint="eastAsia" w:ascii="仿宋" w:hAnsi="仿宋" w:eastAsia="仿宋" w:cs="仿宋"/>
          <w:color w:val="auto"/>
          <w:sz w:val="24"/>
          <w:highlight w:val="none"/>
          <w:u w:val="single"/>
          <w:lang w:val="en-US" w:eastAsia="zh-CN"/>
        </w:rPr>
        <w:t>随机抽取</w:t>
      </w:r>
    </w:p>
    <w:p>
      <w:pPr>
        <w:pStyle w:val="24"/>
        <w:tabs>
          <w:tab w:val="left" w:pos="900"/>
          <w:tab w:val="left" w:pos="2127"/>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□其他方式，具体要求：_____</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采用综合评分法时，评标结果按评审后得分由高到低顺序排列。得分相同的，按投标报价由低到高顺序排列。得分且投标报价相同的，按技术指标优劣顺序排列,如果这些指标都相同，由评标委员会集体讨论确定排名。投标文件满足招标文件全部实质性要求，且按照评审因素的量化指标评审得分最高的投标人为排名第一的中标候选人。评分分值计算保留小数点后两位，第三位四舍五入。</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采用最低评标价法时，评标结果按本章2.4、2.5调整后的投标报价由低到高顺序排列。投标报价相同的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按技术指标优劣顺序排列,如果这些指标都相同，由评标委员会集体讨论确定排名。投标文件满足招标文件全部实质性要求且投标报价最低的投标人为排名第一的中标候选人。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评标委员会要对评分汇总情况进行复核，特别是对排名第一的、报价最低的、投标或响应文件被认定为无效的情形进行重点复核。</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评标委员会将根据各投标人的评标排序，依次推荐本项目（各采购包）的中标候选人，起草并签署评标报告。本项目（各采购包）评标委员会共（各）推荐</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rPr>
        <w:t>名中标候选人。</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报告违法行为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评标委员会在评标过程中发现投标人有行贿、提供虚假材料或者串通等违法行为时，有向采购人、采购代理机构或者有关部门报告的职责。</w:t>
      </w:r>
    </w:p>
    <w:p>
      <w:pPr>
        <w:spacing w:line="360" w:lineRule="auto"/>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br w:type="page"/>
      </w:r>
    </w:p>
    <w:p>
      <w:pPr>
        <w:pStyle w:val="19"/>
        <w:jc w:val="center"/>
        <w:rPr>
          <w:rFonts w:hint="eastAsia" w:ascii="仿宋" w:hAnsi="仿宋" w:eastAsia="仿宋" w:cs="仿宋"/>
          <w:b/>
          <w:color w:val="auto"/>
          <w:sz w:val="24"/>
          <w:szCs w:val="24"/>
          <w:highlight w:val="none"/>
          <w:lang w:bidi="ar-SA"/>
        </w:rPr>
      </w:pPr>
      <w:r>
        <w:rPr>
          <w:rFonts w:hint="eastAsia" w:ascii="仿宋" w:hAnsi="仿宋" w:eastAsia="仿宋" w:cs="仿宋"/>
          <w:b/>
          <w:color w:val="auto"/>
          <w:spacing w:val="4"/>
          <w:sz w:val="28"/>
          <w:szCs w:val="28"/>
          <w:highlight w:val="none"/>
          <w:lang w:val="en-US" w:eastAsia="zh-CN" w:bidi="ar-SA"/>
        </w:rPr>
        <w:t>评标标准打分表</w:t>
      </w:r>
    </w:p>
    <w:tbl>
      <w:tblPr>
        <w:tblStyle w:val="44"/>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52"/>
        <w:gridCol w:w="788"/>
        <w:gridCol w:w="1431"/>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50" w:hRule="atLeast"/>
          <w:jc w:val="center"/>
        </w:trPr>
        <w:tc>
          <w:tcPr>
            <w:tcW w:w="1240" w:type="dxa"/>
            <w:gridSpan w:val="2"/>
            <w:tcBorders>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评分因素</w:t>
            </w:r>
          </w:p>
        </w:tc>
        <w:tc>
          <w:tcPr>
            <w:tcW w:w="1431" w:type="dxa"/>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评分点</w:t>
            </w:r>
          </w:p>
        </w:tc>
        <w:tc>
          <w:tcPr>
            <w:tcW w:w="5425" w:type="dxa"/>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13" w:hRule="atLeast"/>
          <w:jc w:val="center"/>
        </w:trPr>
        <w:tc>
          <w:tcPr>
            <w:tcW w:w="452" w:type="dxa"/>
            <w:vMerge w:val="restart"/>
            <w:tcBorders>
              <w:top w:val="single" w:color="auto" w:sz="4" w:space="0"/>
              <w:left w:val="single" w:color="auto" w:sz="4" w:space="0"/>
              <w:bottom w:val="nil"/>
            </w:tcBorders>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详细评审</w:t>
            </w:r>
          </w:p>
        </w:tc>
        <w:tc>
          <w:tcPr>
            <w:tcW w:w="788" w:type="dxa"/>
            <w:tcBorders>
              <w:top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价格评审（</w:t>
            </w:r>
            <w:r>
              <w:rPr>
                <w:rFonts w:hint="eastAsia" w:ascii="仿宋" w:hAnsi="仿宋" w:eastAsia="仿宋" w:cs="仿宋"/>
                <w:color w:val="auto"/>
                <w:sz w:val="20"/>
                <w:szCs w:val="20"/>
                <w:highlight w:val="none"/>
                <w:lang w:val="en-US" w:eastAsia="zh-CN"/>
              </w:rPr>
              <w:t>40</w:t>
            </w:r>
            <w:r>
              <w:rPr>
                <w:rFonts w:hint="eastAsia" w:ascii="仿宋" w:hAnsi="仿宋" w:eastAsia="仿宋" w:cs="仿宋"/>
                <w:color w:val="auto"/>
                <w:sz w:val="20"/>
                <w:szCs w:val="20"/>
                <w:highlight w:val="none"/>
              </w:rPr>
              <w:t>分）</w:t>
            </w: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   （40分）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满足招标文件要求且投标价格最低的投标报价为评标基准价，其价格分为满分。其他投标人的价格分统一按照下列公式计算：</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5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788" w:type="dxa"/>
            <w:vMerge w:val="restart"/>
            <w:tcBorders>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商务标</w:t>
            </w:r>
            <w:r>
              <w:rPr>
                <w:rFonts w:hint="eastAsia" w:ascii="仿宋" w:hAnsi="仿宋" w:eastAsia="仿宋" w:cs="仿宋"/>
                <w:color w:val="auto"/>
                <w:sz w:val="20"/>
                <w:szCs w:val="20"/>
                <w:highlight w:val="none"/>
                <w:lang w:val="en-US" w:eastAsia="zh-CN"/>
              </w:rPr>
              <w:t>技术标</w:t>
            </w:r>
            <w:r>
              <w:rPr>
                <w:rFonts w:hint="eastAsia" w:ascii="仿宋" w:hAnsi="仿宋" w:eastAsia="仿宋" w:cs="仿宋"/>
                <w:color w:val="auto"/>
                <w:sz w:val="20"/>
                <w:szCs w:val="20"/>
                <w:highlight w:val="none"/>
              </w:rPr>
              <w:t>评审（</w:t>
            </w:r>
            <w:r>
              <w:rPr>
                <w:rFonts w:hint="eastAsia" w:ascii="仿宋" w:hAnsi="仿宋" w:eastAsia="仿宋" w:cs="仿宋"/>
                <w:color w:val="auto"/>
                <w:sz w:val="20"/>
                <w:szCs w:val="20"/>
                <w:highlight w:val="none"/>
                <w:lang w:val="en-US" w:eastAsia="zh-CN"/>
              </w:rPr>
              <w:t>60</w:t>
            </w:r>
            <w:r>
              <w:rPr>
                <w:rFonts w:hint="eastAsia" w:ascii="仿宋" w:hAnsi="仿宋" w:eastAsia="仿宋" w:cs="仿宋"/>
                <w:color w:val="auto"/>
                <w:sz w:val="20"/>
                <w:szCs w:val="20"/>
                <w:highlight w:val="none"/>
              </w:rPr>
              <w:t>分）</w:t>
            </w: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供培训工作和进度计划</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（5分）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1、投标企业需提供培训工作和进度计划，2、投标企业需提供培训内容和培训保证措施，提供一条得2.5分，满分5分，不提供不得分。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5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788" w:type="dxa"/>
            <w:vMerge w:val="continue"/>
            <w:tcBorders>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质量保证措施（</w:t>
            </w:r>
            <w:r>
              <w:rPr>
                <w:rFonts w:hint="eastAsia" w:ascii="仿宋" w:hAnsi="仿宋" w:eastAsia="仿宋" w:cs="仿宋"/>
                <w:b w:val="0"/>
                <w:bCs/>
                <w:color w:val="auto"/>
                <w:sz w:val="20"/>
                <w:szCs w:val="20"/>
                <w:highlight w:val="none"/>
                <w:lang w:val="en-US" w:eastAsia="zh-CN"/>
              </w:rPr>
              <w:t>5分</w:t>
            </w:r>
            <w:r>
              <w:rPr>
                <w:rFonts w:hint="eastAsia" w:ascii="仿宋" w:hAnsi="仿宋" w:eastAsia="仿宋" w:cs="仿宋"/>
                <w:b w:val="0"/>
                <w:bCs/>
                <w:color w:val="auto"/>
                <w:sz w:val="20"/>
                <w:szCs w:val="20"/>
                <w:highlight w:val="none"/>
                <w:lang w:val="zh-CN"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w:t>
            </w:r>
            <w:r>
              <w:rPr>
                <w:rFonts w:hint="eastAsia" w:ascii="仿宋" w:hAnsi="仿宋" w:eastAsia="仿宋" w:cs="仿宋"/>
                <w:b w:val="0"/>
                <w:bCs/>
                <w:color w:val="auto"/>
                <w:sz w:val="20"/>
                <w:szCs w:val="20"/>
                <w:highlight w:val="none"/>
                <w:lang w:val="zh-CN" w:eastAsia="zh-CN"/>
              </w:rPr>
              <w:t>质量保证措施：制定完全满足招标要求的</w:t>
            </w:r>
            <w:r>
              <w:rPr>
                <w:rFonts w:hint="eastAsia" w:ascii="仿宋" w:hAnsi="仿宋" w:eastAsia="仿宋" w:cs="仿宋"/>
                <w:b w:val="0"/>
                <w:bCs/>
                <w:color w:val="auto"/>
                <w:sz w:val="20"/>
                <w:szCs w:val="20"/>
                <w:highlight w:val="none"/>
                <w:lang w:val="en-US" w:eastAsia="zh-CN"/>
              </w:rPr>
              <w:t>质量保证措施</w:t>
            </w: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2、每缺少一项扣2.5分。扣完为止。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07" w:hRule="atLeast"/>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项目实施方案（12分）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评标委员会根据投标文件对项目实施方案的完整性、技术要求说明情况，重点是货物技术参数、功能的叙述，优点特点介绍详细，描述清晰；项目实施方案符 合规定、切合实际等方面情况进行打分；（满分 3分）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（2）根据本项目具体特点及实际需求、货物质量、各个阶段进度、紧急保障措施及运储、方案等方面情况 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（3）根据本项目实际情况，对运输方案、货物调配、货物交接、清单安排等方面情况进行打分；（满分3分）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（4）供货期安排须详细阐述从货物发货时间、货物交接等各个阶段时间安排。不可预见突发处理时间，完工验收时间等进行合理计划等方面情况进行打分，供货期安排方案 合理等方面情况进行打分，（满分 3 分）（满分12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82" w:hRule="atLeast"/>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保证措施及售后服务（10分）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投标企业需产品供货商售后服务体系完善，提供相关的印证材料或承诺 （满分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服务承诺：接到故障电话后 2 小时内能抵达现场并解除 故障得 2 分；4 小时内抵达现场并解除故障得 1 分；6 小时内 抵达现场并解除故障得 0.5 分；其余情形不得分；（满分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质保期：优于招标文件要求，即：超过招标文件要求的 质保期 2 年以上的得 2 分，超过招标文件要求的质保期 1年 以上的得 1 分，不满足采购单位免费质保期要求的为无效投标；（满分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货物包退包换承诺（满分 2 分） 违约处罚承诺（满分 2 分）；（满分 10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类似项目业绩（8分）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投标企业</w:t>
            </w:r>
            <w:r>
              <w:rPr>
                <w:rFonts w:hint="eastAsia" w:ascii="仿宋" w:hAnsi="仿宋" w:eastAsia="仿宋" w:cs="仿宋"/>
                <w:b w:val="0"/>
                <w:bCs/>
                <w:color w:val="auto"/>
                <w:sz w:val="20"/>
                <w:szCs w:val="20"/>
                <w:highlight w:val="none"/>
              </w:rPr>
              <w:t>近三年（</w:t>
            </w:r>
            <w:r>
              <w:rPr>
                <w:rFonts w:hint="eastAsia" w:ascii="仿宋" w:hAnsi="仿宋" w:eastAsia="仿宋" w:cs="仿宋"/>
                <w:b w:val="0"/>
                <w:bCs/>
                <w:color w:val="auto"/>
                <w:sz w:val="20"/>
                <w:szCs w:val="20"/>
                <w:highlight w:val="none"/>
                <w:lang w:val="en-US" w:eastAsia="zh-CN"/>
              </w:rPr>
              <w:t>2020</w:t>
            </w:r>
            <w:r>
              <w:rPr>
                <w:rFonts w:hint="eastAsia" w:ascii="仿宋" w:hAnsi="仿宋" w:eastAsia="仿宋" w:cs="仿宋"/>
                <w:b w:val="0"/>
                <w:bCs/>
                <w:color w:val="auto"/>
                <w:sz w:val="20"/>
                <w:szCs w:val="20"/>
                <w:highlight w:val="none"/>
              </w:rPr>
              <w:t>年</w:t>
            </w:r>
            <w:r>
              <w:rPr>
                <w:rFonts w:hint="eastAsia" w:ascii="仿宋" w:hAnsi="仿宋" w:eastAsia="仿宋" w:cs="仿宋"/>
                <w:b w:val="0"/>
                <w:bCs/>
                <w:color w:val="auto"/>
                <w:sz w:val="20"/>
                <w:szCs w:val="20"/>
                <w:highlight w:val="none"/>
                <w:lang w:eastAsia="zh-CN"/>
              </w:rPr>
              <w:t>至今</w:t>
            </w:r>
            <w:r>
              <w:rPr>
                <w:rFonts w:hint="eastAsia" w:ascii="仿宋" w:hAnsi="仿宋" w:eastAsia="仿宋" w:cs="仿宋"/>
                <w:b w:val="0"/>
                <w:bCs/>
                <w:color w:val="auto"/>
                <w:sz w:val="20"/>
                <w:szCs w:val="20"/>
                <w:highlight w:val="none"/>
              </w:rPr>
              <w:t>）完成的类似项目</w:t>
            </w:r>
            <w:r>
              <w:rPr>
                <w:rFonts w:hint="eastAsia" w:ascii="仿宋" w:hAnsi="仿宋" w:eastAsia="仿宋" w:cs="仿宋"/>
                <w:b w:val="0"/>
                <w:bCs/>
                <w:color w:val="auto"/>
                <w:sz w:val="20"/>
                <w:szCs w:val="20"/>
                <w:highlight w:val="none"/>
                <w:lang w:eastAsia="zh-CN"/>
              </w:rPr>
              <w:t>（类似项目是指在类型、性能功能等类似的）货物</w:t>
            </w:r>
            <w:r>
              <w:rPr>
                <w:rFonts w:hint="eastAsia" w:ascii="仿宋" w:hAnsi="仿宋" w:eastAsia="仿宋" w:cs="仿宋"/>
                <w:b w:val="0"/>
                <w:bCs/>
                <w:color w:val="auto"/>
                <w:sz w:val="20"/>
                <w:szCs w:val="20"/>
                <w:highlight w:val="none"/>
              </w:rPr>
              <w:t>业绩</w:t>
            </w: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需提供合同及中标通知书复印件</w:t>
            </w:r>
            <w:r>
              <w:rPr>
                <w:rFonts w:hint="eastAsia" w:ascii="仿宋" w:hAnsi="仿宋" w:eastAsia="仿宋" w:cs="仿宋"/>
                <w:b w:val="0"/>
                <w:bCs/>
                <w:color w:val="auto"/>
                <w:sz w:val="20"/>
                <w:szCs w:val="20"/>
                <w:highlight w:val="none"/>
              </w:rPr>
              <w:t>，每有一项得</w:t>
            </w:r>
            <w:r>
              <w:rPr>
                <w:rFonts w:hint="eastAsia" w:ascii="仿宋" w:hAnsi="仿宋" w:eastAsia="仿宋" w:cs="仿宋"/>
                <w:b w:val="0"/>
                <w:bCs/>
                <w:color w:val="auto"/>
                <w:sz w:val="20"/>
                <w:szCs w:val="20"/>
                <w:highlight w:val="none"/>
                <w:lang w:val="en-US" w:eastAsia="zh-CN"/>
              </w:rPr>
              <w:t>2</w:t>
            </w:r>
            <w:r>
              <w:rPr>
                <w:rFonts w:hint="eastAsia" w:ascii="仿宋" w:hAnsi="仿宋" w:eastAsia="仿宋" w:cs="仿宋"/>
                <w:b w:val="0"/>
                <w:bCs/>
                <w:color w:val="auto"/>
                <w:sz w:val="20"/>
                <w:szCs w:val="20"/>
                <w:highlight w:val="none"/>
              </w:rPr>
              <w:t>分，最高得</w:t>
            </w:r>
            <w:r>
              <w:rPr>
                <w:rFonts w:hint="eastAsia" w:ascii="仿宋" w:hAnsi="仿宋" w:eastAsia="仿宋" w:cs="仿宋"/>
                <w:b w:val="0"/>
                <w:bCs/>
                <w:color w:val="auto"/>
                <w:sz w:val="20"/>
                <w:szCs w:val="20"/>
                <w:highlight w:val="none"/>
                <w:lang w:val="en-US" w:eastAsia="zh-CN"/>
              </w:rPr>
              <w:t>8</w:t>
            </w:r>
            <w:r>
              <w:rPr>
                <w:rFonts w:hint="eastAsia" w:ascii="仿宋" w:hAnsi="仿宋" w:eastAsia="仿宋" w:cs="仿宋"/>
                <w:b w:val="0"/>
                <w:bCs/>
                <w:color w:val="auto"/>
                <w:sz w:val="20"/>
                <w:szCs w:val="20"/>
                <w:highlight w:val="none"/>
              </w:rPr>
              <w:t>分（如提供虚假业绩资料一经查出做否决投标处理）；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技术方案及售后服务方案</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根据投标人①项目技术实施方案②质量管理措施、安全管理措施③服务人员团队及技术实力（投标企业须提供服务人员身份证、劳动合同）④售后服务方案等进行评比，每一项得1分，最多得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zh-CN" w:eastAsia="zh-CN"/>
              </w:rPr>
            </w:pPr>
            <w:r>
              <w:rPr>
                <w:rFonts w:hint="eastAsia" w:ascii="仿宋" w:hAnsi="仿宋" w:eastAsia="仿宋" w:cs="仿宋"/>
                <w:b w:val="0"/>
                <w:bCs/>
                <w:color w:val="auto"/>
                <w:sz w:val="20"/>
                <w:szCs w:val="20"/>
                <w:highlight w:val="none"/>
                <w:lang w:val="zh-CN" w:eastAsia="zh-CN"/>
              </w:rPr>
              <w:t>合理化建议</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4分</w:t>
            </w:r>
            <w:r>
              <w:rPr>
                <w:rFonts w:hint="eastAsia" w:ascii="仿宋" w:hAnsi="仿宋" w:eastAsia="仿宋" w:cs="仿宋"/>
                <w:b w:val="0"/>
                <w:bCs/>
                <w:color w:val="auto"/>
                <w:sz w:val="20"/>
                <w:szCs w:val="20"/>
                <w:highlight w:val="none"/>
                <w:lang w:val="zh-CN"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zh-CN" w:eastAsia="zh-CN"/>
              </w:rPr>
              <w:t>投标人对本项目的合理化建议：</w:t>
            </w:r>
            <w:r>
              <w:rPr>
                <w:rFonts w:hint="eastAsia" w:ascii="仿宋" w:hAnsi="仿宋" w:eastAsia="仿宋" w:cs="仿宋"/>
                <w:b w:val="0"/>
                <w:bCs/>
                <w:color w:val="auto"/>
                <w:sz w:val="20"/>
                <w:szCs w:val="20"/>
                <w:highlight w:val="none"/>
                <w:lang w:val="en-US" w:eastAsia="zh-CN"/>
              </w:rPr>
              <w:t>提供一条得1分，满分4分，不提供不得分。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企业的承诺、优惠性条件</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（6 分）</w:t>
            </w:r>
          </w:p>
        </w:tc>
        <w:tc>
          <w:tcPr>
            <w:tcW w:w="5425"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en-US" w:eastAsia="zh-CN"/>
              </w:rPr>
              <w:t>针对本项目的需求及实际情况，承诺有相关优惠条件。评委根据优惠程度有 承诺、有优惠一项或一条得 1 分，最多3分。对工期承诺早完成一天得 0.5 分，最多 3 分；无优惠条件或承诺不得分。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应急预案及应急措施</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6分</w:t>
            </w:r>
            <w:r>
              <w:rPr>
                <w:rFonts w:hint="eastAsia" w:ascii="仿宋" w:hAnsi="仿宋" w:eastAsia="仿宋" w:cs="仿宋"/>
                <w:b w:val="0"/>
                <w:bCs/>
                <w:color w:val="auto"/>
                <w:sz w:val="20"/>
                <w:szCs w:val="20"/>
                <w:highlight w:val="none"/>
                <w:lang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关于临时突发性特殊状况，针对本项目制定合理完善的应急预案和应急措施：提供一条得3分，满分6分，不提供不得分。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4" w:hRule="atLeast"/>
          <w:jc w:val="center"/>
        </w:trPr>
        <w:tc>
          <w:tcPr>
            <w:tcW w:w="8096" w:type="dxa"/>
            <w:gridSpan w:val="4"/>
            <w:tcBorders>
              <w:top w:val="nil"/>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合计100分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注：1、计算过程中，算术平均值保留2位小数（百分比亦取2位小数），第三位小数四舍五入。</w:t>
            </w:r>
          </w:p>
          <w:p>
            <w:pPr>
              <w:pStyle w:val="154"/>
              <w:ind w:firstLine="40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0"/>
                <w:szCs w:val="20"/>
                <w:highlight w:val="none"/>
                <w:lang w:val="en-US" w:eastAsia="zh-CN"/>
              </w:rPr>
              <w:t>2、投标人的最终得分为：所有评委对其评分的算术平均值。</w:t>
            </w:r>
          </w:p>
        </w:tc>
      </w:tr>
    </w:tbl>
    <w:p>
      <w:pPr>
        <w:pStyle w:val="36"/>
        <w:spacing w:line="360" w:lineRule="auto"/>
        <w:ind w:left="0" w:leftChars="0" w:firstLine="0" w:firstLineChars="0"/>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val="en-US" w:eastAsia="zh-CN" w:bidi="ar-SA"/>
        </w:rPr>
        <w:t>一</w:t>
      </w:r>
      <w:r>
        <w:rPr>
          <w:rFonts w:hint="eastAsia" w:ascii="仿宋" w:hAnsi="仿宋" w:eastAsia="仿宋" w:cs="仿宋"/>
          <w:b/>
          <w:color w:val="auto"/>
          <w:sz w:val="24"/>
          <w:szCs w:val="24"/>
          <w:highlight w:val="none"/>
          <w:lang w:bidi="ar-SA"/>
        </w:rPr>
        <w:t>、成交：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1、</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结果报告由</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小组全体成员签字确认。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2、采购人根据</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结果报告中推荐的成交候选</w:t>
      </w:r>
      <w:r>
        <w:rPr>
          <w:rFonts w:hint="eastAsia" w:ascii="仿宋" w:hAnsi="仿宋" w:eastAsia="仿宋" w:cs="仿宋"/>
          <w:color w:val="auto"/>
          <w:spacing w:val="4"/>
          <w:sz w:val="24"/>
          <w:szCs w:val="24"/>
          <w:highlight w:val="none"/>
          <w:lang w:eastAsia="zh-CN" w:bidi="ar-SA"/>
        </w:rPr>
        <w:t>人</w:t>
      </w:r>
      <w:r>
        <w:rPr>
          <w:rFonts w:hint="eastAsia" w:ascii="仿宋" w:hAnsi="仿宋" w:eastAsia="仿宋" w:cs="仿宋"/>
          <w:color w:val="auto"/>
          <w:spacing w:val="4"/>
          <w:sz w:val="24"/>
          <w:szCs w:val="24"/>
          <w:highlight w:val="none"/>
          <w:lang w:bidi="ar-SA"/>
        </w:rPr>
        <w:t>确定</w:t>
      </w:r>
      <w:r>
        <w:rPr>
          <w:rFonts w:hint="eastAsia" w:ascii="仿宋" w:hAnsi="仿宋" w:eastAsia="仿宋" w:cs="仿宋"/>
          <w:color w:val="auto"/>
          <w:spacing w:val="4"/>
          <w:sz w:val="24"/>
          <w:szCs w:val="24"/>
          <w:highlight w:val="none"/>
          <w:lang w:eastAsia="zh-CN" w:bidi="ar-SA"/>
        </w:rPr>
        <w:t>成交投标人</w:t>
      </w:r>
      <w:r>
        <w:rPr>
          <w:rFonts w:hint="eastAsia" w:ascii="仿宋" w:hAnsi="仿宋" w:eastAsia="仿宋" w:cs="仿宋"/>
          <w:color w:val="auto"/>
          <w:spacing w:val="4"/>
          <w:sz w:val="24"/>
          <w:szCs w:val="24"/>
          <w:highlight w:val="none"/>
          <w:lang w:bidi="ar-SA"/>
        </w:rPr>
        <w:t>，以复函通知采购代理机构。</w:t>
      </w:r>
    </w:p>
    <w:p>
      <w:pPr>
        <w:spacing w:line="360" w:lineRule="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bCs/>
          <w:color w:val="auto"/>
          <w:spacing w:val="4"/>
          <w:kern w:val="2"/>
          <w:sz w:val="24"/>
          <w:szCs w:val="24"/>
          <w:highlight w:val="none"/>
          <w:lang w:val="en-US" w:eastAsia="zh-CN" w:bidi="ar-SA"/>
        </w:rPr>
        <w:t>二、特殊情况的处理</w:t>
      </w:r>
    </w:p>
    <w:p>
      <w:pPr>
        <w:spacing w:line="360" w:lineRule="auto"/>
        <w:ind w:firstLine="496" w:firstLineChars="200"/>
        <w:rPr>
          <w:rFonts w:hint="eastAsia" w:ascii="仿宋" w:hAnsi="仿宋" w:eastAsia="仿宋" w:cs="仿宋"/>
          <w:b/>
          <w:color w:val="auto"/>
          <w:sz w:val="36"/>
          <w:szCs w:val="36"/>
          <w:highlight w:val="none"/>
          <w:lang w:eastAsia="zh-CN"/>
        </w:rPr>
      </w:pPr>
      <w:r>
        <w:rPr>
          <w:rFonts w:hint="eastAsia" w:ascii="仿宋" w:hAnsi="仿宋" w:eastAsia="仿宋" w:cs="仿宋"/>
          <w:color w:val="auto"/>
          <w:spacing w:val="4"/>
          <w:sz w:val="24"/>
          <w:szCs w:val="24"/>
          <w:highlight w:val="none"/>
          <w:lang w:val="en-US" w:eastAsia="zh-CN" w:bidi="ar-SA"/>
        </w:rPr>
        <w:t>评审过程中，若出现本评审方法以外的特殊情况时，将暂停评审，待评审小组商榷后，再进行评定。</w:t>
      </w:r>
    </w:p>
    <w:p>
      <w:pPr>
        <w:pStyle w:val="19"/>
        <w:spacing w:line="360" w:lineRule="auto"/>
        <w:rPr>
          <w:rFonts w:hint="eastAsia" w:ascii="仿宋" w:hAnsi="仿宋" w:eastAsia="仿宋" w:cs="仿宋"/>
          <w:highlight w:val="none"/>
          <w:lang w:val="en-US" w:eastAsia="zh-CN"/>
        </w:rPr>
      </w:pPr>
    </w:p>
    <w:p>
      <w:pPr>
        <w:jc w:val="center"/>
        <w:rPr>
          <w:rFonts w:hint="eastAsia" w:ascii="仿宋" w:hAnsi="仿宋" w:eastAsia="仿宋" w:cs="仿宋"/>
          <w:b/>
          <w:bCs/>
          <w:color w:val="auto"/>
          <w:sz w:val="36"/>
          <w:szCs w:val="56"/>
          <w:highlight w:val="none"/>
        </w:rPr>
        <w:sectPr>
          <w:headerReference r:id="rId5" w:type="default"/>
          <w:footerReference r:id="rId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9"/>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lang w:val="en-US" w:eastAsia="zh-CN"/>
        </w:rPr>
        <w:t xml:space="preserve"> </w:t>
      </w:r>
      <w:r>
        <w:rPr>
          <w:rFonts w:hint="eastAsia" w:ascii="仿宋" w:hAnsi="仿宋" w:eastAsia="仿宋" w:cs="仿宋"/>
          <w:b/>
          <w:bCs/>
          <w:color w:val="auto"/>
          <w:sz w:val="36"/>
          <w:szCs w:val="56"/>
          <w:highlight w:val="none"/>
        </w:rPr>
        <w:t>采购需求、技术参数、规格</w:t>
      </w:r>
      <w:bookmarkEnd w:id="152"/>
      <w:bookmarkEnd w:id="153"/>
      <w:bookmarkEnd w:id="154"/>
      <w:bookmarkEnd w:id="155"/>
      <w:bookmarkEnd w:id="156"/>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1761"/>
        <w:gridCol w:w="10614"/>
        <w:gridCol w:w="604"/>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美术类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教师美术工作台</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1200mm×2400mm，全实木材质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学生美术桌</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台面采用彩色抗倍特板，钢琴烤漆，尺寸：1200*1200*740mm；桌腿支架采用壁厚1.5mm,直径50mm圆管，桌面下方支撑横架采用25*25*1.0mm方管，涂装 桌腿外表面先进行酸洗磷化后进行静电喷塑处理。金属部件的外表面经进行喷砂工艺处理。涂层和金属焊件附着性强，表面更平滑，抗氧化、抗腐蚀性能更优，不易腐蚀，不会脱落。</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画凳</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规格：360*260*420mm，材质：橡胶木实木，双档，环保清水漆5遍，表面光滑。</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美术橱柜.</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规格：900×450×1800mm，材质：实木，上柜采用活动板隔离，玻璃对开门，环保清水漆。</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磁性白黑板</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1、规格：2000mm×1000mm；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2、材质：锌背白板，表面PET覆膜，优质厚铝合金加厚边框，ABS塑料包角；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3、要求：两面用，带磁扣、板刷专用笔，易写易擦，不留痕迹。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4、附支架。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美术教学挂图</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小学美术教学挂图，部标</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全国美术欣赏图库</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美术学具</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毛笔、小剪刀、调色盘、笔洗、美工刀、水溶性油墨、黑色胶滚、毛毡、刻纸刀、水粉画笔、调色盒、直尺</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泥工工具</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1、拍板1件：木质、泥塑刀6件：黄杨木材质、环型刀3件、刮刀2件：环型刀头、型板1件：黄杨木、切割线1件：木手柄、小转台1件：PVC塑料材质、喷壶1件、海绵1块；共8类17件.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学生剪刀</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材质：塑柄，规格：170mm</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美工刀</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材质：塑柄</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美术器材架</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规格：900×450×1800mm，材质：实木，环保清水漆。</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折叠静物台</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台面：60CM*80CM ，宽60CM*60，展开为60CM*80CM*120CM，可放置20--30公斤左右物体</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石膏像</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五官、手足、几何形体等</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衬布</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 棉麻材质，规格：1200*1200mm</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画架</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画板</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  2#图板</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写生画箱</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写生凳</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  可折叠</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写生灯</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1、规格：立式三节可升降、最大调节高度2400mm、照射角度0°-120°；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2、材质：球形灯罩：金属材料，灯杆：钢管，表面镀铬，铝节、塑料旋钮，内置弹簧。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3、要求：表面光滑、无锈斑、划痕。</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写生教具</w:t>
            </w:r>
          </w:p>
        </w:tc>
        <w:tc>
          <w:tcPr>
            <w:tcW w:w="10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部标  石膏像类、 几何形体、加重仿真水果等</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9"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Pr>
        <w:widowControl w:val="0"/>
        <w:numPr>
          <w:ilvl w:val="0"/>
          <w:numId w:val="0"/>
        </w:numPr>
        <w:jc w:val="center"/>
        <w:rPr>
          <w:rFonts w:hint="eastAsia" w:ascii="仿宋" w:hAnsi="仿宋" w:eastAsia="仿宋" w:cs="仿宋"/>
          <w:b/>
          <w:bCs/>
          <w:color w:val="auto"/>
          <w:sz w:val="36"/>
          <w:szCs w:val="56"/>
          <w:highlight w:val="none"/>
        </w:rPr>
      </w:pPr>
    </w:p>
    <w:tbl>
      <w:tblPr>
        <w:tblStyle w:val="44"/>
        <w:tblW w:w="14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1403"/>
        <w:gridCol w:w="11021"/>
        <w:gridCol w:w="403"/>
        <w:gridCol w:w="184"/>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73" w:type="dxa"/>
          <w:trHeight w:val="820" w:hRule="atLeast"/>
        </w:trPr>
        <w:tc>
          <w:tcPr>
            <w:tcW w:w="1333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56"/>
                <w:szCs w:val="56"/>
                <w:u w:val="none"/>
              </w:rPr>
            </w:pPr>
            <w:r>
              <w:rPr>
                <w:rFonts w:hint="eastAsia" w:ascii="宋体" w:hAnsi="宋体" w:eastAsia="宋体" w:cs="宋体"/>
                <w:b/>
                <w:i w:val="0"/>
                <w:color w:val="000000"/>
                <w:kern w:val="0"/>
                <w:sz w:val="56"/>
                <w:szCs w:val="56"/>
                <w:u w:val="none"/>
                <w:lang w:val="en-US" w:eastAsia="zh-CN" w:bidi="ar"/>
              </w:rPr>
              <w:t>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书画桌</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技术要求：学生双人书画桌，外观尺寸不小于1250*500*780mm，两端带上翘角头，桌面下带装饰雕花，四根支撑腿，优质实木，采用榫卯结构，结实牢靠。该书画桌简洁大方，纹理通达清晰，外观鲜明光亮，仿古色。应符合JY0001-2003的有关规定</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毛笔</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白云一支、提斗一支、兰竹一支、斗笔一支、楷笔一支、羊毫一支。</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笔洗</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青花小号笔洗，直径不小于155mm，高度不小于55mm</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笔搁</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实木五指山叉</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笔架</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实木材质，长度不小于155mm</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精品一得阁100g墨汁</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砚台</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直径不小于100mm，高度不小于20mm；</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书画毡</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优质书画画毡，尺寸不小于700*1100mm</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镇尺</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实木、素面，外观尺寸不小于200*40*16mm</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学生书写专用纸</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四尺云母 ，每刀100张</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书法用品柜</w:t>
            </w:r>
          </w:p>
        </w:tc>
        <w:tc>
          <w:tcPr>
            <w:tcW w:w="1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不小于80cm×45cm×180cm</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40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Pr>
        <w:widowControl w:val="0"/>
        <w:numPr>
          <w:ilvl w:val="0"/>
          <w:numId w:val="0"/>
        </w:numPr>
        <w:jc w:val="center"/>
        <w:rPr>
          <w:rFonts w:hint="eastAsia" w:ascii="仿宋" w:hAnsi="仿宋" w:eastAsia="仿宋" w:cs="仿宋"/>
          <w:b/>
          <w:bCs/>
          <w:color w:val="auto"/>
          <w:sz w:val="36"/>
          <w:szCs w:val="56"/>
          <w:highlight w:val="none"/>
        </w:rPr>
      </w:pPr>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1"/>
        <w:gridCol w:w="1532"/>
        <w:gridCol w:w="10810"/>
        <w:gridCol w:w="620"/>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钢琴</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118MPGB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尺寸≥长1520mm 宽500mm 高1183mm；音板运用欧洲技术与设计运用。</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五线谱电教板</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2m*1m，128种GM音色，12种调式，12种节奏， 520首中小学音乐课本中的乐曲、练习曲，18首中外欣赏名曲；双扬声器发音，双教鞭演示，音符临时升降功能，线路输出，麦克输入，两组高音谱表，一组大谱表。</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音乐凳</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实木材质，中空，两面开口，可放置书本等物品，环保漆。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大合唱台</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实木橡胶木，规格：1200*350*220mm，三层大合唱台。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器械柜</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规格：900×450×1800mm，材质：实木，上柜采用活动板隔离，玻璃对开门，环保清水漆。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乐器架</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规格：900×450×1800mm，材质：实木，环保清水漆。</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音乐教学挂图</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2015全新改版，铜版纸彩色印刷，规格：≥700×500mm，全对开。小学音乐挂图共计≥130张。</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小军鼓</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直径≥10cm，高度≥5cm，鼓皮为羊皮。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大军鼓</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直径≥25cm，高度≥10cm，鼓皮为羊皮。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Pr>
        <w:widowControl w:val="0"/>
        <w:numPr>
          <w:ilvl w:val="0"/>
          <w:numId w:val="0"/>
        </w:numPr>
        <w:jc w:val="center"/>
        <w:rPr>
          <w:rFonts w:hint="eastAsia" w:ascii="仿宋" w:hAnsi="仿宋" w:eastAsia="仿宋" w:cs="仿宋"/>
          <w:b/>
          <w:bCs/>
          <w:color w:val="auto"/>
          <w:sz w:val="36"/>
          <w:szCs w:val="56"/>
          <w:highlight w:val="none"/>
        </w:rPr>
      </w:pPr>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1"/>
        <w:gridCol w:w="1532"/>
        <w:gridCol w:w="10810"/>
        <w:gridCol w:w="636"/>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卫生健康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参考规格要求</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灯光视力箱</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5.0M标准对数视力表，应符合GB11533的规定。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2.箱体采用高强度铝合金型材整体成型。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视表板选用有机玻璃板。</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标准对数视力表</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液晶，2.5m 或 5m</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视力检查反光镜</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血压计</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普通医用汞柱式血压计,由刻度盛水银的玻璃管、橡皮管、橡皮囊袖带、打气球等组成,符合国标的质量规定。</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心率表</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 点接触式电极；测量阻抗范围：100Ω~950Ω；测试时间 1min；测试身高范围： 100px~5000px；测试体重范围：10kg~200kg；测试年龄范围：5 岁 ~89 岁</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听诊器</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1、医用级；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2、听诊器选择杯式听头，直径在45-50mm之间；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3、听头零件不松动，Y管完好无损不松动；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4、听诊器的材质为钢质。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体温计</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压舌板</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1ml医用\5ml医用\10ml医用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敷料缸</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医用直径8-（1）0cm，高10cm，带盖，不锈钢。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诊察床</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 1900mm×宽 600mm×高 650mm材质说明：不锈钢床框，床腿选用直径为38mm，壁厚2.0mm的不锈钢管，框选用长25×40×1.2不锈钢方管；床面选用优质进口西皮软包，定型海绵床垫（含床单、枕头）</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诊察桌</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1200mm×600mm×750mm；用料：面板厚18mm，其余板厚15mm，采用环保型中密度板，灰白色三聚氰胺板贴面，优质PVC封边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诊察凳</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塑钢圆凳面高低可调</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止血带</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方盘</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医用规格为31.5*21.5*2cm或带盖的30*20*5cm材质为不锈钢。</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秒表</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胸围尺</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剪刀</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变色图谱</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受水器</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教学卫生测量尺</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外伤处理器械</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冲眼壶</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沙布槽</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急救箱</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高压灭菌设备</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移动式紫外线灯</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 灯车式带紫外线灯管</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一次性吹嘴</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小型快速血糖测量仪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含血糖试纸</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医用镊子</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125mm~250mm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叩诊锤</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不锈钢支架</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串镜片</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音叉</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酒精灯</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150mL，单头</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小夹板</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卫生箱</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 330mm×高 250mm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胸围尺</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软皮尺</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皮脂厚度测量仪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照度计</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放大镜</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手持式，有效通光孔径不小于30mm，5~10 倍</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担架</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小型折叠式</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双拐</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近视眼治疗仪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医用平推车</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660mm×460mm×920mm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温度计</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照度计</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干湿球式或指针式或数字式， 便携式</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激光测距仪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电子，便携式</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轮椅</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数显，便携式</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亮度计</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污物桶</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药品器材柜</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规格：900mm×480(300)mm×1850mm；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用料：0.6mm厚优质钢板，经酸洗磷化处理，静电喷涂，内侧涂层厚度不低于0.1mm。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结构：共分六层(均不可调)；上节厚度300mm，玻璃对开门，搁板为三层；下节厚度480mm，对开门。</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身高体重测试仪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网络智能型，可同时测试身高体重；接触式测量，确保测试准确。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单机存储50000条以上数据；测试主机主板具备两个相同的进口芯片，达到存储和测试数据双重备份功能；网络数据实时或者集中批量传输至数据上报软件中，主机内置所有测试项目程序，可任意选择测试项目。一键数据恢复功能；有手工输入ID号码身份识别方式。可拓展读取ic卡和条形码扫描识别身份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液晶宽屏，带有背光源显示，中文界面，测试过程全程有语音报数，音量可调节或者关闭。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键盘采用导电硅胶，使用寿命长。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身高量程：90cm-210cm 分辨率：0.1cm  误差：±1%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体重量程：5kg-180kg  分辨率：0.1kg 误差：±0.2%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肺活量测试仪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网络智能型，测量肺活量值，与体重数值搭配构成肺活量体重指数，用于评价学生肺通气能力;自动存储最佳测试数据；可查询三次肺活量值和最佳值；可选定测试次数.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单机存储50000条以上数据；测试主机主板具备两个相同的进口芯片，达到存储和测试数据双重备份功能；网络数据实时或者集中批量传输至数据上报软件中，主机内置所有测试项目程序，可任意选择测试项目。一键数据恢复功能；有手工输入ID号码身份识别方式。可拓展读取ic卡和条形码扫描识别身份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液晶宽屏，带有背光源显示，中文界面，测试过程全程有语音报数，音量可调节或者关闭。可拓展为多人测试。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键盘采用导电硅胶，使用寿命长。使用进口精密传感器，精度高，带有温度补偿；吹管优化设计，不积水；防补气功能，补气时自动锁定数据；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量程：100～9999mL  分辨率：1mL  误差：±1.5%</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坐位体前屈测试仪</w:t>
            </w:r>
          </w:p>
        </w:tc>
        <w:tc>
          <w:tcPr>
            <w:tcW w:w="10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智能型，单机存储50000条以上数据；测试主机主板具备两个相同的进口芯片，达到存储和测试数据双重备份功能；网络数据实时或者集中批量传输至数据上报软件中，主机内置所有测试项目程序，可任意选择测试项目。一键数据恢复功能；有手工输入ID号码身份识别方式。可拓展读取ic卡和条形码扫描识别身份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液晶宽屏，带有背光源显示，中文界面，测试过程全程有语音报数，音量可调节或者关闭。可拓展为多人测试。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键盘采用导电硅胶，使用寿命长。使用进口精密传感器，精度高，带有温度补偿；吹管优化设计，不积水；防补气功能，补气时自动锁定数据；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手推板自动复位装置；主机与外设同步显示测试数据；有绑腿，测试准确。推板可自动回位，无惯性和回弹力</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
    <w:p/>
    <w:p/>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7"/>
        <w:gridCol w:w="1516"/>
        <w:gridCol w:w="10589"/>
        <w:gridCol w:w="670"/>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体育类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参考规格要求</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接力棒</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铝合金或木质材料（表面必须涂清漆处理），长度为300mm，直径30mm，质量不小于50g</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标志杆（筒）</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标志杆高1500mm，立杆采用铝合金或塑料或木质材质，直径为25mm厚1.2mm，表面静电喷涂，三角形红色旗面，带橡胶底盘，底盘直径220mm,重量2800g，表面光滑放置平稳</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秒  表</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电子型，精度1∕100秒。数码显示，具有分散、重叠、累计时间显示功能，符合国标GB6050第一章要求。</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  尺</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皮盒，长50米</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跳高架</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赛用铝合金双柱，本产品符合标准GT19851,17-2007的国家相关规定；材料：主立柱为两根32*32mm铝合金方管，可升降，最大高度2400mm最低高度500mm，厚度2.5mm；内置尺条刻度均匀、字码准确、清晰；移动式底座，400*400*60mm</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跳高横竿</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1、采用新型玻璃钢材料；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2、长度4000mm，直径为30mm,两端各有一段长150-200mm宽35mm的平面；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3、ABS塑料接头，以便安放；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4、产品应符合JY0001-2003《教学仪器产品一般质量要求》的有关规定</w:t>
            </w:r>
            <w:r>
              <w:rPr>
                <w:rFonts w:hint="eastAsia" w:ascii="宋体" w:hAnsi="宋体" w:eastAsia="宋体" w:cs="宋体"/>
                <w:i w:val="0"/>
                <w:color w:val="000000"/>
                <w:kern w:val="0"/>
                <w:sz w:val="22"/>
                <w:szCs w:val="22"/>
                <w:u w:val="none"/>
                <w:lang w:val="en-US" w:eastAsia="zh-CN" w:bidi="ar"/>
              </w:rPr>
              <w:t>；</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跳高垫</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2250mm*2100mm*300mm,表面材质为绿色帆布</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垒  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垒球为手缝10寸，球心采用优质长纤维木棉，用高质纱线涂上乳胶或橡胶粘合绕成，球表面材质为PU革，针数≥88针，重量不低于200克，圆周为240mm-260mm，球表面整洁光滑</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实心球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实心球，圆球形，直径150mm，偏差正负5mm，球用天然橡胶整体成型，不得使用再生胶，产品不得有异味，球表面应防滑。</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  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圆球形，要达小学生使用的标准。</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小体操垫</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该产品符合标准GB/T19851.2-2005的国家相关规定；尺寸规定：1200mm*600mm*50mm，表面材质为绿色帆布，色泽一致，可折叠，内部材质为优质35＃以上整体海绵。</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大体操垫</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该产品符合标准GB/T19851.2-2005的国家相关规定；尺寸规定：2000mm*1200mm*100mm，表面材质为绿色帆布，色泽一致，内部填充密度35#以上整块优质海绵。</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低单杠</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器材符合GB/T19851.2-2005中的对“单杠”的要求为室外地埋式，主立柱采用直径60mm，壁厚3mm的圆管制成；地面以上高1500mm，地下预埋500mm，，杠面采用弹簧钢制成；横杠直径28mm，长2000mm；横杠内质等性能符合GB8390标准第2.2条之规定</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高单杠</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器材符合GB/T19851.2-2005中的对“单杠”的要求为室外地埋式；杠面具有弹性、配合性、电镀性、抗腐蚀性。单杠直径2.8厘米,允许误差+/-0.01厘米，两个连接点之间的距离240厘米,允许误差+/-1厘米，套节之间的距离至少为200厘米,允许误差+/-1厘米，从地面开始测量到单杠顶端的距离275厘米,允许误差+/-1厘米</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低双杠</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移动性</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高双杠</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移动式，底座长2500mm*1100mm</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肋  木</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规格型号：QS-1007，外形尺寸（长*宽*高）1314*114*2300mm主要承载横梁材料及尺寸，mmΦ32*3,安装方式直埋，地埋深度，600mm,地基尺寸（长，宽高）mm600*600*700,关键特性缓冲层为沙层，厚度为300mm</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  梯</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产品材质：114优质管材，商品规格：310*80*230cm,壁厚3mm，安装方法，地埋，使用人群：各个年龄段，功能：拉伸腿部韧带，伸展腰部，消除下肢和腰部疲劳。</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短跳绳</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跳绳长2500mm-3000mm，绳体为彩色，实心天然橡胶制成，直径5mm，木柄表面光滑无毛刺，喷清漆，绳体与手柄连接，外应有转轴或轴承，实心天然胶更易操作结实耐用</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长跳绳</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跳绳长7000mm，绳体为彩色，实心天然橡胶制成，直径8mm，木柄表面光滑无毛刺，喷清漆，绳体与手柄连接，外应有转轴或轴承，实心天然胶更易操作结实耐用</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足球门</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学钢制7320mm*2440mm,框架整体可移动，钢管直径114mm，壁厚3.5mm，后支架为直径48mm，壁厚3mm侧面有挂钩，每600mm1个，均匀的分布在框架上，含球网一付用尼龙绳制成网眼≤120mm，金属外表面采用喷砂抛丸、酸洗磷化除锈，表面静电喷涂全部使用优质纯聚酯室外粉末，厚度不低于80um</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足球表面皮质，5号；一等品球内为3层棉布做防护层，圆周长680-700mm，重量410g-450g；PU丁基内胆，由黑色橡胶制成。</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排球架</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升降高度1800mm-2200mm，移动式钢管直径76mm，壁厚3.5mm，静电喷涂，带网和钢丝，金属外表面采用喷砂抛丸、酸洗磷化除锈，表面静电喷涂全部使用优质纯聚脂室外粉末，厚度不低于80um。</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软式排球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产品为免充气式。圆周长650mm，圆周长差≤5mm,质量220g，气孔≤4mm，反弹高度为600mm，冲击次数15000次。执行标准GB/T19851.6-2005。</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1、球重：2.35g -2.63g。2、圆度：0.4mm，直径：43.4mm-44.4mm。3、硬度：两顶受压下陷差距不大于0.35mm。4、牢度：受冲击700次以上不破。5、产品应符合JY0001-2003《教学仪器产品一般质量要求》的有关规定。</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乒乓球台</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1、球台由支架、台面、网架组成。规格为：2740*1525*760mm,2、支架为直径60 mm，厚3 mm的优质钢管。用自动折弯机一次弯制成彩虹式，中间称采用直径42mm，厚为3mm的钢管制成，安装平稳，牢固。所有支架金属外表经喷砂抛丸、酸洗磷化后静电喷涂。3、台面采用SMC片状膜塑料，由不饱和树脂材料、引发剂、增调剂、低收缩添加剂、脱膜剂、着色剂、交联剂组成，整体高温模压一次成；4、台面面板厚度5mm，翻边宽度50mm，翻边厚度5mm。</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乒乓球拍</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块为1副，直握拍，正反双胶皮，鲜红色或黑色，拍面平整；2、拍柄、拍面、拍身边缘均应光滑无光泽，拍身边缘不得呈白色；3、胶粒分布均匀，高度0.5mm；4、胶合部位牢固，不开裂。5、执行GB6675-2003国家玩具安全技术规范6、产品符合JY0001-2003《教学仪器产品一般质量要求》的有关规定。长拍、双面胶</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羽毛球网架</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产品底坐采用整体铸铁，重量为每幅为100公斤，立柱采用直径40*40mm方管, 臂厚3.0mm；上有直径为10mm的钢筋网架、滑轮；侧面配备齿轮紧线器。</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羽毛球拍</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球拍木制，长35厘米，拍面宽17厘米</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板羽球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球重4~6克，用三根白色羽毛插在圆状木托或橡皮托上</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  羊</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山羊：可升降，高度范围为：680-1080mm，主轴升降间距为50mm；四角可调，山羊腿外管直径为42mm，壁厚为3mm，山羊地脚用ABS工程塑料，坚固耐用，内管径32mm实心圆钢材质，山羊头：规格为460*280*180mm，表面为革面，色泽一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2、跳箱：跳箱分五级总高900mm，木柱出头高40-50mm,第一级跳箱规格1000*350*300mm，第二级至第五级每级高150mm.跳箱面用重体海绵填充，侧面下宽650mm，侧面上宽350mm，采用25mm厚的优质硬杂实木制成，表面喷透明漆。</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  箱</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跳箱分五级总高900mm，木柱出头高40-50mm,第一级跳箱规格1000*350*300mm，第二级至第五级每级高150mm.跳箱面用重体海绵填充，侧面下宽650mm，侧面上宽350mm，采用25mm厚的优质硬杂实木制成，表面喷透明漆。</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拔河绳</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4cm*30m,儿童专用</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篮球架</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1、室外用可拆装箱式配重，配重≥300kg/每只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2、国标篮圈及篮网，篮圈距地高度2800mm，支柱距篮板正面长度1800mm。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3、篮板为钢化玻璃篮板，篮板尺寸：1800mm×1050mm，厚度40mm。篮板下沿有厚度为50mm的保护条；侧表面上，从板底起有高度为350mm的保护条。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4、支柱钢管采用100*200mm的异形钢管，方钢管臂篮圈采用高弹性材料，内部有钢簧，圈条为直径20mm的碳钢。篮网用锦纶绳体编织而成。</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7号高档PU革面，厚1.5mm-1.6mm圆周长长为749mm-780mm，重量为567g-650g，回弹高度≥1100mm丁基内胆，有黑色橡胶制成。缠纱：内胆 表面均匀地缠绕上一条纱线，对球胆形成像蚕茧一样的保护层，或是纱布代替。中胎：内胆和表皮之间的支撑结构，有橡胶材料制成</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50米跑测试仪</w:t>
            </w:r>
          </w:p>
        </w:tc>
        <w:tc>
          <w:tcPr>
            <w:tcW w:w="105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1.自动测量50米跑的时间,测试受试者速度，反应速度、灵敏素质及神经系统灵活性的发展水平。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2.主机具有抢跑重置功能，无需重新录入测试者信息可扩展测试100米、150米、200米、400米跑等项目。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3.标准型标配是2人，最多可同时进行6人测试。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4.3.5吋真彩TFT LCD液晶显示屏，触摸式电容感应按键，寿命可达100万次以上；输入学号具备自动递增功能，可增加非接触式刷卡和激光条形码扫描功能。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5.LCD中文显示界面，测试步骤中文提示功能，测试成绩与单机同步显示；LCD背光延时或设置，语音提示、蜂鸣器提示、语音成绩播报功能。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6.主机与测试仪可采用有线（RS232）或无线(2.4G-ANT组网)方式连接；主机与电脑之间也采用有线（USB）或无线（2.4G-ANT组网）通讯方式传输测试数据（双向无线，避免冗长连接线，便于移动测试）。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7.主机内可储存65000条测试数据。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8.主机内置多种测试项目程序，测试项目可任意切换；主机可根据测试项目设置测试人数、测试次数。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9.主机内置大容量可充电锂电池，可独立工作1个工作日以上，在停电时不影响测试。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10.可靠性高、耐疲劳、寿命长，适应频繁、大量人群集中测试。根据《GB/T19851.122005》中小学体育器材和场地国标设计。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11.主要技术参数：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测量范围：0S～999.9S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分度值：0.1s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误差：±1.5%</w:t>
            </w:r>
          </w:p>
        </w:tc>
        <w:tc>
          <w:tcPr>
            <w:tcW w:w="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87"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16"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往返跑测试仪</w:t>
            </w:r>
          </w:p>
        </w:tc>
        <w:tc>
          <w:tcPr>
            <w:tcW w:w="10589"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1.自动测量50米×8往返跑的时间，测试受试者速度，反应速度，灵敏素质及神经系统灵活性的发展水平。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2.仪器可扩展测试10米×8次，15米×8次，25米×4次等不同距离次数规格要求的折返跑。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3.起点具有抢跑犯规检测装置，标准型标配是2人同测。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4.3.5吋真彩TFT LCD液晶显示屏，触摸式电容感应按键，寿命可达100万次以上；输入学号具备自动递增功能，可增加非接触式刷卡和激光条形码扫描功能。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5.LCD中文显示界面，测试步骤中文提示功能，测试成绩与单机同步显示；LCD背光延时或设置，语音提示、蜂鸣器提示、语音成绩播报功能。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6.主机与测试仪可采用有线（RS232）或无线(2.4G-ANT组网)方式连接；主机与电脑之间也采用有线（USB）或无线（2.4G-ANT组网）通讯方式传输测试数据（双向无线，避免冗长连接线，便于移动测试）。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7.主机内可储存65000条测试数据；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8.主机内置多种测试项目程序，测试项目可任意切换；主机可根据测试项目设置测试人数、测试次数；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9.主机内置大容量可充电锂电池，可独立工作1个工作日以上，在停电时不影响测试。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10.可靠性高、耐疲劳、寿命长，适应频繁、大量人群集中测试。根据《GB/T19851.122005》中小学体育器材和场地国标设计。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11.主要技术参数：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测量范围：0S～999.9S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分度值：0.01s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误差：±1.5%</w:t>
            </w:r>
          </w:p>
        </w:tc>
        <w:tc>
          <w:tcPr>
            <w:tcW w:w="67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98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b/>
            </w: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tabs>
                <w:tab w:val="left" w:pos="5820"/>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
    <w:p/>
    <w:p/>
    <w:p/>
    <w:p/>
    <w:tbl>
      <w:tblPr>
        <w:tblStyle w:val="44"/>
        <w:tblW w:w="139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7"/>
        <w:gridCol w:w="1516"/>
        <w:gridCol w:w="10644"/>
        <w:gridCol w:w="166"/>
        <w:gridCol w:w="652"/>
        <w:gridCol w:w="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1242" w:type="dxa"/>
          <w:trHeight w:val="760" w:hRule="atLeast"/>
        </w:trPr>
        <w:tc>
          <w:tcPr>
            <w:tcW w:w="1274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2分频12寸全频音箱</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•系统类型：2-WAY FULL RANGE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•频率响应：55Hz-18KHz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•单元配置：LF：12”X1，HF：1.73”X1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•额定阻抗：8 Ohms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•灵敏度：97dB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•额定功率：450W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•峰值功率：1800W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•最大声压级：130dB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•扩散角度：水平：90度，垂直：60度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•分频模式：内置分频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•吊装/安装：多点吊挂</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专业双通道功放</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双通道连续输出功率:8Ω/2×800W输入；4Ω/2×1400W输入；频率范围: 20Hz-20KHz（±0.5dB）；信噪比:&gt;110dB；输入灵敏度：(32dB×40)/40dB×100；阻尼系数（63Hz）：&gt;500；失真:&lt;0.03%；输入阻抗:平衡20KΩ,不平衡10KΩ；供电电源:AC 220V/50Hz-60Hz；外型尺寸(mm）：482W×400D×88H；包装尺寸(mm）：560W×560D×160H；净重:17.5kg；包装总重:19kg。</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数字效果器</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音乐:1. 音乐参量均衡:7段；2. 音乐到主输出高通滤波器：12dB/24dB(0Hz - 303Hz)；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麦克风:1. 有四种麦克风FBE模式：OFF 1 2 3；2. 有麦克风压限功能；3. 15段麦克风参量均衡；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效果:回声：1. 回声低通滤波器：5.99Hz - 20.6KHz；2. 回声高通滤波器： 0Hz - 1000Hz；3. 回声参量均衡：3段；4. 回声电平：0～100%； 5. 回声直达声电平： 0～100%；6. 回声预延时：0～500ms； 7. 回声右通道预延时：0～±50% , （相对左声道）；8. 回声总预延时： 0～500ms；9. 回声右通道延时：0～50% , （相对左声道回声延时时间）；10. 回声重复： 0～90%；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混响:1. 混响低通滤波器可调范围：5.99Hz - 20.6KHz；2. 混响高通滤波器可调范围：0Hz - 1000Hz；3. 混响电平可调范围：0～100%；4. 混响直达声可调范围：0～100%；5. 回声预延时可调范围：0～200ms；6. 混响时间可调范围：0～3000ms；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主输出（工作模式：唱歌/热舞 （自动/手动），包含除压限、延时、静音外的所有参数）:1. 音乐电平： 0～200%；2. 直达声电平： 0～200%；3. 回声电平：0～200%；4. 混响电平：0～200%；5. 5段音乐参量均衡；6. 压缩限幅器；7. 左通道延时：0～50ms；8. 右通道延时：0～50ms；9. 左通道静音功能；10. 右通道静音功能；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中置输出（工作模式：唱歌/热舞（自动/手动），包含除压限、延时、静音外的所有参数）1. 音乐电平：0～200%；2. 直达声电平：0～200%；3. 回声电平：0～200%；4. 混响电平：0～200%；5. 高通滤波器：0Hz - 303Hz；6. 3段参量均衡；7. 压缩限幅器；8. 延时：0～50ms； 9. 静音功能；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超低音输出（工作模式：唱歌/热舞 与 （自动/手动），包含除压限、延时、静音外的所有参数）:1. 音乐电平：0～400%；2. MIC直达声电平：0～200%；3. 高通滤波器：12dB,Q 0.4 ～ 1.5,/Bessel 24dB/Butterworth 24dB/Link Riley 24dB/USER 12dB/USER 24dB (0Hz - 303Hz)；4. 低通滤波器：12dB,Q 0.4 ～ 1.5,/Bessel 24dB/Butterworth 24dB/Link Riley 24dB/USER 12dB/USER 24dB (0Hz - 303Hz)；5. 3段参量均衡； 6. 压缩限幅器；7. 延时：0～50ms；8. 静音功能；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系统:1. 两个音乐输入端口：1/2；2. 音乐输入增益：0dB/3dB/6dB (用户模式不可调节)；3．键盘锁密码与系统模式切密码。</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一拖二U段无线麦克风</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话筒：（可选会议鹅颈台式，手持，领夹）；采用UHF超高频段，比传统的VHF频段干扰更少，传输更可靠；DPLL数字锁相环多信道频率合成技术，在50MHZ频率范围内，以250KHZ信道间隔，提供多达200个信道选择，方便多套机器同时使用，轻松避开各类干扰；先进的自动对频技术，即使将发射机与接收机的频率调乱了，只需轻轻一按，发射机就会自动追锁频率并调整一致，使用方便；高档液晶显示屏，使接收机及发射器的工作状态一目了然；无线会议发射系统，采用两节AA电池供电，采用高碱性电池可使用较长时间.系统指标:频率范围: 740-790MHz；调制方式: FM；可调范围: 50MHz；信道数目: 200；信道间隔: 250KHz；频率稳定度:±0.005%；动态范围:100dB；音频响应: 80Hz-18KHz(±3dB)；综合信噪比:&gt;105 dB；综合失真: ≤0.5%；工作温度: -10℃ -+40 ℃；接收机指标 接收机方式：二次变频超外差: super heterodyne twice frequency conversion中频频率 IF-FRE：第一中频 First ：110MHz, second  10.7MHz；无线接口 ：BNC/50Ω；灵敏度：12dBμV（80DbS/N）；灵敏度调节范围：12-32 dBμV；杂散抑制：&gt;75dB；最大输出电平：+10dBV。发射器指标:无线程式：佩挂发射器采用1/4波长鞭状天线，手持麦克风内置螺旋天线:输出功率：高功率High power30mW；低功率3mW；杂散抑制：-60dB；供电 ：两节AA电池 2 AA batteries；使用时间 ：30mW时大于8个小时 &gt;8 hours(30mW)，3mW时大于12小时&gt;12hours(3mW)。</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8路电源时序器</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路20A万能插时序器(带屏)；电源电压可在LED指示，一目了然；各通道设独立控制开关，使用灵活；设总关断开关，可同时切断所有通道；面板开关设计符合设备安全要求；内部微处理器控制，可顺序开机，逆序关机，并可多台级联使用，操作方便；前面板另有2个直通；提供国标、欧标、美标、万用插座输出可控；应用场合：中小型场所电源管理。</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音箱壁挂支架</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黑色，铝合金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机柜</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600*600*1000，钢化玻璃前门</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音箱线</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RVVP2*1.5</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音箱线</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RVVP2*1.5</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PVC线管线槽</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镜面</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把杆</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舞蹈把杆为水曲柳材质，把杆Φ55，内有Φ22弹簧钢，表面聚脂清漆处理。</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服装柜</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1000*2000*550mm钢制钢板</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更衣柜</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1000*2000*550mm钢制钢板</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其他辅材</w:t>
            </w:r>
          </w:p>
        </w:tc>
        <w:tc>
          <w:tcPr>
            <w:tcW w:w="10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室内铺设木质地板及简单装修</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39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tbl>
      <w:tblPr>
        <w:tblStyle w:val="44"/>
        <w:tblW w:w="139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1"/>
        <w:gridCol w:w="1581"/>
        <w:gridCol w:w="8"/>
        <w:gridCol w:w="10753"/>
        <w:gridCol w:w="652"/>
        <w:gridCol w:w="17"/>
        <w:gridCol w:w="83"/>
        <w:gridCol w:w="323"/>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24" w:type="dxa"/>
          <w:trHeight w:val="540" w:hRule="atLeast"/>
        </w:trPr>
        <w:tc>
          <w:tcPr>
            <w:tcW w:w="1366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图书类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阅读桌</w:t>
            </w:r>
          </w:p>
        </w:tc>
        <w:tc>
          <w:tcPr>
            <w:tcW w:w="10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规格：1600*1200*760mm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材质说明：基材采用中密度刨花板，1、有良好的吸音和隔音性能;刨花板绝热、吸声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2、内部为交叉错落结构的颗粒状，各部方向的性能基本相同，横向承重力好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3、刨花板表面平整，纹理逼真，容重均匀，厚度误差小，耐污染，耐老化，美观，可进行各种贴面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刨花板在生产过程中，用胶量较小，环保系数相对较高。密度大，握钉力强，符合E1级环保标准。表面采用三聚氰胺脂，耐磨防划伤、防火。2mm厚PVC机器封边条。优质五金配件。金属桌架，管壁厚度1.5mm，表面采用静电喷涂处理。</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阅览椅</w:t>
            </w:r>
          </w:p>
        </w:tc>
        <w:tc>
          <w:tcPr>
            <w:tcW w:w="10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规格：360*260*420mm，材质：橡胶木实木，双档，环保清水漆5遍，表面光滑。</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图书架</w:t>
            </w:r>
          </w:p>
        </w:tc>
        <w:tc>
          <w:tcPr>
            <w:tcW w:w="10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规格：2000*1000*450 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生产工艺：1、采用二氧化碳保护焊焊接，表面粉末静电喷塑，所有部件均经九工位处理，侧板等重要总要部件均进行磷化处理。２、可双面存放书刊，增加了储存量，又节约了室内空间。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材质：均采用宝钢冷轧板钢板，侧板、顶板：0.7 mm；搁板、挂板：0.9mm；立柱1.2 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尺寸：顶板上脸120mm，底脚下脸120mm，立柱看脸45mm，侧板看脸30mm。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承重：搁板单面最大承重为80kg。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喷塑：表面光洁度达90%以上。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四点平均膜厚60um～70um，硬度达0.4，冲击力﹥４Ｎ／Ｍ。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报刊架</w:t>
            </w:r>
          </w:p>
        </w:tc>
        <w:tc>
          <w:tcPr>
            <w:tcW w:w="10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108mm*690mm*360mm，5层报刊架，材质为烤漆铁管，银灰色。架子结实，牢固不晃动；底部滚轮设计，自动移动，报夹每条可夹多达100张报纸</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398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物理一体化电学实验室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一、教师控制演示区</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教师演示台</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1、规格：2400*700*850mm（规格偏离±5%）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2、台面：台面采用板芯为12.7mm厚著名品牌实芯理化板（颜色可选），整个台面一体化设计；边缘加厚到25mm，台面具有抗腐蚀抗菌、耐酸碱、耐磨防火，防静电、耐热、耐烟酌抗污。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3、围边：ABS+PC+精钢塑料新粒子，一体化台面围边，“C”形安装在台面上，具有防止实验器皿滑落、防潮等特点.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桌身：新型全钢结构，钢制部件经12道工艺制造：除油保洁、清洗除污、酸洗除锈、清洗除酸、冲淋表调、磷化防锈、清洗或冲洗表面除污，钝化后烘干、流水线静电喷粉、静电粉末涂料自流平、“EPOXY”粉末喷涂渐进式升温高热温度固化。具有耐酸耐碱、耐腐蚀防褪色、承重性能强、表面美观实用等的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桌身台架模块可根据功能需要自由组合：储存模块、多媒体模块、上下水模块、R型主控制系统模块、通风系统模块，并可根据实际需求开发新的组合模块。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操作台所有边角采用圆角处理设计，防止学生刮伤碰伤。外观设计符合人体工程学原理、中间R型设计。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5、可调脚：采用工程塑料模具成型制作而成，具有高度可调、耐磨、 防潮、耐腐蚀等特点。</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教师椅</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低背、带扶手，座高43cm-40cm可调；一体成形高弹高密聚氨脂泡棉，用模具发泡而成，造型、尺寸稳定。黑色PU饰面，五脚气动升降，带万向轮。</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二、学生实验学习区</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学生实验台</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规格：1200*600*780mm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一、台面：采用国内知名品牌12.7mm厚实芯（双面）理化板台面，台面边缘用同材质材料板双层加厚至25.4mm，由专业生产厂家用CNC机械精加工而成。具体性能如下：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通过国家化学建筑材料测试中心等机构检测依据GB/T17657-2013等标准及方法检验，物理性能结果为：表面耐磨性能（500g）检验结果不低于568r；表面耐干热性能：5级无明显变化；表面耐香烟灼烧性能：5级无明显变化；耐沸水性能：5级无变化；24h吸水率≤0.1%；耐高温性：表面无裂痕；耐光色牢度≥4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B、通过盐酸、硫酸、硝酸、氢氧化钠等不少于39种酸、碱及其它化学试剂的检验结果为无明显变化。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C、通过检测：重金属铅、镉等未检出，均低于检出限量值（≤20mg/m2 ）， 符合GB18585-2001或GB18586-2001等国家标准。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D、通过国家化学建筑材料测试中心或SGS等权威机构参照最新标准（GB/T18580-2017）检测，结果为：甲醛释放量：≤0.024mg/M3，满足E1≤0.124mgM3的限量技术要求。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E、具有不低于178项及以上高关注度物质（SVHC）检验报告；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F、依据HJ571-2010（环境标志产品技术要求）检测，总挥发性有机化合物TVOC（72h）释放量为未检出（≤0.02mg/m2•h）。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G、依据GB6566-2010方法进行放射性测试，内、外照射检测值均≤0.1，根据GB50325-2010（2013版）规范判定为A类合格。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台身结构：新型塑铝结构，整体1200*600*780。学生位镂空式，符合人体工程学设计，美观大方。桌腿：采用工字型压铸铝一次成型，材料表面经高压静电喷涂环氧树脂防护层，耐酸碱，耐腐蚀处理。上腿规格：长580mm宽50mm高120mm，壁厚5.0mm。下腿规格：长510mm宽50mm高100mm，壁厚5.0mm,下腿处配有环保型PP加耐磨纤维质塑料护脚。立柱：采用50×110mm，壁厚1.5mm。前横梁采用40×30mm，壁厚1.2mm。中横梁采用27.2×27.2mm，壁厚1.2mm。后横梁和后挡板一体成型：采用105×30mm×80 mm，壁厚1.2mm，造型截面为后端连续相切弧形，顶端高出台面40mm，可防止台面物体向后滑落、实验用水溢出。加强横支撑件：采用10×100mm，壁厚1.2mm。材料均采用优质铝镁合金材料，材料表面经高压静电喷涂环氧树脂防护层，耐酸碱，耐腐蚀处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书包斗：规格420*280*160mm,厚度5mm，采用ABS改性材料，塑料注塑成型，正面设有可悬挂凳子的圆形孔，周边加厚加强，斗内有8根宽度为30mm的沙面处理的加强体块。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结构：台面为理化板一体化成型，桌身由桌腿、立柱、前横梁、中横梁、后横梁及加强横支撑件组成。学生位设书包斗、柜体箱。可调脚：高强度可调脚，采用10mm螺纹钢，下部采用环保型PP加耐磨纤维质塑料。</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学生实验台桶</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350*250*720mm，分为桶体和底座两部份，底座为与桌面同色的壁厚3mmABS材质注塑成型；桶体分为两块，壁厚3mm,采用ABS材料，塑料注塑成型,表面沙面和光面相结合处理，以齿合槽配以螺丝连接，拆分组合方便，方便检修桶体内的风管或电线。</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学生凳</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凳面采用高密度ABS材质，直径320mm，凳面表层有颗粒凸起（乳白色），起到按摩抗疲劳作用。凳面底部装有壁厚为1.5mm厚直径为160mm钢板托盘，使得凳子更加稳固。2、凳脚材质及形状：椭圆形无缝钢管，尺寸:20×40×1.2mm 3、全圆满焊接完成，结构牢固，经高温粉体烤漆处理，长时间使用也不会产生表面烤漆剥落现象，4、脚垫材质：采用PP加耐磨纤维质材料，5、实验凳由螺旋螺杆带动升降，升降范围为450mm-500mm。</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 </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三、供电设备</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教师主控电源</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教师主控电源安装于讲台桌面，机箱采用微电脑控制，上升、下降、停止均由手持遥控器操作。升降速度为600mm/分钟，电源控制操作系统能从机箱内慢速升起时防尘防护盖自动打开，当电源降落机箱后防尘防护盖自动关闭。电源操作区顶端必须设置护目LED照明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2.为确保实验需要，电源设置一块尺寸为50mm*50mm的多功能高精度数字表，可同时显示交流电压、交流电流以及直流电压、直流电流（交直流用开关转换）。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电源采用一个漏电电流≤30mA，快速保护时间≤0.1s的空气开关作为总电源开关以及四个32A的空气开关，分四组向学生桌输出交流220V电压。电源必须具有防雷击功能（防雷器必须通过省级以上防雷产品检测合格并具有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具有VGR、USB、5V充电等多媒体接口功能，能与电脑有效连接使用。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电源配置一套室内环境监测系统，显示区域尺寸为112.2*45.5*76.2（mm）能监测和显示室内温度、湿度、甲醛含量、雾霾状况、TVOC数值、pm2.5和pm10数值、悬浮颗粒物、AQI（空气质量指数）和历史曲线图分析，并有超标报警功能。有语音播报功能，可收听当前实时的室内、室外的温度、湿度以及PM2.5数值，并根据当前数据分析会提出适当的户外活动建议。并且可连接WIFI，通过微关注信公众号时监控当前环境中的空气质量数值，也可通过检测仪外接TF卡存储空气质量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6.电源交/直流输出均为连续可调，交/直流电压输出调节采用同一个旋钮，交流输出必须保证正弦波。当输入电压从150V--242V范围内电源能正常工作。且输出电压符合设定的参数.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7.电源具有过流过压保护功能和自动复位功能（当遇过载时具有自动切断输出电压的功能）。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8.主要技术参数：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电源工作电压交流150V—242V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交流输出电压0.5-30V   5A（无极连续可调）必须保证交流输出正弦波。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直流输出电压0.5-30V   5A（无极连续可调）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交/直流输出调节采用同一旋钮。电源操作区醒目位置必须印有1.功能介绍。2.主要技术参数。3.使用说明及注意事项。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9.电源设置一组交流220V输出，带双安全门的多功能插座，并必须标注“注意安全”的符号和警示语。</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学生电源</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源:放置在桌面上，采用铝合金机箱，面板和台面成110度角。面板上设置灵敏电流计，双量程电流电压表各两只。中间设交直流电源输出，功能要求为：（1）每个学生电源应自带1个独立变压器，学生电源系统既能独立操作，也能被教师台控制。（2）可以设置学生电源的低压交流电压值和直流电压值，配有两只数显表，分别显示交直流电压和电流。（3）学生电源的低压交流电压分两档，即1V-18V/3A、19V-30V/2A，分辩率为1V。具备自动过载保护功能。（4）学生电源的低压直流电压分两档，即1.5V-16.0V/2A、16.1V-30.0V/1A，分辩率为0.1V。具备自动过载保护功能。(5)低压及220V高压分开控制均分4组。学生桌的220市电断开时，低压可正常使用。</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四、安装附件部份</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综合布线</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设备安装调试</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实验室设备整体安装，及装修</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五、其他配套设备</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独立水槽实验台</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柜体规格:500×600×720mm，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木纹与光面项结合处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水槽规格500*600*295mm  水槽采用环保型PP材料一次性注塑成型，耐强酸碱&lt;80度有机溶剂并耐150度以下高温，壁厚4mm，具有防溢出功能。含水槽1套。</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水嘴</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一高二低水嘴，管体部份为黄铜合金制，陶瓷阀芯，表面经环氧树脂静电喷涂处理，耐酸碱腐蚀。出水嘴为铜质瓷芯尖嘴型，可拆卸清洗阻塞。</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洗眼器</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眼喷头：采用不助燃PC材质模铸一体成形制作，具有过滤泡棉及防尘功能，上面防尘盖平常可防尘，使用时可随时被水冲开，并降低突然打开时短暂的高水压，避免冲伤眼睛。</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仪器柜</w:t>
            </w:r>
          </w:p>
        </w:tc>
        <w:tc>
          <w:tcPr>
            <w:tcW w:w="10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整体规格：1000mm*500mm*2000mm。颜色：多种颜色自由选择。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质：整体采用新型环保ABS塑料，注塑成型，‘零’甲醛，‘零’污染。配色采用高级色粉，防脱色元素，保证产品10年不褪色。耐腐蚀、耐酸碱、防水、耐热，耐候性能强、表面硬度、高弹性、韧性、电绝缘性等各性能满足硬性指标。结构：柜体上下两层流线型设计，采用榫卯链接结构，支撑受力点合理布局，采用优质五金配件连接，不用胶水粘接，便于安装。外表面和内表面以可触及的隐蔽处，均无锐利的棱角、毛刺以及五金配件露出的锐利尖锐, 所有接触人体的边棱均为倒圆角。整体由底板、侧板、背板、柜门、层板构成。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底板规格：980mm*480mm*60mm，壁厚度约为4.0mm,底板采用镂空原理设计，分上下两层，4个调节脚垫位置合理布局，最大抗压能力达200公斤。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侧板规格：880mm*465 mm *40mm，整体采用ABS塑料一体注塑成型。与层板、底板形成倒模结构，增加3倍抗压系数。外侧方形凹凸格设计，内侧4档层板高度调节功能，满足柜体内部空间调节。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背板规格：900mm*300mm*30mm，整板采用ABS塑料一体化注塑成型。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柜门规格：915mm*410mm，外框采用ABS塑料一体化注塑成型。外框表面镶嵌厚度为4.0mm的钢化玻璃，带ABS塑料拉手，阻尼锁舌，内嵌式塑料插销。柜门与侧板连接结构采用上下轴嵌入式加固，使门更加结实耐用。                                             层板规格：950mm*440mm,注塑厚度约为3.0mm，采用ABS塑料注塑一次成型，防水，耐腐蚀。上层柜设置2个层板，下层柜设置1个层板，层板与侧板连接处均设有高度调节棱，确保层板稳定，高度可调。内侧采用3横4纵加强筋设计，内置2条长90mm*20 mm，壁厚约2.0mm的方管，以达到承重标准。</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0" w:hRule="atLeast"/>
          <w:jc w:val="center"/>
        </w:trPr>
        <w:tc>
          <w:tcPr>
            <w:tcW w:w="139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
    <w:p/>
    <w:p/>
    <w:p/>
    <w:p/>
    <w:p/>
    <w:p/>
    <w:p/>
    <w:p/>
    <w:p/>
    <w:p/>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7"/>
        <w:gridCol w:w="1565"/>
        <w:gridCol w:w="10777"/>
        <w:gridCol w:w="669"/>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物理仪器设备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0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1、实验室常用工具，供对胶塞和木塞打孔用；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2、有四支不同孔径带手柄的空芯钻头、顶屑杆（通条）组成；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3、每支空芯管长度为100㎜，管外径分别为6±0.1,8.5±0.1，10.5±0.1；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4、符合JY0001-2003《教学仪器设备》。</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手摇抽气机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气缸、活塞、曲拐、曲轴、弹簧箱体、手轮、底座等部分组成。2、机壳为铝合金或HT150材料,表面光整。缸体为注塑嵌件，平整光洁。活塞材料为45#钢，表面无划痕毛刺。3、符合JY0001-2003《教学仪器一般质量要求》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两用气筒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脚踏式或手持式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抽气筒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1、产品由优质塑料加工而成。2、规格：长度≥190㎜，直径≥34㎜。3、产品质量约80g。4、符合教育部标准JY0001-2003《教学仪器设备一般质量要求》的有关要求。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打气筒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1、打气筒底座、管体、贮气罐、底嘴、胶管各联接部分应有良好的密封性，不漏气；2、贮气罐型打气筒的单向阀应有良好的逆止性能；3、贮气罐型打气筒的贮气罐应安装牢固可靠，并有足够的安全保证。</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抽气盘</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抽气盘由底盘、玻璃、钟罩、真空表、阀门橡皮塞及垫圈等组成。2、底座由铸件制成。3、钟罩的外径≥φ180mm，高不低于200mm，且透明度良好。4、钟罩与底盘的接触面密封良好。5、当钟罩内抽气压力达到一定时，静置2分钟无漏气现象。6、产品应符合JY208-85《电铃》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水准器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铝合金材质</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充磁器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J02412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放大镜</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1、产品有效通光孔径为45-60mm，放大倍数为5倍的单倍数玻璃放大镜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2、其它要求应符合JY/T0378《手持放大镜》有关规定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望远镜</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双筒，7×35倍，目镜口径21mm，物镜口径35mm，菱镜BAK4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透明盛液筒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φ100mm×300mm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透明水槽(圆形或方形)</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≥φ260mm×高140mm，或 300mm×300mm×高 150mm(圆形或方形)</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碘升华凝华管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方座支架</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1、方座支架由立杆1根，方形底座1个，烧瓶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夹1个，大铁环1个，小铁环1个，垂直夹2个、平行夹1个，吊杆1根等组成。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2、底座台面尺寸220±3mm×150±2mm，重量≥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1，5kg，生铁材料铸造成型，板面上斜条纹深1.5mm,宽2.5mm成交叉形状均布，表面防锈处理。立杆直径Φ12mm，立杆一端有Μ10×15螺纹，总长度不得小于614mm，表面镀铬处理。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3、大铁环内径Φ90±3 mm，外径Φ110±3 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，小铁环内径Φ50±3 mm，外径Φ70±3 mm，大铁环环柄长125mm，小铁环环柄长105mm。大小铁环上有一开口（宽20mm）中心与环柄成120°夹角，金属材料表面防锈处理。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4、烧瓶夹铝合金压铸，总长200mm，夹口宽度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30mm，厚3mm夹口内壁贴有耐热柔软层。有锁紧装置，最大张口≥50mm闭合间隙≤0.1mm，闭合错位≤1mm。金属材料表面防锈处理。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5、立杆与底座间的不垂直度不大于3mm，铁环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柄，烧瓶夹杆与立杆不垂直度不大于3mm。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6、垂直夹、平行夹，夹体由铝合金材料铸造成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型，单个重量≥30g，表面防锈处理。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其他技术要求应符合JY/T0393-2007.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多功能实验支架</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1.组合支架由支座、支块、滑道、等组成。零部件的数量如下（序号名称数量）：1)支座 2 5)轴棒 4 9)平台 12)支块 2  6)万向夹 1 10)吊环 43)滑道 2 7)烧瓶夹 1 11)绝缘杆 24)滑块5 8)铁环 1 12)定滑轮 12.支架的组合方式有竖直型、水平型两类；竖直型又可组成框架式和垂直式两类，水平型又可组成单轨式和双轨式两类。</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升降台</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升降范围≥150mm，载重量≥10kg由载物台、下底座、升降机构、摇手柄等组成。载物台200mm×200mm×5mm用不锈钢制成。下底板尺寸≥200mm×200mm×10mm用铁制成。摇手柄，用金属制成，外表镀铬。</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学生电源</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1.初中学生电源，有过载保护功能。a.输出电压：直流稳压输出，1.5V～12V，每1.5V一档，共六档；b.额定电流：1.5A；c.交流输出2V～12V，每2V一档。2.过载保护。</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教学电源</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1.输出电压：交流输出，2V～12V，每2V一挡，共六挡；直流稳压输出，1.5V、3V、4.5V、6V、9V、12V、，共六挡；2.额定电流：交流输出时5A，有过载保护；直流输出时2A，有过载保护。</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6V，15Ah，封闭免维护式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调压变压器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1KVA</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充电器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可供蓄电池充电使用，输入电压 220V 50HZ；输出电压 DC7.5V；可充电池6V蓄电池</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可串并联电池盒由1节1号电池的4个电池盒组合而成，做串连或并联使用。各接触片使用铜质或不锈钢材料，表面镀铬并联采用接触片连接，串联采用钦扭连接。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感应圈</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电子开关式（线圈）</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演示直尺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1000mm×45mm×5mm，塑料制。最小分度值：1cm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木直尺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长1000mm，分度值1mm。外形尺寸≥1000×38×5mm；用不易变形的木材或塑料制造。</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钢直尺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200mm碳钢材质，分度值0.5mm。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布卷尺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长度：30m；尺带PE塑胶制造，尺盒由硬塑料制造。</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游标卡尺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125mm，0.02mm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外径千分尺(螺旋测微器)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25mm，0.01mm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物理天平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500g</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1、演示用500g,1g 2、双盘、单杠杆、等臂，非封闭式横梁由铝合金制成，刀子：钢或玛瑙制成标尺最大称量500g，分度值0.5g 3、秤量允许误差为±0.5d（分度值） 4、镊子的材质为金属制，厚度适合取最大法码5、标尺应光洁平直，连接部位应固紧，分度线应均匀，游码起点应对准零线，移动时松紧适宜，当杠杆受到轻微冲击时，游码不应移位</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弹簧度盘秤</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8kg，8g</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金属钩码</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10g×1，20g×2，50g×2，200g×2，符合JY105（1）982《勾码》的技术要求。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电子停表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1、产品为具有石英谐振器，分辨率为0.1S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2、符合QB/T1908《液晶数字式石英秒表》等有关要求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节拍器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电子式或机械式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沙漏</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学生用</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日晷</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由铜制的晷针、木质（表面必须涂清漆处理）或塑料制的晷面及支撑底座组成，晷面直径≥280mm。 2. 结构可分为地平式、赤道式。 3.性能、结构、外观应符合JY 0001第4、6、7章的有关要求。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玻璃，红液。长度≥150mm，测量范围：0（1）00℃；最小分度值：1℃。符合JJG130-2004《工作用玻璃液体温度计》的技术要求。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演示温度计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由玻璃温度计、标度牌、保护套组成。2. 感温液：红色，装在感温泡和毛细管中。3.其标度线有两种温度指示，摄氏温度（符号℃）和热力学温度（符号K）。4. 刻度范围：摄氏温标0～100℃，热力学温标273～373K。每1℃刻线的长度为4mm。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双金属片温度计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由双金属片、刻度板、玻璃罩、指针组成。2. 双金属片温度计为圆形指针式温度计，有摄氏和华氏刻度，里面充油。3. 面板标有-20℃～50℃，测量误差不大于5%。4. 玻璃罩应符合JY 0001第8章的有关要求。5. 结构、外观应符合JY 0001第6、7的有关要求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体温计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水银，体温计的刻度应为35℃-42℃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寒暑表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水银柱应能恒定到准确度数，用后应回到液泡里，液泡内不得有明显的气泡，水银柱不应中断、不应自流、不应难甩，玻璃管不得有爆裂现象。</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条形盒测力计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由方形弹簧盒（带刻板）、弹簧、提环、挂钩、指针等组成。零点可调。量程：0～5N。产品应符合JY0127-91《教学测力计》的要求。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圆筒测力计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由外筒、内管、弹簧、端盖、提环、挂钩等组成。零点可调。量程：0～5N。产品应符合JY0127-91《教学测力计》的要求。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演示测力计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由刻度板、弹簧、指针、拉杆、悬挂定位装置等组成。指针可调。量程：0～2N（牛顿）；最小分度值0.1N。产品应符合JY0127-91《教学测力计》的要求。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直流电流表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 级，0.6A，3A等级指数2.5级，量程0.6A、3A。</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直流电压表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 级，3V，15V等级指数2.5级，量程3V、15V。</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灵敏电流计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测量范围：-300µA～0～300µA。误差：≤5μA。</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投影电流表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 级，0.6A，3A，最小分度值为0.02A、0.1A，测量范围：（-0.2～0～0.6A）（（1）～0～3A），测量精度：2.5级，阻尼时间：不大于4s，对外界磁场的防御等级为Ⅲ级。</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投影电压表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 级，3V，15V，最小分度值为0.5V、0.1V，指示面板与水面平行，测量范围：（（1）～0～0.6A）（（1）～0～3V）(-5～0～15V)，测量精度：2.5级，阻尼时间：不大于4s，对外界磁场的防御等级为Ⅲ级。</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投影检流计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±300μA，对外界磁场的防御等级为Ⅲ级。</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1.计量范围：密度0.7000—1.000。2.刻度：0.001。3.全长：250±10mm。4.误差：±0.001。5.产品符合GB/T17764-2008《密度计》的技术要求。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湿度计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指针式，由铁皮外壳、玻璃面罩、游丝、指针、刻度盘组成。标有计量仪器标志。盘面印有0%～100%的刻度，最小分度值1%，示值允差±5%。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罗盘</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1.罗盘的侧面有测绘尺，两端为距离估定器。2.估定器两尖端长12.3mm，照准与准星间长为123mm，为尖端长的10倍。</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空盒气压计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1.产品结构为多膜盒式，其膜盒数量不得少于3只，结构外观应符合JY0001第6、7章的有关要求。2.读数范围：94～104KPa或80～106KPa分度值0.25。符合JY0128（1）991《空盒气压计》的要求。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圆柱体组</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有铜、铁、铝各一只，几何尺寸完全相同，直径 Φ20mm±0.05mm，高32mm±0.05mm。符合JY/T0394-2007《圆柱体组》的要求。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立方体组</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1.产品由相同形状、相同尺寸的铜、铁、铝及木材立方体配套组成。2.每个体积≥ 60CM³。3.产品参考并符合JY55-80《体积单位演示器》的要求。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运动和力实验器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由水平板、斜面板、小车、过渡塑料片、毛巾，布，瓦楞纸，小球2个(金属球、塑料球），硬盒、小球滑槽运动块等组成。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惯性演示器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底座尺寸≥300mm×150mm×10mm，支架、摆锤、板机装置、钢珠等组成。摆锤为铁质，质量350g。钢珠Φ22mm，质量45g。钢球抛出的水平距离≥90mm。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摩擦计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1.摩擦板和摩擦块均由经过脱脂、干燥处理，几何变形小、不易断裂、质地坚韧、细滑的优质木料制成，摩擦面无断、裂、节。 2.大于1mm，摩擦面及其背面不涂漆。 测试方法：将摩擦板平放在乎台上，保持摩擦面翘离平台的最大距离为最小，用钢板尺（或1mm塞尺）测量摩擦板面各部位翘离平台的最大距离不应超过lmm。 3.摩擦块为≥100×40×30mm的木块，质量为50g±2g。摩擦面为100×40mm和100×30mm各一面，要求平直不上漆。大摩擦面的背面打有两个钩码孔，一端面质心线上有挂线钧。4.产品执行JY40-79《摩擦计技术条件》的标准。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螺旋弹簧组</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0.5N，1N，2N，3N，5N钢制螺旋，五种为一组。产品符合JY132（1）982《螺旋弹簧》的要求。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阿基米德原理及其应用实验器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泡沫包装</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液体压强与深度关系实验器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仪器由实验筒、铅码组、浮标杯、盛液筒组成。2. 实验筒：外径≥∮32mm，高≥147mm，用透明聚丙塑料制成；最大承重100克，不沉没。筒壁有刻度尺，最小分度值1mm，最大刻度144mm。刻线和数字应完整清晰无断线、无漏线、无重线。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铅码组：铅码包裹聚乙塑壳，外经相同且稍小于实验筒内径，铅码质量分别有40.5克、23.5克、18.5克。 4. 浮标环：由透明聚丙塑料薄片制成，能漂浮在水面上，外经稍小于盛液筒内径，内径稍大于实验筒外经。5. 结构及外观的一般要求应分别符合JY 0001第4、5、6、7章的有关要求。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连通器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由玻璃连通器和底座两部分组成。外形尺寸≥：200×120×200mm。产品应符合JY232-87《连通器》的要求。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帕斯卡球</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适用于中学物理演示实验用帕斯卡球。2. J2111型。3. 性能、结构、外观应符合JY 0001第4、6、7章有关规定。4. 技术要求应符合JY 106第2.1～2.7条的规定。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浮力原理演示器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透明筒、浮体、密封环等组成。透明筒为上下结构，外径为≥Φ100mm，高度≥200mm。上面为液室，下面为气室，两室之间有隔环。液管、气管位于两侧。浮体为空心塑料圆柱体，内加配重，应能在水中上浮，颜色鲜艳。密封环为厚1mm平板橡胶环，表面平整。</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物体浮沉条件演示器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组合式；盒内有简易液压计，铁（防锈处理），铝，木，塑料圆柱体，塑料吊筒，潜艇模型等十种配件组成。符合JY/T0370-2004《物体浮沉演示条件》标准。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液体内部压强实验器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J2113型</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液体对器壁压强演示器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透明的圆管和圆缸组成。圆缸侧壁上，在不同深度固定有三个喷嘴。还有一个带螺纹的侧管，附件有螺塞、鼓膜塞、圆底板各2件；橡胶膜10片。规格尺寸：圆管内径≥φ25mm；管长≥210mm；圆缸内径≥φ80mm；缸深≥200mm；外壁标有指示深度的红色刻度线，分度为5mm。产品应符合JY229-87《液体对器壁压强演示器》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压力和压强演示器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有压强小桌、海绵块组成。压强小桌为塑料制品，桌面尺寸≥130×70mm，应精制美观。小桌腿长≥50mm，圆柱形略带锥度。海绵块尺寸：≥135×80×45mm，须切割平整。产品配合J2106金属钩码使用，要求不再配砝码。</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杠杆</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由杠杆尺、轴、调平装置和四只挂钩组成。杠杆尺为≥500×25×8mm，中心有φ4mm的铜轴套。。应符合JY172-84《杠杆》的要求。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滑轮组</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滑轮组的组成及规格：由单滑轮4个、二并滑轮2个、二串滑轮2个、可卡滑轮2个组成。单滑轮配备数量：4件，轮盘数量：1个；二串滑轮配备数量：2件，轮盘数量：2个；外径D：40mm ；轮缘厚a：7mm ； 轮毂厚b：10mm ；槽深c：4.5mm 。框架结构形式均为直边封闭式，上下挂钩互成90°或可转动。允许负荷：2千克。轮盘用塑料制成。框架用碳钢冷轧板制成。中轴由钢丝制成，框架表面作防锈处理。轮盘应转动灵活，轮盘沿轴向串动距离不大于1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滚摆</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滚摆由摆体（摆轮和摆轴）、悬线、支柱、横梁和底座组成。摆轮直径≥Φ125mm。摆轴直径≥Φ8mm，长≥160mm。支柱高≥400mm，横梁长≥240mm。应符合JY110-82《滚摆》的要求。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离心轨道</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铝合金轨道，塑料底座</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力学实验盒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附底板</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初中力学演示板</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符合教学实验要求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手摇离心转台</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外形尺寸：≥550mm×240mm×150mm。由机座、主动轮（附摇柄）和从动轮等组成。机座材料为铸铁，配有橡胶脚，平放、立放均平稳可靠。产品应符合JY220-87《手摇离心转台》的要求。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音叉</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1、本音叉的频率为256Hz，频率误差不大于0.5Hz(20℃时)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2、其余应符合JY227的有关要求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发音齿轮</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由三片齿板、转动轴等组成。齿轮用钢材制成，齿数分别为80、60、40齿，三片齿板表面镀铬，其余表面镀锌。应符合JY224-87《发音齿轮》的要求。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超声应用演示器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可进行超声测距、报警、控制等实验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内聚力演示器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有挤压扳动器和刮 削器由两只带有金属挂钩的铅圆柱体组成，并配有挤压板和旋转式刮削器。圆柱体直径φ20mm、长50mm。挂钩镀铬。安装在圆柱体端面的中心，允许偏差不大于1毫米。应符合JY171-84《内聚力演示器》的要求。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空气压缩引火仪</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气缸、底座、端盖、活塞等组成。外形尺寸：≥65mm×65mm×200mm。气缸由有机玻璃制成，缸长≥130mm，外径≥φ25mm，内径φ10mm。缸体透明度好，表面无划痕。底座直径φ65mm，底座与缸体连接牢固，放置平稳。活塞与气缸气密性应良好。连续压缩引火100次，密封圈的使用效果不变。应符合JY137-82《空气压缩引火仪》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金属线膨胀演示器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外形尺寸：≥380mm×135mm×270mm；由金属试棒、支架、传动机构、指针、标尺和底座组成，附专用酒精灯和火焰罩。其它技术要求应符合JY225中的2.4—2.8条的要求。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固体缩力演示器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J2259型；结构外观应符合JY 226第1.2、1.3条要求及JY 0001第6、7章有关要求； 其余应符合JY 226第2章的规定。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热传导演示器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J2260型； 该产品由直径相同为ф6±0.1㎜，长度相等为L100±2㎜的铜、铝、铁金属杆各1支和铜环、支杆、底座组成。产品高度应≥200㎜，仪器表面防锈处理。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双金属片</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J2265型。材料：由铜、铁组成。该产品由长度≧250㎜、宽≧25㎜、厚≧0.5㎜铜、铁板材各1片铆合而成，铆合应牢固，手持端木柄应涂漆。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气体做功内能减少演示器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气室、进气管、胶塞、防护套、底座及背景衬板凳组成。2、气室：（1）气室为圆筒形，有进气口和出气口，进气咀与进气管配合紧密；出气口为喇叭状，与胶塞配合紧密。（2）气室直径应≥38mm，长≥90mm，壁厚≥2mm。3、底座长≥120mm，宽≥90mm。仪器放置应平稳可靠。底座应为黑色。4、背景衬板为黑色，长≥120mm，高≥90mm。5、进气管长≥500mm，内径与气室进气嘴配合牢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声热实验盒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配置清单：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序号 器材名称 数量 用途 备注1 盒子 1 音调实验 2 小锤 1 声音传播 3 喇叭 1 声音传播 带固定片4 插片座 2 声音传播 5 小铃铛 1 声音传播 6 薄膜板 1 声音传播 7 弦调节轴 2 音调实验 8 弦支座 2 音调实验 9 弦定位座 2 音调实验 10 弦（粗、细） 各1 音调实验 11 三角形片 1 音调实验 12 橡皮筋 2 发生体振动 13 电池盒 2  14 导线 2  15 土电话 2 简单的绳电话 16 细线 5m 简单的绳电话 17 水银温度计 0～100℃ 1 温度实验 18 水银温度计 0～200℃ 1 温度实验 19 气温计 1 温度实验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20 体温计 1 温度实验 21 烧杯 250ml 1 温度实验 22 塑料板 （中间有小孔） 1 温度实验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23 酒精灯 1 温度实验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24 试管 1 熔化凝固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25 石棉网 1 熔化凝固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26 横杆 1 沸腾实验 挂温度计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27 注射器 1 液化实验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28 橡皮帽 1 液化实验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29 烧瓶夹 1 熔化凝固升华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 碘升华管 1 升华凝华</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纸盘扬声器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 200mm，8Ω，动圈式扬声器的主要性能在指向性、频响(5-5KHZ)、失真度、音质等方面应符合技术要求。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玻棒(附丝绸)</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教师用，应含玻棒（或有机玻棒）2根、丝绸2块。玻棒用硬制实心玻璃制成，外形尺寸直径为14±1mm，长度300±5mm，头部为球形半径R4mm。丝绸为桑蚕织品，尺寸≥360×360mm。产品应符合JY179-85标准。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胶棒(附毛皮)</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用，应含胶棒（或聚碳酸脂棒）2根、毛皮2块。胶棒用硬橡胶或聚碳酸脂制成，外形尺寸直径为14±1mm，长度300±5mm，头部为球形半径R4mm。毛皮为经过鞣制的猫皮、羊羔皮等，尺寸应≥150mm×150mm。产品应符合JY179-85标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箔片验电器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用1.本产品由外壳、圆球或圆盘、导电杆、箔片及中位卡组成。2.圆球或圆盘、导电杆及中位片用金属制成，镀铬抛光。3.金属箔片厚度不大于0.02mm，长度≥25mm。4.产品应符合JY202－85《箔片验电器》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小灯座</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1.底座用黑色塑料制成，表面平整光洁。外形尺寸≥75×35×10mm，底座上有两个直径为4.5mm的安装孔，孔的中心距离为40±0.5mm。应有足够的强度。 2.灯座用具0.5～0.6mm的磷铜片制做，表面镀镍。灯座与两接线柱之间用宽8mm的铜片连接和灯座为一整体。3.产品应符合JY116－82《小灯座》的有关规定。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滑动变阻器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20Ω，2A；或 10Ω，2A；长度≥200mm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电阻圈</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5Ω，10Ω，15Ω，产品应符合JY0029－91《电阻圈》的有关规定。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电阻定律演示器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1.由底板及铜、铁、镍铬三种金属导线、接线柱、连接片、支撑架等组成。2.外形尺寸：≥1050mm×150mm×40mm。3.产品应符合JY217－87《电阻定律演示器》的有关规定。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电阻定律实验器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1.由底板及铜、铁、镍铬三种金属导线、接线柱、连接片、支撑架等组成。2.外形尺寸：≥550mm×170mm×40mm。3.产品应符合JY217－87《电阻定律演示器》的有关规定。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演示电阻箱</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0～9999Ω</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教学电阻箱</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9999.9Ω，电阻箱阻值变换方式为开关式，每十进开关上电阻值的比值是 1：2：2：2：2或1：1：1：1：1：1：1：1：1；电阻箱外壳应用胶木制作。产品应符合JY31－88《教学电阻箱》的有关规定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演示线路实验板</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1.线路底板用工程塑料压制而成，其单板基本尺寸和孔的位置应符合底板长度360mm±1mm，宽度240mm±1mm，高度20mm±1mm，孔径尺寸φ6mm±0.2mm，孔心距离30mm±0.3mm。2.产品应符合JY218－87《演示线路实验板》的有关规定。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初中电学演示箱</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磁贴式，可完成25种实验，箱体尺寸：≥400*250mm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学生线路实验板</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初中学生组，盒体尺寸：≥250*150mm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焦耳定律演示器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1.由封闭容器、液面导管、连接橡胶软管、U型玻璃管、高度标尺板、接线柱组成。2. 电源电压：DC 6V。3. 工作电流：&lt;2A。4. 标准电阻：4.7Ω±0.5Ω。5. 贮气盒由透明塑料制成。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条形磁铁</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D-CG-LT（1）80D-CG-LT（1）80尺寸≥180×20×10mm。磁铁经高温老化处理后两磁极磁感应强度平均值≥60mT。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蹄形磁铁</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D-CG-LU-80D-CG-LU-80主参数（高度）≥80mm，磁极横截面积200平方毫米、磁感应强度应≥0.055T。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磁感线演示器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1.仪器为密封的透明投影板，其内部封入液体和软磁铁粉。配备橡胶小锤1个；透明投影板的边长≥100mm×70mm。2.应符合JY/T 0397—2007　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立体磁感线演示器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仪器由条形磁铁及六个矩形透明磁感应板立片、蹄形磁铁及月牙形透明磁感应板和固定支架组成。2.透明磁感应板上装有多个小磁针；每块板上的空穴数量≥130个；直径：≥172mm，高：≥205mm，条形磁铁边长：≥19mm，条形磁铁长：≥80mm，U型磁铁臂长：≥65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磁感线演示板</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1.仪器由透明投影板、电磁线圈、磁针以及铁芯板、铁环和投影板座构成；外形尺寸：≥240*240*45mm。2.应符合JY/T 0397—2007　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电流磁场演示器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投影式或演示板型。由直线电流、环形电流、通电螺丝管三个演示板或投影盒组成；方线圈（≥80×50mm），圆线圈（直径≥Φ45mm），螺线管（直径≥Φ45mm）采用优质铜线。投影盒或演示板由有机玻璃制成。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菱形小磁针</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整盒装≥10个，每个小磁针带底座；磁针体长28±1.0 mm、宽8±0.7mm。产品应符合JY0012－90《磁针》的有关规定。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翼形磁针</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J11005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演示原副线圈</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演示原线圈、演示副线圈、软铁芯三部分组成。原线圈和副线圈都是用漆包线绕在空心的胶木骨架上做成。线圈外面绕有三圈塑料线以表明线圈的绕向，线圈两头都装有接线柱；外形尺寸≥70mm×l06mm×ll3mm，原线圈内径≥13mm，外径≥22mm、副线圈内径≥35mm，外径≥49mm，软铁直径≥12mm，长度≥113mm；产品应符合JY120－82《演示原副线圈》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通电螺线管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原副线圈由原线圈、副线圈、软铁芯三部分组成；原线圈骨架：圆筒内径≥11mm；圆筒外径≥15mm；绕线宽度≥57mm；副线圈骨架：圆筒内径≥24mm；圆筒外径≥30mm；绕线宽度≥50mm；铁芯：直径≥10mm；长度≥77mm；外形尺寸：≥67mm×40mm×88mm。2.产品应符合JY121－88《原副线圈》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电磁铁实验器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1、基本性能，结构外观应符合ZBY51001-88第4、5、6章有关规定。2、螺线管线圈共有2只，线圈匝数相同，可方便串并联。3、2只螺线管各配铁芯1只，铁芯用电工纯铁制成。4、连接导线≥2根，每根导线长度≥10cm。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演示电磁继电器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J2413—1型立式，≥150×90×80㎜，结构外观应符合JY 0001第6、7章有关规定和JY 50第1.2、1.4条要求。其余应符合JY 50第2章的规定。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电磁继电器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J2414型，性能、结构、外观应符合JY 0001第4、6、7章有关规定。技术要求应符合JY 51第4.1～4.14条的规定；螺线管匝数：400匝2只，200匝1只。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磁场对电流作用实验器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由强磁铁（U形磁铁）、导电管、接线杆、支架（方座支架）组成。2.导电管为空心，薄壁黄铜管。3.导电管引线用外径≥1mm的多股塑料软线，线端接线叉并加套管，长度≥350；4接线杆2只用≥Φ8mm×200mm的绝缘材料制成；在其上方装红、黑两只644型接线柱，两端用M6×10mm镀铬螺丝固定。5.强磁铁（U形磁铁）用专用夹固定在方座支架上。</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左右手定则演示器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由底座、撑杆、接线板（棒）、方形线圈组成。2.底座用≥190mm×140mm×4mm的非金属材料制成。3.撑杆长度≥440mm，与底座装接牢固。4.悬挂方形线圈的接线板(棒）要用具有一定强度的绝缘材料制成，长度≥150mm，其上装有红、黑两只接线柱。5.产品应符合JY0014－90《左右手定则演示器》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手摇交直流发电机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由定子、转子，电刷、转动机构、集流环（或换向器）、小灯座，底板等组成，底板采用木制。产品应符合JY21－79《手摇交直流发电机》的有关规定。外形尺寸：≥250*150*150mm。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电机原理说明器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演示直流电动机定子与转子并激加10V-6V电压，转速可变；2.演示直流发电机，定子加6V电压，转子转速180转/分，电机输出大于80цA；3.演示交流发电机，定子加6V电压，电机输出电流使电流计指针左右偏转满刻度。外形尺寸：≥250x200x220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电学实验盒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结构及外观的一般要求应符合JY 0001的相关要求。2. 产品性能满足中学物理实验教学的要求。3.外形尺寸：≥240*200*50mm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能的转化演示器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机械能、化学能、 电能、热能、光能 的转化由主示教板、机能示教板和光、热能示教板组成。主示教板由一只直流永磁式电机、传动机构、二节五号电池盒、转换开关、两只接线柱和底盘组成。底盘应采用优质塑料注塑成型，底面上印有线路图。机能示教板由直流电机、支架、风叶组成。光、热能示教板由发光二极管、支架组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磁悬浮演示器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结构及外观的一般要求应符合JY 0001的相关要求；外形尺寸：≥110*65*45mm。2. 产品性能满足中学物理实验教学的要求。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音频信号发生器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1.信号范围：20Hz～20KHz，有功率输出。2.工作环境条件：温度 0～40℃ 3.相对湿度 不大于90%（40℃）4.使用电源：交流 220V±22V  50Hz±2.5Hz。5.安全要求：教学用信号发生器应装有保护接地端子。6. 绝缘电阻：≥20MΩ。7.技术性能应符合JY 0362第4.5条的有关要求。8.性能、安全、结构、外观应符合JY 0001第4、5、6、7章的有关要求。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凹面镜</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凹面镜体，托架、支柱、底座各部分组成。托架、支柱、底座均为铁制品。底座直径≥Φ100mm，厚度≥1mm，表面涂清漆，支柱直径≥Φ6mm，表面电镀，托架呈半圆形，厚度≥2mm，半圆直径≥Φ100mm。凹面镜体直径≥Φ85mm，外部镶嵌黑色塑料外框。产品应符合JY138－82《凹、凸面镜》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凸面镜</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凸面镜体，托架、支柱、底座各部分组成。托架、支柱、底座均为铁制品。底座直径≥Φ100mm，厚度≥1mm，表面涂清漆，支柱直径≥Φ6mm，表面电镀，托架呈半圆形，厚度≥2mm，半圆直径≥Φ100mm。凹面镜体直径≥Φ85mm，外部镶嵌黑色塑料外框。产品应符合JY138－82《凹、凸面镜》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光具座</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1.光具座由导轨（包括支架）、滑块、标尺及附件组成。光具座的导轨长≥900mm、光轴中心高：≥240mm、导轨截面为正三角形，边长75 mm、滑块插孔内径Φ12mm、所有插杆外径Φ12mm、插杆上可以几十种光学多维调整架和附件，滑块支承面距光轴距离约160mm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三棱镜</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由三棱镜体、托架、支柱、底座等组成。玻璃材料应符合GB903-65《无色光学玻璃》中的规定；外形尺寸约≥90mm×90mm×180mm。产品应符合JY142－82《三棱镜》的有关规定。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白光的色散与合成演示器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由棱镜、棱镜台和光源等组成。棱镜为重量火石玻璃，顶角为60°。产品应符合JY0310－91《白光的色散与合成演示器》的有关规定。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平面镜成像实验器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1.仪器由平面镜、平面镜支架、蜡烛台座（物像台）、60°直角三角尺等各1个组成。2.平面镜尺寸≥110mm×80mm，四周经打磨处理，或镶边框。3.60°直角三角尺有效刻度≥100mm。4.物像台高度≥60mm。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光的传播、反射、折射实验器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含激光笔，带扩束装置整体式结构，手持式三光束入射，优质圆形光学塑料演示刻度盘，直径≥φ100mm，可360度旋转观察，光屏转动由手轮控制。</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光的三原色合成实验器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光源、滤色片、三只红、蓝、绿开关、亮度调节旋钮、外接电源接线柱、屏幕和外壳组成；尺寸≥90×90×140mm，外壳为塑料，光源由9只高亮度发光二极管组成，外接电源为4.5V，色光开关为三只红、蓝、绿开关组成，亮度调节旋钮由0（1）00Ω的电位器组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轴承模型</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轴承外径≥130mm，塑料制品。模型由滑动轴承、滚动轴承组成。滑动轴承由铸铁座、铜套、钢制轴配合制成；滚动轴承由轴承钢制成，外圈对称剖为两半。3.可拆式。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离心水泵模型</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由泵体、叶轮、机轴、吸水口、出水口、排水口、手轮、齿轮、手柄组成；.扬水和吸水高度均≥0.6米产品应符合JY222－87《离心水泵模型》的有关规定。外形尺寸：≥250*110*190mm。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液压机模型</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J2112型 结构、外观应符合JY 0001第6、7章要求。产品由大缸体、小缸体、角式截止阀、底座和压力弹簧构成；外形尺寸≥320×125×280mm性能应符合JY 43第2.1～2.9条的规定。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水轮机模型</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流式、轴流式、冲击式三种转轮；由机壳、叶轮、轴杆、支架、底座、水槽等组成；壁厚≥2mm，水槽内空尺寸≥φ130×40mm，导水槽内空尺寸≥φ80×15mm；叶轮、传动轮采用工程塑料制作，叶轮外圆直径≥φ50mm，叶片厚度≥1.5mm，传动轮直径≥φ90mm；支脚采用直径≥φ8mm的塑料棒成型，高度≥110mm。产品组装后总高度≥200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电机模型</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J2440型。1. 电源：DC3～6V。2. 结构外观应符合JY 0001第6、7章的有关要求。3. 外形尺寸≥250*150*70mm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物质的形态和变化</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物质的属性</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对开20幅，符合新课标教学要求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物质的结构与物体的尺度</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对开1幅，符合新课标教学要求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新材料及其应用</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对开2幅，符合新课标教学要求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多种多样的运动形式</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对开2幅，符合新课标教学要求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机械运动和力</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对开15幅，符合新课标教学要求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声和光</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对开9幅，符合新课标教学要求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电和磁</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对开14幅，符合新课标教学要求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能量、能量的转化和转移</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对开2幅，符合新课标教学要求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机械能</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对开3幅，符合新课标教学要求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内能</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对开4幅，符合新课标教学要求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电磁能</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对开10副，符合新课标教学要求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能量守恒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对开2幅，符合新课标教学要求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能源与可持续发展</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幅数：4幅，每张幅面：对开，符合新课标教学要求</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初中物理实验参考书</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新课程教材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初中物理实验手册</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新课程教材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量杯</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φ30mm×200mm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圆、长，500mL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平、长，250mL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酒精灯</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150mL</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平底管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φ12mm×150mm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T形管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产品选用钠钙玻璃制成T形，用于导管分流。</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石棉网</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1、产品由金属网和附在网上的石棉组成。2、应符合JY0001-88《教学仪器产品一般质量要求》的有关规定。钢丝网外形尺寸：≥125*125mm；石棉直径≥100mm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φ7～φ8mm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乳胶管</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1、产品用优质乳牛胶制造。2、产品内径为5～6mm，壁厚1mm。3、产品应符合国标GB1189-81《胶管外观质量》的规定。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蒸发皿</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家庭电路器材</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空气开关、漏电保 护器、螺丝口灯座、 卡口灯座、三孔插 座、三孔插头、插 入式保险盒、拉线 开关、按钮开关、 声控开关、光控开 关、导线等</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彩色透光片</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红、绿、蓝</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颜料的三原色</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品红、黄、蓝</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测电笔</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一字螺丝刀</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1、旋杆采用钢质材料制作。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2、旋杆长度≥75mm，直径≥4mm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3、旋杆应经镀鉻防锈处理。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4、其它技术要求按 GB10635的规定执行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十字螺丝刀</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1、旋杆采用钢质材料制作。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2、旋杆长度≥75mm，直径≥4mm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3、旋杆应经镀鉻防锈处理。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4、其它技术要求按 GB10635的规定执行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尖咀钳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1、载荷F≥550N 2、其它技术要求按 GB6290的规定。3、尖嘴钳的抗弯强度符合GB6293-86。4、其他技术要求符合GB6290-86《夹扭钳和剪切钳通用技术条件》的规定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木工锯</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580mm，工字型</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木工锤</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250g</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钢手锯</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锯条10条，长300mm,由钢锯弓、钢锯条组成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剥线钳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1、规格≥150mm；2、镀铬双色JN2100塑柄，鸭嘴形</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1、规格尺寸符合GB6295.2表格1的有关要求。2、技术要求符合GB6295.2的第2章有关要求。3、其它技术要求符合GB6290夹扭钳和剪切钳通用技术条件的规定</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锉刀</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250mm，带柄</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三角锉刀</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250MM,带手柄</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什锦锉</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十只装金刚锉</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活扳手</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英寸</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直角尺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30cm直角尺，不锈钢材料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电烙铁</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30W外热式电烙铁</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平口钳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3寸，钳口碳钢，钳身铸铁材料</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台钻</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φ1～φ13mm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手电钻</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φ1～φ13mm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钻头</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φ1～φ13mm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台虎钳</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100mm，材料铸铁</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砂轮机</w:t>
            </w:r>
          </w:p>
        </w:tc>
        <w:tc>
          <w:tcPr>
            <w:tcW w:w="10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单相，300W3000vpm</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
    <w:p/>
    <w:p/>
    <w:p/>
    <w:p/>
    <w:p/>
    <w:p/>
    <w:p/>
    <w:p/>
    <w:p/>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1"/>
        <w:gridCol w:w="1558"/>
        <w:gridCol w:w="10668"/>
        <w:gridCol w:w="637"/>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化学实验室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一、教师控制演示区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教师演示台</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1、规格：2400*700*850mm（规格偏离±5%）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2、台面：台面采用板芯为12.7mm厚著名品牌实芯理化板（颜色可选），整个台面一体化设计；边缘加厚到25mm，台面具有抗腐蚀抗菌、耐酸碱、耐磨防火，防静电、耐热、耐烟酌抗污。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3、围边：ABS+PC+精钢塑料新粒子，一体化台面围边，“C”形安装在台面上，具有防止实验器皿滑落、防潮等特点.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桌身：新型全钢结构，钢制部件经12道工艺制造：除油保洁、清洗除污、酸洗除锈、清洗除酸、冲淋表调、磷化防锈、清洗或冲洗表面除污，钝化后烘干、流水线静电喷粉、静电粉末涂料自流平、“EPOXY”粉末喷涂渐进式升温高热温度固化。具有耐酸耐碱、耐腐蚀防褪色、承重性能强、表面美观实用等的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桌身台架模块可根据功能需要自由组合：储存模块、多媒体模块、上下水模块、R型主控制系统模块、通风系统模块，并可根据实际需求开发新的组合模块。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操作台所有边角采用圆角处理设计，防止学生刮伤碰伤。外观设计符合人体工程学原理、中间R型设计。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5、可调脚：采用工程塑料模具成型制作而成，具有高度可调、耐磨、 防潮、耐腐蚀等特点。</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教师椅</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低背、带扶手，座高43cm-40cm可调；一体成形高弹高密聚氨脂泡棉，用模具发泡而成，造型、尺寸稳定。黑色PU饰面，五脚气动升降，带万向轮。</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二、学生实验学习区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学生实验桌</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规格：1200*600*780mm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一、台面：采用国内知名品牌12.7mm厚实芯（双面）理化板台面，台面边缘用同材质材料板双层加厚至25.4mm，由专业生产厂家用CNC机械精加工而成。具体性能如下：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通过国家化学建筑材料测试中心等机构检测依据GB/T17657-2013等标准及方法检验，物理性能结果为：表面耐磨性能（500g）检验结果不低于568r；表面耐干热性能：5级无明显变化；表面耐香烟灼烧性能：5级无明显变化；耐沸水性能：5级无变化；24h吸水率≤0.1%；耐高温性：表面无裂痕；耐光色牢度≥4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B、通过盐酸、硫酸、硝酸、氢氧化钠等不少于39种酸、碱及其它化学试剂的检验结果为无明显变化。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C、通过检测：重金属铅、镉等未检出，均低于检出限量值（≤20mg/m2 ）， 符合GB18585-2001或GB18586-2001等国家标准。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D、通过国家化学建筑材料测试中心或SGS等权威机构参照最新标准（GB/T18580-2017）检测，结果为：甲醛释放量：≤0.024mg/M3，满足E1≤0.124mgM3的限量技术要求。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E、具有不低于178项及以上高关注度物质（SVHC）检验报告；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F、依据HJ571-2010（环境标志产品技术要求）检测，总挥发性有机化合物TVOC（72h）释放量为未检出（≤0.02mg/m2•h）。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G、依据GB6566-2010方法进行放射性测试，内、外照射检测值均≤0.1，根据GB50325-2010（2013版）规范判定为A类合格。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台身结构：新型塑铝结构，整体1200*600*780。学生位镂空式，符合人体工程学设计，美观大方。桌腿：采用工字型压铸铝一次成型，材料表面经高压静电喷涂环氧树脂防护层，耐酸碱，耐腐蚀处理。上腿规格：长580mm宽50mm高120mm，壁厚5.0mm。下腿规格：长510mm宽50mm高100mm，壁厚5.0mm,下腿处配有环保型PP加耐磨纤维质塑料护脚。立柱：采用50×110mm，壁厚1.5mm。前横梁采用40×30mm，壁厚1.2mm。中横梁采用27.2×27.2mm，壁厚1.2mm。后横梁和后挡板一体成型：采用105×30mm×80 mm，壁厚1.2mm，造型截面为后端连续相切弧形，顶端高出台面40mm，可防止台面物体向后滑落、实验用水溢出。加强横支撑件：采用10×100mm，壁厚1.2mm。材料均采用优质铝镁合金材料，材料表面经高压静电喷涂环氧树脂防护层，耐酸碱，耐腐蚀处理.                   书包斗：规格420*280*160mm,厚度5mm，采用ABS改性材料，塑料注塑成型，正面设有可悬挂凳子的圆形孔，周边加厚加强，斗内有8根宽度为30mm的沙面处理的加强体块。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结构：台面为理化板一体化成型，桌身由桌腿、立柱、前横梁、中横梁、后横梁及加强横支撑件组成。学生位设书包斗、柜体箱。可调脚：高强度可调脚，采用10mm螺纹钢，下部采用环保型PP加耐磨纤维质塑料。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学生实验桌桶</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350*250*720mm，分为桶体和底座两部份，底座为与桌面同色的壁厚3mmABS材质注塑成型；桶体分为两块，壁厚3mm,采用ABS材料，塑料注塑成型,表面沙面和光面相结合处理，以齿合槽配以螺丝连接，拆分组合方便，方便检修桶体内的风管或电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独立水槽实验台</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柜体规格:500×600×720mm，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木纹与光面项结合处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水槽规格500*600*295mm  水槽采用环保型PP材料一次性注塑成型，耐强酸碱&lt;80度有机溶剂并耐150度以下高温，壁厚4mm，具有防溢出功能。含水槽1套</w:t>
            </w:r>
            <w:bookmarkStart w:id="268" w:name="_GoBack"/>
            <w:bookmarkEnd w:id="268"/>
            <w:r>
              <w:rPr>
                <w:rFonts w:hint="eastAsia" w:ascii="宋体" w:hAnsi="宋体" w:eastAsia="宋体" w:cs="宋体"/>
                <w:i w:val="0"/>
                <w:color w:val="000000"/>
                <w:kern w:val="0"/>
                <w:sz w:val="22"/>
                <w:szCs w:val="22"/>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学生凳</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凳面采用高密度ABS材质，直径320mm，凳面表层有颗粒凸起（乳白色），起到按摩抗疲劳作用。凳面底部装有壁厚为1.5mm厚直径为160mm钢板托盘，使得凳子更加稳固。2、凳脚材质及形状：椭圆形无缝钢管，尺寸:20×40×1.2mm 3、全圆满焊接完成，结构牢固，经高温粉体烤漆处理，长时间使用也不会产生表面烤漆剥落现象，4、脚垫材质：采用PP加耐磨纤维质材料，5、实验凳由螺旋螺杆带动升降，升降范围为450mm-500mm。</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三、供电设备</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教师主控电源</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装置在主控台组合柜内，采用耐磨、耐腐蚀的PVC薄膜面板，优质元器件，微电脑控制，轻触按钮开关。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1、输入电压：220v±10%；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2、教师电源：交流输出2-24V,2V/档，额定电流6A，过载保护：超过105%额定电流自动保护。轻触开关直选输出电压，高精度数字电压电流表显示，显示误差：交流电压1%，交流电流1%。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3、直流输出1-24V（极限0-24V），精度0.1V，键盘直选电压控制方式，额定电流6A，过载保护：超过105%额定电流自动保护。高精度数字电压电流表显示，显示误差：直流电压0.5%，直流电流0.5%。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4、化学塔吊控制：采用专用文本控制器（液晶屏全中文显示），能够控制塔吊电源、升降、风速大小及塔吊照明，可输出0-10V模拟信号和开关信号，控制变频器。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5、2路5孔插座220V输出。额定输出电流10A/路。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6、使用环境：温度0-40℃，湿度&lt;90%。</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学生电源</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1学生电源采用抽拉式，面板采用ABS阻燃塑料板加PU高强度薄膜，操作形式采用触摸式。电源面板尺寸为147*122（mm）。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2电源采用微电脑程序控制，上下键轻触调节直流电压。分别由一块多功能表显示输出电压和电流。交流输出电压由教师电源集中控制，直流电压分辨率为0.1V，电压调节范围为1.25V—30V/2A。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3电源有微电脑智能侦测保护点，有自动过载和自动复位功能。电源设置二、三孔带双安全门的插座，输出交流220V。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4其他电性能应符合《JY0361—1999》或《JY0374—2004》中的相关要求。</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四、给排水设备</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化验水槽</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PPR材质水封式，尺寸为440×340×240，可防止废水回流和堵塞</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三联水嘴</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一高二低水嘴，管体部份为黄铜合金制，陶瓷阀芯，表面经环氧树脂静电喷涂处理，耐酸碱腐蚀。出水嘴为铜质瓷芯尖嘴型，可拆卸清洗阻塞。</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五、安装附件部份</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全室强电配线风机专用线</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风机专用线地下电源主线采用4㎜²国标BV塑铜线铺设经教师电源控制台至风机。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地下给/排水全套装置</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PPR材质水管，上水管和进水管为Ф25；UPVC材质排水管为Ф50</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设备安装调试</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实验室设备整体安装及装修</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六、其他配套设备</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独立水槽实验台</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柜体规格:500×600×720mm，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木纹与光面项结合处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水槽规格500*600*295mm  水槽采用环保型PP材料一次性注塑成型，耐强酸碱&lt;80度有机溶剂并耐150度以下高温，壁厚4mm，具有防溢出功能。含水槽1套。</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水嘴</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一高二低水嘴，管体部份为黄铜合金制，陶瓷阀芯，表面经环氧树脂静电喷涂处理，耐酸碱腐蚀。出水嘴为铜质瓷芯尖嘴型，可拆卸清洗阻塞。</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洗眼器</w:t>
            </w:r>
          </w:p>
        </w:tc>
        <w:tc>
          <w:tcPr>
            <w:tcW w:w="10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眼喷头：采用不助燃PC材质模铸一体成形制作，具有过滤泡棉及防尘功能，上面防尘盖平常可防尘，使用时可随时被水冲开，并降低突然打开时短暂的高水压，避免冲伤眼睛。</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tbl>
      <w:tblPr>
        <w:tblStyle w:val="44"/>
        <w:tblW w:w="14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1582"/>
        <w:gridCol w:w="10200"/>
        <w:gridCol w:w="498"/>
        <w:gridCol w:w="619"/>
        <w:gridCol w:w="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1669" w:type="dxa"/>
          <w:trHeight w:val="540" w:hRule="atLeast"/>
        </w:trPr>
        <w:tc>
          <w:tcPr>
            <w:tcW w:w="12336"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化学实验仪器设备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打孔夹板</w:t>
            </w:r>
          </w:p>
        </w:tc>
        <w:tc>
          <w:tcPr>
            <w:tcW w:w="106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1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113"/>
                <w:lang w:val="en-US" w:eastAsia="zh-CN" w:bidi="ar"/>
              </w:rPr>
              <w:t>产品由上夹板、下夹板、螺钉及紧固蝴蝶螺母等组成。</w:t>
            </w:r>
            <w:r>
              <w:rPr>
                <w:rFonts w:hint="default" w:ascii="Times New Roman" w:hAnsi="Times New Roman" w:eastAsia="宋体" w:cs="Times New Roman"/>
                <w:i w:val="0"/>
                <w:color w:val="000000"/>
                <w:kern w:val="0"/>
                <w:sz w:val="24"/>
                <w:szCs w:val="24"/>
                <w:u w:val="none"/>
                <w:lang w:val="en-US" w:eastAsia="zh-CN" w:bidi="ar"/>
              </w:rPr>
              <w:t>2</w:t>
            </w:r>
            <w:r>
              <w:rPr>
                <w:rStyle w:val="1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113"/>
                <w:lang w:val="en-US" w:eastAsia="zh-CN" w:bidi="ar"/>
              </w:rPr>
              <w:t>产品长</w:t>
            </w:r>
            <w:r>
              <w:rPr>
                <w:rFonts w:hint="default" w:ascii="Times New Roman" w:hAnsi="Times New Roman" w:eastAsia="宋体" w:cs="Times New Roman"/>
                <w:i w:val="0"/>
                <w:color w:val="000000"/>
                <w:kern w:val="0"/>
                <w:sz w:val="24"/>
                <w:szCs w:val="24"/>
                <w:u w:val="none"/>
                <w:lang w:val="en-US" w:eastAsia="zh-CN" w:bidi="ar"/>
              </w:rPr>
              <w:t>≥175mm</w:t>
            </w:r>
            <w:r>
              <w:rPr>
                <w:rStyle w:val="113"/>
                <w:lang w:val="en-US" w:eastAsia="zh-CN" w:bidi="ar"/>
              </w:rPr>
              <w:t>，宽</w:t>
            </w:r>
            <w:r>
              <w:rPr>
                <w:rFonts w:hint="default" w:ascii="Times New Roman" w:hAnsi="Times New Roman" w:eastAsia="宋体" w:cs="Times New Roman"/>
                <w:i w:val="0"/>
                <w:color w:val="000000"/>
                <w:kern w:val="0"/>
                <w:sz w:val="24"/>
                <w:szCs w:val="24"/>
                <w:u w:val="none"/>
                <w:lang w:val="en-US" w:eastAsia="zh-CN" w:bidi="ar"/>
              </w:rPr>
              <w:t>≥40mm</w:t>
            </w:r>
            <w:r>
              <w:rPr>
                <w:rStyle w:val="113"/>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打孔器刮刀</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1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113"/>
                <w:lang w:val="en-US" w:eastAsia="zh-CN" w:bidi="ar"/>
              </w:rPr>
              <w:t>产品由刀架、刀片、刀片定位销钉、刀片张角定位螺钉和手柄组成。</w:t>
            </w:r>
            <w:r>
              <w:rPr>
                <w:rFonts w:hint="default" w:ascii="Times New Roman" w:hAnsi="Times New Roman" w:eastAsia="宋体" w:cs="Times New Roman"/>
                <w:i w:val="0"/>
                <w:color w:val="000000"/>
                <w:kern w:val="0"/>
                <w:sz w:val="24"/>
                <w:szCs w:val="24"/>
                <w:u w:val="none"/>
                <w:lang w:val="en-US" w:eastAsia="zh-CN" w:bidi="ar"/>
              </w:rPr>
              <w:t>2</w:t>
            </w:r>
            <w:r>
              <w:rPr>
                <w:rStyle w:val="1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113"/>
                <w:lang w:val="en-US" w:eastAsia="zh-CN" w:bidi="ar"/>
              </w:rPr>
              <w:t>刀架采用金属材料制成，表面作防锈处理。</w:t>
            </w:r>
            <w:r>
              <w:rPr>
                <w:rFonts w:hint="default" w:ascii="Times New Roman" w:hAnsi="Times New Roman" w:eastAsia="宋体" w:cs="Times New Roman"/>
                <w:i w:val="0"/>
                <w:color w:val="000000"/>
                <w:kern w:val="0"/>
                <w:sz w:val="24"/>
                <w:szCs w:val="24"/>
                <w:u w:val="none"/>
                <w:lang w:val="en-US" w:eastAsia="zh-CN" w:bidi="ar"/>
              </w:rPr>
              <w:t>3</w:t>
            </w:r>
            <w:r>
              <w:rPr>
                <w:rStyle w:val="113"/>
                <w:lang w:val="en-US" w:eastAsia="zh-CN" w:bidi="ar"/>
              </w:rPr>
              <w:t>．刀片应采用工具钢片，具有足够刚性和硬度。</w:t>
            </w:r>
            <w:r>
              <w:rPr>
                <w:rFonts w:hint="default" w:ascii="Times New Roman" w:hAnsi="Times New Roman" w:eastAsia="宋体" w:cs="Times New Roman"/>
                <w:i w:val="0"/>
                <w:color w:val="000000"/>
                <w:kern w:val="0"/>
                <w:sz w:val="24"/>
                <w:szCs w:val="24"/>
                <w:u w:val="none"/>
                <w:lang w:val="en-US" w:eastAsia="zh-CN" w:bidi="ar"/>
              </w:rPr>
              <w:t>4</w:t>
            </w:r>
            <w:r>
              <w:rPr>
                <w:rStyle w:val="113"/>
                <w:lang w:val="en-US" w:eastAsia="zh-CN" w:bidi="ar"/>
              </w:rPr>
              <w:t>．刀口张角可调。</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仪器车</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不锈钢或者喷塑800mm×500mm×1100mm，车轮能制动，上面板有护栏﹑高度20～30mm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离心沉淀器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机座材料为铸铁，配有橡胶脚，平放、立放均平稳可靠。2、主动轮直径为φ240mm，从动轮直径为φ40mm。3、主动轮和从动轮的中心距可在332~348mm范围内调节。4、从动轮轴插孔上段为φ10±0.1mm的圆柱孔，长6mm，侧面配有M4顶丝。下段为锥孔，锥度为1：20，大端直径φ10±0.1mm，锥孔长不小于40mm。5、节流阀安装孔位于主动轮和从动轮两轴线连接上，距从动轮轴线140±1mm处。6、各部件均作防锈处理。7、手摇式，总体高度≥300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酒精喷灯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1、有壶体、预燃杯、壶咀、喷管、火苗调节杆等部分；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2、壶体容积不得小于300mL，使用时，在预燃杯中倒入约2/3杯的酒精时，预燃杯中酒精燃烧约40秒钟，喷管立即喷火，预燃杯酒精燃烧完毕，喷管喷火不应停止。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电加热器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蒸馏水器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不锈钢蒸馏水器，容积≥2L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列管式烘干器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电热式。额定电压：220V。发热功率：300W。干燥位：≥13个。热风温度：50℃－60℃。绝缘电阻：冷态≥1MΩ。干燥时间：3－5min。耐压强度：AC1.5kv、50Hz正弦波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塑料洗瓶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实验用品提蓝</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篮框尺寸：≥300mm×200mm×55mm木质（表面必须涂清漆处理）。符合JY0001－2003《教学仪器一般质量要求》中6.27的有关规定。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塑料水槽</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250mm×180mm×100mm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碘升华凝华管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方座支架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1、方座支架由立杆1根，方形底座1个，烧瓶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夹1个，大铁环1个，小铁环1个，垂直夹2个、平行夹1个，吊杆1根等组成。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2、底座台面尺寸220±3mm×150±2mm，重量≥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1，5kg，生铁材料铸造成型，板面上斜条纹深1.5mm,宽2.5mm成交叉形状均布，表面防锈处理。立杆直径Φ12mm，立杆一端有Μ10×15螺纹，总长度不得小于614mm，表面镀铬处理。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3、大铁环内径Φ90±3 mm，外径Φ110±3 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，小铁环内径Φ50±3 mm，外径Φ70±3 mm，大铁环环柄长125mm，小铁环环柄长105mm。大小铁环上有一开口（宽20mm）中心与环柄成120°夹角，金属材料表面防锈处理。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4、烧瓶夹铝合金压铸，总长200mm，夹口宽度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30mm，厚3mm夹口内壁贴有耐热柔软层。有锁紧装置，最大张口≥50mm闭合间隙≤0.1mm，闭合错位≤1mm。金属材料表面防锈处理。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5、立杆与底座间的不垂直度不大于3mm，铁环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柄，烧瓶夹杆与立杆不垂直度不大于3mm。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6、垂直夹、平行夹，夹体由铝合金材料铸造成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型，单个重量≥30g，表面防锈处理。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其他技术要求应符合JY/T0393-2007.</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万能夹</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产品由夹杆、夹头组成。夹头分三爪，铝合金压铸成夹叉形，夹口为张紧螺丝张口，双向紧固，每一夹叉上均粘接软木底垫。2． 夹持范围为φ5～70mm。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三脚架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由圆环，三根支撑脚铸铁组成</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泥三角</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由耐火材料、铁丝组成</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1、产品由顶板、底板、插杆组成，≥6孔6柱。2、试管架高度≥120mm.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高：37.5cm；底座：15X20cm；孔经：24mm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滴定台</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大理石滴定台、滴定台280*140*20mm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滴定夹</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13"/>
                <w:lang w:val="en-US" w:eastAsia="zh-CN" w:bidi="ar"/>
              </w:rPr>
              <w:t>总长</w:t>
            </w:r>
            <w:r>
              <w:rPr>
                <w:rFonts w:hint="default" w:ascii="Times New Roman" w:hAnsi="Times New Roman" w:eastAsia="宋体" w:cs="Times New Roman"/>
                <w:i w:val="0"/>
                <w:color w:val="000000"/>
                <w:kern w:val="0"/>
                <w:sz w:val="24"/>
                <w:szCs w:val="24"/>
                <w:u w:val="none"/>
                <w:lang w:val="en-US" w:eastAsia="zh-CN" w:bidi="ar"/>
              </w:rPr>
              <w:t>37cm</w:t>
            </w:r>
            <w:r>
              <w:rPr>
                <w:rStyle w:val="113"/>
                <w:lang w:val="en-US" w:eastAsia="zh-CN" w:bidi="ar"/>
              </w:rPr>
              <w:t>，杆长</w:t>
            </w:r>
            <w:r>
              <w:rPr>
                <w:rFonts w:hint="default" w:ascii="Times New Roman" w:hAnsi="Times New Roman" w:eastAsia="宋体" w:cs="Times New Roman"/>
                <w:i w:val="0"/>
                <w:color w:val="000000"/>
                <w:kern w:val="0"/>
                <w:sz w:val="24"/>
                <w:szCs w:val="24"/>
                <w:u w:val="none"/>
                <w:lang w:val="en-US" w:eastAsia="zh-CN" w:bidi="ar"/>
              </w:rPr>
              <w:t>25cm</w:t>
            </w:r>
            <w:r>
              <w:rPr>
                <w:rStyle w:val="113"/>
                <w:lang w:val="en-US" w:eastAsia="zh-CN" w:bidi="ar"/>
              </w:rPr>
              <w:t>，能夹的最大夹幅</w:t>
            </w:r>
            <w:r>
              <w:rPr>
                <w:rFonts w:hint="default" w:ascii="Times New Roman" w:hAnsi="Times New Roman" w:eastAsia="宋体" w:cs="Times New Roman"/>
                <w:i w:val="0"/>
                <w:color w:val="000000"/>
                <w:kern w:val="0"/>
                <w:sz w:val="24"/>
                <w:szCs w:val="24"/>
                <w:u w:val="none"/>
                <w:lang w:val="en-US" w:eastAsia="zh-CN" w:bidi="ar"/>
              </w:rPr>
              <w:t>6cm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多用滴管架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底部：长21cm 宽5.2cm中部：长21cm 宽5cm上部：长21cm 宽2.2cm滴管总体高8.3cm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托盘天平</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1、演示用500g,1g 2、双盘、单杠杆、等臂，非封闭式横梁由铝合金制成，刀子：钢或玛瑙制成标尺最大称量500g，分度值0.5g 3、秤量允许误差为±0.5d（分度值） 4、镊子的材质为金属制，厚度适合取最大法码5、标尺应光洁平直，连接部位应固紧，分度线应均匀，游码起点应对准零线，移动时松紧适宜，当杠杆受到轻微冲击时，游码不应移位</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玻璃，红液。长度≥150mm，测量范围：测量范围：0－100℃；最小分度值：1℃。符合JJG130-2004《工作用玻璃液体温度计》的技术要求。</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水银，(0～200)℃玻璃，水银。长度≥500mm，测量范围：0－200℃；最小分度值：1℃。符合JJG130-2004《工作用玻璃液体温度计》的技术要求。</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多用电表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MF47，准确度等级：DC电流、电压电阻2.5级，AC电压5级。灵敏度：DC:5KΩ/V，AC:2.5KΩ/V。测量范围： 直流电流0～1mA～10mA～100mA，直流电压   2.5v～10v～50v～250v～500v ，交流电压2.5v～10v～50v～250v～500v，电阻R×1、R×10、R×100、R×1K中心电阻15Ω、150Ω、1.5KΩ、15KΩ。外形尺寸：166×113×49mm；外磁式。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密度计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1.计量范围：密度0.7000—1.000。2.刻度：0.001。3.全长：250±10mm。4.误差：±0.001。5.产品符合GB/T17764-2008《密度计》的技术要求。</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水电解演示器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30ML,铂电极；外形尺寸：≥390*100mm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分子间隔实验器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13"/>
                <w:lang w:val="en-US" w:eastAsia="zh-CN" w:bidi="ar"/>
              </w:rPr>
              <w:t>透明，</w:t>
            </w:r>
            <w:r>
              <w:rPr>
                <w:rFonts w:hint="default" w:ascii="Times New Roman" w:hAnsi="Times New Roman" w:eastAsia="宋体" w:cs="Times New Roman"/>
                <w:i w:val="0"/>
                <w:color w:val="000000"/>
                <w:kern w:val="0"/>
                <w:sz w:val="24"/>
                <w:szCs w:val="24"/>
                <w:u w:val="none"/>
                <w:lang w:val="en-US" w:eastAsia="zh-CN" w:bidi="ar"/>
              </w:rPr>
              <w:t>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溶液导电演示器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113"/>
                <w:lang w:val="en-US" w:eastAsia="zh-CN" w:bidi="ar"/>
              </w:rPr>
              <w:t>．产品由示教电路板、电极电线、容器、隔板等组成。</w:t>
            </w:r>
            <w:r>
              <w:rPr>
                <w:rFonts w:hint="default" w:ascii="Times New Roman" w:hAnsi="Times New Roman" w:eastAsia="宋体" w:cs="Times New Roman"/>
                <w:i w:val="0"/>
                <w:color w:val="000000"/>
                <w:kern w:val="0"/>
                <w:sz w:val="24"/>
                <w:szCs w:val="24"/>
                <w:u w:val="none"/>
                <w:lang w:val="en-US" w:eastAsia="zh-CN" w:bidi="ar"/>
              </w:rPr>
              <w:t>2</w:t>
            </w:r>
            <w:r>
              <w:rPr>
                <w:rStyle w:val="113"/>
                <w:lang w:val="en-US" w:eastAsia="zh-CN" w:bidi="ar"/>
              </w:rPr>
              <w:t>．示教电路板用木板或硬塑料板制成，尺寸</w:t>
            </w:r>
            <w:r>
              <w:rPr>
                <w:rFonts w:hint="default" w:ascii="Times New Roman" w:hAnsi="Times New Roman" w:eastAsia="宋体" w:cs="Times New Roman"/>
                <w:i w:val="0"/>
                <w:color w:val="000000"/>
                <w:kern w:val="0"/>
                <w:sz w:val="24"/>
                <w:szCs w:val="24"/>
                <w:u w:val="none"/>
                <w:lang w:val="en-US" w:eastAsia="zh-CN" w:bidi="ar"/>
              </w:rPr>
              <w:t>≥300×200×5mm</w:t>
            </w:r>
            <w:r>
              <w:rPr>
                <w:rStyle w:val="113"/>
                <w:lang w:val="en-US" w:eastAsia="zh-CN" w:bidi="ar"/>
              </w:rPr>
              <w:t>，板上安装小灯泡、导线、接线柱等电路元件。</w:t>
            </w:r>
            <w:r>
              <w:rPr>
                <w:rFonts w:hint="default" w:ascii="Times New Roman" w:hAnsi="Times New Roman" w:eastAsia="宋体" w:cs="Times New Roman"/>
                <w:i w:val="0"/>
                <w:color w:val="000000"/>
                <w:kern w:val="0"/>
                <w:sz w:val="24"/>
                <w:szCs w:val="24"/>
                <w:u w:val="none"/>
                <w:lang w:val="en-US" w:eastAsia="zh-CN" w:bidi="ar"/>
              </w:rPr>
              <w:t>3.</w:t>
            </w:r>
            <w:r>
              <w:rPr>
                <w:rStyle w:val="113"/>
                <w:lang w:val="en-US" w:eastAsia="zh-CN" w:bidi="ar"/>
              </w:rPr>
              <w:t>产品的电源电压为直流</w:t>
            </w:r>
            <w:r>
              <w:rPr>
                <w:rFonts w:hint="default" w:ascii="Times New Roman" w:hAnsi="Times New Roman" w:eastAsia="宋体" w:cs="Times New Roman"/>
                <w:i w:val="0"/>
                <w:color w:val="000000"/>
                <w:kern w:val="0"/>
                <w:sz w:val="24"/>
                <w:szCs w:val="24"/>
                <w:u w:val="none"/>
                <w:lang w:val="en-US" w:eastAsia="zh-CN" w:bidi="ar"/>
              </w:rPr>
              <w:t>6V</w:t>
            </w:r>
            <w:r>
              <w:rPr>
                <w:rStyle w:val="113"/>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初中分子结构模型</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1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113"/>
                <w:lang w:val="en-US" w:eastAsia="zh-CN" w:bidi="ar"/>
              </w:rPr>
              <w:t>为球棍（管）式</w:t>
            </w:r>
            <w:r>
              <w:rPr>
                <w:rFonts w:hint="default" w:ascii="Times New Roman" w:hAnsi="Times New Roman" w:eastAsia="宋体" w:cs="Times New Roman"/>
                <w:i w:val="0"/>
                <w:color w:val="000000"/>
                <w:kern w:val="0"/>
                <w:sz w:val="24"/>
                <w:szCs w:val="24"/>
                <w:u w:val="none"/>
                <w:lang w:val="en-US" w:eastAsia="zh-CN" w:bidi="ar"/>
              </w:rPr>
              <w:t>.</w:t>
            </w:r>
            <w:r>
              <w:rPr>
                <w:rStyle w:val="113"/>
                <w:lang w:val="en-US" w:eastAsia="zh-CN" w:bidi="ar"/>
              </w:rPr>
              <w:t>并可组装金刚石、石墨、氯化纳的晶体结构。</w:t>
            </w:r>
            <w:r>
              <w:rPr>
                <w:rFonts w:hint="default" w:ascii="Times New Roman" w:hAnsi="Times New Roman" w:eastAsia="宋体" w:cs="Times New Roman"/>
                <w:i w:val="0"/>
                <w:color w:val="000000"/>
                <w:kern w:val="0"/>
                <w:sz w:val="24"/>
                <w:szCs w:val="24"/>
                <w:u w:val="none"/>
                <w:lang w:val="en-US" w:eastAsia="zh-CN" w:bidi="ar"/>
              </w:rPr>
              <w:t>2</w:t>
            </w:r>
            <w:r>
              <w:rPr>
                <w:rStyle w:val="1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113"/>
                <w:lang w:val="en-US" w:eastAsia="zh-CN" w:bidi="ar"/>
              </w:rPr>
              <w:t>产品应符合</w:t>
            </w:r>
            <w:r>
              <w:rPr>
                <w:rFonts w:hint="default" w:ascii="Times New Roman" w:hAnsi="Times New Roman" w:eastAsia="宋体" w:cs="Times New Roman"/>
                <w:i w:val="0"/>
                <w:color w:val="000000"/>
                <w:kern w:val="0"/>
                <w:sz w:val="24"/>
                <w:szCs w:val="24"/>
                <w:u w:val="none"/>
                <w:lang w:val="en-US" w:eastAsia="zh-CN" w:bidi="ar"/>
              </w:rPr>
              <w:t>JY52-80</w:t>
            </w:r>
            <w:r>
              <w:rPr>
                <w:rStyle w:val="113"/>
                <w:lang w:val="en-US" w:eastAsia="zh-CN" w:bidi="ar"/>
              </w:rPr>
              <w:t>《分子结构模型》的要求。</w:t>
            </w:r>
            <w:r>
              <w:rPr>
                <w:rFonts w:hint="default" w:ascii="Times New Roman" w:hAnsi="Times New Roman" w:eastAsia="宋体" w:cs="Times New Roman"/>
                <w:i w:val="0"/>
                <w:color w:val="000000"/>
                <w:kern w:val="0"/>
                <w:sz w:val="24"/>
                <w:szCs w:val="24"/>
                <w:u w:val="none"/>
                <w:lang w:val="en-US" w:eastAsia="zh-CN" w:bidi="ar"/>
              </w:rPr>
              <w:t>5</w:t>
            </w:r>
            <w:r>
              <w:rPr>
                <w:rStyle w:val="113"/>
                <w:lang w:val="en-US" w:eastAsia="zh-CN" w:bidi="ar"/>
              </w:rPr>
              <w:t>种不同颜色、不同尺寸的小球若干组成；包装尺寸约</w:t>
            </w:r>
            <w:r>
              <w:rPr>
                <w:rFonts w:hint="default" w:ascii="Times New Roman" w:hAnsi="Times New Roman" w:eastAsia="宋体" w:cs="Times New Roman"/>
                <w:i w:val="0"/>
                <w:color w:val="000000"/>
                <w:kern w:val="0"/>
                <w:sz w:val="24"/>
                <w:szCs w:val="24"/>
                <w:u w:val="none"/>
                <w:lang w:val="en-US" w:eastAsia="zh-CN" w:bidi="ar"/>
              </w:rPr>
              <w:t>220*150*70mm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金刚石结构模型</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演示用，碳原子34个，4孔黑色球；中短键44根，灰色</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石墨结构模型</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演示用，碳原子34个，4孔黑色球；中短键44根，灰色</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碳-60结构模型</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演示用，碳原子60个，3孔黑色球；紫键60根，白键30根。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氯化钠晶体结构模型</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演示用，钠6孔绿球13个，6孔灰球14个，键54根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碳的同素异形体结构模型</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包括金刚石、石墨、 碳60三种结构模型； 小型，球管式，可拆卸</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原油常见馏分标本</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不少于8种</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新型无机非金属材料标本</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氧化铝陶瓷、氮化硅 陶瓷、光导纤维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走进化学实验室</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对开13幅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身边的化学物质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物质构成的奥秘</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对开9幅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化学与社会发展</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元素周期表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量筒</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滴定管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碱式，25mL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φ12mm×70mm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φ18mm×180mm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φ20mm×200mm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φ32mm×200mm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硬质玻璃管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φ15mm×150mm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硬质玻璃管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φ20mm×250mm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圆、长，500mL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 附胶塞、乳胶 管、细绳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蒸馏烧瓶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酒精灯</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抽滤瓶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抽气管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球型抽气管</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气体发生器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冷凝器</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直固，300mm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牛角管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弯形，φ18mm×150mm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漏斗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安全漏斗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分液漏斗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锥形，100mL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分液漏斗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梨形，50mL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布氏漏斗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瓷，80mm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T形管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产品选用钠钙玻璃制成T形，用于导管分流。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Y形管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产品选用钠钙玻璃制成Y形，用于导管分流。2. ≥管外径5mm，全长100mm，支管长50mm。3．熔解部位平滑、均匀、无气泡。4. 内应力消除：在偏光仪下呈紫红色。5．符合GB/T15724.1玻璃仪器总体要求。</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产品为90mm的直形滴管，上部套有吸液用的橡皮头。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单球，150mm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干燥管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U型，φ15mm×150mm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活塞</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圆水槽</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φ200mm×100mm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圆水槽</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φ270mm×140mm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集气瓶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液封除毒气集气瓶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茶，60mL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茶，125mL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茶，250mL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细口瓶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滴瓶</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坩埚</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瓷，30mL</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坩埚钳</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烧杯夹</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13"/>
                <w:lang w:val="en-US" w:eastAsia="zh-CN" w:bidi="ar"/>
              </w:rPr>
              <w:t>金属制，长</w:t>
            </w:r>
            <w:r>
              <w:rPr>
                <w:rFonts w:hint="default" w:ascii="Times New Roman" w:hAnsi="Times New Roman" w:eastAsia="宋体" w:cs="Times New Roman"/>
                <w:i w:val="0"/>
                <w:color w:val="000000"/>
                <w:kern w:val="0"/>
                <w:sz w:val="24"/>
                <w:szCs w:val="24"/>
                <w:u w:val="none"/>
                <w:lang w:val="en-US" w:eastAsia="zh-CN" w:bidi="ar"/>
              </w:rPr>
              <w:t>25</w:t>
            </w:r>
            <w:r>
              <w:rPr>
                <w:rStyle w:val="113"/>
                <w:lang w:val="en-US" w:eastAsia="zh-CN" w:bidi="ar"/>
              </w:rPr>
              <w:t>厘米，开口最大</w:t>
            </w:r>
            <w:r>
              <w:rPr>
                <w:rFonts w:hint="default" w:ascii="Times New Roman" w:hAnsi="Times New Roman" w:eastAsia="宋体" w:cs="Times New Roman"/>
                <w:i w:val="0"/>
                <w:color w:val="000000"/>
                <w:kern w:val="0"/>
                <w:sz w:val="24"/>
                <w:szCs w:val="24"/>
                <w:u w:val="none"/>
                <w:lang w:val="en-US" w:eastAsia="zh-CN" w:bidi="ar"/>
              </w:rPr>
              <w:t>20</w:t>
            </w:r>
            <w:r>
              <w:rPr>
                <w:rStyle w:val="113"/>
                <w:lang w:val="en-US" w:eastAsia="zh-CN" w:bidi="ar"/>
              </w:rPr>
              <w:t>厘米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镊子</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不锈钢材料，夹持端为尖嘴形；总长度≥120mm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试管夹</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由竹质材料制成。夹长≥100mm，手柄长度≥80mm。2.试管夹试管夹弹簧应有足够弹性，并作防锈处理。3.符合JY0001-2003的有关规定。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止水皮管夹</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水止皮管夹用钢丝拧制而成，弹性良好。2. 成型规整，表面无锈蚀。</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螺旋皮管夹</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r>
              <w:rPr>
                <w:rStyle w:val="113"/>
                <w:lang w:val="en-US" w:eastAsia="zh-CN" w:bidi="ar"/>
              </w:rPr>
              <w:t>螺旋皮管夹用于调整夹持强的螺旋应转动顺畅，并能有效调节不同的夹持强度</w:t>
            </w:r>
            <w:r>
              <w:rPr>
                <w:rFonts w:hint="default" w:ascii="Times New Roman" w:hAnsi="Times New Roman" w:eastAsia="宋体" w:cs="Times New Roman"/>
                <w:i w:val="0"/>
                <w:color w:val="000000"/>
                <w:kern w:val="0"/>
                <w:sz w:val="24"/>
                <w:szCs w:val="24"/>
                <w:u w:val="none"/>
                <w:lang w:val="en-US" w:eastAsia="zh-CN" w:bidi="ar"/>
              </w:rPr>
              <w:t xml:space="preserve"> 2. </w:t>
            </w:r>
            <w:r>
              <w:rPr>
                <w:rStyle w:val="113"/>
                <w:lang w:val="en-US" w:eastAsia="zh-CN" w:bidi="ar"/>
              </w:rPr>
              <w:t>成型规整，表面无锈蚀。</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石棉网</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1、产品由金属网和附在网上的石棉组成。2、应符合JY0001-88《教学仪器产品一般质量要求》的有关规定。钢丝网外形尺寸：≥125*125mm；石棉直径≥100mm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燃烧匙</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燃烧勺用紫铜制成，手柄杆长度≥200mm。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药匙</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1、药匙采用硬质塑料制成。长度≥120mm。。2、产品应符合JY0001-88《教学仪器产品一般质量要求》的有关规定。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φ7～φ8mm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玻璃棒</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φ3～φ4mm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玻璃棒</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φ5～φ6mm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软胶塞</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113"/>
                <w:lang w:val="en-US" w:eastAsia="zh-CN" w:bidi="ar"/>
              </w:rPr>
              <w:t>、产品用天然橡胶制造，白色。</w:t>
            </w:r>
            <w:r>
              <w:rPr>
                <w:rFonts w:hint="default" w:ascii="Times New Roman" w:hAnsi="Times New Roman" w:eastAsia="宋体" w:cs="Times New Roman"/>
                <w:i w:val="0"/>
                <w:color w:val="000000"/>
                <w:kern w:val="0"/>
                <w:sz w:val="24"/>
                <w:szCs w:val="24"/>
                <w:u w:val="none"/>
                <w:lang w:val="en-US" w:eastAsia="zh-CN" w:bidi="ar"/>
              </w:rPr>
              <w:t>2</w:t>
            </w:r>
            <w:r>
              <w:rPr>
                <w:rStyle w:val="113"/>
                <w:lang w:val="en-US" w:eastAsia="zh-CN" w:bidi="ar"/>
              </w:rPr>
              <w:t>、应符</w:t>
            </w:r>
            <w:r>
              <w:rPr>
                <w:rFonts w:hint="default" w:ascii="Times New Roman" w:hAnsi="Times New Roman" w:eastAsia="宋体" w:cs="Times New Roman"/>
                <w:i w:val="0"/>
                <w:color w:val="000000"/>
                <w:kern w:val="0"/>
                <w:sz w:val="24"/>
                <w:szCs w:val="24"/>
                <w:u w:val="none"/>
                <w:lang w:val="en-US" w:eastAsia="zh-CN" w:bidi="ar"/>
              </w:rPr>
              <w:t>JY0001-88</w:t>
            </w:r>
            <w:r>
              <w:rPr>
                <w:rStyle w:val="113"/>
                <w:lang w:val="en-US" w:eastAsia="zh-CN" w:bidi="ar"/>
              </w:rPr>
              <w:t>《教学仪器产品一般质量要求》的有关规定。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橡胶管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产品符合国标GB1189-81《胶管外观质量》的规定。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乳胶管</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1、产品用优质乳牛胶制造。2、产品内径为5～6mm，壁厚1mm。3、产品应符合国标GB1189-81《胶管外观质量》的规定。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试管刷</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产品用铁丝或钢丝拧制而成，刷端嵌夹致密毛发。</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烧瓶刷</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1、产品由金属丝和绞合在其上的鬃毛制成。2、金属丝用直径2.5mm左右的镀锌丝2根绞合，总长度≥250mm。3、应符合JY0001-88《教学仪器产品一般质量要求》的有关规定。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结晶皿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表面皿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表面皿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研钵</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研钵</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蒸发皿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瓷，60mm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反应板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至少6穴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井穴板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 孔，0.7mL×9</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井穴板</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孔，5mL×6，附带 双导气管的井穴塞</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铁丝</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250g</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铜丝</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大理石</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500g</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pH广范围试纸</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蓝石蕊试纸</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化学实验耗材，酸碱性测试</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红石蕊试纸</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化学实验耗材，酸碱性测试</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定性滤纸</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13"/>
                <w:lang w:val="en-US" w:eastAsia="zh-CN" w:bidi="ar"/>
              </w:rPr>
              <w:t>白色，定性蕊纸，</w:t>
            </w:r>
            <w:r>
              <w:rPr>
                <w:rFonts w:hint="default" w:ascii="Times New Roman" w:hAnsi="Times New Roman" w:eastAsia="宋体" w:cs="Times New Roman"/>
                <w:i w:val="0"/>
                <w:color w:val="000000"/>
                <w:kern w:val="0"/>
                <w:sz w:val="24"/>
                <w:szCs w:val="24"/>
                <w:u w:val="none"/>
                <w:lang w:val="en-US" w:eastAsia="zh-CN" w:bidi="ar"/>
              </w:rPr>
              <w:t>7cm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初中化学实验材料</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黄铜片、火柴、蜡烛、剪刀、焊锡、炭棒、导线、电灯泡、木板、电池、电珠、砂纸等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一字螺丝刀</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1、旋杆采用钢质材料制作。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2、旋杆长度≥75mm，直径≥4mm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3、旋杆应经镀鉻防锈处理。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4、其它技术要求按 GB10635的规定执行</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十字螺丝刀</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1、旋杆采用钢质材料制作。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2、旋杆长度≥75mm，直径≥4mm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3、旋杆应经镀鉻防锈处理。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4、其它技术要求按 GB10635的规定执行</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钢丝钳</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1、规格尺寸符合GB6295.2表格1的有关要求。2、技术要求符合GB6295.2的第2章有关要求。3、其它技术要求符合GB6290夹扭钳和剪切钳通用技术条件的规定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手锤</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材质：榔头采用优质钢材制作，木柄采用材质坚韧的木材制作。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锉刀</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250mm，带柄</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剪刀</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1、产品表面处理分电镀剪，发蓝剪。剪刀刃口硬度不低于HRC52，两片刃口对应点硬度差不大于HRC4。2、剪刀性能应手感轻松、均匀、剪口锋利、不咬口、崩口、变形。3、剪刀前端要尖口，经钝化处理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护目镜</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侧面完全遮挡</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耐酸手套</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产品为橡胶制品，长袖口带五指套。袖长不短于30cm.。2． 耐酸碱</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简易急救箱</w:t>
            </w:r>
          </w:p>
        </w:tc>
        <w:tc>
          <w:tcPr>
            <w:tcW w:w="10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镊子，剪刀，创口贴8片，汞溴红溶液，甲紫溶液，林可霉素，灭菌结晶磺胺，棉花，纱布，碘酒，橡皮膏等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5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实验防护屏</w:t>
            </w:r>
          </w:p>
        </w:tc>
        <w:tc>
          <w:tcPr>
            <w:tcW w:w="1069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产品为三片折叠式结构，由透明度好的有机玻璃制造。2． 外形尺寸≥650mm×360mm，厚度≥5mm。</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4"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15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洗耳球</w:t>
            </w:r>
          </w:p>
        </w:tc>
        <w:tc>
          <w:tcPr>
            <w:tcW w:w="1069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中号</w:t>
            </w:r>
          </w:p>
        </w:tc>
        <w:tc>
          <w:tcPr>
            <w:tcW w:w="61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4005"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1582"/>
        <w:gridCol w:w="10567"/>
        <w:gridCol w:w="750"/>
        <w:gridCol w:w="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多功能教师演示台</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1、规格：2800×700×800 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2、台面：一体化台面，采用12.7mm厚易清洁、防水、防火、耐酸碱、耐腐蚀实芯理化板。台前经精密加工，呈光滑半圆形，并注重人性化设计（台面颜色由学校选择），大大提高适用性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桌身：台身支架：主支柱为ф50mm的圆形双环式载重型支柱，总壁厚≥1.5mm，横梁为32mm*34mm的方形铝管，槽宽16mm表面经酸洗、磷化、电镀粉末喷涂处理，耐腐蚀、防火、防潮、稳固耐用的功能。采用专用模具压铸制造的耐强酸碱ABS材料接头连接而成，装板采用16mm三聚氰胺双面贴面板，其截面PVC封边带利用机械高温热熔胶封边，粘力强，密封性好，外形美观，经久耐用。结构：演示台为一体化，整体造型豪华大方、美观实用。台一侧为内设电脑、投影仪、VCD等多媒体设备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4、脚垫：隐蔽式耐腐蚀注塑专用垫，豪华美观。</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学生操作台</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1、规格：1200×2400×760 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桌身：台身支架：主支柱为ф50mm的圆形双环式载重型支柱，总壁厚≥1.5mm，横梁为32mm*34mm的方形铝管，槽宽16mm表面经酸洗、磷化、电镀粉末喷涂处理，耐腐蚀、防火、防潮、稳固耐用的功能。采用专用模具压铸制造的耐强酸碱ABS材料接头连接而成，装板采用16mm三聚氰胺双面贴面板，其截面PVC封边带利用机械高温热熔胶封边，粘力强，密封性好，外形美观，经久耐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3、台面：选用优质12.7mm厚实芯理化板台面，该台面具有极强的耐酸碱、耐强腐蚀性，耐强冲击、耐磨性强，无毒，不变型，不易损坏，经久耐用等特点。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4、柜身：采用16mm厚优质三聚氰胺双饰面板，选用优质PVC封边条。每台4座，台身设置电脑主机及显示器的位置，并可以上锁，所有台共用一把锁匙。中间为书斗，下边为掩门式储存柜,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5、铰链：采用知名品牌优质铰链,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6、滑轨：二节全钢滚珠滑轨,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7、柜脚：采用优质实验室专用调节角胶底座组合结构柜脚，高度可调。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教师椅</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低背、带扶手，座高43cm-40cm可调；一体成形高弹高密聚氨脂泡棉，用模具发泡而成，造型、尺寸稳定。黑色PU饰面，五脚气动升降，带万向轮。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学生凳</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规格：360*260*420mm，材质：橡胶木实木，双档，环保清水漆5遍，表面光滑。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教师电源总控</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JY/0374-2004国标生产，主要技术指标：采用触摸式控制面板,输出、输入全数字显示,控制学生交流电源220V/AC四组,每组有独立的输出电源显示,最大电流8A,有超负载自动切断电源和复位功能,市输入电压有数字表显示。面板装有教师使用的多功能安全电源插座和总漏电保护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独立水槽实验台</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柜体规格:500×600×720mm，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木纹与光面项结合处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水槽规格500*600*295mm  水槽采用环保型PP材料一次性注塑成型，耐强酸碱&lt;80度有机溶剂并耐150度以下高温，壁厚4mm，具有防溢出功能。含水槽1套。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三联水嘴</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DN15mm/0.6Mpa；2、一高二低，实验室专用优质节能三联化验水龙头，防酸碱、防锈、防虹吸、防阻塞，表面环氧树脂喷涂。出水嘴为铜质瓷芯尖嘴型，高头，便于多用途使用，可拆卸清洗阻塞，具有缓压作用。管体部份为黄铜合金制，表面经烤漆喷涂处理，防锈耐腐蚀。出水嘴可拆卸，内有成型螺纹，可方便连接循环等特殊用水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嵌入式学生实验电源（终端）</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交流220V到桌，有短路及过载保护，带保护罩。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实验台布线及其他</w:t>
            </w:r>
          </w:p>
        </w:tc>
        <w:tc>
          <w:tcPr>
            <w:tcW w:w="10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国标电线， PVC防阻燃管，绝缘胶布2层，加以保护。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1582"/>
        <w:gridCol w:w="10642"/>
        <w:gridCol w:w="694"/>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生物仪器设备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生物显微镜</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放大倍数：100X(1)600X；目镜：广角WF10X/18mm，惠更斯：H16X观察镜筒：双目，45°倾斜，360°旋转转换器：三孔外倾消色差物镜：10X，40X（弹），100X（弹油）支架调焦结构：粗微动不同轴，粗调行程：20mm，微动行程：1.3mm载物台：固定单层方平台，移动尺，110mm×120mm，60mm×30mm聚光镜：阿贝聚光镜，N.A.=1.25，可变光阑，拨杆升降光源：LED，1W,可充电，亮度可调电压插头：220V/50Hz。</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生物显微镜</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大倍数：40X-640X；观察镜筒：单目，45°倾斜，360°旋转；目镜：广角WF10X/16mm，广角WF16X；物镜：消色差物镜4X、10X、40X（弹）；转换器：三孔内倾；载物台：可移动平台，切片夹大小Φ组90mm，四周移动范围6mm；调焦机构：粗微动不同轴，粗调10mm，微调1.8mm；聚光镜：毛玻璃，单透镜；光源：LED冷光源，1W，可充电，亮度可调。</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放大镜</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性能：放大倍数为10倍，有效的通光孔径≥10mm，镜面直径75mm。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恒温培养箱</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然对流式通风结构，和电子控温仪控制温度。2、控温范围20~60℃。3、内室尺寸≥200×200×280mm，额定功率：400W，工作电源：220V、50Hz。4、其它应符合中华人民共和国国家标准《电热恒温培养箱》GB4998-85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解剖器</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1、产品均为不锈钢制品。 2、七件为一套，含解剖剪、剪毛剪、直镊子、弯镊子、圆刃解剖刀、直刃解剖刀、解剖针各一件。3、其余应符合JY0001-2003中6.1～6.12的规定。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解剖器</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1、产品均为不锈钢制品。 2、四件为一套，含解剖剪、镊子、解剖刀、解剖针各一件。 3、其余应符合JY0001-2003中6.1～6.12的规定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解剖盘</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蜡盘，盘面尺寸≥250*180mm。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骨剪</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1、产品用不锈钢或碳钢制成后表面镀铬。2、尖部两叶头交叉吻合、平齐。3、镊子弹性适中。4、其他要求应符合JY0001-2003中6.1～6.12的规定。5、总长度为130mm。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蝗虫解剖模型</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为无毒硬质塑料制作，以飞蝗、棉蝗为主要参考资料；2、产品应示右侧外形的头、脑、腹结构及内部结构的消化系统、循环系统、呼吸系统、排泄系统、神经系统、生殖系统和体壁上的肌肉；3、产品符合JY198-85中2.3～2.20各条的要求JY0001-2003中9.1～9.4的要求；4、材料：环保硬质塑料；5、外形尺寸≥550*200*200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蛙胚胎发育模型</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1、蛙胚胎各期的外形及内部结构；2、产品符合JY26-79《教学仪器产品一般质量要求（试行）》第五章及其他有关规定；3、材料：环保硬质塑料；4、外形尺寸：高≥150mm，直径≥100 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蚯蚓解剖模型</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采用无毒硬质塑料或复合材料制作，为环毛蚯蚓前34节的解剖放大模型；2、模型置于底座上，消化道可拆卸，纵、横断面上的体壁结构应互相对应；3、模型示蚯蚓的外形和内部结构，显示部位及其要求应符合JY0314-91中4.4～4.10的要求；4、材料：环保硬质塑料；5、外形尺寸≥550*150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血吸虫模型</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1、雌雄合抱，可拆装；2、材料：环保硬质塑料；3、外形尺寸≥550*250mm。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人体骨骼模型</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颅骨与身体的比例应为1：7，颅的各骨的比例，大小应合适；2、软骨与骨在质感上，应有明显的区别；3、骨的形态特征，应正确清晰；4、骨、软骨，应有色别，在同一模型上，同一种颜色的零件，不得有目视的色差；5、为了防止变形或脆裂，模型应采用环保硬质塑料或混合树脂制作，不得采用软塑料；6、产品还应符合JY26-79《教学仪器产品一般质量要求（试行）》第五章及其他有关规定；7、外形尺寸：高≥850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鱼解剖浸制标本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肝、胰脏和肠稍移位，以显示胆囊与肠和鳔管与食管的相互关系。2、除静脉窦、心房、心室、动脉球、腹大动脉和入鳃动脉应注蓝色外，其余血管的注色要求应符合JY143-82的规定。3、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蛙解剖浸制标本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标本大形青蛙或蟾蜍制作（应注明）。2． 标本应完整显示动物的消化系、呼吸系、循环系、排泄系、生殖系等。3． 符合JY145—82《蛙解剖浸制标本技术条件》的规定。8． 符合JY143—82《动物浸制标本通用技术条件》的规定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蜥蜴解剖浸制标本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1、蜥蜴口呈张开状示舌。2、应符合JY143-82《动物浸制标本通用技术条件（试行）》的规定。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鸽解剖浸制标本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肠自腹腔中移出，去掉肠系膜，展开于衬板的右侧，以显示肠之各部形态，十二指肠应保持"U"开头。砂囊移向右侧，以显示泄殖器官。2、食管和气管应分别移向两则，以显示颈总动脉。3、输精管和输尿管一般应互相分开。4、左心房应呈红色或红褐色，左心室应隐现红色或原色，右心房应呈蓝色或暗褐色，右心室应隐现蓝色或原色。5、肝应呈蓝色或暗褐色，肺应隐现红、蓝色，或原色。6、嗉囊应保持椭圆形，如储有较多食物时应取出。7、可显示一侧的泄殖器官。8、标本具下列一项时为二级品：a.左心房呈暗褐色；b.消化管和嗉囊上无色剂显示；c.嗉囊有较明显破损或变形；d.输精管发育不明显；e.有明显配接痕迹，但不超过二处。9、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兔解剖浸制标本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肠之大部分自腹腔中移出，去掉部分肠系膜展于标本的右侧，以显示十二指肠袢及其中央的胰、盲肠与大小肠之关系和腹腔的有关器官。食道移于气管之一侧。2、盲肠内粪便应去净，注入透明的填充物，以保持其原形，并可隐见螺旋瓣，术口应隐蔽。3、皮毛应无脱毛现象，并保持整洁。4、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蛙发育顺序标本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①~②期中的每一个标本应具透明、清晰和膨胀的卵胶膜。2、①~③期的标本应各≥五个。3、③期的标本应能目见≥一对外鳃。4、④期的标本一个腹面向下，一个腹面向上，互相平行。5、⑥期与⑦期的尾长应有明显区别。6、⑦期与⑧期所显示的色泽和斑纹应基本相似。7、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蛔虫标本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应完整无缺、并保持自然色。2、整体浸制在密封包装的标本瓶内。3、必有雌、雄蛔虫各一条。4、产品应符合JY143-82《动物浸制标本通用技术条件》的规定。5、产品应符合JY0001-2003《教学仪器产品一般质量要求》的有关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花序类型保色浸制标 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≥七种</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花冠类型保色浸制标 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十字花科，豆科，</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海葵标本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整体浸制。  2. 标本以体筒的任一面向衬板或以基盘固着于瓶底，口向上，示口、口盘、触手、体筒和基盘。 3. 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海蛰标本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结构及外观的一般要求应分别符合JY 0001的相关要求。 2. 产品性能满足初中生物实验教学的要求。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寄居蟹标本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用生活在螺壳中的寄居蟹制作，螺壳的最大直径≥20mm。 2. 整体浸制。3. 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寄居蟹与其他生物共 生标本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标本由寄居蟹（包括其所寄居的壳）与海葵、海绵、滕壶或其它生物共栖的材料制作，螺壳的最大直径≥20mm。  2. 整体浸制。   3. 应符合JY143—82《动物浸制标本通用技术条件（试行）》的规定。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寄生绦虫囊尾蚴猪肉浸制标本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1、产品型号的组成及形成可按JY0026-91执行。型号：4192。2、标本用发育正常的猪肉绦虫囊尾蚴，形态完整。3、整体浸制在密封包装的标本瓶内。</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珍贵植物保色浸制标 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产品为压制植物标本。 2. 标本由银杏、水杉和银杉（或珙桐或鹅掌揪或金钱松或台湾杉）的枝叶组成，分别装订在台纸上，并加护盖物，合装。</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葫芦藓生活史标本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产品用葫芦藓制作，示藓类植物的不同世代。 2. 标本由（1）原丝体；（2）成长中的配子体；（3）具幼嫩孢蒴的配子体；（4）具成熟孢蒴的配子体（5）孢子体组成，按生活史顺序排列。3. 标本的浸制执行JY 143第3章的规定。 4. 整体性能执行JY 0001第4章的规定。  5. 产品的结构执行JY 0001第5.1，5.4，5.23，5.26等条的规定。 6. 产品外观执行JY 0001第6章和第8章的规定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蕨生活史标本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产品用铁线制作，示蕨类植物的不同世代。2. 标本由（1）带有孢子囊群的小羽片、（2）孢子、（3）原叶体（即配子体）、（4）原叶体幼孢子体、（5）孢子体组成，按生活史顺序排列。3. 标本的浸制执行JY 0001第4章的规定.4. 保管和运输的环境温度0～40℃，并避免光直射。   5. 整体性能执行JY 0001第4章的规定。  6. 产品的结构执行JY 0001第5.1、5.4、5.23、5.26等条的规定。7. 产品外观执行JY 0001第6、8章的规定。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蝗虫生活史标本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1、卵≥四粒并排列成行。2、各期虫姿应一致，雌性成虫应大于雄性成虫。3、应符合JY149-82《昆虫标本通用技术条件（试行）》的规定。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蜜蜂生活史标本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卵呈乳白色，香蕉状。2、幼虫呈"C"形，白色。3、蛹应呈白色。4、蜂后应是成虫中的最大者，腹部最长，并保持丰满，雄蜂腹部应粗壮，腹末圆；工蜂应是成虫中的最小者，可显示其口器的端部。各成虫的姿态应一致。5、巢础和蜂巢应≥30mm×50mm。6、应符合JY149-82《昆虫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家蚕生活史标本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蚕生活史标本由卵、幼虫（四龄）、蛹、雌雄成虫及茧组成，附蚕丝、丝织品和桑叶。按生活史顺序排列。2、家蚕（Bombyxmori）生长发育标本由卵、蚁蚕、一龄、二龄、三龄、四龄、五龄幼虫、蛹、雌雄成虫及茧组成，附蚕丝、丝织品和桑叶。按生长发育顺序排列。3、产品的整体性能执行JY001第4章的规定。4、产品的结构执行JY0001第5.1、5.4、5.23、5.26等条的规定。5、产品的外观执行JY0001第6、8章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菜粉蝶生活史标本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用粉蝶制作，示完全变态。2、标本由卵、幼虫、蛹、雌、雄成虫和被害物组成。按生活史顺序排列。3、标本的封装执行JY149中2.1、2.5条的规定4、产品的整体性能执行JY0001第4.1~4.5、4.8、4.10和4.11等条中的规定。5、产品的结构执行JY0001第5.1、5.4、5.23、5.26和8.6、8.7、8.12等条的规定。6、产品外观执行JY0001第6章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指和趾骨上的角质爪应去掉。2、舌器骨应串连于原来位置上，锁骨串连于原位或粘在前肢骨之间的底板上。3、应保留颌骨上的全部牙齿、鼻腔内的鼻中隔和鼻甲骨、第二颈椎至荐椎的椎间盘、股骨上的种子骨、第六胸骨上的剑突软骨。4、各肋骨远端应具肋软骨，前七对肋软骨应直接与胸骨相连，第八、九两对肋骨的远端应相继连在前面的肋软骨上，最后三或四对肋骨远端游离。5.、应符合JY153-82《脊椎动物骨骼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左侧的鳃盖骨和下鳃盖骨保持自然连接，内侧面向下，上缘向上，另附尾椎以右侧面向下，髓棘向上，各附在与自然位相对应的台板上。2、下眶骨及位其内侧的颌弓、方骨和翼骨等各部轮廓应清楚。鲫鱼的下眶骨应为六块，鲤鱼为五块。3、应符合JY153-82《脊椎动物骨骼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本各部均按原位组装。在头骨后两侧应保留耳柱骨一对。2、舌器骨固装在与原位相对应的台板上，软骨部分（包括舌骨体、前角和前、后突）保持形态自然、平整。3、以青蛙制作的标本其胸带上应具上胸骨和肩胸骨；其前颌前：上颌骨和锄骨上应具细齿；蟾蜍制作的标本其弧形的上喙骨应相互重叠。4、应符合JY153-82《脊椎动物骨骼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鸽骨骼标本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舌器骨串装在原位上。2、附巩膜骨，其中一块装在眼眶上，另一块固装在其同侧相应位置底座上。3、鸽骨上的角质喙，趾骨上的角质爪和前后肢长骨中的骨髓应去掉。4、应符合JY153-82《脊椎动物骨骼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验证基因分离规律玉米标本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玉米穗</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珊瑚标本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红珊瑚或其它珊瑚的具骨轴、其肉和虫体的标本，鹿角珊瑚或其它珊瑚的骨骼；产品应符合JY284-87《珊瑚标本技术条件》的规定。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化石标本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型号：J4191型。1. 标本应选用三叶虫、鱼和植物的化石组成2. 应符合JY0001-2003中10.13～10.14的各项要求。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节肢动物标本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选用节肢动物门昆虫纲东亚飞蝗（体长≥40mm），甲壳纲梭子蟹（壳体左右长度≥80mm），蛛形纲中圆蛛（肢体直径不小10mm）制作。2、应符合JY143-82《昆虫标本通用技术条件（试行）》规定。3、产品的性能应符合JY0001-2003第4章的相关规定。4、产品的结构应符合JY0001-2003第6章中的相关规定。5、产品的外观应符合JY0001-2003第7章中的相关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昆虫标本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6种益虫和6种害虫</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≥190*100*32mm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≥190*100*32mm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≥140*96*32mm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鸽骨骼标本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≥180*140*60mm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鱼解剖标本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≥190*100*32mm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蛙解剖标本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≥190*100*32mm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蜥蜴解剖标本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≥190*100*32mm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鸽解剖标本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≥250*105*58mm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兔解剖标本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≥250*105*58mm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蛔虫标本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海葵标本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≥75*75*24mm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海蜇标本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≥75*75*24mm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珊瑚标本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≥88*58*24mm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节肢动物代表标本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≥166*80*22mm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蝗虫生活史标本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≥166*80*22mm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蜜蜂生活史标本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家蚕生活史标本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菜粉蝶生活史</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青蛙标本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≥75*75*24mm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蝙蝠标本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≥75*75*24mm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蜥蜴标本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蝗虫结构标本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≥75*75*24mm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章鱼结构标本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≥75*75*24mm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龙虾结构标本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≥110*45*28mm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蜈蚣对马陆标本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娥与蝶比较标本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壁虎标本</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≥140*64*18mm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青霉装片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1、标本取材为人工培养的典型青霉。2、视菌株培养情况可做装片或切片，切处方向应平行于分生孢子梗，厚度根据菌株培养情况决定。3、应符合JY67-82《生物玻片标本通用技术条件（试行）》的规定。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细菌三型涂片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本一般应取材于人工培养的球菌、杆菌、螺旋菌。球菌可用单球菌、双球菌或葡萄球菌，杆菌可用枯草杆菌、大肠杆菌或炭疽杆菌，螺旋菌可用具有一个弯以上的任一种螺旋菌。2、应符合JY67-82《生物玻片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酵母菌装片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符合酵母菌装片技术条件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曲霉装片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本取材于人工培养的曲霉属任一种。2、视菌株培养的情况，可做装片或切片，切片方向应平行于分生孢子梗，切片厚度根据茵株培养情况决定。3、应符合JY67-82《生物玻片标本通用技术条件（试行）》的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黑根霉装片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符合黑根霉装片技术条件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血吸虫雌雄合抱装片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符合血吸虫雌雄合抱装片技术条件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血吸虫雄虫装片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符合血吸虫雄虫装片技术条件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血吸虫雌虫装片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符合血吸虫雌虫装片技术条件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家蚊(雌)口器装片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符合家蚊(雌)口器装片技术条件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水螅带芽整体装片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符合水螅带芽整体装片技术条件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水螅过精巢横切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符合水螅过精巢横切技术条件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水螅过卵巢横切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符合水螅过卵巢横切技术条件</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正常人染色体装片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1、在200X和400X生物显微镜下观察正常人染色体形态结构。2、能看46条正常人染色体的形态。3、应符合JY67-82中的试行规定。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动物的运动和行为</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1、符合新课标教学的要求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2、11幅、对开（人教版）四色胶印。3、产品应符合教育部标准JY0001-2《教学仪器设备一般质量要求》的有关要求。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生物的生殖、发育和遗 传</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1、符合新课标教学的要求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2、28幅、对开（人教版）四色胶印。3、产品应符合教育部标准JY0001-2《教学仪器设备一般质量要求》的有关要求。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生物多样性</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1、符合新课标教学的要求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2、52幅、对开（人教版）四色胶印。3、产品应符合教育部标准JY0001-2《教学仪器设备一般质量要求》的有关要求。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生物技术</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1、符合新课标教学的要求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2、6幅、对开（人教版）四色胶印。3、产品应符合教育部标准JY0001-2《教学仪器设备一般质量要求》的有关要求。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中学生物显微图谱</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1、符合新课标教学的要求，铜版纸。2、本图谱幅数应与国家教育部2006年发布的《初中理科教学仪器配备参考》规定的玻片标本相应的品种。</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初中生物实验教学指 导书</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新课程教材</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烧杯</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酒精灯</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150mL</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石棉网</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125mm×125mm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玻璃棒</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φ3～φ4mm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培养皿</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培养皿</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100mm</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琼脂</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化学纯，500g</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医用酒精</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生物实验材料</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双面刀片、消毒棉 签、牙签、纱布、 脱脂棉、镜头纸、 吸水纸、凡士林、 透明胶带、干酵母粉、彩色玻璃纸、 坐标纸、碘酒、洋红等</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载玻片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规格：50片/盒1. 产品为钠钙玻璃制品。</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盖玻片</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规格：100片/盒。1. 产品为钠钙玻璃制品。2. 产品尺寸应为18×18mm或20×20mm，厚度应为0.13～0.17mm。3．符合GB6273要求。三、标志、说明书、包装、运输、贮存应符合JY0001-2003的有关规定</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工作服</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产品所用材料应能满足日常穿用和中学实验室日常使用要求，具有一定耐穿性和牢固性</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乳胶手套</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1、产品为橡胶制品，长袖口带五指套。2、应耐强酸、强碱及氧化剂、还原剂等化学药品试剂的腐蚀，并结实耐用。3、符合GB21746－2008《教学仪器设备安全要求总则》教学仪器设备安全的国家强制性标准的要求。</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急救包</w:t>
            </w:r>
          </w:p>
        </w:tc>
        <w:tc>
          <w:tcPr>
            <w:tcW w:w="10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急救箱内应配备的药品及器材：绿药膏1瓶；烧伤药膏1瓶；苏打粉100g；硼酸100g；创可贴10条；灭菌结晶磺胺50g；紫药水50ml；红药水50ml；碘酒50ml；3％双氧水100ml；胶布1卷；绷带1卷；药棉1包；手术剪1把；镊子1把；一次性注射器1支.</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bookmarkEnd w:id="36"/>
    <w:bookmarkEnd w:id="37"/>
    <w:bookmarkEnd w:id="38"/>
    <w:bookmarkEnd w:id="39"/>
    <w:bookmarkEnd w:id="40"/>
    <w:bookmarkEnd w:id="41"/>
    <w:bookmarkEnd w:id="42"/>
    <w:bookmarkEnd w:id="43"/>
    <w:bookmarkEnd w:id="44"/>
    <w:bookmarkEnd w:id="45"/>
    <w:bookmarkEnd w:id="46"/>
    <w:bookmarkEnd w:id="47"/>
    <w:bookmarkEnd w:id="48"/>
    <w:p>
      <w:pPr>
        <w:spacing w:line="240" w:lineRule="auto"/>
        <w:rPr>
          <w:rFonts w:hint="eastAsia" w:ascii="宋体" w:hAnsi="宋体" w:eastAsia="宋体" w:cs="宋体"/>
          <w:color w:val="auto"/>
          <w:sz w:val="24"/>
          <w:szCs w:val="24"/>
          <w:highlight w:val="none"/>
        </w:rPr>
      </w:pPr>
      <w:bookmarkStart w:id="219" w:name="_Toc25217"/>
      <w:bookmarkStart w:id="220" w:name="_Toc29040"/>
      <w:bookmarkStart w:id="221" w:name="_Toc381970843"/>
      <w:bookmarkStart w:id="222" w:name="_Toc17546"/>
    </w:p>
    <w:p>
      <w:pPr>
        <w:spacing w:line="240" w:lineRule="auto"/>
        <w:rPr>
          <w:rFonts w:hint="eastAsia" w:ascii="宋体" w:hAnsi="宋体" w:eastAsia="宋体" w:cs="宋体"/>
          <w:color w:val="auto"/>
          <w:sz w:val="24"/>
          <w:szCs w:val="24"/>
          <w:highlight w:val="none"/>
        </w:rPr>
        <w:sectPr>
          <w:headerReference r:id="rId7" w:type="default"/>
          <w:footerReference r:id="rId8" w:type="default"/>
          <w:pgSz w:w="16838" w:h="11906" w:orient="landscape"/>
          <w:pgMar w:top="1803" w:right="1440" w:bottom="1287" w:left="1440"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spacing w:line="480" w:lineRule="auto"/>
        <w:jc w:val="both"/>
        <w:rPr>
          <w:rFonts w:hint="eastAsia" w:ascii="宋体" w:hAnsi="宋体" w:eastAsia="宋体" w:cs="宋体"/>
          <w:b/>
          <w:color w:val="auto"/>
          <w:sz w:val="24"/>
          <w:szCs w:val="24"/>
          <w:highlight w:val="none"/>
        </w:rPr>
      </w:pPr>
    </w:p>
    <w:p>
      <w:pPr>
        <w:spacing w:line="480" w:lineRule="auto"/>
        <w:jc w:val="center"/>
        <w:rPr>
          <w:rFonts w:hint="eastAsia" w:ascii="宋体" w:hAnsi="宋体" w:eastAsia="宋体" w:cs="宋体"/>
          <w:b/>
          <w:bCs/>
          <w:color w:val="auto"/>
          <w:sz w:val="48"/>
          <w:szCs w:val="56"/>
          <w:highlight w:val="none"/>
        </w:rPr>
      </w:pPr>
      <w:r>
        <w:rPr>
          <w:rFonts w:hint="eastAsia" w:ascii="宋体" w:hAnsi="宋体" w:eastAsia="宋体" w:cs="宋体"/>
          <w:b/>
          <w:bCs/>
          <w:color w:val="auto"/>
          <w:sz w:val="48"/>
          <w:szCs w:val="56"/>
          <w:highlight w:val="none"/>
        </w:rPr>
        <w:t>第</w:t>
      </w:r>
      <w:r>
        <w:rPr>
          <w:rFonts w:hint="eastAsia" w:ascii="宋体" w:hAnsi="宋体" w:eastAsia="宋体" w:cs="宋体"/>
          <w:b/>
          <w:bCs/>
          <w:color w:val="auto"/>
          <w:sz w:val="48"/>
          <w:szCs w:val="56"/>
          <w:highlight w:val="none"/>
          <w:lang w:val="en-US" w:eastAsia="zh-CN"/>
        </w:rPr>
        <w:t>五</w:t>
      </w:r>
      <w:r>
        <w:rPr>
          <w:rFonts w:hint="eastAsia" w:ascii="宋体" w:hAnsi="宋体" w:eastAsia="宋体" w:cs="宋体"/>
          <w:b/>
          <w:bCs/>
          <w:color w:val="auto"/>
          <w:sz w:val="48"/>
          <w:szCs w:val="56"/>
          <w:highlight w:val="none"/>
        </w:rPr>
        <w:t>章政府采购合同参考范本</w:t>
      </w: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项目编码</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 xml:space="preserve"> </w:t>
      </w:r>
    </w:p>
    <w:p>
      <w:pPr>
        <w:pStyle w:val="31"/>
        <w:ind w:left="0" w:leftChars="0" w:firstLine="2530" w:firstLineChars="1050"/>
        <w:jc w:val="left"/>
        <w:rPr>
          <w:rFonts w:hint="default"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 xml:space="preserve">合同编码： </w:t>
      </w:r>
    </w:p>
    <w:p>
      <w:pPr>
        <w:pStyle w:val="2"/>
        <w:rPr>
          <w:rFonts w:hint="default"/>
          <w:color w:val="auto"/>
          <w:lang w:val="en-US" w:eastAsia="zh-CN"/>
        </w:rPr>
      </w:pPr>
    </w:p>
    <w:p>
      <w:pPr>
        <w:tabs>
          <w:tab w:val="center" w:pos="4214"/>
          <w:tab w:val="right" w:pos="8306"/>
        </w:tabs>
        <w:spacing w:line="600" w:lineRule="auto"/>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2024年</w:t>
      </w:r>
      <w:r>
        <w:rPr>
          <w:rFonts w:hint="eastAsia" w:ascii="黑体" w:hAnsi="黑体" w:eastAsia="黑体" w:cs="黑体"/>
          <w:b/>
          <w:bCs/>
          <w:color w:val="auto"/>
          <w:sz w:val="32"/>
          <w:szCs w:val="32"/>
          <w:lang w:eastAsia="zh-CN"/>
        </w:rPr>
        <w:t>】</w:t>
      </w:r>
    </w:p>
    <w:p>
      <w:pPr>
        <w:pStyle w:val="43"/>
        <w:rPr>
          <w:rFonts w:hint="default" w:ascii="黑体" w:hAnsi="黑体" w:eastAsia="黑体" w:cs="黑体"/>
          <w:b/>
          <w:bCs/>
          <w:color w:val="auto"/>
          <w:sz w:val="24"/>
          <w:szCs w:val="24"/>
          <w:lang w:val="en-US" w:eastAsia="zh-CN"/>
        </w:rPr>
      </w:pPr>
    </w:p>
    <w:p>
      <w:pPr>
        <w:tabs>
          <w:tab w:val="center" w:pos="4214"/>
          <w:tab w:val="right" w:pos="8306"/>
        </w:tabs>
        <w:jc w:val="center"/>
        <w:rPr>
          <w:b/>
          <w:bCs/>
          <w:color w:val="auto"/>
          <w:sz w:val="24"/>
          <w:szCs w:val="24"/>
        </w:rPr>
      </w:pPr>
    </w:p>
    <w:p>
      <w:pPr>
        <w:rPr>
          <w:rFonts w:ascii="Trebuchet MS"/>
          <w:b/>
          <w:color w:val="auto"/>
          <w:szCs w:val="21"/>
        </w:rPr>
      </w:pPr>
    </w:p>
    <w:p>
      <w:pPr>
        <w:pStyle w:val="2"/>
        <w:rPr>
          <w:rFonts w:ascii="Trebuchet MS"/>
          <w:b/>
          <w:color w:val="auto"/>
          <w:szCs w:val="21"/>
        </w:rPr>
      </w:pPr>
    </w:p>
    <w:p>
      <w:pPr>
        <w:rPr>
          <w:rFonts w:ascii="Trebuchet MS"/>
          <w:b/>
          <w:color w:val="auto"/>
          <w:szCs w:val="21"/>
        </w:rPr>
      </w:pPr>
    </w:p>
    <w:p>
      <w:pPr>
        <w:pStyle w:val="2"/>
        <w:rPr>
          <w:color w:val="auto"/>
        </w:rPr>
      </w:pPr>
    </w:p>
    <w:p>
      <w:pPr>
        <w:tabs>
          <w:tab w:val="left" w:pos="850"/>
        </w:tabs>
        <w:autoSpaceDE w:val="0"/>
        <w:autoSpaceDN w:val="0"/>
        <w:ind w:left="1928" w:hanging="1687" w:hangingChars="600"/>
        <w:textAlignment w:val="bottom"/>
        <w:rPr>
          <w:rFonts w:hint="eastAsia" w:ascii="Trebuchet MS" w:eastAsia="宋体"/>
          <w:b/>
          <w:color w:val="auto"/>
          <w:sz w:val="28"/>
          <w:szCs w:val="28"/>
          <w:u w:val="single"/>
          <w:lang w:eastAsia="zh-CN"/>
        </w:rPr>
      </w:pPr>
      <w:r>
        <w:rPr>
          <w:rFonts w:hint="eastAsia" w:ascii="Trebuchet MS"/>
          <w:b/>
          <w:color w:val="auto"/>
          <w:sz w:val="28"/>
          <w:szCs w:val="28"/>
        </w:rPr>
        <w:t>甲方(需方)：</w:t>
      </w:r>
      <w:r>
        <w:rPr>
          <w:rFonts w:hint="eastAsia" w:ascii="Trebuchet MS"/>
          <w:b/>
          <w:color w:val="auto"/>
          <w:sz w:val="28"/>
          <w:szCs w:val="28"/>
          <w:u w:val="single"/>
          <w:lang w:eastAsia="zh-CN"/>
        </w:rPr>
        <w:t>墨玉县教育局</w:t>
      </w:r>
    </w:p>
    <w:p>
      <w:pPr>
        <w:tabs>
          <w:tab w:val="left" w:pos="850"/>
        </w:tabs>
        <w:autoSpaceDE w:val="0"/>
        <w:autoSpaceDN w:val="0"/>
        <w:textAlignment w:val="bottom"/>
        <w:rPr>
          <w:rFonts w:hint="eastAsia" w:ascii="Trebuchet MS"/>
          <w:b/>
          <w:color w:val="auto"/>
          <w:sz w:val="28"/>
          <w:szCs w:val="28"/>
          <w:u w:val="single"/>
        </w:rPr>
      </w:pPr>
    </w:p>
    <w:p>
      <w:pPr>
        <w:pStyle w:val="34"/>
        <w:rPr>
          <w:color w:val="auto"/>
        </w:rPr>
      </w:pPr>
    </w:p>
    <w:p>
      <w:pPr>
        <w:pStyle w:val="34"/>
        <w:rPr>
          <w:color w:val="auto"/>
        </w:rPr>
      </w:pPr>
    </w:p>
    <w:p>
      <w:pPr>
        <w:pStyle w:val="34"/>
        <w:rPr>
          <w:color w:val="auto"/>
        </w:rPr>
      </w:pPr>
    </w:p>
    <w:p>
      <w:pPr>
        <w:tabs>
          <w:tab w:val="left" w:pos="850"/>
        </w:tabs>
        <w:autoSpaceDE w:val="0"/>
        <w:autoSpaceDN w:val="0"/>
        <w:textAlignment w:val="bottom"/>
        <w:rPr>
          <w:rFonts w:hint="default" w:eastAsiaTheme="minorEastAsia"/>
          <w:b/>
          <w:bCs/>
          <w:color w:val="auto"/>
          <w:sz w:val="44"/>
          <w:szCs w:val="44"/>
          <w:lang w:val="en-US" w:eastAsia="zh-CN"/>
        </w:rPr>
      </w:pPr>
      <w:r>
        <w:rPr>
          <w:rFonts w:hint="eastAsia" w:ascii="Trebuchet MS"/>
          <w:b/>
          <w:color w:val="auto"/>
          <w:sz w:val="28"/>
          <w:szCs w:val="28"/>
        </w:rPr>
        <w:t>乙方(供方)：</w:t>
      </w:r>
      <w:r>
        <w:rPr>
          <w:rFonts w:hint="eastAsia" w:ascii="Trebuchet MS"/>
          <w:b/>
          <w:color w:val="auto"/>
          <w:sz w:val="28"/>
          <w:szCs w:val="28"/>
          <w:highlight w:val="none"/>
          <w:lang w:val="en-US" w:eastAsia="zh-CN"/>
        </w:rPr>
        <w:t>中标单位名称</w:t>
      </w:r>
    </w:p>
    <w:p>
      <w:pPr>
        <w:pStyle w:val="2"/>
        <w:rPr>
          <w:rFonts w:hint="eastAsia"/>
          <w:color w:val="auto"/>
        </w:rPr>
        <w:sectPr>
          <w:pgSz w:w="11906" w:h="16838"/>
          <w:pgMar w:top="1440" w:right="1287" w:bottom="1440" w:left="1803"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仿宋" w:hAnsi="仿宋" w:eastAsia="仿宋" w:cs="仿宋"/>
          <w:b/>
          <w:color w:val="auto"/>
          <w:szCs w:val="21"/>
        </w:rPr>
      </w:pPr>
      <w:r>
        <w:rPr>
          <w:rFonts w:hint="eastAsia" w:ascii="黑体" w:hAnsi="黑体" w:eastAsia="黑体" w:cs="黑体"/>
          <w:b/>
          <w:bCs/>
          <w:color w:val="FF0000"/>
          <w:sz w:val="44"/>
          <w:szCs w:val="44"/>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甲方(需方)：</w:t>
      </w:r>
      <w:r>
        <w:rPr>
          <w:rFonts w:hint="eastAsia" w:ascii="仿宋" w:hAnsi="仿宋" w:eastAsia="仿宋" w:cs="仿宋"/>
          <w:b/>
          <w:color w:val="auto"/>
          <w:sz w:val="22"/>
          <w:szCs w:val="22"/>
          <w:lang w:eastAsia="zh-CN"/>
        </w:rPr>
        <w:t>墨玉县教育局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rPr>
        <w:t>乙方(供方)：</w:t>
      </w:r>
      <w:r>
        <w:rPr>
          <w:rFonts w:hint="eastAsia" w:ascii="仿宋" w:hAnsi="仿宋" w:eastAsia="仿宋" w:cs="仿宋"/>
          <w:b/>
          <w:color w:val="FF0000"/>
          <w:sz w:val="22"/>
          <w:szCs w:val="22"/>
          <w:lang w:val="en-US" w:eastAsia="zh-CN"/>
        </w:rPr>
        <w:t>中标单位名称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w w:val="100"/>
          <w:sz w:val="22"/>
          <w:szCs w:val="22"/>
          <w:lang w:val="en-US" w:eastAsia="zh-CN"/>
        </w:rPr>
      </w:pPr>
      <w:r>
        <w:rPr>
          <w:rFonts w:hint="eastAsia" w:ascii="仿宋" w:hAnsi="仿宋" w:eastAsia="仿宋" w:cs="仿宋"/>
          <w:b/>
          <w:color w:val="auto"/>
          <w:sz w:val="22"/>
          <w:szCs w:val="22"/>
          <w:lang w:val="en-US" w:eastAsia="zh-CN"/>
        </w:rPr>
        <w:t>项目编码：</w:t>
      </w:r>
      <w:r>
        <w:rPr>
          <w:rFonts w:hint="eastAsia" w:ascii="仿宋" w:hAnsi="仿宋" w:eastAsia="仿宋" w:cs="仿宋"/>
          <w:b/>
          <w:color w:val="auto"/>
          <w:w w:val="100"/>
          <w:sz w:val="22"/>
          <w:szCs w:val="22"/>
          <w:lang w:val="en-US" w:eastAsia="zh-CN"/>
        </w:rPr>
        <w:t xml:space="preserve"> </w:t>
      </w:r>
    </w:p>
    <w:p>
      <w:pPr>
        <w:pStyle w:val="31"/>
        <w:spacing w:line="360" w:lineRule="auto"/>
        <w:rPr>
          <w:rFonts w:hint="default"/>
          <w:color w:val="auto"/>
          <w:lang w:val="en-US" w:eastAsia="zh-CN"/>
        </w:rPr>
      </w:pPr>
      <w:r>
        <w:rPr>
          <w:rFonts w:hint="eastAsia" w:ascii="仿宋" w:hAnsi="仿宋" w:eastAsia="仿宋" w:cs="仿宋"/>
          <w:b/>
          <w:color w:val="auto"/>
          <w:w w:val="100"/>
          <w:sz w:val="22"/>
          <w:szCs w:val="22"/>
          <w:lang w:val="en-US" w:eastAsia="zh-CN"/>
        </w:rPr>
        <w:t xml:space="preserve">合同编码：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采购方式：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资金来源： </w:t>
      </w:r>
    </w:p>
    <w:p>
      <w:pPr>
        <w:pStyle w:val="31"/>
        <w:spacing w:line="360" w:lineRule="auto"/>
        <w:rPr>
          <w:rFonts w:hint="eastAsia" w:eastAsia="仿宋"/>
          <w:color w:val="auto"/>
          <w:lang w:val="en-US" w:eastAsia="zh-CN"/>
        </w:rPr>
      </w:pPr>
      <w:r>
        <w:rPr>
          <w:rFonts w:hint="eastAsia" w:eastAsia="仿宋"/>
          <w:color w:val="auto"/>
          <w:spacing w:val="-6"/>
          <w:lang w:val="en-US" w:eastAsia="zh-CN"/>
        </w:rPr>
        <w:t>甲方印花税：完税凭证号                     ；缴纳税额：        ；缴纳时间：    年   月  日；</w:t>
      </w:r>
    </w:p>
    <w:p>
      <w:pPr>
        <w:pStyle w:val="31"/>
        <w:spacing w:line="360" w:lineRule="auto"/>
        <w:rPr>
          <w:rFonts w:hint="eastAsia" w:eastAsia="仿宋"/>
          <w:color w:val="auto"/>
          <w:lang w:val="en-US" w:eastAsia="zh-CN"/>
        </w:rPr>
      </w:pPr>
      <w:r>
        <w:rPr>
          <w:rFonts w:hint="eastAsia" w:eastAsia="仿宋"/>
          <w:color w:val="auto"/>
          <w:lang w:val="en-US" w:eastAsia="zh-CN"/>
        </w:rPr>
        <w:t>乙方</w:t>
      </w:r>
      <w:r>
        <w:rPr>
          <w:rFonts w:hint="eastAsia" w:eastAsia="仿宋"/>
          <w:color w:val="auto"/>
          <w:spacing w:val="-6"/>
          <w:lang w:val="en-US" w:eastAsia="zh-CN"/>
        </w:rPr>
        <w:t>印花税：完税凭证号                     ；缴纳税额：        ；缴纳时间：    年   月  日；</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采购方作为本合同的需方，中标人是本合同的供方，按合同相关条款履行其义务。双方宗旨是严格履行合同。根据《中华人民共和国民法典》及相关法律法规、招标文件、投标文件及相关文件的有关条款为基础，双方达成如下协议：</w:t>
      </w:r>
    </w:p>
    <w:p>
      <w:pPr>
        <w:numPr>
          <w:ilvl w:val="0"/>
          <w:numId w:val="10"/>
        </w:numPr>
        <w:spacing w:line="360" w:lineRule="exact"/>
        <w:ind w:left="6" w:leftChars="0" w:firstLine="380" w:firstLineChars="172"/>
        <w:rPr>
          <w:rFonts w:hint="eastAsia" w:ascii="宋体" w:hAnsi="宋体" w:cs="宋体"/>
          <w:color w:val="auto"/>
          <w:sz w:val="28"/>
          <w:szCs w:val="24"/>
        </w:rPr>
      </w:pPr>
      <w:r>
        <w:rPr>
          <w:rFonts w:hint="eastAsia" w:ascii="仿宋" w:hAnsi="仿宋" w:eastAsia="仿宋" w:cs="仿宋"/>
          <w:b/>
          <w:color w:val="auto"/>
          <w:sz w:val="22"/>
          <w:szCs w:val="22"/>
        </w:rPr>
        <w:t>报价一览表：</w:t>
      </w:r>
    </w:p>
    <w:p>
      <w:pPr>
        <w:spacing w:line="65" w:lineRule="exact"/>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6" w:leftChars="0" w:firstLine="380" w:firstLineChars="172"/>
        <w:contextualSpacing/>
        <w:jc w:val="left"/>
        <w:textAlignment w:val="auto"/>
        <w:outlineLvl w:val="9"/>
        <w:rPr>
          <w:rFonts w:hint="eastAsia"/>
          <w:b/>
          <w:bCs/>
          <w:color w:val="auto"/>
          <w:sz w:val="22"/>
          <w:szCs w:val="22"/>
          <w:lang w:eastAsia="zh-CN"/>
        </w:rPr>
      </w:pPr>
      <w:r>
        <w:rPr>
          <w:rFonts w:hint="eastAsia" w:ascii="仿宋" w:hAnsi="仿宋" w:eastAsia="仿宋" w:cs="仿宋"/>
          <w:b/>
          <w:color w:val="auto"/>
          <w:sz w:val="22"/>
          <w:szCs w:val="22"/>
        </w:rPr>
        <w:t>合同价款：</w:t>
      </w:r>
      <w:r>
        <w:rPr>
          <w:rFonts w:hint="eastAsia" w:ascii="仿宋" w:hAnsi="仿宋" w:eastAsia="仿宋" w:cs="仿宋"/>
          <w:b/>
          <w:color w:val="FF0000"/>
          <w:sz w:val="22"/>
          <w:szCs w:val="22"/>
          <w:lang w:val="en-US" w:eastAsia="zh-CN"/>
        </w:rPr>
        <w:t xml:space="preserve">       </w:t>
      </w:r>
      <w:r>
        <w:rPr>
          <w:rFonts w:hint="eastAsia" w:ascii="仿宋" w:hAnsi="仿宋" w:eastAsia="仿宋" w:cs="仿宋"/>
          <w:b/>
          <w:color w:val="FF0000"/>
          <w:sz w:val="22"/>
          <w:szCs w:val="22"/>
          <w:lang w:eastAsia="zh-CN"/>
        </w:rPr>
        <w:t>（</w:t>
      </w:r>
      <w:r>
        <w:rPr>
          <w:rFonts w:hint="eastAsia" w:ascii="仿宋" w:hAnsi="仿宋" w:eastAsia="仿宋" w:cs="仿宋"/>
          <w:b/>
          <w:color w:val="FF0000"/>
          <w:sz w:val="22"/>
          <w:szCs w:val="22"/>
          <w:lang w:val="en-US" w:eastAsia="zh-CN"/>
        </w:rPr>
        <w:t>大写：***元整</w:t>
      </w:r>
      <w:r>
        <w:rPr>
          <w:rFonts w:hint="eastAsia" w:ascii="仿宋" w:hAnsi="仿宋" w:eastAsia="仿宋" w:cs="仿宋"/>
          <w:b/>
          <w:color w:val="FF0000"/>
          <w:sz w:val="22"/>
          <w:szCs w:val="22"/>
          <w:lang w:eastAsia="zh-CN"/>
        </w:rPr>
        <w:t>）</w:t>
      </w:r>
      <w:r>
        <w:rPr>
          <w:rFonts w:hint="eastAsia" w:ascii="仿宋" w:hAnsi="仿宋" w:eastAsia="仿宋" w:cs="仿宋"/>
          <w:b/>
          <w:color w:val="auto"/>
          <w:sz w:val="22"/>
          <w:szCs w:val="22"/>
          <w:lang w:eastAsia="zh-CN"/>
        </w:rPr>
        <w:t>。</w:t>
      </w:r>
    </w:p>
    <w:p>
      <w:pPr>
        <w:spacing w:line="360" w:lineRule="auto"/>
        <w:ind w:firstLine="402" w:firstLineChars="183"/>
        <w:contextualSpacing/>
        <w:jc w:val="left"/>
        <w:rPr>
          <w:rFonts w:hint="eastAsia" w:ascii="仿宋" w:hAnsi="仿宋" w:eastAsia="仿宋" w:cs="仿宋"/>
          <w:color w:val="auto"/>
          <w:sz w:val="22"/>
          <w:szCs w:val="22"/>
        </w:rPr>
      </w:pPr>
      <w:r>
        <w:rPr>
          <w:rFonts w:hint="eastAsia" w:ascii="仿宋" w:hAnsi="仿宋" w:eastAsia="仿宋" w:cs="仿宋"/>
          <w:color w:val="auto"/>
          <w:sz w:val="22"/>
          <w:szCs w:val="22"/>
        </w:rPr>
        <w:t>合同总金额包含备品、备件、专用工具、安装、调试、检验、技术培训及技术资料和运输保险、税费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售后服务</w:t>
      </w:r>
      <w:r>
        <w:rPr>
          <w:rFonts w:hint="eastAsia" w:ascii="仿宋" w:hAnsi="仿宋" w:eastAsia="仿宋" w:cs="仿宋"/>
          <w:color w:val="auto"/>
          <w:sz w:val="22"/>
          <w:szCs w:val="22"/>
        </w:rPr>
        <w:t>等一切费用。</w:t>
      </w:r>
    </w:p>
    <w:p>
      <w:pPr>
        <w:spacing w:line="360" w:lineRule="auto"/>
        <w:ind w:firstLine="404" w:firstLineChars="183"/>
        <w:contextualSpacing/>
        <w:jc w:val="left"/>
        <w:rPr>
          <w:rFonts w:hint="eastAsia" w:ascii="仿宋" w:hAnsi="仿宋" w:eastAsia="仿宋" w:cs="仿宋"/>
          <w:b/>
          <w:color w:val="auto"/>
          <w:sz w:val="22"/>
          <w:szCs w:val="22"/>
        </w:rPr>
      </w:pPr>
      <w:r>
        <w:rPr>
          <w:rFonts w:hint="eastAsia" w:ascii="仿宋" w:hAnsi="仿宋" w:eastAsia="仿宋" w:cs="仿宋"/>
          <w:b/>
          <w:color w:val="auto"/>
          <w:sz w:val="22"/>
          <w:szCs w:val="22"/>
        </w:rPr>
        <w:t>2、交（提）货方式、时间</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双方签订合同之日起</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rPr>
        <w:t>内按照甲方指定的地点进行供货，并完成所采购全部产品的安装调试及</w:t>
      </w:r>
      <w:r>
        <w:rPr>
          <w:rFonts w:hint="eastAsia" w:ascii="仿宋" w:hAnsi="仿宋" w:eastAsia="仿宋" w:cs="仿宋"/>
          <w:color w:val="auto"/>
          <w:sz w:val="22"/>
          <w:szCs w:val="22"/>
          <w:lang w:val="en-US" w:eastAsia="zh-CN"/>
        </w:rPr>
        <w:t>验收工作</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contextualSpacing/>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3、付款方式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）乙方按照合同</w:t>
      </w:r>
      <w:r>
        <w:rPr>
          <w:rFonts w:hint="eastAsia" w:ascii="仿宋" w:hAnsi="仿宋" w:eastAsia="仿宋" w:cs="仿宋"/>
          <w:color w:val="auto"/>
          <w:sz w:val="22"/>
          <w:szCs w:val="22"/>
          <w:lang w:val="en-US" w:eastAsia="zh-CN"/>
        </w:rPr>
        <w:t>约定</w:t>
      </w:r>
      <w:r>
        <w:rPr>
          <w:rFonts w:hint="eastAsia" w:ascii="仿宋" w:hAnsi="仿宋" w:eastAsia="仿宋" w:cs="仿宋"/>
          <w:color w:val="auto"/>
          <w:sz w:val="22"/>
          <w:szCs w:val="22"/>
        </w:rPr>
        <w:t>清单</w:t>
      </w:r>
      <w:r>
        <w:rPr>
          <w:rFonts w:hint="eastAsia" w:ascii="仿宋" w:hAnsi="仿宋" w:eastAsia="仿宋" w:cs="仿宋"/>
          <w:color w:val="auto"/>
          <w:sz w:val="22"/>
          <w:szCs w:val="22"/>
          <w:lang w:val="en-US" w:eastAsia="zh-CN"/>
        </w:rPr>
        <w:t>上的</w:t>
      </w:r>
      <w:r>
        <w:rPr>
          <w:rFonts w:hint="eastAsia" w:ascii="仿宋" w:hAnsi="仿宋" w:eastAsia="仿宋" w:cs="仿宋"/>
          <w:color w:val="auto"/>
          <w:sz w:val="22"/>
          <w:szCs w:val="22"/>
        </w:rPr>
        <w:t>设备</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组件</w:t>
      </w:r>
      <w:r>
        <w:rPr>
          <w:rFonts w:hint="eastAsia" w:ascii="仿宋" w:hAnsi="仿宋" w:eastAsia="仿宋" w:cs="仿宋"/>
          <w:color w:val="auto"/>
          <w:sz w:val="22"/>
          <w:szCs w:val="22"/>
        </w:rPr>
        <w:t>配送到甲方指定地点</w:t>
      </w:r>
      <w:r>
        <w:rPr>
          <w:rFonts w:hint="eastAsia" w:ascii="仿宋" w:hAnsi="仿宋" w:eastAsia="仿宋" w:cs="仿宋"/>
          <w:color w:val="auto"/>
          <w:sz w:val="22"/>
          <w:szCs w:val="22"/>
          <w:lang w:val="en-US" w:eastAsia="zh-CN"/>
        </w:rPr>
        <w:t>，由甲、乙双方共同验收，签字确认，</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向甲方提供相关证明材料，甲方向乙方支付合同总价的80%设备款；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将货物</w:t>
      </w:r>
      <w:r>
        <w:rPr>
          <w:rFonts w:hint="eastAsia" w:ascii="仿宋" w:hAnsi="仿宋" w:eastAsia="仿宋" w:cs="仿宋"/>
          <w:color w:val="auto"/>
          <w:sz w:val="22"/>
          <w:szCs w:val="22"/>
        </w:rPr>
        <w:t>安装完毕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验收</w:t>
      </w:r>
      <w:r>
        <w:rPr>
          <w:rFonts w:hint="eastAsia" w:ascii="仿宋" w:hAnsi="仿宋" w:eastAsia="仿宋" w:cs="仿宋"/>
          <w:color w:val="auto"/>
          <w:sz w:val="22"/>
          <w:szCs w:val="22"/>
          <w:lang w:val="en-US" w:eastAsia="zh-CN"/>
        </w:rPr>
        <w:t>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后，验收合格证书上应有甲、乙双方授权代表的签字或盖章，</w:t>
      </w:r>
      <w:r>
        <w:rPr>
          <w:rFonts w:hint="eastAsia" w:ascii="仿宋" w:hAnsi="仿宋" w:eastAsia="仿宋" w:cs="仿宋"/>
          <w:color w:val="auto"/>
          <w:sz w:val="22"/>
          <w:szCs w:val="22"/>
        </w:rPr>
        <w:t>甲方</w:t>
      </w:r>
      <w:r>
        <w:rPr>
          <w:rFonts w:hint="eastAsia" w:ascii="仿宋" w:hAnsi="仿宋" w:eastAsia="仿宋" w:cs="仿宋"/>
          <w:color w:val="auto"/>
          <w:sz w:val="22"/>
          <w:szCs w:val="22"/>
          <w:lang w:val="en-US" w:eastAsia="zh-CN"/>
        </w:rPr>
        <w:t>向乙方</w:t>
      </w:r>
      <w:r>
        <w:rPr>
          <w:rFonts w:hint="eastAsia" w:ascii="仿宋" w:hAnsi="仿宋" w:eastAsia="仿宋" w:cs="仿宋"/>
          <w:color w:val="auto"/>
          <w:sz w:val="22"/>
          <w:szCs w:val="22"/>
        </w:rPr>
        <w:t>支付</w:t>
      </w:r>
      <w:r>
        <w:rPr>
          <w:rFonts w:hint="eastAsia" w:ascii="仿宋" w:hAnsi="仿宋" w:eastAsia="仿宋" w:cs="仿宋"/>
          <w:color w:val="auto"/>
          <w:sz w:val="22"/>
          <w:szCs w:val="22"/>
          <w:lang w:val="en-US" w:eastAsia="zh-CN"/>
        </w:rPr>
        <w:t>合同总价的17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如乙方根据实际情况，没有向甲方要求支付第一笔80%货物款，</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将所货物安装调试及质量验收完成并向甲方提供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，甲方向乙方一次性支付合同总价的97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剩余</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3%</w:t>
      </w:r>
      <w:r>
        <w:rPr>
          <w:rFonts w:hint="eastAsia" w:ascii="仿宋" w:hAnsi="仿宋" w:eastAsia="仿宋" w:cs="仿宋"/>
          <w:color w:val="auto"/>
          <w:sz w:val="22"/>
          <w:szCs w:val="22"/>
          <w:lang w:val="en-US" w:eastAsia="zh-CN"/>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剩余的3%设备款，需大于财务审计报告总金额的3%设备款，如剩余的设备款未达到财务审计报告总金额的3%设备款，甲方预留财务审计报告总金额的3%设备款或乙方向甲方支付不到财务审计报告总金额的3%设备款部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为质保金，</w:t>
      </w:r>
      <w:r>
        <w:rPr>
          <w:rFonts w:hint="eastAsia" w:ascii="仿宋" w:hAnsi="仿宋" w:eastAsia="仿宋" w:cs="仿宋"/>
          <w:color w:val="auto"/>
          <w:sz w:val="22"/>
          <w:szCs w:val="22"/>
          <w:lang w:val="en-US" w:eastAsia="zh-CN"/>
        </w:rPr>
        <w:t>质保期满后，如</w:t>
      </w:r>
      <w:r>
        <w:rPr>
          <w:rFonts w:hint="eastAsia" w:ascii="仿宋" w:hAnsi="仿宋" w:eastAsia="仿宋" w:cs="仿宋"/>
          <w:color w:val="auto"/>
          <w:sz w:val="22"/>
          <w:szCs w:val="22"/>
        </w:rPr>
        <w:t>没有质量问题</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情况下，</w:t>
      </w:r>
      <w:r>
        <w:rPr>
          <w:rFonts w:hint="eastAsia" w:ascii="仿宋" w:hAnsi="仿宋" w:eastAsia="仿宋" w:cs="仿宋"/>
          <w:color w:val="auto"/>
          <w:sz w:val="22"/>
          <w:szCs w:val="22"/>
          <w:lang w:val="en-US" w:eastAsia="zh-CN"/>
        </w:rPr>
        <w:t>乙方向甲方提供相关证明材料，剩余的设备款甲方向乙方</w:t>
      </w:r>
      <w:r>
        <w:rPr>
          <w:rFonts w:hint="eastAsia" w:ascii="仿宋" w:hAnsi="仿宋" w:eastAsia="仿宋" w:cs="仿宋"/>
          <w:color w:val="auto"/>
          <w:sz w:val="22"/>
          <w:szCs w:val="22"/>
        </w:rPr>
        <w:t>一次性付清</w:t>
      </w:r>
      <w:r>
        <w:rPr>
          <w:rFonts w:hint="eastAsia" w:ascii="仿宋" w:hAnsi="仿宋" w:eastAsia="仿宋" w:cs="仿宋"/>
          <w:color w:val="auto"/>
          <w:sz w:val="22"/>
          <w:szCs w:val="22"/>
          <w:lang w:val="en-US" w:eastAsia="zh-CN"/>
        </w:rPr>
        <w:t>尾款（无息）</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）所有货物验收合格后，乙方</w:t>
      </w:r>
      <w:r>
        <w:rPr>
          <w:rFonts w:hint="eastAsia" w:ascii="仿宋" w:hAnsi="仿宋" w:eastAsia="仿宋" w:cs="仿宋"/>
          <w:color w:val="auto"/>
          <w:sz w:val="22"/>
          <w:szCs w:val="22"/>
          <w:lang w:val="en-US" w:eastAsia="zh-CN"/>
        </w:rPr>
        <w:t>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w:t>
      </w:r>
      <w:r>
        <w:rPr>
          <w:rFonts w:hint="eastAsia" w:ascii="仿宋" w:hAnsi="仿宋" w:eastAsia="仿宋" w:cs="仿宋"/>
          <w:color w:val="auto"/>
          <w:sz w:val="22"/>
          <w:szCs w:val="22"/>
        </w:rPr>
        <w:t>，甲方无息退还乙方履约保证金。如乙方交付的货物未通过验收或货物质量不能达到甲方招标质量要求的，</w:t>
      </w:r>
      <w:r>
        <w:rPr>
          <w:rFonts w:hint="eastAsia" w:ascii="仿宋" w:hAnsi="仿宋" w:eastAsia="仿宋" w:cs="仿宋"/>
          <w:color w:val="auto"/>
          <w:sz w:val="22"/>
          <w:szCs w:val="22"/>
          <w:lang w:val="en-US" w:eastAsia="zh-CN"/>
        </w:rPr>
        <w:t>甲方</w:t>
      </w:r>
      <w:r>
        <w:rPr>
          <w:rFonts w:hint="eastAsia" w:ascii="仿宋" w:hAnsi="仿宋" w:eastAsia="仿宋" w:cs="仿宋"/>
          <w:color w:val="auto"/>
          <w:sz w:val="22"/>
          <w:szCs w:val="22"/>
        </w:rPr>
        <w:t>拒绝退还履约保证金。</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（3）如甲方因发生资金相关手续原因没能按照以上方式与乙方达成协议后，甲方采用其他付款方式向乙方进行付款。</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（4）甲方向乙方支付设备款进度不影响合同约定交货、安装调试及验收期限。</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（5）乙方应在向甲方付款前，向甲方开具等额、正规的增值税发票，否则甲方有权拒绝付款，并不因此承担违约责任。</w:t>
      </w:r>
    </w:p>
    <w:p>
      <w:pPr>
        <w:pStyle w:val="24"/>
        <w:ind w:firstLine="420"/>
        <w:rPr>
          <w:rFonts w:hint="eastAsia"/>
          <w:lang w:val="en-US" w:eastAsia="zh-CN"/>
        </w:rPr>
      </w:pPr>
      <w:r>
        <w:rPr>
          <w:rFonts w:hint="eastAsia" w:ascii="仿宋" w:hAnsi="仿宋" w:eastAsia="仿宋" w:cs="仿宋"/>
          <w:color w:val="auto"/>
          <w:kern w:val="2"/>
          <w:sz w:val="22"/>
          <w:szCs w:val="22"/>
          <w:lang w:val="en-US" w:eastAsia="zh-CN" w:bidi="ar-SA"/>
        </w:rPr>
        <w:t>（6）以转账方式支付货款时，甲方将货款汇至乙方提供的指定账户，如乙方提供的以下银行账户有变动，应提前以书面形式通知甲方，取得甲方书面认可后方可执行。</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4、现场交货条件下，乙方要求付款应提交下列单证和文件。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中标通知书原件；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（2）合同原件；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使用单位交接（初验）单原件；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（4）质量技术监督部门认可的检测报告书或验收单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支付</w:t>
      </w:r>
      <w:r>
        <w:rPr>
          <w:rFonts w:hint="eastAsia" w:ascii="仿宋" w:hAnsi="仿宋" w:eastAsia="仿宋" w:cs="仿宋"/>
          <w:color w:val="auto"/>
          <w:sz w:val="22"/>
          <w:szCs w:val="22"/>
          <w:lang w:eastAsia="zh-CN"/>
        </w:rPr>
        <w:t>第二笔</w:t>
      </w:r>
      <w:r>
        <w:rPr>
          <w:rFonts w:hint="eastAsia" w:ascii="仿宋" w:hAnsi="仿宋" w:eastAsia="仿宋" w:cs="仿宋"/>
          <w:color w:val="auto"/>
          <w:sz w:val="22"/>
          <w:szCs w:val="22"/>
          <w:lang w:val="en-US" w:eastAsia="zh-CN"/>
        </w:rPr>
        <w:t>时需提交</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）金额为有关合同货物价格的发票</w:t>
      </w:r>
      <w:r>
        <w:rPr>
          <w:rFonts w:hint="eastAsia" w:ascii="仿宋" w:hAnsi="仿宋" w:eastAsia="仿宋" w:cs="仿宋"/>
          <w:color w:val="auto"/>
          <w:sz w:val="22"/>
          <w:szCs w:val="22"/>
          <w:lang w:val="en-US" w:eastAsia="zh-CN"/>
        </w:rPr>
        <w:t>原件（包含票据号、金额及数量的统计表）；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开户许可证复印件；</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5、质量要求和技术标准</w:t>
      </w:r>
    </w:p>
    <w:p>
      <w:pPr>
        <w:keepNext w:val="0"/>
        <w:keepLines w:val="0"/>
        <w:spacing w:line="400" w:lineRule="exact"/>
        <w:ind w:left="386" w:firstLine="440" w:firstLineChars="200"/>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质量条款可细分为产品质量、包装质量、技术资料质量等内容。（质量要求和技术标准应按招标文件要求一致。）</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提供的货物（含备品配件、专用工具等）必须是合同约定的厂家生产的全新、表面和内部均无瑕疵的货物。未经</w:t>
      </w:r>
      <w:r>
        <w:rPr>
          <w:rFonts w:hint="eastAsia" w:ascii="仿宋" w:hAnsi="仿宋" w:eastAsia="仿宋" w:cs="仿宋"/>
          <w:b w:val="0"/>
          <w:bCs/>
          <w:color w:val="auto"/>
          <w:sz w:val="22"/>
          <w:szCs w:val="22"/>
          <w:lang w:val="en-US" w:eastAsia="zh-CN"/>
        </w:rPr>
        <w:t>甲方</w:t>
      </w:r>
      <w:r>
        <w:rPr>
          <w:rFonts w:hint="eastAsia" w:ascii="仿宋" w:hAnsi="仿宋" w:eastAsia="仿宋" w:cs="仿宋"/>
          <w:b w:val="0"/>
          <w:bCs/>
          <w:color w:val="auto"/>
          <w:sz w:val="22"/>
          <w:szCs w:val="22"/>
          <w:lang w:eastAsia="zh-CN"/>
        </w:rPr>
        <w:t>书面许可，</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不得以任何形式更换生产厂家或标的物。</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lang w:eastAsia="zh-CN"/>
        </w:rPr>
        <w:t>）乙方所提供的全部商品，应符合国家或者商品销售当地有关部门关于商品商标、标签、标识、卫生、安全、环保、保质期及知识产权等要求。</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应采取相应措施对货物进行包装，确保货物在正常运输和装卸条件下安全无损地到达合同指定地点。包装物不计价、不返还。包装箱应由</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注明生产厂家、生产许可证号、货物批准文号、生产批号、生产日期等。</w:t>
      </w:r>
    </w:p>
    <w:p>
      <w:pPr>
        <w:keepNext w:val="0"/>
        <w:keepLines w:val="0"/>
        <w:pageBreakBefore w:val="0"/>
        <w:widowControl w:val="0"/>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6、验收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乙方送货时应提供相应的《商品订货单》或发货清单与相应检验证书等，否则甲方有权拒收；货物到货后7日内，甲、乙双方对实际交付货物的外观质量、数量、品种、型号或规格进行初步检验，</w:t>
      </w:r>
      <w:r>
        <w:rPr>
          <w:rFonts w:hint="eastAsia" w:ascii="仿宋" w:hAnsi="仿宋" w:eastAsia="仿宋" w:cs="仿宋"/>
          <w:color w:val="auto"/>
          <w:sz w:val="22"/>
          <w:szCs w:val="22"/>
        </w:rPr>
        <w:t>验收结果经双方确认后，双方负责验收的代表人员必须按规定，将验收交接单上的事项对照本合同填好验收结果签名并加盖公章（乙方供货、调试、安装完毕之后并投入正常使用之前，必须3个工作日内，邀请甲方进行验收。</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若验收不合格或验收发现货物有与合同约定、投标文件、招标文件等文件规定不符之处，乙方应在2日内负责处理，否则视为默认甲方提出的异议及处理意见。因此产生的延期供货责任依据本合同第九条约定处理。甲方对货物外观和数量的检验不视为对货物质量的确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部分设备根据甲方要求，乙方必须5个工作日内，自行跟技术监督部门进行联系并邀请甲方、质量技术监督</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或有资质的第三方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等部门进行质量检测、设备质量验收。如已供的设备因各种原因无法进行质量验收或质量验收不合格，一切后果由乙方承担）。在验收通过后，由乙方收集验收、签收、合格证、检测报告等有关质量、数量的文件资料，共计</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套。（若原件数量不足可提供彩印件加盖公章）</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7、质量保证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合同货物质保期要求均为货物经最终验收合格按乙方的投标文件约定执行，在质量保证期内货物运行发生故障时，乙方在接到甲方故障通知后响应时间、故障排除均为投标文件约定执行。</w:t>
      </w:r>
    </w:p>
    <w:p>
      <w:pPr>
        <w:pStyle w:val="43"/>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甲方指定联系人：             ；联系方式：               </w:t>
      </w:r>
    </w:p>
    <w:p>
      <w:pPr>
        <w:pStyle w:val="43"/>
        <w:rPr>
          <w:rFonts w:hint="default"/>
          <w:color w:val="auto"/>
          <w:lang w:val="en-US" w:eastAsia="zh-CN"/>
        </w:rPr>
      </w:pPr>
      <w:r>
        <w:rPr>
          <w:rFonts w:hint="eastAsia" w:ascii="仿宋" w:hAnsi="仿宋" w:eastAsia="仿宋" w:cs="仿宋"/>
          <w:color w:val="auto"/>
          <w:sz w:val="22"/>
          <w:szCs w:val="22"/>
          <w:lang w:val="en-US" w:eastAsia="zh-CN"/>
        </w:rPr>
        <w:t xml:space="preserve">乙方指定联系人：             ；联系方式：               </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8、知识产权</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且乙方应承担（20）万元/次的违约金</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9、违约责任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如果乙方未能按合同规定的时间内足额交货（因甲方原因或者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为每迟交1天，按迟交货中标价额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计算</w:t>
      </w:r>
      <w:r>
        <w:rPr>
          <w:rFonts w:hint="eastAsia" w:ascii="仿宋" w:hAnsi="仿宋" w:eastAsia="仿宋" w:cs="仿宋"/>
          <w:color w:val="auto"/>
          <w:sz w:val="22"/>
          <w:szCs w:val="22"/>
        </w:rPr>
        <w:t>。但是，延期交货违约金的支付总额不得超过迟交货物中标价的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0％，超过</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0%时甲方有权单方解除此合同，若因此给甲方造成损失的，还应赔偿甲方所受的损失，甲方有权向有关单位申请处理乙方。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如果乙方未能按双方另行确定的延期交货期内足额交货的（因甲方原因或者不可抗力除外），每逾期1天，按迟交货中标价额的1‰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甲方有权向有关单位申请处理乙方。</w:t>
      </w:r>
    </w:p>
    <w:p>
      <w:pPr>
        <w:pStyle w:val="39"/>
        <w:keepNext w:val="0"/>
        <w:keepLines w:val="0"/>
        <w:pageBreakBefore w:val="0"/>
        <w:widowControl/>
        <w:kinsoku/>
        <w:wordWrap/>
        <w:overflowPunct/>
        <w:topLinePunct w:val="0"/>
        <w:autoSpaceDE/>
        <w:autoSpaceDN/>
        <w:bidi w:val="0"/>
        <w:adjustRightInd w:val="0"/>
        <w:snapToGrid/>
        <w:spacing w:after="0" w:line="500" w:lineRule="exact"/>
        <w:ind w:firstLine="440" w:firstLineChars="200"/>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若乙方不能交货的（因甲方原因或者不可抗拒的因素除外）或交货不合格从而影响甲方正常使用的，乙方应向甲方偿付合同金额的10％的违约金。违约金不足以补偿损失的，甲方有权要求乙方赔偿损失，甲方有权向有关单位申请处理乙方。</w:t>
      </w:r>
      <w:r>
        <w:rPr>
          <w:rFonts w:hint="eastAsia" w:ascii="仿宋" w:hAnsi="仿宋" w:eastAsia="仿宋" w:cs="仿宋"/>
          <w:color w:val="auto"/>
          <w:sz w:val="22"/>
          <w:szCs w:val="22"/>
          <w:lang w:val="en-US" w:eastAsia="zh-CN"/>
        </w:rPr>
        <w:t xml:space="preserve">乙方所供货物质量不符合有关规定而造成后果的， 因此产生的赔偿责任由乙方全部承担，且乙方应承担20万元违约金。 </w:t>
      </w:r>
    </w:p>
    <w:p>
      <w:pPr>
        <w:pStyle w:val="39"/>
        <w:widowControl/>
        <w:adjustRightInd w:val="0"/>
        <w:spacing w:line="500" w:lineRule="exact"/>
        <w:ind w:firstLine="440" w:firstLineChars="200"/>
        <w:outlineLvl w:val="9"/>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（2）因乙方提供的货物存在质量问题等原因，致使甲方或第三方因此遭受人身或财产损失，由此产生的赔偿责任由乙方承担，且乙方应赔偿甲方20万元违约金。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（3）若发生退货情形，乙方未按甲方要求退还已支付货款的，乙方除应立即退还货款外，还应承担（20）万元违约金。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（4）乙方出现违反本合同约定或违反投标文件、招标文件等内容时，甲方有权要求乙方立即整改，并有权要求乙方承担20万元/次的违约金。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（5）乙方交付的货物与合同要求不符，甲方有权拒绝接收，所有费用由乙方承担，逾期不到货，每逾期一日应承担当批次货物对应价款每日万分之五的违约金。逾期超过10天，甲方有权单方解除合同。</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乙方确认甲方发出的订单通知后拒绝供货的，应承担违约责任。乙方拒绝供货，每发生一次此种情形，乙方应承担【】元违约金。乙方拒绝供货超过2次或违约金达到5000元，甲方有权解除合同，并有权要求乙方承担【】元违约金。</w:t>
      </w:r>
    </w:p>
    <w:p>
      <w:pPr>
        <w:pStyle w:val="39"/>
        <w:widowControl/>
        <w:adjustRightInd w:val="0"/>
        <w:spacing w:line="500" w:lineRule="exact"/>
        <w:ind w:firstLine="440" w:firstLineChars="200"/>
        <w:outlineLvl w:val="9"/>
        <w:rPr>
          <w:rFonts w:hint="eastAsia"/>
          <w:color w:val="auto"/>
          <w:sz w:val="22"/>
          <w:szCs w:val="22"/>
        </w:rPr>
      </w:pPr>
      <w:r>
        <w:rPr>
          <w:rFonts w:hint="eastAsia" w:ascii="仿宋" w:hAnsi="仿宋" w:eastAsia="仿宋" w:cs="仿宋"/>
          <w:color w:val="auto"/>
          <w:kern w:val="2"/>
          <w:sz w:val="22"/>
          <w:szCs w:val="22"/>
          <w:lang w:val="en-US" w:eastAsia="zh-CN" w:bidi="ar-SA"/>
        </w:rPr>
        <w:t>（7）乙方除不可抗力因素外，应按照本合同约定完成项下义务，否则视为乙方违约，甲方有权拒付费用，并有权要求乙方赔偿由此造成的全部损失。</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10、违约终止合同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在补救违约而采取的任何其他措施未能实现的情况下，即在守约方发出的违约通知后10天内（或经守约方书面确认的更长时间内），违约方仍未纠正其下述任何一种违约行为，守约方有权向违约方发出书面解约通知，提前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除本合同另有约定外，违约方未能如约履行合同项下的任何义务</w:t>
      </w:r>
      <w:r>
        <w:rPr>
          <w:rFonts w:hint="eastAsia" w:ascii="仿宋" w:hAnsi="仿宋" w:eastAsia="仿宋" w:cs="仿宋"/>
          <w:color w:val="auto"/>
          <w:sz w:val="22"/>
          <w:szCs w:val="22"/>
          <w:lang w:val="en-US" w:eastAsia="zh-CN"/>
        </w:rPr>
        <w:t>守约方可单方解除本合同。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（3）经双方协商一致或因不可抗力不能实现合同目的时可以书面形式解除合同。</w:t>
      </w:r>
    </w:p>
    <w:p>
      <w:pPr>
        <w:keepNext w:val="0"/>
        <w:keepLines w:val="0"/>
        <w:spacing w:line="400" w:lineRule="exact"/>
        <w:ind w:firstLine="440" w:firstLineChars="200"/>
        <w:contextualSpacing/>
        <w:rPr>
          <w:rFonts w:hint="default"/>
          <w:lang w:val="en-US" w:eastAsia="zh-CN"/>
        </w:rPr>
      </w:pPr>
      <w:r>
        <w:rPr>
          <w:rFonts w:hint="eastAsia" w:ascii="仿宋" w:hAnsi="仿宋" w:eastAsia="仿宋" w:cs="仿宋"/>
          <w:color w:val="auto"/>
          <w:sz w:val="22"/>
          <w:szCs w:val="22"/>
          <w:lang w:val="en-US" w:eastAsia="zh-CN"/>
        </w:rPr>
        <w:t>（4）甲方有证据表明乙方丧失或可能丧失商业信誉或履行义务能力的，甲方有权单方面解除本合同，并要求乙方退回已付款、支付合同总价款20%的违约金。</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11、不可抗力</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中的不可抗力指人为不能预见、不能避免并不能克服的客观情况。包括（但不限于）：自然灾害如地震、台风、洪水、火灾；重大传染病问题、政府行为、法律规定、其适用的变化、国家规定节假日前后导致的物流停运（乙方务必书面申请延迟交货并书面申请写清楚延迟供货日期）或者其他任何无法预见、避免或者控制的事件。</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42" w:firstLineChars="200"/>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合同纠纷处理方式：</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因本合同或与本合同有关的一切事项发生争议，由双方友好协商解决。协商不成的，任何一方</w:t>
      </w:r>
      <w:r>
        <w:rPr>
          <w:rFonts w:hint="eastAsia" w:ascii="仿宋" w:hAnsi="仿宋" w:eastAsia="仿宋" w:cs="仿宋"/>
          <w:color w:val="auto"/>
          <w:sz w:val="22"/>
          <w:szCs w:val="22"/>
          <w:lang w:val="en-US" w:eastAsia="zh-CN"/>
        </w:rPr>
        <w:t>可在和田市</w:t>
      </w:r>
      <w:r>
        <w:rPr>
          <w:rFonts w:hint="eastAsia" w:ascii="仿宋" w:hAnsi="仿宋" w:eastAsia="仿宋" w:cs="仿宋"/>
          <w:color w:val="auto"/>
          <w:sz w:val="22"/>
          <w:szCs w:val="22"/>
        </w:rPr>
        <w:t>人民法院提起诉讼。</w:t>
      </w:r>
      <w:r>
        <w:rPr>
          <w:rFonts w:hint="eastAsia" w:ascii="仿宋" w:hAnsi="仿宋" w:eastAsia="仿宋" w:cs="仿宋"/>
          <w:color w:val="auto"/>
          <w:sz w:val="22"/>
          <w:lang w:val="en-US" w:eastAsia="zh-CN"/>
        </w:rPr>
        <w:t>违约方/败诉方应承担为解决本次争议而产生的合理费用，包括但不限于诉讼费、律师费、鉴定费、保全费、保全担保费等费用。</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13、质保期、范围、保修条件及方式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rPr>
        <w:t>设备质保期为</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年，自货物验收合格之日起算。质保期限之内出现任何质量问题由乙方负责</w:t>
      </w:r>
      <w:r>
        <w:rPr>
          <w:rFonts w:hint="eastAsia" w:ascii="仿宋" w:hAnsi="仿宋" w:eastAsia="仿宋" w:cs="仿宋"/>
          <w:color w:val="FF0000"/>
          <w:sz w:val="22"/>
          <w:szCs w:val="22"/>
          <w:u w:val="single"/>
          <w:lang w:val="en-US" w:eastAsia="zh-CN"/>
        </w:rPr>
        <w:t xml:space="preserve">            </w:t>
      </w:r>
      <w:r>
        <w:rPr>
          <w:rFonts w:hint="eastAsia" w:ascii="仿宋" w:hAnsi="仿宋" w:eastAsia="仿宋" w:cs="仿宋"/>
          <w:color w:val="auto"/>
          <w:sz w:val="22"/>
          <w:szCs w:val="22"/>
        </w:rPr>
        <w:t>调换</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维修。如出现非质量问题或者因人为原因、不可抗力等导致的问题，维修的材料费由甲方承担（甲方可指示具体签收货物的学校代为支付），乙方提供免费维修。免费保修期到后维修收取材料费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只收服务费（服务费具体签收货物的学校与投标人协商并自行承担）。质保期内，若乙方拖延或拒不履行质保义务，甲方有权寻找第三方进行调换、维修，由此产生的费用由乙方承担，甲方有权从保证金中扣除。</w:t>
      </w:r>
    </w:p>
    <w:p>
      <w:pPr>
        <w:spacing w:line="400" w:lineRule="exact"/>
        <w:ind w:firstLine="440"/>
        <w:contextualSpacing/>
        <w:rPr>
          <w:rFonts w:hint="eastAsia" w:ascii="仿宋" w:hAnsi="仿宋" w:eastAsia="仿宋" w:cs="仿宋"/>
          <w:b/>
          <w:bCs/>
          <w:color w:val="auto"/>
          <w:sz w:val="22"/>
          <w:lang w:val="en-US" w:eastAsia="zh-CN"/>
        </w:rPr>
      </w:pPr>
      <w:r>
        <w:rPr>
          <w:rFonts w:hint="eastAsia" w:ascii="仿宋" w:hAnsi="仿宋" w:eastAsia="仿宋" w:cs="仿宋"/>
          <w:b/>
          <w:bCs/>
          <w:color w:val="auto"/>
          <w:sz w:val="22"/>
          <w:lang w:val="en-US" w:eastAsia="zh-CN"/>
        </w:rPr>
        <w:t>14、通知及送达</w:t>
      </w:r>
    </w:p>
    <w:p>
      <w:pPr>
        <w:pStyle w:val="43"/>
        <w:ind w:left="0" w:leftChars="0" w:firstLine="440" w:firstLineChars="200"/>
        <w:rPr>
          <w:rFonts w:hint="default"/>
          <w:color w:val="auto"/>
          <w:u w:val="none"/>
          <w:lang w:val="en-US" w:eastAsia="zh-CN"/>
        </w:rPr>
      </w:pPr>
      <w:r>
        <w:rPr>
          <w:rFonts w:hint="eastAsia" w:ascii="仿宋" w:hAnsi="仿宋" w:eastAsia="仿宋" w:cs="仿宋"/>
          <w:color w:val="auto"/>
          <w:spacing w:val="0"/>
          <w:kern w:val="2"/>
          <w:sz w:val="22"/>
          <w:u w:val="none"/>
          <w:lang w:val="en-US" w:eastAsia="zh-CN"/>
        </w:rPr>
        <w:t>双方关于本合同履行及相关事宜的通知，应当按照本合同尾部载明的地址发出。通知一般以对方或授权代表签名或者盖章确认为准。如果以特快专递或者挂号信形式寄送的，自发出之日起第四日视为送达之日。在合同有效期内，任何一方的联系方式发生变更的，应当及时书面通知对方，否则应承担因此产生的不利后果。双方因本合同发生纠纷的，本合同尾部双方确认的地址可作为司法机关诉讼送达法律文书的地址。</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 xml:space="preserve"> 15</w:t>
      </w:r>
      <w:r>
        <w:rPr>
          <w:rFonts w:hint="eastAsia" w:ascii="仿宋" w:hAnsi="仿宋" w:eastAsia="仿宋" w:cs="仿宋"/>
          <w:b/>
          <w:color w:val="auto"/>
          <w:sz w:val="22"/>
          <w:szCs w:val="22"/>
        </w:rPr>
        <w:t>、其他约定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本招标项目的招标文件、中标人的投标文件以及相关的澄清确认函（如果有的话）均为本合同不可分割的一部分，与本合同具有同等法律效力。</w:t>
      </w:r>
    </w:p>
    <w:p>
      <w:pPr>
        <w:pStyle w:val="39"/>
        <w:keepNext w:val="0"/>
        <w:keepLines w:val="0"/>
        <w:pageBreakBefore w:val="0"/>
        <w:widowControl/>
        <w:kinsoku/>
        <w:wordWrap/>
        <w:overflowPunct/>
        <w:topLinePunct w:val="0"/>
        <w:autoSpaceDE/>
        <w:autoSpaceDN/>
        <w:bidi w:val="0"/>
        <w:adjustRightInd/>
        <w:snapToGrid/>
        <w:spacing w:line="360" w:lineRule="auto"/>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本合同未尽事宜，</w:t>
      </w:r>
      <w:r>
        <w:rPr>
          <w:rFonts w:hint="eastAsia" w:ascii="仿宋" w:hAnsi="仿宋" w:eastAsia="仿宋" w:cs="仿宋"/>
          <w:color w:val="auto"/>
          <w:sz w:val="22"/>
          <w:szCs w:val="22"/>
          <w:lang w:val="en-US" w:eastAsia="zh-CN"/>
        </w:rPr>
        <w:t>由</w:t>
      </w:r>
      <w:r>
        <w:rPr>
          <w:rFonts w:hint="eastAsia" w:ascii="仿宋" w:hAnsi="仿宋" w:eastAsia="仿宋" w:cs="仿宋"/>
          <w:color w:val="auto"/>
          <w:sz w:val="22"/>
          <w:szCs w:val="22"/>
        </w:rPr>
        <w:t>双方另行</w:t>
      </w:r>
      <w:r>
        <w:rPr>
          <w:rFonts w:hint="eastAsia" w:ascii="仿宋" w:hAnsi="仿宋" w:eastAsia="仿宋" w:cs="仿宋"/>
          <w:color w:val="auto"/>
          <w:sz w:val="22"/>
          <w:szCs w:val="22"/>
          <w:lang w:val="en-US" w:eastAsia="zh-CN"/>
        </w:rPr>
        <w:t>商定，并以书面形式</w:t>
      </w:r>
      <w:r>
        <w:rPr>
          <w:rFonts w:hint="eastAsia" w:ascii="仿宋" w:hAnsi="仿宋" w:eastAsia="仿宋" w:cs="仿宋"/>
          <w:color w:val="auto"/>
          <w:sz w:val="22"/>
          <w:szCs w:val="22"/>
        </w:rPr>
        <w:t>补充。补充协议与本合同具有同等效力。</w:t>
      </w:r>
      <w:r>
        <w:rPr>
          <w:rFonts w:hint="eastAsia" w:ascii="仿宋" w:hAnsi="仿宋" w:eastAsia="仿宋" w:cs="仿宋"/>
          <w:b w:val="0"/>
          <w:bCs w:val="0"/>
          <w:color w:val="auto"/>
          <w:sz w:val="22"/>
          <w:szCs w:val="22"/>
        </w:rPr>
        <w:t>本补充协议未</w:t>
      </w:r>
      <w:r>
        <w:rPr>
          <w:rFonts w:hint="eastAsia" w:ascii="仿宋" w:hAnsi="仿宋" w:eastAsia="仿宋" w:cs="仿宋"/>
          <w:b w:val="0"/>
          <w:bCs w:val="0"/>
          <w:color w:val="auto"/>
          <w:sz w:val="22"/>
          <w:szCs w:val="22"/>
          <w:lang w:val="en-US" w:eastAsia="zh-CN"/>
        </w:rPr>
        <w:t>涉及</w:t>
      </w:r>
      <w:r>
        <w:rPr>
          <w:rFonts w:hint="eastAsia" w:ascii="仿宋" w:hAnsi="仿宋" w:eastAsia="仿宋" w:cs="仿宋"/>
          <w:b w:val="0"/>
          <w:bCs w:val="0"/>
          <w:color w:val="auto"/>
          <w:sz w:val="22"/>
          <w:szCs w:val="22"/>
        </w:rPr>
        <w:t>的</w:t>
      </w:r>
      <w:r>
        <w:rPr>
          <w:rFonts w:hint="eastAsia" w:ascii="仿宋" w:hAnsi="仿宋" w:eastAsia="仿宋" w:cs="仿宋"/>
          <w:b w:val="0"/>
          <w:bCs w:val="0"/>
          <w:color w:val="auto"/>
          <w:sz w:val="22"/>
          <w:szCs w:val="22"/>
          <w:lang w:val="en-US" w:eastAsia="zh-CN"/>
        </w:rPr>
        <w:t>内容</w:t>
      </w:r>
      <w:r>
        <w:rPr>
          <w:rFonts w:hint="eastAsia" w:ascii="仿宋" w:hAnsi="仿宋" w:eastAsia="仿宋" w:cs="仿宋"/>
          <w:b w:val="0"/>
          <w:bCs w:val="0"/>
          <w:color w:val="auto"/>
          <w:sz w:val="22"/>
          <w:szCs w:val="22"/>
        </w:rPr>
        <w:t>，以原合同的约定为准；</w:t>
      </w:r>
      <w:r>
        <w:rPr>
          <w:rFonts w:hint="eastAsia" w:ascii="仿宋" w:hAnsi="仿宋" w:eastAsia="仿宋" w:cs="仿宋"/>
          <w:color w:val="auto"/>
          <w:sz w:val="22"/>
          <w:szCs w:val="22"/>
        </w:rPr>
        <w:t>补充协议与本</w:t>
      </w:r>
      <w:r>
        <w:rPr>
          <w:rFonts w:hint="eastAsia" w:ascii="仿宋" w:hAnsi="仿宋" w:eastAsia="仿宋" w:cs="仿宋"/>
          <w:color w:val="auto"/>
          <w:sz w:val="22"/>
          <w:szCs w:val="22"/>
          <w:lang w:val="en-US" w:eastAsia="zh-CN"/>
        </w:rPr>
        <w:t>合同</w:t>
      </w:r>
      <w:r>
        <w:rPr>
          <w:rFonts w:hint="eastAsia" w:ascii="仿宋" w:hAnsi="仿宋" w:eastAsia="仿宋" w:cs="仿宋"/>
          <w:color w:val="auto"/>
          <w:sz w:val="22"/>
          <w:szCs w:val="22"/>
        </w:rPr>
        <w:t>不一致的，以补充协议为准。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16、</w:t>
      </w:r>
      <w:r>
        <w:rPr>
          <w:rFonts w:hint="eastAsia" w:ascii="仿宋" w:hAnsi="仿宋" w:eastAsia="仿宋" w:cs="仿宋"/>
          <w:b/>
          <w:color w:val="auto"/>
          <w:sz w:val="22"/>
          <w:szCs w:val="22"/>
        </w:rPr>
        <w:t>本合同一式陆份，甲方执肆份、乙方执贰份，经双方</w:t>
      </w:r>
      <w:r>
        <w:rPr>
          <w:rFonts w:hint="eastAsia" w:ascii="仿宋" w:hAnsi="仿宋" w:eastAsia="仿宋" w:cs="仿宋"/>
          <w:b/>
          <w:color w:val="auto"/>
          <w:sz w:val="22"/>
          <w:szCs w:val="22"/>
          <w:lang w:val="en-US" w:eastAsia="zh-CN"/>
        </w:rPr>
        <w:t>法定代表人或授权代表</w:t>
      </w:r>
      <w:r>
        <w:rPr>
          <w:rFonts w:hint="eastAsia" w:ascii="仿宋" w:hAnsi="仿宋" w:eastAsia="仿宋" w:cs="仿宋"/>
          <w:b/>
          <w:color w:val="auto"/>
          <w:sz w:val="22"/>
          <w:szCs w:val="22"/>
        </w:rPr>
        <w:t>签字</w:t>
      </w:r>
      <w:r>
        <w:rPr>
          <w:rFonts w:hint="eastAsia" w:ascii="仿宋" w:hAnsi="仿宋" w:eastAsia="仿宋" w:cs="仿宋"/>
          <w:b/>
          <w:color w:val="auto"/>
          <w:sz w:val="22"/>
          <w:szCs w:val="22"/>
          <w:lang w:val="en-US" w:eastAsia="zh-CN"/>
        </w:rPr>
        <w:t>并加</w:t>
      </w:r>
      <w:r>
        <w:rPr>
          <w:rFonts w:hint="eastAsia" w:ascii="仿宋" w:hAnsi="仿宋" w:eastAsia="仿宋" w:cs="仿宋"/>
          <w:b/>
          <w:color w:val="auto"/>
          <w:sz w:val="22"/>
          <w:szCs w:val="22"/>
        </w:rPr>
        <w:t>盖</w:t>
      </w:r>
      <w:r>
        <w:rPr>
          <w:rFonts w:hint="eastAsia" w:ascii="仿宋" w:hAnsi="仿宋" w:eastAsia="仿宋" w:cs="仿宋"/>
          <w:b/>
          <w:color w:val="auto"/>
          <w:sz w:val="22"/>
          <w:szCs w:val="22"/>
          <w:lang w:val="en-US" w:eastAsia="zh-CN"/>
        </w:rPr>
        <w:t>公</w:t>
      </w:r>
      <w:r>
        <w:rPr>
          <w:rFonts w:hint="eastAsia" w:ascii="仿宋" w:hAnsi="仿宋" w:eastAsia="仿宋" w:cs="仿宋"/>
          <w:b/>
          <w:color w:val="auto"/>
          <w:sz w:val="22"/>
          <w:szCs w:val="22"/>
        </w:rPr>
        <w:t>章后生效。</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rPr>
        <w:t>甲    方：</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lang w:eastAsia="zh-CN"/>
        </w:rPr>
        <w:t>墨玉县教育局</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159"/>
          <w:sz w:val="22"/>
          <w:szCs w:val="22"/>
        </w:rPr>
        <w:t>乙方</w:t>
      </w:r>
      <w:r>
        <w:rPr>
          <w:rFonts w:hint="eastAsia" w:ascii="仿宋" w:hAnsi="仿宋" w:eastAsia="仿宋" w:cs="仿宋"/>
          <w:color w:val="auto"/>
          <w:spacing w:val="0"/>
          <w:sz w:val="22"/>
          <w:szCs w:val="22"/>
        </w:rPr>
        <w:t>：</w:t>
      </w:r>
      <w:r>
        <w:rPr>
          <w:rFonts w:hint="eastAsia" w:ascii="仿宋" w:hAnsi="仿宋" w:eastAsia="仿宋" w:cs="仿宋"/>
          <w:color w:val="auto"/>
          <w:spacing w:val="-11"/>
          <w:sz w:val="22"/>
          <w:szCs w:val="22"/>
          <w:u w:val="single"/>
          <w:lang w:val="en-US" w:eastAsia="zh-CN"/>
        </w:rPr>
        <w:t xml:space="preserve">                                 </w:t>
      </w:r>
      <w:r>
        <w:rPr>
          <w:rFonts w:hint="eastAsia" w:ascii="仿宋" w:hAnsi="仿宋" w:eastAsia="仿宋" w:cs="仿宋"/>
          <w:color w:val="auto"/>
          <w:sz w:val="22"/>
          <w:szCs w:val="22"/>
        </w:rPr>
        <w:t xml:space="preserve">  </w:t>
      </w:r>
    </w:p>
    <w:p>
      <w:pPr>
        <w:spacing w:line="360" w:lineRule="auto"/>
        <w:ind w:left="5847" w:leftChars="0" w:hanging="5847" w:hangingChars="2658"/>
        <w:contextualSpacing/>
        <w:rPr>
          <w:rFonts w:hint="eastAsia" w:ascii="仿宋" w:hAnsi="仿宋" w:eastAsia="仿宋" w:cs="仿宋"/>
          <w:color w:val="auto"/>
          <w:sz w:val="22"/>
          <w:szCs w:val="22"/>
          <w:u w:val="single"/>
          <w:lang w:val="en-US" w:eastAsia="zh-CN"/>
        </w:rPr>
      </w:pPr>
      <w:r>
        <w:rPr>
          <w:rFonts w:hint="eastAsia" w:ascii="仿宋" w:hAnsi="仿宋" w:eastAsia="仿宋" w:cs="仿宋"/>
          <w:color w:val="auto"/>
          <w:sz w:val="22"/>
          <w:szCs w:val="22"/>
        </w:rPr>
        <w:t>单位地址：</w:t>
      </w:r>
      <w:r>
        <w:rPr>
          <w:rFonts w:hint="eastAsia" w:ascii="仿宋" w:hAnsi="仿宋" w:eastAsia="仿宋" w:cs="仿宋"/>
          <w:color w:val="auto"/>
          <w:sz w:val="22"/>
          <w:szCs w:val="22"/>
          <w:u w:val="single"/>
          <w:lang w:eastAsia="zh-CN"/>
        </w:rPr>
        <w:t>墨玉县同心路81号</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20"/>
          <w:sz w:val="22"/>
          <w:szCs w:val="22"/>
        </w:rPr>
        <w:t>单位地址：</w:t>
      </w:r>
      <w:r>
        <w:rPr>
          <w:rFonts w:hint="eastAsia" w:ascii="仿宋" w:hAnsi="仿宋" w:eastAsia="仿宋" w:cs="仿宋"/>
          <w:color w:val="auto"/>
          <w:spacing w:val="-6"/>
          <w:w w:val="100"/>
          <w:sz w:val="22"/>
          <w:szCs w:val="22"/>
          <w:u w:val="single"/>
          <w:lang w:val="en-US" w:eastAsia="zh-CN"/>
        </w:rPr>
        <w:t xml:space="preserve">                               </w:t>
      </w:r>
      <w:r>
        <w:rPr>
          <w:rFonts w:hint="eastAsia" w:ascii="仿宋" w:hAnsi="仿宋" w:eastAsia="仿宋" w:cs="仿宋"/>
          <w:color w:val="auto"/>
          <w:w w:val="100"/>
          <w:sz w:val="22"/>
          <w:szCs w:val="22"/>
          <w:u w:val="single"/>
          <w:lang w:val="en-US" w:eastAsia="zh-CN"/>
        </w:rPr>
        <w:t xml:space="preserve"> </w:t>
      </w:r>
    </w:p>
    <w:p>
      <w:pPr>
        <w:spacing w:line="360" w:lineRule="auto"/>
        <w:ind w:left="0" w:leftChars="0" w:firstLine="0" w:firstLineChars="0"/>
        <w:contextualSpacing/>
        <w:rPr>
          <w:rFonts w:hint="eastAsia" w:ascii="仿宋" w:hAnsi="仿宋" w:eastAsia="仿宋" w:cs="仿宋"/>
          <w:color w:val="auto"/>
          <w:sz w:val="22"/>
          <w:szCs w:val="22"/>
          <w:u w:val="single"/>
        </w:rPr>
      </w:pPr>
      <w:r>
        <w:rPr>
          <w:rFonts w:hint="eastAsia" w:ascii="仿宋" w:hAnsi="仿宋" w:eastAsia="仿宋" w:cs="仿宋"/>
          <w:color w:val="auto"/>
          <w:sz w:val="22"/>
          <w:szCs w:val="22"/>
        </w:rPr>
        <w:t>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分管领导</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委托代理人：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科室主任</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联系电话</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经</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办</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人</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银行账号</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pacing w:val="-6"/>
          <w:sz w:val="22"/>
          <w:szCs w:val="22"/>
          <w:u w:val="single"/>
          <w:lang w:val="en-US" w:eastAsia="zh-CN"/>
        </w:rPr>
      </w:pPr>
      <w:r>
        <w:rPr>
          <w:rFonts w:hint="eastAsia" w:ascii="仿宋" w:hAnsi="仿宋" w:eastAsia="仿宋" w:cs="仿宋"/>
          <w:color w:val="auto"/>
          <w:sz w:val="22"/>
          <w:szCs w:val="22"/>
        </w:rPr>
        <w:t xml:space="preserve">电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话：</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开户地址</w:t>
      </w:r>
      <w:r>
        <w:rPr>
          <w:rFonts w:hint="eastAsia" w:ascii="仿宋" w:hAnsi="仿宋" w:eastAsia="仿宋" w:cs="仿宋"/>
          <w:color w:val="auto"/>
          <w:sz w:val="22"/>
          <w:szCs w:val="22"/>
        </w:rPr>
        <w:t>：</w:t>
      </w:r>
      <w:r>
        <w:rPr>
          <w:rFonts w:hint="eastAsia" w:ascii="仿宋" w:hAnsi="仿宋" w:eastAsia="仿宋" w:cs="仿宋"/>
          <w:color w:val="auto"/>
          <w:sz w:val="22"/>
          <w:szCs w:val="22"/>
          <w:u w:val="single"/>
          <w:lang w:val="en-US" w:eastAsia="zh-CN"/>
        </w:rPr>
        <w:t xml:space="preserve">                               </w:t>
      </w:r>
    </w:p>
    <w:p>
      <w:pPr>
        <w:pStyle w:val="2"/>
        <w:spacing w:line="360" w:lineRule="auto"/>
        <w:rPr>
          <w:rFonts w:hint="eastAsia" w:ascii="仿宋" w:hAnsi="仿宋" w:eastAsia="仿宋" w:cs="仿宋"/>
          <w:color w:val="auto"/>
          <w:sz w:val="22"/>
          <w:szCs w:val="22"/>
          <w:lang w:val="en-US"/>
        </w:rPr>
      </w:pPr>
    </w:p>
    <w:p>
      <w:pPr>
        <w:spacing w:line="360" w:lineRule="auto"/>
        <w:ind w:firstLine="200"/>
        <w:contextualSpacing/>
        <w:jc w:val="center"/>
        <w:rPr>
          <w:rFonts w:hint="eastAsia" w:ascii="仿宋" w:hAnsi="仿宋" w:eastAsia="仿宋" w:cs="仿宋"/>
          <w:color w:val="auto"/>
          <w:sz w:val="22"/>
          <w:szCs w:val="22"/>
        </w:rPr>
      </w:pPr>
      <w:r>
        <w:rPr>
          <w:rFonts w:hint="eastAsia" w:ascii="仿宋" w:hAnsi="仿宋" w:eastAsia="仿宋" w:cs="仿宋"/>
          <w:color w:val="auto"/>
          <w:sz w:val="22"/>
          <w:szCs w:val="22"/>
        </w:rPr>
        <w:t>签订日期：</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日</w:t>
      </w:r>
    </w:p>
    <w:p/>
    <w:p>
      <w:pPr>
        <w:pStyle w:val="43"/>
        <w:rPr>
          <w:rFonts w:hint="eastAsia" w:ascii="仿宋" w:hAnsi="仿宋" w:eastAsia="仿宋" w:cs="仿宋"/>
          <w:color w:val="auto"/>
          <w:sz w:val="22"/>
          <w:szCs w:val="22"/>
        </w:rPr>
      </w:pPr>
    </w:p>
    <w:p>
      <w:pPr>
        <w:rPr>
          <w:rFonts w:hint="eastAsia" w:ascii="仿宋" w:hAnsi="仿宋" w:eastAsia="仿宋" w:cs="仿宋"/>
          <w:color w:val="auto"/>
          <w:sz w:val="22"/>
          <w:szCs w:val="22"/>
        </w:rPr>
      </w:pPr>
    </w:p>
    <w:p>
      <w:pPr>
        <w:pStyle w:val="5"/>
        <w:rPr>
          <w:rFonts w:hint="eastAsia"/>
        </w:rPr>
      </w:pPr>
    </w:p>
    <w:p>
      <w:pPr>
        <w:rPr>
          <w:rFonts w:hint="eastAsia" w:ascii="仿宋" w:hAnsi="仿宋" w:eastAsia="仿宋" w:cs="仿宋"/>
        </w:rPr>
      </w:pPr>
    </w:p>
    <w:bookmarkEnd w:id="219"/>
    <w:bookmarkEnd w:id="220"/>
    <w:bookmarkEnd w:id="221"/>
    <w:bookmarkEnd w:id="222"/>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第五</w:t>
      </w:r>
      <w:r>
        <w:rPr>
          <w:rFonts w:hint="eastAsia" w:ascii="仿宋" w:hAnsi="仿宋" w:eastAsia="仿宋" w:cs="仿宋"/>
          <w:b/>
          <w:color w:val="auto"/>
          <w:sz w:val="32"/>
          <w:szCs w:val="32"/>
          <w:highlight w:val="none"/>
          <w:lang w:eastAsia="zh-CN"/>
        </w:rPr>
        <w:t>章</w:t>
      </w:r>
      <w:r>
        <w:rPr>
          <w:rFonts w:hint="eastAsia" w:ascii="仿宋" w:hAnsi="仿宋" w:eastAsia="仿宋" w:cs="仿宋"/>
          <w:b/>
          <w:color w:val="auto"/>
          <w:sz w:val="32"/>
          <w:szCs w:val="32"/>
          <w:highlight w:val="none"/>
        </w:rPr>
        <w:t xml:space="preserve">  投标文件内容及格式</w:t>
      </w:r>
    </w:p>
    <w:p>
      <w:pPr>
        <w:pStyle w:val="62"/>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62"/>
        <w:spacing w:line="240" w:lineRule="auto"/>
        <w:jc w:val="center"/>
        <w:rPr>
          <w:rFonts w:hint="eastAsia" w:ascii="仿宋" w:hAnsi="仿宋" w:eastAsia="仿宋" w:cs="仿宋"/>
          <w:color w:val="auto"/>
          <w:sz w:val="28"/>
          <w:szCs w:val="28"/>
          <w:highlight w:val="none"/>
          <w:bdr w:val="single" w:color="auto" w:sz="4" w:space="0"/>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bdr w:val="single" w:color="auto" w:sz="4" w:space="0"/>
        </w:rPr>
        <w:t xml:space="preserve"> 正本 </w:t>
      </w:r>
    </w:p>
    <w:p>
      <w:pPr>
        <w:pStyle w:val="62"/>
        <w:spacing w:line="240" w:lineRule="auto"/>
        <w:jc w:val="center"/>
        <w:rPr>
          <w:rFonts w:hint="eastAsia" w:ascii="仿宋" w:hAnsi="仿宋" w:eastAsia="仿宋" w:cs="仿宋"/>
          <w:color w:val="auto"/>
          <w:sz w:val="28"/>
          <w:szCs w:val="28"/>
          <w:highlight w:val="none"/>
        </w:rPr>
      </w:pPr>
    </w:p>
    <w:p>
      <w:pPr>
        <w:spacing w:line="240" w:lineRule="auto"/>
        <w:ind w:right="9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（项目名称）</w:t>
      </w:r>
    </w:p>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0"/>
          <w:highlight w:val="none"/>
        </w:rPr>
        <w:t xml:space="preserve">             </w:t>
      </w:r>
    </w:p>
    <w:p>
      <w:pPr>
        <w:spacing w:line="240" w:lineRule="auto"/>
        <w:ind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招标文件编号： </w:t>
      </w:r>
      <w:r>
        <w:rPr>
          <w:rFonts w:hint="eastAsia" w:ascii="仿宋" w:hAnsi="仿宋" w:eastAsia="仿宋" w:cs="仿宋"/>
          <w:color w:val="auto"/>
          <w:sz w:val="28"/>
          <w:szCs w:val="28"/>
          <w:highlight w:val="none"/>
          <w:u w:val="singl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240" w:lineRule="auto"/>
        <w:jc w:val="center"/>
        <w:outlineLvl w:val="1"/>
        <w:rPr>
          <w:rFonts w:hint="eastAsia" w:ascii="仿宋" w:hAnsi="仿宋" w:eastAsia="仿宋" w:cs="仿宋"/>
          <w:b/>
          <w:bCs/>
          <w:color w:val="auto"/>
          <w:sz w:val="44"/>
          <w:szCs w:val="44"/>
          <w:highlight w:val="none"/>
        </w:rPr>
      </w:pPr>
      <w:bookmarkStart w:id="223" w:name="_Toc21764"/>
      <w:r>
        <w:rPr>
          <w:rFonts w:hint="eastAsia" w:ascii="仿宋" w:hAnsi="仿宋" w:eastAsia="仿宋" w:cs="仿宋"/>
          <w:b/>
          <w:bCs/>
          <w:color w:val="auto"/>
          <w:sz w:val="44"/>
          <w:szCs w:val="44"/>
          <w:highlight w:val="none"/>
        </w:rPr>
        <w:t>投  标  文  件</w:t>
      </w:r>
      <w:bookmarkEnd w:id="223"/>
    </w:p>
    <w:p>
      <w:pPr>
        <w:spacing w:line="240" w:lineRule="auto"/>
        <w:rPr>
          <w:rFonts w:hint="eastAsia" w:ascii="仿宋" w:hAnsi="仿宋" w:eastAsia="仿宋" w:cs="仿宋"/>
          <w:b/>
          <w:bCs/>
          <w:color w:val="auto"/>
          <w:sz w:val="44"/>
          <w:szCs w:val="44"/>
          <w:highlight w:val="none"/>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投标人：_____________________________（盖单位章）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法定代表人：_______________________（签字或盖章）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联系电话：_____________________________________</w:t>
      </w:r>
    </w:p>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pPr>
        <w:numPr>
          <w:ilvl w:val="0"/>
          <w:numId w:val="0"/>
        </w:numPr>
        <w:ind w:left="420" w:leftChars="0"/>
        <w:rPr>
          <w:rFonts w:hint="eastAsia" w:ascii="仿宋" w:hAnsi="仿宋" w:eastAsia="仿宋" w:cs="仿宋"/>
          <w:color w:val="auto"/>
          <w:highlight w:val="none"/>
          <w:lang w:val="en-US" w:eastAsia="zh-CN"/>
        </w:rPr>
      </w:pPr>
    </w:p>
    <w:p>
      <w:pPr>
        <w:pStyle w:val="30"/>
        <w:rPr>
          <w:rFonts w:hint="eastAsia" w:ascii="仿宋" w:hAnsi="仿宋" w:eastAsia="仿宋" w:cs="仿宋"/>
          <w:color w:val="auto"/>
          <w:highlight w:val="none"/>
        </w:rPr>
        <w:sectPr>
          <w:headerReference r:id="rId9" w:type="default"/>
          <w:footerReference r:id="rId10" w:type="default"/>
          <w:pgSz w:w="11906" w:h="16838"/>
          <w:pgMar w:top="851" w:right="1304" w:bottom="1134" w:left="1304" w:header="851" w:footer="680" w:gutter="0"/>
          <w:pgNumType w:fmt="numberInDash"/>
          <w:cols w:space="720" w:num="1"/>
          <w:docGrid w:linePitch="312" w:charSpace="0"/>
        </w:sectPr>
      </w:pPr>
    </w:p>
    <w:p>
      <w:pPr>
        <w:numPr>
          <w:ilvl w:val="0"/>
          <w:numId w:val="0"/>
        </w:numPr>
        <w:jc w:val="center"/>
        <w:rPr>
          <w:rFonts w:hint="eastAsia"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pPr>
        <w:pStyle w:val="19"/>
        <w:spacing w:line="360" w:lineRule="auto"/>
        <w:ind w:left="119" w:firstLine="480"/>
        <w:rPr>
          <w:rFonts w:hint="eastAsia" w:ascii="仿宋" w:hAnsi="仿宋" w:eastAsia="仿宋" w:cs="仿宋"/>
          <w:color w:val="auto"/>
          <w:sz w:val="33"/>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lang w:eastAsia="zh-CN"/>
        </w:rPr>
        <w:t>（采购人）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spacing w:line="440" w:lineRule="exact"/>
        <w:ind w:firstLine="555"/>
        <w:rPr>
          <w:rStyle w:val="148"/>
          <w:rFonts w:hint="eastAsia" w:ascii="仿宋" w:hAnsi="仿宋" w:eastAsia="仿宋" w:cs="仿宋"/>
          <w:color w:val="auto"/>
          <w:sz w:val="24"/>
          <w:szCs w:val="24"/>
          <w:highlight w:val="none"/>
        </w:rPr>
      </w:pPr>
      <w:r>
        <w:rPr>
          <w:rStyle w:val="148"/>
          <w:rFonts w:hint="eastAsia" w:ascii="仿宋" w:hAnsi="仿宋" w:eastAsia="仿宋" w:cs="仿宋"/>
          <w:b/>
          <w:color w:val="auto"/>
          <w:sz w:val="24"/>
          <w:szCs w:val="24"/>
          <w:highlight w:val="none"/>
          <w:lang w:val="en-US" w:eastAsia="zh-CN"/>
        </w:rPr>
        <w:t xml:space="preserve"> </w:t>
      </w:r>
      <w:r>
        <w:rPr>
          <w:rStyle w:val="148"/>
          <w:rFonts w:hint="eastAsia" w:ascii="仿宋" w:hAnsi="仿宋" w:eastAsia="仿宋" w:cs="仿宋"/>
          <w:color w:val="auto"/>
          <w:sz w:val="24"/>
          <w:szCs w:val="24"/>
          <w:highlight w:val="none"/>
        </w:rPr>
        <w:t>根据贵方为项目招标的投标邀请</w:t>
      </w:r>
      <w:r>
        <w:rPr>
          <w:rStyle w:val="148"/>
          <w:rFonts w:hint="eastAsia" w:ascii="仿宋" w:hAnsi="仿宋" w:eastAsia="仿宋" w:cs="仿宋"/>
          <w:color w:val="auto"/>
          <w:sz w:val="24"/>
          <w:szCs w:val="24"/>
          <w:highlight w:val="none"/>
          <w:u w:val="single"/>
        </w:rPr>
        <w:t>项目编号</w:t>
      </w:r>
      <w:r>
        <w:rPr>
          <w:rStyle w:val="148"/>
          <w:rFonts w:hint="eastAsia" w:ascii="仿宋" w:hAnsi="仿宋" w:eastAsia="仿宋" w:cs="仿宋"/>
          <w:color w:val="auto"/>
          <w:sz w:val="24"/>
          <w:szCs w:val="24"/>
          <w:highlight w:val="none"/>
        </w:rPr>
        <w:t>，</w:t>
      </w:r>
      <w:r>
        <w:rPr>
          <w:rStyle w:val="148"/>
          <w:rFonts w:hint="eastAsia" w:ascii="仿宋" w:hAnsi="仿宋" w:eastAsia="仿宋" w:cs="仿宋"/>
          <w:color w:val="auto"/>
          <w:sz w:val="24"/>
          <w:szCs w:val="24"/>
          <w:highlight w:val="none"/>
          <w:lang w:val="en-US" w:eastAsia="zh-CN"/>
        </w:rPr>
        <w:t>授权</w:t>
      </w:r>
      <w:r>
        <w:rPr>
          <w:rStyle w:val="148"/>
          <w:rFonts w:hint="eastAsia" w:ascii="仿宋" w:hAnsi="仿宋" w:eastAsia="仿宋" w:cs="仿宋"/>
          <w:color w:val="auto"/>
          <w:sz w:val="24"/>
          <w:szCs w:val="24"/>
          <w:highlight w:val="none"/>
        </w:rPr>
        <w:t>签字代表</w:t>
      </w:r>
      <w:r>
        <w:rPr>
          <w:rStyle w:val="148"/>
          <w:rFonts w:hint="eastAsia" w:ascii="仿宋" w:hAnsi="仿宋" w:eastAsia="仿宋" w:cs="仿宋"/>
          <w:color w:val="auto"/>
          <w:sz w:val="24"/>
          <w:szCs w:val="24"/>
          <w:highlight w:val="none"/>
          <w:u w:val="single"/>
        </w:rPr>
        <w:t>（姓名、职务）</w:t>
      </w:r>
      <w:r>
        <w:rPr>
          <w:rStyle w:val="148"/>
          <w:rFonts w:hint="eastAsia" w:ascii="仿宋" w:hAnsi="仿宋" w:eastAsia="仿宋" w:cs="仿宋"/>
          <w:color w:val="auto"/>
          <w:sz w:val="24"/>
          <w:szCs w:val="24"/>
          <w:highlight w:val="none"/>
        </w:rPr>
        <w:t>经正式授权并代表</w:t>
      </w: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u w:val="single"/>
        </w:rPr>
        <w:t>（</w:t>
      </w:r>
      <w:r>
        <w:rPr>
          <w:rStyle w:val="148"/>
          <w:rFonts w:hint="eastAsia" w:ascii="仿宋" w:hAnsi="仿宋" w:eastAsia="仿宋" w:cs="仿宋"/>
          <w:color w:val="auto"/>
          <w:sz w:val="24"/>
          <w:szCs w:val="24"/>
          <w:highlight w:val="none"/>
          <w:u w:val="single"/>
          <w:lang w:eastAsia="zh-CN"/>
        </w:rPr>
        <w:t>投标人</w:t>
      </w:r>
      <w:r>
        <w:rPr>
          <w:rStyle w:val="148"/>
          <w:rFonts w:hint="eastAsia" w:ascii="仿宋" w:hAnsi="仿宋" w:eastAsia="仿宋" w:cs="仿宋"/>
          <w:color w:val="auto"/>
          <w:sz w:val="24"/>
          <w:szCs w:val="24"/>
          <w:highlight w:val="none"/>
          <w:u w:val="single"/>
        </w:rPr>
        <w:t>名称、地址）</w:t>
      </w:r>
      <w:r>
        <w:rPr>
          <w:rStyle w:val="148"/>
          <w:rFonts w:hint="eastAsia" w:ascii="仿宋" w:hAnsi="仿宋" w:eastAsia="仿宋" w:cs="仿宋"/>
          <w:color w:val="auto"/>
          <w:sz w:val="24"/>
          <w:szCs w:val="24"/>
          <w:highlight w:val="none"/>
        </w:rPr>
        <w:t>对此项目进行投标。据此函，签字代表宣布并同意如下：</w:t>
      </w:r>
    </w:p>
    <w:p>
      <w:pPr>
        <w:spacing w:line="440" w:lineRule="exact"/>
        <w:ind w:firstLine="480" w:firstLineChars="2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1、所附明细报价表中规定的应提交和交付的货物和货物投标总价为</w:t>
      </w:r>
      <w:r>
        <w:rPr>
          <w:rStyle w:val="148"/>
          <w:rFonts w:hint="eastAsia" w:ascii="仿宋" w:hAnsi="仿宋" w:eastAsia="仿宋" w:cs="仿宋"/>
          <w:color w:val="auto"/>
          <w:sz w:val="24"/>
          <w:szCs w:val="24"/>
          <w:highlight w:val="none"/>
          <w:u w:val="single"/>
        </w:rPr>
        <w:t>（注明币种，并用文字和数字表示的投标单价总价）。</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2、我方同意在本项目招标文件中规定的开标日起</w:t>
      </w:r>
      <w:r>
        <w:rPr>
          <w:rStyle w:val="148"/>
          <w:rFonts w:hint="eastAsia" w:ascii="仿宋" w:hAnsi="仿宋" w:eastAsia="仿宋" w:cs="仿宋"/>
          <w:color w:val="auto"/>
          <w:sz w:val="24"/>
          <w:szCs w:val="24"/>
          <w:highlight w:val="none"/>
          <w:u w:val="single"/>
          <w:lang w:val="en-US" w:eastAsia="zh-CN"/>
        </w:rPr>
        <w:t xml:space="preserve">     </w:t>
      </w:r>
      <w:r>
        <w:rPr>
          <w:rStyle w:val="148"/>
          <w:rFonts w:hint="eastAsia" w:ascii="仿宋" w:hAnsi="仿宋" w:eastAsia="仿宋" w:cs="仿宋"/>
          <w:color w:val="auto"/>
          <w:sz w:val="24"/>
          <w:szCs w:val="24"/>
          <w:highlight w:val="none"/>
        </w:rPr>
        <w:t>遵守本投标文件中的承诺且在此期限期满之前均具有约束力。</w:t>
      </w:r>
    </w:p>
    <w:p>
      <w:pPr>
        <w:pStyle w:val="149"/>
        <w:snapToGrid w:val="0"/>
        <w:spacing w:line="440" w:lineRule="exact"/>
        <w:ind w:firstLine="480" w:firstLineChars="200"/>
        <w:rPr>
          <w:rStyle w:val="148"/>
          <w:rFonts w:hint="eastAsia" w:ascii="仿宋" w:hAnsi="仿宋" w:eastAsia="仿宋" w:cs="仿宋"/>
          <w:color w:val="auto"/>
          <w:kern w:val="2"/>
          <w:sz w:val="24"/>
          <w:szCs w:val="24"/>
          <w:highlight w:val="none"/>
        </w:rPr>
      </w:pPr>
      <w:r>
        <w:rPr>
          <w:rStyle w:val="148"/>
          <w:rFonts w:hint="eastAsia" w:ascii="仿宋" w:hAnsi="仿宋" w:eastAsia="仿宋" w:cs="仿宋"/>
          <w:color w:val="auto"/>
          <w:kern w:val="2"/>
          <w:sz w:val="24"/>
          <w:szCs w:val="24"/>
          <w:highlight w:val="none"/>
        </w:rPr>
        <w:t>3、我方承诺已经具备《中华人民共和国政府采购法》中规定的参加政府采购活动的投标人应当具备的条件：</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具有独立承担民事责任的能力；</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具有良好的商业信誉和健全的财务会计制度；</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具有履行合同所必需的设备和专业技术能力；</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有依法缴纳税收和社会保障资金的良好记录；</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参加此项采购活动前三年内，在经营活动中没有重大违法记录。</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4、按招标文件要求提供和交付的货物和货物的投标报价详见投标报价表。</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5</w:t>
      </w:r>
      <w:r>
        <w:rPr>
          <w:rStyle w:val="148"/>
          <w:rFonts w:hint="eastAsia" w:ascii="仿宋" w:hAnsi="仿宋" w:eastAsia="仿宋" w:cs="仿宋"/>
          <w:color w:val="auto"/>
          <w:sz w:val="24"/>
          <w:szCs w:val="24"/>
          <w:highlight w:val="none"/>
        </w:rPr>
        <w:t>、保证忠实地执行双方所签订的合同，并承担合同规定的责任和义务。</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6</w:t>
      </w:r>
      <w:r>
        <w:rPr>
          <w:rStyle w:val="148"/>
          <w:rFonts w:hint="eastAsia" w:ascii="仿宋" w:hAnsi="仿宋" w:eastAsia="仿宋" w:cs="仿宋"/>
          <w:color w:val="auto"/>
          <w:sz w:val="24"/>
          <w:szCs w:val="24"/>
          <w:highlight w:val="none"/>
        </w:rPr>
        <w:t>、遵守招标文件的规定，对交付的货物数量、规格、技术参数、货物等保证做到响应性的一一对应。否则，愿意承担违约的处罚。</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7</w:t>
      </w:r>
      <w:r>
        <w:rPr>
          <w:rStyle w:val="148"/>
          <w:rFonts w:hint="eastAsia" w:ascii="仿宋" w:hAnsi="仿宋" w:eastAsia="仿宋" w:cs="仿宋"/>
          <w:color w:val="auto"/>
          <w:sz w:val="24"/>
          <w:szCs w:val="24"/>
          <w:highlight w:val="none"/>
        </w:rPr>
        <w:t>、如果在开标后规定的投标有效期内撤回投标，我方的投标保证金可被贵方没收。</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8</w:t>
      </w:r>
      <w:r>
        <w:rPr>
          <w:rStyle w:val="148"/>
          <w:rFonts w:hint="eastAsia" w:ascii="仿宋" w:hAnsi="仿宋" w:eastAsia="仿宋" w:cs="仿宋"/>
          <w:color w:val="auto"/>
          <w:sz w:val="24"/>
          <w:szCs w:val="24"/>
          <w:highlight w:val="none"/>
        </w:rPr>
        <w:t>、我方完全理解贵方不一定接受最低价的投标或收到的任何投标。</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9</w:t>
      </w:r>
      <w:r>
        <w:rPr>
          <w:rStyle w:val="148"/>
          <w:rFonts w:hint="eastAsia" w:ascii="仿宋" w:hAnsi="仿宋" w:eastAsia="仿宋" w:cs="仿宋"/>
          <w:color w:val="auto"/>
          <w:sz w:val="24"/>
          <w:szCs w:val="24"/>
          <w:highlight w:val="none"/>
        </w:rPr>
        <w:t>、我方愿意向贵方提供任何与本项投标有关的数据、情况和技术资料。若贵方需要，我方愿意提供我方作出的一切承诺的证明材料。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0</w:t>
      </w:r>
      <w:r>
        <w:rPr>
          <w:rStyle w:val="148"/>
          <w:rFonts w:hint="eastAsia" w:ascii="仿宋" w:hAnsi="仿宋" w:eastAsia="仿宋" w:cs="仿宋"/>
          <w:color w:val="auto"/>
          <w:sz w:val="24"/>
          <w:szCs w:val="24"/>
          <w:highlight w:val="none"/>
        </w:rPr>
        <w:t>、我方已详细审核全部投标文件，包括“修改投标文件”（如有的话）、参考资料及有关附件，确认无误。</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1</w:t>
      </w:r>
      <w:r>
        <w:rPr>
          <w:rStyle w:val="148"/>
          <w:rFonts w:hint="eastAsia" w:ascii="仿宋" w:hAnsi="仿宋" w:eastAsia="仿宋" w:cs="仿宋"/>
          <w:color w:val="auto"/>
          <w:sz w:val="24"/>
          <w:szCs w:val="24"/>
          <w:highlight w:val="none"/>
        </w:rPr>
        <w:t>、我方承诺接受招标文件中合同部分的全部条款且无任何异议。</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2</w:t>
      </w:r>
      <w:r>
        <w:rPr>
          <w:rStyle w:val="148"/>
          <w:rFonts w:hint="eastAsia" w:ascii="仿宋" w:hAnsi="仿宋" w:eastAsia="仿宋" w:cs="仿宋"/>
          <w:color w:val="auto"/>
          <w:sz w:val="24"/>
          <w:szCs w:val="24"/>
          <w:highlight w:val="none"/>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提供虚假材料谋取中标、成交的；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采取不正当手段诋毁、排挤其他投标人的；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与采购人、其它投标人或者采购代理机构恶意串通的；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向采购人、采购代理机构行贿或者提供其他不正当利益的；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未经采购代理机构同意，在采购过程中与采购人进行协商谈判的；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拒绝有关部门监督检查或提供虚假情况的。</w:t>
      </w:r>
    </w:p>
    <w:p>
      <w:pPr>
        <w:snapToGrid w:val="0"/>
        <w:spacing w:line="440" w:lineRule="exact"/>
        <w:rPr>
          <w:rStyle w:val="148"/>
          <w:rFonts w:hint="eastAsia" w:ascii="仿宋" w:hAnsi="仿宋" w:eastAsia="仿宋" w:cs="仿宋"/>
          <w:color w:val="auto"/>
          <w:sz w:val="24"/>
          <w:szCs w:val="24"/>
          <w:highlight w:val="none"/>
          <w:lang w:val="en-US" w:eastAsia="zh-CN"/>
        </w:rPr>
      </w:pPr>
      <w:r>
        <w:rPr>
          <w:rStyle w:val="148"/>
          <w:rFonts w:hint="eastAsia" w:ascii="仿宋" w:hAnsi="仿宋" w:eastAsia="仿宋" w:cs="仿宋"/>
          <w:color w:val="auto"/>
          <w:sz w:val="24"/>
          <w:szCs w:val="24"/>
          <w:highlight w:val="none"/>
          <w:lang w:val="en-US" w:eastAsia="zh-CN"/>
        </w:rPr>
        <w:t>13.其他</w:t>
      </w:r>
      <w:r>
        <w:rPr>
          <w:rStyle w:val="148"/>
          <w:rFonts w:hint="eastAsia" w:ascii="仿宋" w:hAnsi="仿宋" w:eastAsia="仿宋" w:cs="仿宋"/>
          <w:color w:val="auto"/>
          <w:sz w:val="24"/>
          <w:szCs w:val="24"/>
          <w:highlight w:val="none"/>
          <w:u w:val="single"/>
          <w:lang w:val="en-US" w:eastAsia="zh-CN"/>
        </w:rPr>
        <w:t xml:space="preserve">                          </w:t>
      </w: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与本投标有关的一切正式往来信函请寄：</w:t>
      </w:r>
    </w:p>
    <w:p>
      <w:pPr>
        <w:spacing w:line="440" w:lineRule="exact"/>
        <w:ind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地　　　　　址：</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邮编：</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电　　　　　话：</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传真：</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名称（单位公章）：</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代表签字：</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jc w:val="left"/>
        <w:rPr>
          <w:rStyle w:val="148"/>
          <w:rFonts w:hint="eastAsia" w:ascii="仿宋" w:hAnsi="仿宋" w:eastAsia="仿宋" w:cs="仿宋"/>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pStyle w:val="2"/>
        <w:rPr>
          <w:rStyle w:val="148"/>
          <w:rFonts w:hint="eastAsia" w:ascii="仿宋" w:hAnsi="仿宋" w:eastAsia="仿宋" w:cs="仿宋"/>
          <w:b/>
          <w:color w:val="auto"/>
          <w:sz w:val="24"/>
          <w:szCs w:val="24"/>
          <w:highlight w:val="none"/>
        </w:rPr>
      </w:pPr>
    </w:p>
    <w:p>
      <w:pPr>
        <w:rPr>
          <w:rFonts w:hint="eastAsia" w:ascii="仿宋" w:hAnsi="仿宋" w:eastAsia="仿宋" w:cs="仿宋"/>
          <w:color w:val="auto"/>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r>
        <w:rPr>
          <w:rStyle w:val="148"/>
          <w:rFonts w:hint="eastAsia" w:ascii="仿宋" w:hAnsi="仿宋" w:eastAsia="仿宋" w:cs="仿宋"/>
          <w:b/>
          <w:color w:val="auto"/>
          <w:sz w:val="24"/>
          <w:szCs w:val="24"/>
          <w:highlight w:val="none"/>
        </w:rPr>
        <w:t>注：除可填报项目外，对本投标函的任何修改将被视为非实质性响应投标，从而导致该投标被拒绝。</w:t>
      </w: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pStyle w:val="53"/>
        <w:rPr>
          <w:rFonts w:hint="eastAsia" w:ascii="仿宋" w:hAnsi="仿宋" w:eastAsia="仿宋" w:cs="仿宋"/>
          <w:lang w:val="en-US" w:eastAsia="zh-CN"/>
        </w:rPr>
      </w:pPr>
    </w:p>
    <w:p>
      <w:pPr>
        <w:spacing w:line="440" w:lineRule="exact"/>
        <w:jc w:val="both"/>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投标文件真实性和不存在限制投标情形的声明</w:t>
      </w:r>
    </w:p>
    <w:p>
      <w:pPr>
        <w:spacing w:line="200" w:lineRule="exact"/>
        <w:rPr>
          <w:rFonts w:hint="eastAsia" w:ascii="仿宋" w:hAnsi="仿宋" w:eastAsia="仿宋" w:cs="仿宋"/>
          <w:color w:val="auto"/>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墨玉县教育局</w:t>
      </w:r>
      <w:r>
        <w:rPr>
          <w:rFonts w:hint="eastAsia" w:ascii="仿宋" w:hAnsi="仿宋" w:eastAsia="仿宋" w:cs="仿宋"/>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pPr>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224" w:name="_Toc21183"/>
      <w:bookmarkStart w:id="225" w:name="_Toc21652"/>
      <w:bookmarkStart w:id="226" w:name="_Toc2775"/>
      <w:bookmarkStart w:id="227" w:name="_Toc7164"/>
      <w:bookmarkStart w:id="228" w:name="_Toc22822"/>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sectPr>
          <w:headerReference r:id="rId11" w:type="default"/>
          <w:footerReference r:id="rId12"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三、开标</w:t>
      </w:r>
      <w:r>
        <w:rPr>
          <w:rFonts w:hint="eastAsia" w:ascii="仿宋" w:hAnsi="仿宋" w:eastAsia="仿宋" w:cs="仿宋"/>
          <w:b/>
          <w:bCs/>
          <w:color w:val="auto"/>
          <w:sz w:val="30"/>
          <w:szCs w:val="30"/>
          <w:highlight w:val="none"/>
        </w:rPr>
        <w:t>一览表</w:t>
      </w:r>
      <w:bookmarkEnd w:id="224"/>
      <w:bookmarkEnd w:id="225"/>
      <w:bookmarkEnd w:id="226"/>
      <w:bookmarkEnd w:id="227"/>
      <w:bookmarkEnd w:id="228"/>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highlight w:val="none"/>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187" w:type="dxa"/>
            <w:noWrap w:val="0"/>
            <w:vAlign w:val="center"/>
          </w:tcPr>
          <w:p>
            <w:pPr>
              <w:pStyle w:val="24"/>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2072" w:type="dxa"/>
            <w:noWrap w:val="0"/>
            <w:vAlign w:val="center"/>
          </w:tcPr>
          <w:p>
            <w:pPr>
              <w:pStyle w:val="24"/>
              <w:spacing w:line="360" w:lineRule="auto"/>
              <w:ind w:left="719" w:leftChars="114" w:hanging="480" w:hanging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7187" w:type="dxa"/>
            <w:noWrap w:val="0"/>
            <w:vAlign w:val="center"/>
          </w:tcPr>
          <w:p>
            <w:pPr>
              <w:pStyle w:val="24"/>
              <w:spacing w:line="48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大写：人民币______元</w:t>
            </w:r>
          </w:p>
          <w:p>
            <w:pPr>
              <w:pStyle w:val="24"/>
              <w:spacing w:line="48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Style w:val="48"/>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质量要求</w:t>
            </w:r>
          </w:p>
        </w:tc>
        <w:tc>
          <w:tcPr>
            <w:tcW w:w="7187" w:type="dxa"/>
            <w:noWrap w:val="0"/>
            <w:vAlign w:val="center"/>
          </w:tcPr>
          <w:p>
            <w:pPr>
              <w:pStyle w:val="24"/>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交货地点</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供货期/服务项目负责人</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保证金缴纳方式</w:t>
            </w:r>
          </w:p>
        </w:tc>
        <w:tc>
          <w:tcPr>
            <w:tcW w:w="7187" w:type="dxa"/>
            <w:noWrap w:val="0"/>
            <w:vAlign w:val="center"/>
          </w:tcPr>
          <w:p>
            <w:pPr>
              <w:keepNext w:val="0"/>
              <w:keepLines w:val="0"/>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c>
          <w:tcPr>
            <w:tcW w:w="7187" w:type="dxa"/>
            <w:noWrap w:val="0"/>
            <w:vAlign w:val="center"/>
          </w:tcPr>
          <w:p>
            <w:pPr>
              <w:numPr>
                <w:ilvl w:val="0"/>
                <w:numId w:val="14"/>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以人民币计算（含税），投标人应在开标一览表中标明其提供的所有货物及相关工作范围内所有费用的总价。</w:t>
            </w:r>
          </w:p>
          <w:p>
            <w:pPr>
              <w:numPr>
                <w:ilvl w:val="0"/>
                <w:numId w:val="0"/>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任何有选择或有条件的投标总价或表中某一包填写多个报价，均将导致投标被拒绝；</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、报价为含税金额，税票为增值税专用发票。</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、大写标注：壹、贰、叁、肆、伍、陆、柒、捌、玖、拾、佰、仟、万、亿。</w:t>
            </w:r>
          </w:p>
        </w:tc>
      </w:tr>
    </w:tbl>
    <w:p>
      <w:pPr>
        <w:rPr>
          <w:rFonts w:hint="eastAsia" w:ascii="仿宋" w:hAnsi="仿宋" w:eastAsia="仿宋" w:cs="仿宋"/>
          <w:b w:val="0"/>
          <w:bCs/>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注：1、本表格式不得更改，投标单位只能按要求填报，否则将被视为无效。</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2、投标一览表中投标单价总报价大小应写一致，如不一致以大写为准。</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3、以上报价含一切费用,是指货物经验收交付采购人使用的价格。</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投标单位：（单位公章）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bookmarkStart w:id="229" w:name="_Toc32601"/>
      <w:bookmarkStart w:id="230" w:name="_Toc12987"/>
      <w:bookmarkStart w:id="231" w:name="_Toc21935"/>
      <w:bookmarkStart w:id="232" w:name="_Toc4570"/>
      <w:bookmarkStart w:id="233" w:name="_Toc4683"/>
    </w:p>
    <w:p>
      <w:pPr>
        <w:spacing w:line="360" w:lineRule="auto"/>
        <w:rPr>
          <w:rFonts w:hint="eastAsia" w:ascii="仿宋" w:hAnsi="仿宋" w:eastAsia="仿宋" w:cs="仿宋"/>
          <w:color w:val="auto"/>
          <w:sz w:val="24"/>
          <w:highlight w:val="none"/>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0" w:num="1"/>
          <w:rtlGutter w:val="0"/>
          <w:docGrid w:type="lines" w:linePitch="316" w:charSpace="0"/>
        </w:sectPr>
      </w:pPr>
    </w:p>
    <w:p>
      <w:pPr>
        <w:pStyle w:val="4"/>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229"/>
      <w:bookmarkEnd w:id="230"/>
      <w:bookmarkEnd w:id="231"/>
      <w:bookmarkEnd w:id="232"/>
      <w:bookmarkEnd w:id="233"/>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22"/>
          <w:highlight w:val="none"/>
          <w:lang w:val="en-US" w:eastAsia="zh-CN" w:bidi="ar-SA"/>
        </w:rPr>
        <w:t xml:space="preserve">项目编号： </w:t>
      </w:r>
      <w:r>
        <w:rPr>
          <w:rFonts w:hint="eastAsia" w:ascii="仿宋" w:hAnsi="仿宋" w:eastAsia="仿宋" w:cs="仿宋"/>
          <w:color w:val="auto"/>
          <w:sz w:val="24"/>
          <w:highlight w:val="none"/>
        </w:rPr>
        <w:t xml:space="preserve">      </w:t>
      </w:r>
    </w:p>
    <w:tbl>
      <w:tblPr>
        <w:tblStyle w:val="4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69"/>
        <w:gridCol w:w="1277"/>
        <w:gridCol w:w="622"/>
        <w:gridCol w:w="712"/>
        <w:gridCol w:w="1643"/>
        <w:gridCol w:w="1643"/>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u w:val="none"/>
                <w:lang w:val="en-US" w:eastAsia="zh-CN"/>
              </w:rPr>
              <w:t>标的</w:t>
            </w:r>
            <w:r>
              <w:rPr>
                <w:rFonts w:hint="eastAsia" w:ascii="仿宋" w:hAnsi="仿宋" w:eastAsia="仿宋" w:cs="仿宋"/>
                <w:color w:val="auto"/>
                <w:sz w:val="24"/>
                <w:highlight w:val="none"/>
                <w:u w:val="none"/>
              </w:rPr>
              <w:t>名称</w:t>
            </w: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i w:val="0"/>
                <w:iCs w:val="0"/>
                <w:snapToGrid w:val="0"/>
                <w:color w:val="auto"/>
                <w:kern w:val="0"/>
                <w:sz w:val="24"/>
                <w:szCs w:val="24"/>
                <w:highlight w:val="none"/>
                <w:u w:val="none"/>
                <w:lang w:val="en-US" w:eastAsia="zh-CN" w:bidi="ar"/>
              </w:rPr>
              <w:t>规格及要求</w:t>
            </w: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643" w:type="dxa"/>
            <w:noWrap w:val="0"/>
            <w:vAlign w:val="center"/>
          </w:tcPr>
          <w:p>
            <w:pPr>
              <w:ind w:left="0" w:leftChars="0" w:firstLine="0" w:firstLineChars="0"/>
              <w:jc w:val="center"/>
              <w:rPr>
                <w:rFonts w:hint="eastAsia" w:ascii="仿宋" w:hAnsi="仿宋" w:eastAsia="仿宋" w:cs="仿宋"/>
                <w:color w:val="auto"/>
                <w:kern w:val="2"/>
                <w:sz w:val="24"/>
                <w:highlight w:val="none"/>
                <w:u w:val="none"/>
                <w:lang w:val="en-US" w:eastAsia="zh-CN" w:bidi="ar-SA"/>
              </w:rPr>
            </w:pPr>
            <w:r>
              <w:rPr>
                <w:rFonts w:hint="eastAsia" w:ascii="仿宋" w:hAnsi="仿宋" w:eastAsia="仿宋" w:cs="仿宋"/>
                <w:color w:val="auto"/>
                <w:kern w:val="2"/>
                <w:sz w:val="24"/>
                <w:highlight w:val="none"/>
                <w:u w:val="none"/>
                <w:lang w:val="en-US" w:eastAsia="zh-CN" w:bidi="ar-SA"/>
              </w:rPr>
              <w:t>品牌、型号、产地</w:t>
            </w: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highlight w:val="none"/>
                <w:u w:val="none"/>
                <w:lang w:val="en-US" w:eastAsia="zh-CN" w:bidi="ar-SA"/>
              </w:rPr>
              <w:t>单价（元）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总价</w:t>
            </w:r>
            <w:r>
              <w:rPr>
                <w:rFonts w:hint="eastAsia" w:ascii="仿宋" w:hAnsi="仿宋" w:eastAsia="仿宋" w:cs="仿宋"/>
                <w:color w:val="auto"/>
                <w:kern w:val="2"/>
                <w:sz w:val="24"/>
                <w:highlight w:val="none"/>
                <w:u w:val="none"/>
                <w:lang w:val="en-US" w:eastAsia="zh-CN" w:bidi="ar-SA"/>
              </w:rPr>
              <w:t>（元）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24" w:type="dxa"/>
            <w:gridSpan w:val="2"/>
            <w:noWrap w:val="0"/>
            <w:vAlign w:val="center"/>
          </w:tcPr>
          <w:p>
            <w:pPr>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合计</w:t>
            </w:r>
            <w:r>
              <w:rPr>
                <w:rFonts w:hint="eastAsia" w:ascii="仿宋" w:hAnsi="仿宋" w:eastAsia="仿宋" w:cs="仿宋"/>
                <w:b w:val="0"/>
                <w:bCs/>
                <w:color w:val="auto"/>
                <w:sz w:val="24"/>
                <w:szCs w:val="24"/>
                <w:highlight w:val="none"/>
                <w:lang w:eastAsia="zh-CN"/>
              </w:rPr>
              <w:t>（元）</w:t>
            </w:r>
          </w:p>
        </w:tc>
        <w:tc>
          <w:tcPr>
            <w:tcW w:w="8371" w:type="dxa"/>
            <w:gridSpan w:val="7"/>
            <w:noWrap w:val="0"/>
            <w:vAlign w:val="center"/>
          </w:tcPr>
          <w:p>
            <w:pPr>
              <w:jc w:val="center"/>
              <w:rPr>
                <w:rFonts w:hint="eastAsia" w:ascii="仿宋" w:hAnsi="仿宋" w:eastAsia="仿宋" w:cs="仿宋"/>
                <w:b w:val="0"/>
                <w:bCs/>
                <w:color w:val="auto"/>
                <w:sz w:val="24"/>
                <w:szCs w:val="24"/>
                <w:highlight w:val="none"/>
              </w:rPr>
            </w:pP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（报价项目填报不下的，可自行扩</w:t>
      </w:r>
      <w:r>
        <w:rPr>
          <w:rFonts w:hint="eastAsia" w:ascii="仿宋" w:hAnsi="仿宋" w:eastAsia="仿宋" w:cs="仿宋"/>
          <w:color w:val="auto"/>
          <w:sz w:val="24"/>
          <w:szCs w:val="24"/>
          <w:highlight w:val="none"/>
          <w:lang w:val="en-US" w:eastAsia="zh-CN"/>
        </w:rPr>
        <w:t>展</w:t>
      </w:r>
      <w:r>
        <w:rPr>
          <w:rFonts w:hint="eastAsia" w:ascii="仿宋" w:hAnsi="仿宋" w:eastAsia="仿宋" w:cs="仿宋"/>
          <w:color w:val="auto"/>
          <w:sz w:val="24"/>
          <w:szCs w:val="24"/>
          <w:highlight w:val="none"/>
        </w:rPr>
        <w:t>）</w:t>
      </w:r>
    </w:p>
    <w:p>
      <w:p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注：1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若获得中标资格并与采购人签署供货合同，由于报价遗漏面造成在供货、等工作中出现费用的增加，均由中标投标人自行承担，采购人将不再支付任何额外费用。</w:t>
      </w:r>
    </w:p>
    <w:p>
      <w:pPr>
        <w:numPr>
          <w:ilvl w:val="0"/>
          <w:numId w:val="0"/>
        </w:num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2、投标人必须填写报价明细表且明细表中需包含采购需求表中所有内容，否则将导致投标被拒绝。</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3、投标报价明细表</w:t>
      </w:r>
      <w:r>
        <w:rPr>
          <w:rFonts w:hint="eastAsia" w:ascii="仿宋" w:hAnsi="仿宋" w:eastAsia="仿宋" w:cs="仿宋"/>
          <w:color w:val="auto"/>
          <w:sz w:val="24"/>
          <w:highlight w:val="none"/>
        </w:rPr>
        <w:t>中的“投标总价”应等于“开标一览表”中的“投标总价”。</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bookmarkStart w:id="234" w:name="_Toc22433"/>
      <w:bookmarkStart w:id="235" w:name="_Toc19324"/>
      <w:bookmarkStart w:id="236" w:name="_Toc6647"/>
      <w:bookmarkStart w:id="237" w:name="_Toc25282"/>
    </w:p>
    <w:p>
      <w:pPr>
        <w:pStyle w:val="53"/>
        <w:ind w:left="0" w:leftChars="0" w:firstLine="0" w:firstLineChars="0"/>
        <w:rPr>
          <w:rFonts w:hint="eastAsia" w:ascii="仿宋" w:hAnsi="仿宋" w:eastAsia="仿宋" w:cs="仿宋"/>
          <w:color w:val="auto"/>
          <w:highlight w:val="none"/>
        </w:rPr>
      </w:pPr>
      <w:bookmarkStart w:id="238" w:name="_Toc248313661"/>
      <w:bookmarkStart w:id="239" w:name="_Toc329785083"/>
    </w:p>
    <w:p>
      <w:pPr>
        <w:pStyle w:val="2"/>
        <w:rPr>
          <w:rFonts w:hint="eastAsia" w:ascii="仿宋" w:hAnsi="仿宋" w:eastAsia="仿宋" w:cs="仿宋"/>
          <w:highlight w:val="none"/>
        </w:rPr>
      </w:pPr>
    </w:p>
    <w:p>
      <w:pPr>
        <w:pStyle w:val="20"/>
        <w:spacing w:line="240" w:lineRule="auto"/>
        <w:ind w:firstLine="0" w:firstLineChars="0"/>
        <w:jc w:val="center"/>
        <w:rPr>
          <w:rFonts w:hint="eastAsia" w:ascii="仿宋" w:hAnsi="仿宋" w:eastAsia="仿宋" w:cs="仿宋"/>
          <w:b/>
          <w:color w:val="auto"/>
          <w:szCs w:val="28"/>
          <w:highlight w:val="none"/>
        </w:rPr>
      </w:pPr>
      <w:r>
        <w:rPr>
          <w:rFonts w:hint="eastAsia" w:ascii="仿宋" w:hAnsi="仿宋" w:eastAsia="仿宋" w:cs="仿宋"/>
          <w:b/>
          <w:bCs/>
          <w:color w:val="auto"/>
          <w:kern w:val="0"/>
          <w:sz w:val="30"/>
          <w:szCs w:val="30"/>
          <w:highlight w:val="none"/>
        </w:rPr>
        <w:t>四、联合体协议书</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如是</w:t>
      </w:r>
      <w:r>
        <w:rPr>
          <w:rFonts w:hint="eastAsia" w:ascii="仿宋" w:hAnsi="仿宋" w:eastAsia="仿宋" w:cs="仿宋"/>
          <w:b/>
          <w:color w:val="auto"/>
          <w:sz w:val="32"/>
          <w:szCs w:val="32"/>
          <w:highlight w:val="none"/>
          <w:lang w:eastAsia="zh-CN"/>
        </w:rPr>
        <w:t>）</w:t>
      </w:r>
    </w:p>
    <w:p>
      <w:pPr>
        <w:pStyle w:val="21"/>
        <w:rPr>
          <w:rFonts w:hint="eastAsia" w:ascii="仿宋" w:hAnsi="仿宋" w:eastAsia="仿宋" w:cs="仿宋"/>
          <w:color w:val="auto"/>
          <w:highlight w:val="none"/>
        </w:rPr>
      </w:pPr>
    </w:p>
    <w:p>
      <w:pPr>
        <w:topLinePunct/>
        <w:spacing w:line="240" w:lineRule="auto"/>
        <w:ind w:left="210" w:leftChars="10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（所有成员单位名称）自愿组成联合体，共同参加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（项目名称）投标。现就联合体投标事宜订立如下协议。</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（某成员单位名称）为牵头人。</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3、联合体将严格按照招标文件的各项要求，递交投标文件，履行合同，并对外承担连带责任。</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topLinePunct/>
        <w:spacing w:line="240" w:lineRule="auto"/>
        <w:ind w:firstLine="420" w:firstLineChars="200"/>
        <w:outlineLvl w:val="2"/>
        <w:rPr>
          <w:rFonts w:hint="eastAsia" w:ascii="仿宋" w:hAnsi="仿宋" w:eastAsia="仿宋" w:cs="仿宋"/>
          <w:color w:val="auto"/>
          <w:szCs w:val="21"/>
          <w:highlight w:val="none"/>
        </w:rPr>
      </w:pPr>
      <w:bookmarkStart w:id="240" w:name="_Toc14243"/>
      <w:r>
        <w:rPr>
          <w:rFonts w:hint="eastAsia" w:ascii="仿宋" w:hAnsi="仿宋" w:eastAsia="仿宋" w:cs="仿宋"/>
          <w:color w:val="auto"/>
          <w:szCs w:val="21"/>
          <w:highlight w:val="none"/>
        </w:rPr>
        <w:t>5、本协议书自签署之日起生效，合同履行完毕后自动失效。</w:t>
      </w:r>
      <w:bookmarkEnd w:id="240"/>
      <w:r>
        <w:rPr>
          <w:rFonts w:hint="eastAsia" w:ascii="仿宋" w:hAnsi="仿宋" w:eastAsia="仿宋" w:cs="仿宋"/>
          <w:color w:val="auto"/>
          <w:szCs w:val="21"/>
          <w:highlight w:val="none"/>
        </w:rPr>
        <w:t xml:space="preserve"> </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份，联合体成员和招标人各执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p>
    <w:p>
      <w:pPr>
        <w:topLinePunct/>
        <w:spacing w:line="240" w:lineRule="auto"/>
        <w:rPr>
          <w:rFonts w:hint="eastAsia" w:ascii="仿宋" w:hAnsi="仿宋" w:eastAsia="仿宋" w:cs="仿宋"/>
          <w:color w:val="auto"/>
          <w:szCs w:val="21"/>
          <w:highlight w:val="none"/>
        </w:rPr>
      </w:pP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注：本协议书由委托代理人签字的，应附法定代表人签字的授权委托书。</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成员一名称：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21"/>
        <w:rPr>
          <w:rFonts w:hint="eastAsia" w:ascii="仿宋" w:hAnsi="仿宋" w:eastAsia="仿宋" w:cs="仿宋"/>
          <w:color w:val="auto"/>
          <w:highlight w:val="none"/>
        </w:rPr>
      </w:pPr>
    </w:p>
    <w:p>
      <w:pPr>
        <w:spacing w:line="240" w:lineRule="auto"/>
        <w:ind w:firstLine="2879" w:firstLineChars="1371"/>
        <w:jc w:val="righ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pPr>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30"/>
          <w:szCs w:val="30"/>
          <w:highlight w:val="none"/>
          <w:lang w:eastAsia="zh-CN"/>
        </w:rPr>
        <w:t>五、</w:t>
      </w:r>
      <w:r>
        <w:rPr>
          <w:rFonts w:hint="eastAsia" w:ascii="仿宋" w:hAnsi="仿宋" w:eastAsia="仿宋" w:cs="仿宋"/>
          <w:b/>
          <w:bCs/>
          <w:color w:val="auto"/>
          <w:kern w:val="0"/>
          <w:sz w:val="30"/>
          <w:szCs w:val="30"/>
          <w:highlight w:val="none"/>
        </w:rPr>
        <w:t>法定代表人身份证明、法定代表人授权委托书</w:t>
      </w:r>
    </w:p>
    <w:p>
      <w:pPr>
        <w:tabs>
          <w:tab w:val="left" w:pos="1813"/>
        </w:tabs>
        <w:autoSpaceDE w:val="0"/>
        <w:autoSpaceDN w:val="0"/>
        <w:adjustRightInd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（一）法定代表人身份证明</w:t>
      </w:r>
    </w:p>
    <w:p>
      <w:pPr>
        <w:tabs>
          <w:tab w:val="left" w:pos="1813"/>
        </w:tabs>
        <w:autoSpaceDE w:val="0"/>
        <w:autoSpaceDN w:val="0"/>
        <w:adjustRightInd w:val="0"/>
        <w:spacing w:line="200" w:lineRule="exact"/>
        <w:rPr>
          <w:rFonts w:hint="eastAsia" w:ascii="仿宋" w:hAnsi="仿宋" w:eastAsia="仿宋" w:cs="仿宋"/>
          <w:color w:val="auto"/>
          <w:kern w:val="0"/>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投标单位</w:t>
      </w:r>
      <w:r>
        <w:rPr>
          <w:rFonts w:hint="eastAsia" w:ascii="仿宋" w:hAnsi="仿宋" w:eastAsia="仿宋" w:cs="仿宋"/>
          <w:color w:val="auto"/>
          <w:kern w:val="0"/>
          <w:sz w:val="24"/>
          <w:szCs w:val="24"/>
          <w:highlight w:val="none"/>
          <w:u w:val="single"/>
        </w:rPr>
        <w:t xml:space="preserve">名称）        </w:t>
      </w:r>
      <w:r>
        <w:rPr>
          <w:rFonts w:hint="eastAsia" w:ascii="仿宋" w:hAnsi="仿宋" w:eastAsia="仿宋" w:cs="仿宋"/>
          <w:color w:val="auto"/>
          <w:kern w:val="0"/>
          <w:sz w:val="24"/>
          <w:szCs w:val="24"/>
          <w:highlight w:val="none"/>
        </w:rPr>
        <w:t>的法定代表人。</w:t>
      </w:r>
    </w:p>
    <w:p>
      <w:pPr>
        <w:shd w:val="clear" w:color="auto" w:fill="FFFFFF"/>
        <w:snapToGrid w:val="0"/>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wps:txbx>
                      <wps:bodyPr upright="1"/>
                    </wps:wsp>
                  </a:graphicData>
                </a:graphic>
              </wp:anchor>
            </w:drawing>
          </mc:Choice>
          <mc:Fallback>
            <w:pict>
              <v:rect id="_x0000_s1026" o:spid="_x0000_s1026" o:spt="1" style="position:absolute;left:0pt;margin-left:240.05pt;margin-top:9.55pt;height:139.7pt;width:216.95pt;z-index:251660288;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14" name="矩形 14"/>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wps:txbx>
                      <wps:bodyPr upright="1"/>
                    </wps:wsp>
                  </a:graphicData>
                </a:graphic>
              </wp:anchor>
            </w:drawing>
          </mc:Choice>
          <mc:Fallback>
            <w:pict>
              <v:rect id="_x0000_s1026" o:spid="_x0000_s1026" o:spt="1" style="position:absolute;left:0pt;margin-left:14.35pt;margin-top:9.75pt;height:140.3pt;width:213.65pt;z-index:251659264;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5Zl9tgAAAAJAQAADwAAAAAAAAABACAAAAAi&#10;AAAAZHJzL2Rvd25yZXYueG1sUEsBAhQAFAAAAAgAh07iQCxB32o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v:textbox>
              </v:rect>
            </w:pict>
          </mc:Fallback>
        </mc:AlternateConten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投标单位名称（单位公章）：                         </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bookmarkEnd w:id="238"/>
    <w:bookmarkEnd w:id="239"/>
    <w:p>
      <w:pPr>
        <w:tabs>
          <w:tab w:val="left" w:pos="1813"/>
        </w:tabs>
        <w:autoSpaceDE w:val="0"/>
        <w:autoSpaceDN w:val="0"/>
        <w:adjustRightInd w:val="0"/>
        <w:spacing w:line="480" w:lineRule="auto"/>
        <w:jc w:val="both"/>
        <w:rPr>
          <w:rFonts w:hint="eastAsia" w:ascii="仿宋" w:hAnsi="仿宋" w:eastAsia="仿宋" w:cs="仿宋"/>
          <w:color w:val="auto"/>
          <w:kern w:val="0"/>
          <w:sz w:val="28"/>
          <w:szCs w:val="28"/>
          <w:highlight w:val="none"/>
        </w:rPr>
      </w:pPr>
    </w:p>
    <w:p>
      <w:pPr>
        <w:numPr>
          <w:ilvl w:val="0"/>
          <w:numId w:val="15"/>
        </w:numPr>
        <w:tabs>
          <w:tab w:val="left" w:pos="1813"/>
        </w:tabs>
        <w:autoSpaceDE w:val="0"/>
        <w:autoSpaceDN w:val="0"/>
        <w:adjustRightInd w:val="0"/>
        <w:spacing w:line="48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法定代表人授权委托书</w:t>
      </w:r>
    </w:p>
    <w:p>
      <w:pPr>
        <w:pStyle w:val="19"/>
        <w:numPr>
          <w:ilvl w:val="0"/>
          <w:numId w:val="0"/>
        </w:numPr>
        <w:tabs>
          <w:tab w:val="left" w:pos="9214"/>
        </w:tabs>
        <w:ind w:right="-58" w:rightChars="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致：         发包人名称        ：</w:t>
      </w:r>
    </w:p>
    <w:p>
      <w:pPr>
        <w:pStyle w:val="24"/>
        <w:snapToGrid w:val="0"/>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u w:val="none"/>
        </w:rPr>
        <w:t xml:space="preserve">的法定代表人授权我公司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代表姓名）  </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代表，代表本公司参加贵司组织的</w:t>
      </w:r>
      <w:r>
        <w:rPr>
          <w:rFonts w:hint="eastAsia" w:ascii="仿宋" w:hAnsi="仿宋" w:eastAsia="仿宋" w:cs="仿宋"/>
          <w:color w:val="auto"/>
          <w:sz w:val="24"/>
          <w:szCs w:val="24"/>
          <w:highlight w:val="none"/>
          <w:u w:val="single"/>
        </w:rPr>
        <w:t xml:space="preserve">    项目名称、招标编号    ）</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活动，全权代表本公司处理</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的一切事宜，包括但不限于：投标、参与开标、谈判、签约等。</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代表在</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过程中所签署的一切文件和处理与之有关的一切事务，本公司均予以认可并对此承担责任。</w:t>
      </w:r>
      <w:r>
        <w:rPr>
          <w:rFonts w:hint="eastAsia" w:ascii="仿宋" w:hAnsi="仿宋" w:eastAsia="仿宋" w:cs="仿宋"/>
          <w:color w:val="auto"/>
          <w:sz w:val="24"/>
          <w:szCs w:val="24"/>
          <w:highlight w:val="none"/>
          <w:u w:val="none"/>
          <w:lang w:eastAsia="zh-CN"/>
        </w:rPr>
        <w:t>投标人</w:t>
      </w:r>
      <w:r>
        <w:rPr>
          <w:rFonts w:hint="eastAsia" w:ascii="仿宋" w:hAnsi="仿宋" w:eastAsia="仿宋" w:cs="仿宋"/>
          <w:color w:val="auto"/>
          <w:sz w:val="24"/>
          <w:szCs w:val="24"/>
          <w:highlight w:val="none"/>
          <w:u w:val="none"/>
        </w:rPr>
        <w:t>代表无转委托权。特此授权。</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本授权书自出具之日起生效。</w:t>
      </w: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15" name="矩形 15"/>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233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4eAf2AAAAAkBAAAPAAAAAAAAAAEAIAAAACIA&#10;AABkcnMvZG93bnJldi54bWxQSwECFAAUAAAACACHTuJAlPJz7wkCAAA6BAAADgAAAAAAAAABACAA&#10;AAAnAQAAZHJzL2Uyb0RvYy54bWxQSwUGAAAAAAYABgBZAQAAog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2" name="矩形 1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131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&#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NxYsTcKAgAAOgQAAA4AAAAAAAAAAQAgAAAA&#10;JA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16" name="矩形 16"/>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336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QITnWAAAACAEAAA8AAAAAAAAAAQAgAAAAIgAA&#10;AGRycy9kb3ducmV2LnhtbFBLAQIUABQAAAAIAIdO4kC51V3SCgIAADoEAAAOAAAAAAAAAAEAIAAA&#10;ACUBAABkcnMvZTJvRG9jLnhtbFBLBQYAAAAABgAGAFkBAAChBQ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18" name="矩形 18"/>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438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9pRE4Qo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8hfdgAAAAKAQAADwAAAAAAAAABACAAAAAi&#10;AAAAZHJzL2Rvd25yZXYueG1sUEsBAhQAFAAAAAgAh07iQPaUROEKAgAAOgQAAA4AAAAAAAAAAQAg&#10;AAAAJwEAAGRycy9lMm9Eb2MueG1sUEsFBgAAAAAGAAYAWQEAAKM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年龄：_______</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（盖章）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pPr>
        <w:ind w:firstLine="2760" w:firstLineChars="11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45"/>
        <w:jc w:val="center"/>
        <w:outlineLvl w:val="9"/>
        <w:rPr>
          <w:rFonts w:hint="eastAsia" w:ascii="仿宋" w:hAnsi="仿宋" w:eastAsia="仿宋" w:cs="仿宋"/>
          <w:b/>
          <w:color w:val="auto"/>
          <w:sz w:val="24"/>
          <w:szCs w:val="24"/>
          <w:highlight w:val="none"/>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六、投标保证金（投标保证金银行转账单复印件）</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（采购单位名称）</w:t>
      </w:r>
      <w:r>
        <w:rPr>
          <w:rFonts w:hint="eastAsia" w:ascii="仿宋" w:hAnsi="仿宋" w:eastAsia="仿宋" w:cs="仿宋"/>
          <w:highlight w:val="none"/>
          <w:lang w:val="en-US" w:eastAsia="zh-CN"/>
        </w:rPr>
        <w:t xml:space="preserve">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 xml:space="preserve">       （投标人全称)   </w:t>
      </w:r>
      <w:r>
        <w:rPr>
          <w:rFonts w:hint="eastAsia" w:ascii="仿宋" w:hAnsi="仿宋" w:eastAsia="仿宋" w:cs="仿宋"/>
          <w:highlight w:val="none"/>
          <w:lang w:val="en-US" w:eastAsia="zh-CN"/>
        </w:rPr>
        <w:t>参加贵方组织的(</w:t>
      </w:r>
      <w:r>
        <w:rPr>
          <w:rFonts w:hint="eastAsia" w:ascii="仿宋" w:hAnsi="仿宋" w:eastAsia="仿宋" w:cs="仿宋"/>
          <w:highlight w:val="none"/>
          <w:u w:val="single"/>
          <w:lang w:val="en-US" w:eastAsia="zh-CN"/>
        </w:rPr>
        <w:t>项目编号/项目名称</w:t>
      </w:r>
      <w:r>
        <w:rPr>
          <w:rFonts w:hint="eastAsia" w:ascii="仿宋" w:hAnsi="仿宋" w:eastAsia="仿宋" w:cs="仿宋"/>
          <w:highlight w:val="none"/>
          <w:lang w:val="en-US" w:eastAsia="zh-CN"/>
        </w:rPr>
        <w:t>)项目采购活动。按招标文件的规定，已递交人民币（</w:t>
      </w:r>
      <w:r>
        <w:rPr>
          <w:rFonts w:hint="eastAsia" w:ascii="仿宋" w:hAnsi="仿宋" w:eastAsia="仿宋" w:cs="仿宋"/>
          <w:highlight w:val="none"/>
          <w:u w:val="single"/>
          <w:lang w:val="en-US" w:eastAsia="zh-CN"/>
        </w:rPr>
        <w:t>大写）  　　  元</w:t>
      </w:r>
      <w:r>
        <w:rPr>
          <w:rFonts w:hint="eastAsia" w:ascii="仿宋" w:hAnsi="仿宋" w:eastAsia="仿宋" w:cs="仿宋"/>
          <w:highlight w:val="none"/>
          <w:lang w:val="en-US" w:eastAsia="zh-CN"/>
        </w:rPr>
        <w:t>的投标保证金。</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投标人名称：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投标人开户银行：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投标人银行帐号：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9160" w:type="dxa"/>
            <w:noWrap w:val="0"/>
            <w:vAlign w:val="top"/>
          </w:tcPr>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票 据 复 印 件（清晰复印件）</w:t>
            </w:r>
          </w:p>
        </w:tc>
      </w:tr>
    </w:tbl>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注：请投标投标人认真填写银行信息，并要求与银行凭证的相关信息一致。</w:t>
      </w: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投标人：(公章)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投标投标人法定代表人或法定代表人授权代表：（签字或盖章）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年   月   日</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2"/>
        <w:rPr>
          <w:rFonts w:hint="eastAsia" w:ascii="仿宋" w:hAnsi="仿宋" w:eastAsia="仿宋" w:cs="仿宋"/>
          <w:highlight w:val="none"/>
          <w:lang w:val="en-US" w:eastAsia="zh-CN"/>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七、技术规格功能要求偏离表</w:t>
      </w:r>
      <w:bookmarkEnd w:id="234"/>
      <w:bookmarkEnd w:id="235"/>
      <w:bookmarkEnd w:id="236"/>
      <w:bookmarkEnd w:id="237"/>
    </w:p>
    <w:p>
      <w:pPr>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招标文件规格功能要求条目号</w:t>
            </w:r>
          </w:p>
        </w:tc>
        <w:tc>
          <w:tcPr>
            <w:tcW w:w="165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要求规格</w:t>
            </w:r>
          </w:p>
        </w:tc>
        <w:tc>
          <w:tcPr>
            <w:tcW w:w="147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w:t>
            </w:r>
          </w:p>
        </w:tc>
        <w:tc>
          <w:tcPr>
            <w:tcW w:w="18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2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bl>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：1、应与招标文件要求逐条对应填写。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2、本表如填写不完，可以续页。</w:t>
      </w:r>
    </w:p>
    <w:p>
      <w:pPr>
        <w:spacing w:line="360" w:lineRule="auto"/>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line="360" w:lineRule="auto"/>
        <w:rPr>
          <w:rFonts w:hint="eastAsia" w:ascii="仿宋" w:hAnsi="仿宋" w:eastAsia="仿宋" w:cs="仿宋"/>
          <w:color w:val="auto"/>
          <w:sz w:val="28"/>
          <w:szCs w:val="28"/>
          <w:highlight w:val="none"/>
        </w:rPr>
      </w:pPr>
    </w:p>
    <w:p>
      <w:pPr>
        <w:pStyle w:val="4"/>
        <w:jc w:val="center"/>
        <w:rPr>
          <w:rFonts w:hint="eastAsia" w:ascii="仿宋" w:hAnsi="仿宋" w:eastAsia="仿宋" w:cs="仿宋"/>
          <w:color w:val="auto"/>
          <w:sz w:val="28"/>
          <w:highlight w:val="none"/>
        </w:rPr>
      </w:pPr>
      <w:bookmarkStart w:id="241" w:name="_Toc13218"/>
      <w:bookmarkStart w:id="242" w:name="_Toc23139"/>
      <w:bookmarkStart w:id="243" w:name="_Toc23111"/>
      <w:bookmarkStart w:id="244" w:name="_Toc27405"/>
      <w:bookmarkStart w:id="245" w:name="_Toc14367"/>
      <w:r>
        <w:rPr>
          <w:rFonts w:hint="eastAsia" w:ascii="仿宋" w:hAnsi="仿宋" w:eastAsia="仿宋" w:cs="仿宋"/>
          <w:color w:val="auto"/>
          <w:sz w:val="28"/>
          <w:highlight w:val="none"/>
          <w:lang w:val="en-US" w:eastAsia="zh-CN"/>
        </w:rPr>
        <w:t>八、</w:t>
      </w:r>
      <w:r>
        <w:rPr>
          <w:rFonts w:hint="eastAsia" w:ascii="仿宋" w:hAnsi="仿宋" w:eastAsia="仿宋" w:cs="仿宋"/>
          <w:color w:val="auto"/>
          <w:sz w:val="28"/>
          <w:highlight w:val="none"/>
        </w:rPr>
        <w:t>商务条款偏离表</w:t>
      </w:r>
      <w:bookmarkEnd w:id="241"/>
      <w:bookmarkEnd w:id="242"/>
      <w:bookmarkEnd w:id="243"/>
      <w:bookmarkEnd w:id="244"/>
      <w:bookmarkEnd w:id="245"/>
    </w:p>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217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221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170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：1、本项目商务条款至少包括</w:t>
      </w:r>
      <w:r>
        <w:rPr>
          <w:rFonts w:hint="eastAsia" w:ascii="仿宋" w:hAnsi="仿宋" w:eastAsia="仿宋" w:cs="仿宋"/>
          <w:color w:val="auto"/>
          <w:sz w:val="24"/>
          <w:highlight w:val="none"/>
          <w:lang w:val="en-US" w:eastAsia="zh-CN"/>
        </w:rPr>
        <w:t>但不限于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期、采购内容、投标保证金响应、投标文件有效期、履约保证金等，投标人必须按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给定的条款填写，否则视为不响应招标。</w:t>
      </w:r>
    </w:p>
    <w:p>
      <w:pPr>
        <w:spacing w:line="360" w:lineRule="auto"/>
        <w:ind w:firstLine="480" w:firstLineChars="200"/>
        <w:rPr>
          <w:rFonts w:hint="eastAsia" w:ascii="仿宋" w:hAnsi="仿宋" w:eastAsia="仿宋" w:cs="仿宋"/>
          <w:color w:val="auto"/>
          <w:sz w:val="24"/>
          <w:highlight w:val="none"/>
        </w:rPr>
      </w:pPr>
      <w:bookmarkStart w:id="246" w:name="_Toc632"/>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条目号指投标须知所对应项目名称。</w:t>
      </w:r>
      <w:bookmarkEnd w:id="246"/>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pStyle w:val="24"/>
        <w:adjustRightIn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项目实施人员一览表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354"/>
        <w:gridCol w:w="923"/>
        <w:gridCol w:w="936"/>
        <w:gridCol w:w="1144"/>
        <w:gridCol w:w="1144"/>
        <w:gridCol w:w="984"/>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项目组所任职务</w:t>
            </w: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bl>
    <w:p>
      <w:pPr>
        <w:ind w:firstLine="422" w:firstLineChars="200"/>
        <w:rPr>
          <w:rFonts w:hint="eastAsia" w:ascii="仿宋" w:hAnsi="仿宋" w:eastAsia="仿宋" w:cs="仿宋"/>
          <w:b/>
          <w:color w:val="auto"/>
          <w:szCs w:val="21"/>
          <w:highlight w:val="none"/>
        </w:rPr>
      </w:pPr>
    </w:p>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注：1、“项目实施人员”指投标单位针对该项目实施所配备的人员。</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2、后附</w:t>
      </w:r>
      <w:r>
        <w:rPr>
          <w:rFonts w:hint="eastAsia" w:ascii="仿宋" w:hAnsi="仿宋" w:eastAsia="仿宋" w:cs="仿宋"/>
          <w:b/>
          <w:color w:val="auto"/>
          <w:szCs w:val="21"/>
          <w:highlight w:val="none"/>
          <w:lang w:eastAsia="zh-CN"/>
        </w:rPr>
        <w:t>本单位项目</w:t>
      </w:r>
      <w:r>
        <w:rPr>
          <w:rFonts w:hint="eastAsia" w:ascii="仿宋" w:hAnsi="仿宋" w:eastAsia="仿宋" w:cs="仿宋"/>
          <w:b/>
          <w:color w:val="auto"/>
          <w:szCs w:val="21"/>
          <w:highlight w:val="none"/>
        </w:rPr>
        <w:t>人员</w:t>
      </w:r>
      <w:r>
        <w:rPr>
          <w:rFonts w:hint="eastAsia" w:ascii="仿宋" w:hAnsi="仿宋" w:eastAsia="仿宋" w:cs="仿宋"/>
          <w:b/>
          <w:color w:val="auto"/>
          <w:highlight w:val="none"/>
        </w:rPr>
        <w:t>相关证明材料</w:t>
      </w:r>
      <w:r>
        <w:rPr>
          <w:rFonts w:hint="eastAsia" w:ascii="仿宋" w:hAnsi="仿宋" w:eastAsia="仿宋" w:cs="仿宋"/>
          <w:b/>
          <w:color w:val="auto"/>
          <w:szCs w:val="21"/>
          <w:highlight w:val="none"/>
        </w:rPr>
        <w:t>复印件</w:t>
      </w:r>
      <w:r>
        <w:rPr>
          <w:rFonts w:hint="eastAsia" w:ascii="仿宋" w:hAnsi="仿宋" w:eastAsia="仿宋" w:cs="仿宋"/>
          <w:b/>
          <w:color w:val="auto"/>
          <w:szCs w:val="21"/>
          <w:highlight w:val="none"/>
          <w:lang w:eastAsia="zh-CN"/>
        </w:rPr>
        <w:t>（后期项目实施人员需与本表人员一致）</w:t>
      </w:r>
      <w:r>
        <w:rPr>
          <w:rFonts w:hint="eastAsia" w:ascii="仿宋" w:hAnsi="仿宋" w:eastAsia="仿宋" w:cs="仿宋"/>
          <w:b/>
          <w:color w:val="auto"/>
          <w:szCs w:val="21"/>
          <w:highlight w:val="none"/>
        </w:rPr>
        <w:t>。</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3、表格不够填写可添加。如本表格不适合投标人的实际情况，可自行制表填写。</w:t>
      </w: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ind w:left="0" w:leftChars="0" w:firstLine="0" w:firstLine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8"/>
          <w:szCs w:val="28"/>
          <w:highlight w:val="none"/>
          <w:lang w:eastAsia="zh-CN"/>
        </w:rPr>
        <w:t>十、</w:t>
      </w:r>
      <w:r>
        <w:rPr>
          <w:rFonts w:hint="eastAsia" w:ascii="仿宋" w:hAnsi="仿宋" w:eastAsia="仿宋" w:cs="仿宋"/>
          <w:b/>
          <w:color w:val="000000"/>
          <w:sz w:val="28"/>
          <w:szCs w:val="28"/>
          <w:highlight w:val="none"/>
        </w:rPr>
        <w:t>投标</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近三年同类项目业绩</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18"/>
        <w:gridCol w:w="1690"/>
        <w:gridCol w:w="1343"/>
        <w:gridCol w:w="1256"/>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序号</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采购人</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货物名称、规格</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合同金额</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运行状况</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bl>
    <w:p>
      <w:pPr>
        <w:spacing w:line="360" w:lineRule="exact"/>
        <w:rPr>
          <w:rFonts w:hint="eastAsia" w:ascii="仿宋" w:hAnsi="仿宋" w:eastAsia="仿宋" w:cs="仿宋"/>
          <w:color w:val="000000"/>
          <w:sz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1、所提供的近三年（投标截止之日起往前推算）业绩证明材料。</w:t>
      </w:r>
    </w:p>
    <w:p>
      <w:pPr>
        <w:spacing w:before="156" w:beforeLines="50" w:after="312" w:afterLines="100" w:line="440" w:lineRule="exact"/>
        <w:jc w:val="both"/>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2、业绩证明材料包括：中标通知书或合同（否则其业绩不予认可）。</w:t>
      </w: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pStyle w:val="53"/>
        <w:rPr>
          <w:rFonts w:hint="eastAsia" w:ascii="仿宋" w:hAnsi="仿宋" w:eastAsia="仿宋" w:cs="仿宋"/>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十一、</w:t>
      </w:r>
      <w:r>
        <w:rPr>
          <w:rFonts w:hint="eastAsia" w:ascii="仿宋" w:hAnsi="仿宋" w:eastAsia="仿宋" w:cs="仿宋"/>
          <w:b/>
          <w:color w:val="auto"/>
          <w:sz w:val="32"/>
          <w:szCs w:val="30"/>
          <w:highlight w:val="none"/>
        </w:rPr>
        <w:t>投标人基本情况表</w:t>
      </w:r>
    </w:p>
    <w:tbl>
      <w:tblPr>
        <w:tblStyle w:val="4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753"/>
        <w:gridCol w:w="2063"/>
        <w:gridCol w:w="187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8" w:type="dxa"/>
            <w:vMerge w:val="restart"/>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况</w:t>
            </w: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经济性质</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资产总额</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净资产</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工商登记号</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税务登记号</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是否依法纳税</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是否参加社保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近三年公司</w:t>
            </w: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业绩、信誉</w:t>
            </w:r>
          </w:p>
        </w:tc>
        <w:tc>
          <w:tcPr>
            <w:tcW w:w="6618" w:type="dxa"/>
            <w:gridSpan w:val="3"/>
            <w:noWrap w:val="0"/>
            <w:vAlign w:val="center"/>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合同总额：     万元，合同履行情况：</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8371" w:type="dxa"/>
            <w:gridSpan w:val="4"/>
            <w:noWrap w:val="0"/>
            <w:vAlign w:val="top"/>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单位优势及特点：</w:t>
            </w:r>
          </w:p>
        </w:tc>
      </w:tr>
    </w:tbl>
    <w:p>
      <w:pPr>
        <w:pStyle w:val="39"/>
        <w:spacing w:before="0" w:beforeAutospacing="0" w:after="0" w:afterAutospacing="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说明：本表后应附有</w:t>
      </w:r>
      <w:r>
        <w:rPr>
          <w:rFonts w:hint="eastAsia" w:ascii="仿宋" w:hAnsi="仿宋" w:eastAsia="仿宋" w:cs="仿宋"/>
          <w:snapToGrid w:val="0"/>
          <w:color w:val="auto"/>
          <w:highlight w:val="none"/>
          <w:lang w:val="en-US" w:eastAsia="zh-CN"/>
        </w:rPr>
        <w:t>投标人营业执照、</w:t>
      </w:r>
      <w:r>
        <w:rPr>
          <w:rFonts w:hint="eastAsia" w:ascii="仿宋" w:hAnsi="仿宋" w:eastAsia="仿宋" w:cs="仿宋"/>
          <w:snapToGrid w:val="0"/>
          <w:color w:val="auto"/>
          <w:highlight w:val="none"/>
        </w:rPr>
        <w:t>单位简介。</w:t>
      </w:r>
    </w:p>
    <w:p>
      <w:pPr>
        <w:snapToGrid w:val="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投标单位名称（单位公章）：                         </w:t>
      </w:r>
    </w:p>
    <w:p>
      <w:pPr>
        <w:spacing w:line="360" w:lineRule="auto"/>
        <w:ind w:firstLine="48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40" w:lineRule="exact"/>
        <w:ind w:firstLine="562" w:firstLineChars="200"/>
        <w:rPr>
          <w:rFonts w:hint="eastAsia" w:ascii="仿宋" w:hAnsi="仿宋" w:eastAsia="仿宋" w:cs="仿宋"/>
          <w:b/>
          <w:bCs/>
          <w:color w:val="auto"/>
          <w:kern w:val="2"/>
          <w:sz w:val="28"/>
          <w:szCs w:val="32"/>
          <w:highlight w:val="none"/>
          <w:lang w:val="en-US" w:eastAsia="zh-CN" w:bidi="ar-SA"/>
        </w:rPr>
      </w:pPr>
    </w:p>
    <w:p>
      <w:pPr>
        <w:spacing w:line="360" w:lineRule="auto"/>
        <w:rPr>
          <w:rFonts w:hint="eastAsia" w:ascii="仿宋" w:hAnsi="仿宋" w:eastAsia="仿宋" w:cs="仿宋"/>
          <w:color w:val="auto"/>
          <w:sz w:val="24"/>
          <w:highlight w:val="none"/>
        </w:r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headerReference r:id="rId13" w:type="default"/>
          <w:footerReference r:id="rId14"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pStyle w:val="62"/>
        <w:numPr>
          <w:ilvl w:val="0"/>
          <w:numId w:val="0"/>
        </w:numPr>
        <w:tabs>
          <w:tab w:val="left" w:pos="540"/>
          <w:tab w:val="left" w:pos="1080"/>
        </w:tabs>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十二、质量保证书</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21"/>
        <w:widowControl w:val="0"/>
        <w:numPr>
          <w:ilvl w:val="0"/>
          <w:numId w:val="0"/>
        </w:numPr>
        <w:autoSpaceDE w:val="0"/>
        <w:autoSpaceDN w:val="0"/>
        <w:adjustRightInd w:val="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1、未发生产品质量事故和用户使用的事故;</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2、保证产品各项指数符合招标文件要求，不发生质量问题等。</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21"/>
        <w:widowControl w:val="0"/>
        <w:numPr>
          <w:ilvl w:val="0"/>
          <w:numId w:val="0"/>
        </w:numPr>
        <w:autoSpaceDE w:val="0"/>
        <w:autoSpaceDN w:val="0"/>
        <w:adjustRightInd w:val="0"/>
        <w:jc w:val="right"/>
        <w:rPr>
          <w:rFonts w:hint="eastAsia" w:ascii="仿宋" w:hAnsi="仿宋" w:eastAsia="仿宋" w:cs="仿宋"/>
          <w:color w:val="auto"/>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3"/>
        <w:rPr>
          <w:rFonts w:hint="eastAsia" w:ascii="仿宋" w:hAnsi="仿宋" w:eastAsia="仿宋" w:cs="仿宋"/>
          <w:lang w:val="en-US" w:eastAsia="zh-CN"/>
        </w:rPr>
      </w:pPr>
    </w:p>
    <w:p>
      <w:pPr>
        <w:rPr>
          <w:rFonts w:hint="eastAsia" w:ascii="仿宋" w:hAnsi="仿宋" w:eastAsia="仿宋" w:cs="仿宋"/>
          <w:b/>
          <w:color w:val="auto"/>
          <w:sz w:val="30"/>
          <w:szCs w:val="30"/>
          <w:highlight w:val="none"/>
          <w:lang w:val="en-US" w:eastAsia="zh-CN"/>
        </w:rPr>
      </w:pP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十三、售后货物承诺书</w:t>
      </w:r>
    </w:p>
    <w:p>
      <w:pPr>
        <w:rPr>
          <w:rFonts w:hint="eastAsia" w:ascii="仿宋" w:hAnsi="仿宋" w:eastAsia="仿宋" w:cs="仿宋"/>
          <w:color w:val="auto"/>
          <w:highlight w:val="none"/>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5"/>
        <w:numPr>
          <w:ilvl w:val="0"/>
          <w:numId w:val="0"/>
        </w:numPr>
        <w:rPr>
          <w:rFonts w:hint="eastAsia" w:ascii="仿宋" w:hAnsi="仿宋" w:eastAsia="仿宋" w:cs="仿宋"/>
          <w:highlight w:val="none"/>
        </w:rPr>
      </w:pPr>
    </w:p>
    <w:p>
      <w:pPr>
        <w:pStyle w:val="6"/>
        <w:numPr>
          <w:ilvl w:val="3"/>
          <w:numId w:val="0"/>
        </w:numPr>
        <w:rPr>
          <w:rFonts w:hint="eastAsia" w:ascii="仿宋" w:hAnsi="仿宋" w:eastAsia="仿宋" w:cs="仿宋"/>
          <w:highlight w:val="none"/>
        </w:rPr>
      </w:pPr>
    </w:p>
    <w:p>
      <w:pPr>
        <w:rPr>
          <w:rFonts w:hint="eastAsia" w:ascii="仿宋" w:hAnsi="仿宋" w:eastAsia="仿宋" w:cs="仿宋"/>
          <w:color w:val="auto"/>
          <w:highlight w:val="none"/>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000000"/>
          <w:sz w:val="28"/>
          <w:szCs w:val="28"/>
          <w:highlight w:val="none"/>
          <w:lang w:eastAsia="zh-CN"/>
        </w:rPr>
        <w:t>十四、</w:t>
      </w:r>
      <w:r>
        <w:rPr>
          <w:rFonts w:hint="eastAsia" w:ascii="仿宋" w:hAnsi="仿宋" w:eastAsia="仿宋" w:cs="仿宋"/>
          <w:b/>
          <w:bCs/>
          <w:color w:val="000000"/>
          <w:sz w:val="28"/>
          <w:szCs w:val="28"/>
          <w:highlight w:val="none"/>
        </w:rPr>
        <w:t>产品保证供货有效证明</w:t>
      </w:r>
    </w:p>
    <w:p>
      <w:pPr>
        <w:pStyle w:val="5"/>
        <w:jc w:val="center"/>
        <w:rPr>
          <w:rFonts w:hint="eastAsia" w:ascii="仿宋" w:hAnsi="仿宋" w:eastAsia="仿宋" w:cs="仿宋"/>
          <w:b/>
          <w:bCs/>
          <w:color w:val="auto"/>
          <w:sz w:val="30"/>
          <w:szCs w:val="30"/>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十五、</w:t>
      </w:r>
      <w:r>
        <w:rPr>
          <w:rFonts w:hint="eastAsia" w:ascii="仿宋" w:hAnsi="仿宋" w:eastAsia="仿宋" w:cs="仿宋"/>
          <w:b/>
          <w:bCs/>
          <w:color w:val="auto"/>
          <w:sz w:val="30"/>
          <w:szCs w:val="30"/>
          <w:highlight w:val="none"/>
        </w:rPr>
        <w:t>符合《政府采购法》第二十二条规定的条件</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1.满足《中华人民共和国政府采购法》第二十二条规定；</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（1）提供经年审合格（三证合一）的营业执照； </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（3）需提供公司近三个月社保证明（缴费凭证及明细）（新成立时间少于3个月的公司，按实际发生提供）；</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（4）提供2022年度的财务审计报告（2023年8月后成立的公司可不提供但需提供银行出具的近三个月的资信证明）；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（5）提供参加政府采购活动前 3 年内在经营活动中没有重大违法记录的书面声明；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（6）企业负责人为同一人或者存在直接控股、管理关系的不同投标人，不得参加同一合同项下的政府采购活动的声明函；否则，皆取消投标资格；</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（7）提供有效的中小企业声明函。</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（8）本项目不接受联合体投标；</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spacing w:line="360" w:lineRule="auto"/>
        <w:jc w:val="center"/>
        <w:outlineLvl w:val="0"/>
        <w:rPr>
          <w:rFonts w:hint="eastAsia" w:ascii="仿宋" w:hAnsi="仿宋" w:eastAsia="仿宋" w:cs="仿宋"/>
          <w:color w:val="auto"/>
          <w:sz w:val="24"/>
          <w:szCs w:val="24"/>
          <w:highlight w:val="none"/>
        </w:rPr>
      </w:pPr>
      <w:bookmarkStart w:id="247" w:name="_Toc1350"/>
      <w:bookmarkStart w:id="248" w:name="_Toc11866"/>
      <w:bookmarkStart w:id="249" w:name="_Toc26849"/>
      <w:bookmarkStart w:id="250" w:name="_Toc3132"/>
      <w:bookmarkStart w:id="251" w:name="_Toc6232"/>
      <w:r>
        <w:rPr>
          <w:rStyle w:val="147"/>
          <w:rFonts w:hint="eastAsia" w:ascii="仿宋" w:hAnsi="仿宋" w:eastAsia="仿宋" w:cs="仿宋"/>
          <w:bCs w:val="0"/>
          <w:color w:val="auto"/>
          <w:sz w:val="28"/>
          <w:szCs w:val="28"/>
          <w:highlight w:val="none"/>
          <w:lang w:val="en-US" w:eastAsia="zh-CN"/>
        </w:rPr>
        <w:t>十六</w:t>
      </w:r>
      <w:r>
        <w:rPr>
          <w:rStyle w:val="147"/>
          <w:rFonts w:hint="eastAsia" w:ascii="仿宋" w:hAnsi="仿宋" w:eastAsia="仿宋" w:cs="仿宋"/>
          <w:bCs w:val="0"/>
          <w:color w:val="auto"/>
          <w:sz w:val="28"/>
          <w:szCs w:val="28"/>
          <w:highlight w:val="none"/>
          <w:lang w:eastAsia="zh-CN"/>
        </w:rPr>
        <w:t>、</w:t>
      </w:r>
      <w:r>
        <w:rPr>
          <w:rStyle w:val="147"/>
          <w:rFonts w:hint="eastAsia" w:ascii="仿宋" w:hAnsi="仿宋" w:eastAsia="仿宋" w:cs="仿宋"/>
          <w:bCs w:val="0"/>
          <w:color w:val="auto"/>
          <w:sz w:val="28"/>
          <w:szCs w:val="28"/>
          <w:highlight w:val="none"/>
        </w:rPr>
        <w:t>投标单位（</w:t>
      </w:r>
      <w:r>
        <w:rPr>
          <w:rStyle w:val="147"/>
          <w:rFonts w:hint="eastAsia" w:ascii="仿宋" w:hAnsi="仿宋" w:eastAsia="仿宋" w:cs="仿宋"/>
          <w:bCs w:val="0"/>
          <w:color w:val="auto"/>
          <w:sz w:val="28"/>
          <w:szCs w:val="28"/>
          <w:highlight w:val="none"/>
          <w:lang w:eastAsia="zh-CN"/>
        </w:rPr>
        <w:t>投标人</w:t>
      </w:r>
      <w:r>
        <w:rPr>
          <w:rStyle w:val="147"/>
          <w:rFonts w:hint="eastAsia" w:ascii="仿宋" w:hAnsi="仿宋" w:eastAsia="仿宋" w:cs="仿宋"/>
          <w:bCs w:val="0"/>
          <w:color w:val="auto"/>
          <w:sz w:val="28"/>
          <w:szCs w:val="28"/>
          <w:highlight w:val="none"/>
        </w:rPr>
        <w:t>）反商业贿赂承诺书</w:t>
      </w:r>
      <w:bookmarkEnd w:id="247"/>
      <w:bookmarkEnd w:id="248"/>
      <w:bookmarkEnd w:id="249"/>
      <w:bookmarkEnd w:id="250"/>
      <w:bookmarkEnd w:id="251"/>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我单位承诺在</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bookmarkStart w:id="252" w:name="_Toc29266"/>
      <w:bookmarkStart w:id="253" w:name="_Toc15248"/>
      <w:bookmarkStart w:id="254" w:name="_Toc8968"/>
      <w:bookmarkStart w:id="255" w:name="_Toc5662"/>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left="120" w:leftChars="57" w:firstLine="329" w:firstLineChars="117"/>
        <w:jc w:val="center"/>
        <w:rPr>
          <w:rFonts w:hint="eastAsia" w:ascii="仿宋" w:hAnsi="仿宋" w:eastAsia="仿宋" w:cs="仿宋"/>
          <w:color w:val="auto"/>
          <w:sz w:val="24"/>
          <w:szCs w:val="24"/>
          <w:highlight w:val="none"/>
        </w:rPr>
      </w:pPr>
      <w:r>
        <w:rPr>
          <w:rStyle w:val="147"/>
          <w:rFonts w:hint="eastAsia" w:ascii="仿宋" w:hAnsi="仿宋" w:eastAsia="仿宋" w:cs="仿宋"/>
          <w:bCs w:val="0"/>
          <w:color w:val="auto"/>
          <w:kern w:val="2"/>
          <w:sz w:val="28"/>
          <w:szCs w:val="28"/>
          <w:highlight w:val="none"/>
          <w:lang w:val="en-US" w:eastAsia="zh-CN" w:bidi="ar-SA"/>
        </w:rPr>
        <w:t>十七、</w:t>
      </w:r>
      <w:bookmarkEnd w:id="252"/>
      <w:bookmarkEnd w:id="253"/>
      <w:bookmarkEnd w:id="254"/>
      <w:bookmarkEnd w:id="255"/>
      <w:r>
        <w:rPr>
          <w:rStyle w:val="147"/>
          <w:rFonts w:hint="eastAsia" w:ascii="仿宋" w:hAnsi="仿宋" w:eastAsia="仿宋" w:cs="仿宋"/>
          <w:bCs w:val="0"/>
          <w:color w:val="auto"/>
          <w:kern w:val="2"/>
          <w:sz w:val="28"/>
          <w:szCs w:val="28"/>
          <w:highlight w:val="none"/>
          <w:lang w:val="en-US" w:eastAsia="zh-CN" w:bidi="ar-SA"/>
        </w:rPr>
        <w:t>中小企业声明函(货物)</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企业名称（盖章）：</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日期：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headerReference r:id="rId15" w:type="default"/>
          <w:footerReference r:id="rId1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snapToGrid w:val="0"/>
        <w:spacing w:line="360" w:lineRule="auto"/>
        <w:ind w:firstLine="0" w:firstLineChars="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JY企业声明函</w:t>
      </w:r>
      <w:r>
        <w:rPr>
          <w:rFonts w:hint="eastAsia" w:ascii="仿宋" w:hAnsi="仿宋" w:eastAsia="仿宋" w:cs="仿宋"/>
          <w:b/>
          <w:color w:val="auto"/>
          <w:spacing w:val="6"/>
          <w:kern w:val="2"/>
          <w:sz w:val="28"/>
          <w:szCs w:val="28"/>
          <w:highlight w:val="none"/>
          <w:lang w:val="en-US" w:eastAsia="zh-CN" w:bidi="ar-SA"/>
        </w:rPr>
        <w:t>（如有）</w:t>
      </w:r>
    </w:p>
    <w:p>
      <w:pPr>
        <w:pStyle w:val="2"/>
        <w:rPr>
          <w:rFonts w:hint="eastAsia" w:ascii="仿宋" w:hAnsi="仿宋" w:eastAsia="仿宋" w:cs="仿宋"/>
          <w:b/>
          <w:bCs w:val="0"/>
          <w:color w:val="auto"/>
          <w:kern w:val="2"/>
          <w:sz w:val="28"/>
          <w:szCs w:val="28"/>
          <w:highlight w:val="none"/>
          <w:lang w:val="en-US" w:eastAsia="zh-CN" w:bidi="ar-SA"/>
        </w:rPr>
      </w:pPr>
    </w:p>
    <w:p>
      <w:pPr>
        <w:rPr>
          <w:rFonts w:hint="eastAsia" w:ascii="仿宋" w:hAnsi="仿宋" w:eastAsia="仿宋" w:cs="仿宋"/>
          <w:highlight w:val="none"/>
          <w:lang w:val="en-US" w:eastAsia="zh-CN"/>
        </w:rPr>
      </w:pPr>
    </w:p>
    <w:p>
      <w:pPr>
        <w:snapToGrid w:val="0"/>
        <w:spacing w:line="360" w:lineRule="auto"/>
        <w:ind w:firstLine="480" w:firstLineChars="200"/>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【不属于JY企业的无需填写、递交】</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本公司郑重声明，根据《关于政府采购支持监狱企业发展有关问题的通知》 （财库[2014]68 号）的规定，本公司为监狱企业。</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根据上述标准，我公司属于JY企业的理由为：         。</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本公司为参加（    项目名称    ） （项目编号：      ）采购活动提供本企业提供货物。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投标人名称（盖章）：</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日期：    年  月  日</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pStyle w:val="2"/>
        <w:rPr>
          <w:rFonts w:hint="eastAsia" w:ascii="仿宋" w:hAnsi="仿宋" w:eastAsia="仿宋" w:cs="仿宋"/>
          <w:highlight w:val="none"/>
          <w:lang w:val="en-US" w:eastAsia="zh-CN"/>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40" w:firstLineChars="200"/>
        <w:jc w:val="left"/>
        <w:rPr>
          <w:rFonts w:hint="eastAsia" w:ascii="仿宋" w:hAnsi="仿宋" w:eastAsia="仿宋" w:cs="仿宋"/>
          <w:kern w:val="0"/>
          <w:sz w:val="22"/>
          <w:szCs w:val="22"/>
          <w:highlight w:val="none"/>
          <w:lang w:val="en-US" w:eastAsia="zh-CN" w:bidi="ar-SA"/>
        </w:rPr>
      </w:pPr>
    </w:p>
    <w:p>
      <w:pPr>
        <w:snapToGrid w:val="0"/>
        <w:spacing w:line="360" w:lineRule="auto"/>
        <w:ind w:firstLine="420" w:firstLineChars="200"/>
        <w:rPr>
          <w:rFonts w:hint="eastAsia" w:ascii="仿宋" w:hAnsi="仿宋" w:eastAsia="仿宋" w:cs="仿宋"/>
          <w:color w:val="auto"/>
          <w:sz w:val="21"/>
          <w:highlight w:val="none"/>
        </w:rPr>
      </w:pPr>
    </w:p>
    <w:p>
      <w:pPr>
        <w:snapToGrid w:val="0"/>
        <w:spacing w:line="360" w:lineRule="auto"/>
        <w:ind w:firstLine="0" w:firstLineChars="0"/>
        <w:jc w:val="center"/>
        <w:rPr>
          <w:rFonts w:hint="eastAsia" w:ascii="仿宋" w:hAnsi="仿宋" w:eastAsia="仿宋" w:cs="仿宋"/>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残疾人福利性单位声明函</w:t>
      </w:r>
      <w:r>
        <w:rPr>
          <w:rFonts w:hint="eastAsia" w:ascii="仿宋" w:hAnsi="仿宋" w:eastAsia="仿宋" w:cs="仿宋"/>
          <w:b/>
          <w:color w:val="auto"/>
          <w:spacing w:val="6"/>
          <w:kern w:val="2"/>
          <w:sz w:val="28"/>
          <w:szCs w:val="28"/>
          <w:highlight w:val="none"/>
          <w:lang w:val="en-US" w:eastAsia="zh-CN" w:bidi="ar-SA"/>
        </w:rPr>
        <w:t>（如有）</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单位名称（盖章）：</w:t>
      </w: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日  期：</w:t>
      </w:r>
    </w:p>
    <w:p>
      <w:pPr>
        <w:snapToGrid w:val="0"/>
        <w:spacing w:line="360" w:lineRule="auto"/>
        <w:ind w:left="360" w:firstLine="0" w:firstLineChars="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扶持政策说明：</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1、根据财政部、工业和信息化部制定的《政府采购促进中小企业发展暂行办法》和转发财政部工业和信息化部关于印发《政府采购促进中小企业发展暂行办法》的通知（浙财采监[2012]11号），对小型或微型企业的投标报价给予6%的扣除，并用扣除后的价格计算价格评分。</w:t>
      </w:r>
    </w:p>
    <w:p>
      <w:pPr>
        <w:snapToGrid w:val="0"/>
        <w:spacing w:line="360" w:lineRule="auto"/>
        <w:ind w:firstLine="240" w:firstLineChars="1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2、监狱企业视同小微企业，参加本项目投标的，享受小微企业同等的价格扣除。【注：提供《监狱企业声明函》及其相关的充分的证明材料】。</w:t>
      </w:r>
    </w:p>
    <w:p>
      <w:pPr>
        <w:snapToGrid w:val="0"/>
        <w:spacing w:line="360" w:lineRule="auto"/>
        <w:ind w:firstLine="240" w:firstLineChars="100"/>
        <w:rPr>
          <w:rFonts w:hint="eastAsia" w:ascii="仿宋" w:hAnsi="仿宋" w:eastAsia="仿宋" w:cs="仿宋"/>
          <w:highlight w:val="none"/>
          <w:lang w:val="en-US" w:eastAsia="zh-CN"/>
        </w:rPr>
        <w:sectPr>
          <w:pgSz w:w="11906" w:h="16838"/>
          <w:pgMar w:top="1440" w:right="1080" w:bottom="1440" w:left="1080" w:header="851" w:footer="992" w:gutter="0"/>
          <w:pgNumType w:fmt="decimal"/>
          <w:cols w:space="720" w:num="1"/>
          <w:titlePg/>
          <w:docGrid w:type="lines" w:linePitch="312" w:charSpace="0"/>
        </w:sectPr>
      </w:pPr>
      <w:r>
        <w:rPr>
          <w:rFonts w:hint="eastAsia" w:ascii="仿宋" w:hAnsi="仿宋" w:eastAsia="仿宋" w:cs="仿宋"/>
          <w:color w:val="auto"/>
          <w:kern w:val="0"/>
          <w:sz w:val="24"/>
          <w:szCs w:val="20"/>
          <w:highlight w:val="none"/>
          <w:lang w:val="en-US" w:eastAsia="zh-CN" w:bidi="ar-SA"/>
        </w:rPr>
        <w:t>3、残疾人福利性单位参加投标【提供《残疾人福利性单位声明函》】，视为小型、微型企业，享受小微企业政策扶持。</w:t>
      </w: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节能、环保产品证明（如有）</w:t>
      </w:r>
    </w:p>
    <w:p>
      <w:pPr>
        <w:pStyle w:val="5"/>
        <w:numPr>
          <w:ilvl w:val="0"/>
          <w:numId w:val="0"/>
        </w:numPr>
        <w:rPr>
          <w:rFonts w:hint="eastAsia" w:ascii="仿宋" w:hAnsi="仿宋" w:eastAsia="仿宋" w:cs="仿宋"/>
          <w:highlight w:val="none"/>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现附上</w:t>
      </w:r>
      <w:r>
        <w:rPr>
          <w:rFonts w:hint="eastAsia" w:ascii="仿宋" w:hAnsi="仿宋" w:eastAsia="仿宋" w:cs="仿宋"/>
          <w:color w:val="auto"/>
          <w:sz w:val="24"/>
          <w:highlight w:val="none"/>
          <w:u w:val="single"/>
        </w:rPr>
        <w:t>  （节能、环保产品产品目录）    </w:t>
      </w:r>
      <w:r>
        <w:rPr>
          <w:rFonts w:hint="eastAsia" w:ascii="仿宋" w:hAnsi="仿宋" w:eastAsia="仿宋" w:cs="仿宋"/>
          <w:color w:val="auto"/>
          <w:sz w:val="24"/>
          <w:highlight w:val="none"/>
        </w:rPr>
        <w:t> 证明文件（可在 网站名称 网站进行查询）复印件，该证件真实有效。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投标人（加盖公章）：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投标人代表（签字）：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日 期：    年   月  日</w:t>
      </w:r>
    </w:p>
    <w:p>
      <w:pPr>
        <w:rPr>
          <w:rFonts w:hint="eastAsia" w:ascii="仿宋" w:hAnsi="仿宋" w:eastAsia="仿宋" w:cs="仿宋"/>
          <w:b/>
          <w:color w:val="auto"/>
          <w:spacing w:val="6"/>
          <w:szCs w:val="21"/>
          <w:highlight w:val="none"/>
        </w:rPr>
      </w:pPr>
    </w:p>
    <w:p>
      <w:pPr>
        <w:pStyle w:val="42"/>
        <w:rPr>
          <w:rFonts w:hint="eastAsia" w:ascii="仿宋" w:hAnsi="仿宋" w:eastAsia="仿宋" w:cs="仿宋"/>
          <w:color w:val="auto"/>
          <w:highlight w:val="none"/>
        </w:rPr>
      </w:pPr>
    </w:p>
    <w:p>
      <w:pPr>
        <w:pStyle w:val="42"/>
        <w:rPr>
          <w:rFonts w:hint="eastAsia" w:ascii="仿宋" w:hAnsi="仿宋" w:eastAsia="仿宋" w:cs="仿宋"/>
          <w:color w:val="auto"/>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59"/>
        <w:shd w:val="clear" w:color="auto" w:fill="auto"/>
        <w:spacing w:line="240" w:lineRule="auto"/>
        <w:ind w:left="0" w:leftChars="0" w:firstLine="0" w:firstLineChars="0"/>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虚假应标承担责任声明（统一格式）</w:t>
      </w:r>
    </w:p>
    <w:p>
      <w:pPr>
        <w:pStyle w:val="19"/>
        <w:shd w:val="clear" w:color="auto" w:fill="auto"/>
        <w:tabs>
          <w:tab w:val="left" w:pos="9214"/>
        </w:tabs>
        <w:spacing w:before="2" w:line="240" w:lineRule="auto"/>
        <w:ind w:left="0" w:leftChars="0" w:right="-92" w:rightChars="-44" w:firstLine="0" w:firstLineChars="0"/>
        <w:rPr>
          <w:rFonts w:hint="eastAsia" w:ascii="仿宋" w:hAnsi="仿宋" w:eastAsia="仿宋" w:cs="仿宋"/>
          <w:b/>
          <w:color w:val="auto"/>
          <w:sz w:val="21"/>
          <w:szCs w:val="21"/>
          <w:highlight w:val="none"/>
        </w:rPr>
      </w:pPr>
    </w:p>
    <w:p>
      <w:pPr>
        <w:shd w:val="clear" w:color="auto" w:fill="auto"/>
        <w:spacing w:line="240" w:lineRule="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采购人/采购代理机构</w:t>
      </w:r>
    </w:p>
    <w:p>
      <w:pPr>
        <w:pStyle w:val="19"/>
        <w:shd w:val="clear" w:color="auto" w:fill="auto"/>
        <w:tabs>
          <w:tab w:val="left" w:pos="9214"/>
        </w:tabs>
        <w:spacing w:before="9" w:line="240" w:lineRule="auto"/>
        <w:ind w:right="-92" w:rightChars="-44"/>
        <w:rPr>
          <w:rFonts w:hint="eastAsia" w:ascii="仿宋" w:hAnsi="仿宋" w:eastAsia="仿宋" w:cs="仿宋"/>
          <w:b/>
          <w:color w:val="auto"/>
          <w:sz w:val="24"/>
          <w:szCs w:val="24"/>
          <w:highlight w:val="none"/>
        </w:rPr>
      </w:pP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所提供的投标文件（包括一切技术资料、技术承诺、商务承诺等）均真实有效，若在项目招标过程中（包括开评审、中标公示过程）及履行合同期间（包括验收过程）发现我公司提供的货物（或产品）与投标文件不一致，或发现我公司提供了不真实的投标文件（虚假材料）   ）），我公司愿意承担一切法律责任并认可采购人或采购代理机构作出的取消中标资格、罚没保证金等决定。</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pStyle w:val="19"/>
        <w:shd w:val="clear" w:color="auto" w:fill="auto"/>
        <w:tabs>
          <w:tab w:val="left" w:pos="9214"/>
        </w:tabs>
        <w:spacing w:line="240" w:lineRule="auto"/>
        <w:ind w:right="-92" w:rightChars="-44"/>
        <w:rPr>
          <w:rFonts w:hint="eastAsia" w:ascii="仿宋" w:hAnsi="仿宋" w:eastAsia="仿宋" w:cs="仿宋"/>
          <w:color w:val="auto"/>
          <w:sz w:val="24"/>
          <w:szCs w:val="24"/>
          <w:highlight w:val="none"/>
        </w:rPr>
      </w:pPr>
    </w:p>
    <w:p>
      <w:pPr>
        <w:pStyle w:val="19"/>
        <w:shd w:val="clear" w:color="auto" w:fill="auto"/>
        <w:tabs>
          <w:tab w:val="left" w:pos="4736"/>
          <w:tab w:val="left" w:pos="9214"/>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投标人授权代表(签字或签章)：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rPr>
        <w:tab/>
      </w:r>
    </w:p>
    <w:p>
      <w:pPr>
        <w:numPr>
          <w:ilvl w:val="0"/>
          <w:numId w:val="0"/>
        </w:numPr>
        <w:adjustRightInd w:val="0"/>
        <w:spacing w:line="360" w:lineRule="auto"/>
        <w:ind w:left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9"/>
        <w:jc w:val="center"/>
        <w:rPr>
          <w:rFonts w:hint="eastAsia" w:ascii="仿宋" w:hAnsi="仿宋" w:eastAsia="仿宋" w:cs="仿宋"/>
          <w:color w:val="auto"/>
          <w:highlight w:val="none"/>
        </w:rPr>
      </w:pPr>
      <w:r>
        <w:rPr>
          <w:rFonts w:hint="eastAsia" w:ascii="仿宋" w:hAnsi="仿宋" w:eastAsia="仿宋" w:cs="仿宋"/>
          <w:b/>
          <w:color w:val="auto"/>
          <w:spacing w:val="6"/>
          <w:kern w:val="2"/>
          <w:sz w:val="28"/>
          <w:szCs w:val="28"/>
          <w:highlight w:val="none"/>
          <w:lang w:val="en-US" w:eastAsia="zh-CN" w:bidi="ar-SA"/>
        </w:rPr>
        <w:t>十八、</w:t>
      </w:r>
      <w:r>
        <w:rPr>
          <w:rFonts w:hint="eastAsia" w:ascii="仿宋" w:hAnsi="仿宋" w:eastAsia="仿宋" w:cs="仿宋"/>
          <w:b/>
          <w:color w:val="auto"/>
          <w:kern w:val="2"/>
          <w:sz w:val="30"/>
          <w:szCs w:val="30"/>
          <w:highlight w:val="none"/>
          <w:lang w:val="en-US" w:eastAsia="zh-CN" w:bidi="ar-SA"/>
        </w:rPr>
        <w:t>售后服务方案</w:t>
      </w: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pStyle w:val="2"/>
        <w:overflowPunct w:val="0"/>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十九、培训服务方案</w:t>
      </w:r>
    </w:p>
    <w:p>
      <w:pPr>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0"/>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二十、</w:t>
      </w:r>
      <w:r>
        <w:rPr>
          <w:rFonts w:hint="eastAsia" w:ascii="仿宋" w:hAnsi="仿宋" w:eastAsia="仿宋" w:cs="仿宋"/>
          <w:b/>
          <w:bCs/>
          <w:color w:val="auto"/>
          <w:sz w:val="28"/>
          <w:szCs w:val="28"/>
          <w:highlight w:val="none"/>
          <w:lang w:val="en-US" w:eastAsia="zh-CN"/>
        </w:rPr>
        <w:t>配件供应能力及承诺</w:t>
      </w:r>
    </w:p>
    <w:p>
      <w:pP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二十一、服务方案</w:t>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tabs>
          <w:tab w:val="left" w:pos="449"/>
        </w:tabs>
        <w:bidi w:val="0"/>
        <w:jc w:val="center"/>
        <w:rPr>
          <w:rFonts w:hint="eastAsia" w:ascii="仿宋" w:hAnsi="仿宋" w:eastAsia="仿宋" w:cs="仿宋"/>
          <w:lang w:val="en-US" w:eastAsia="zh-CN"/>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4"/>
          <w:highlight w:val="none"/>
        </w:rPr>
        <w:t>年   月   日</w:t>
      </w:r>
    </w:p>
    <w:p>
      <w:pPr>
        <w:numPr>
          <w:ilvl w:val="0"/>
          <w:numId w:val="0"/>
        </w:numPr>
        <w:adjustRightInd w:val="0"/>
        <w:spacing w:line="360" w:lineRule="auto"/>
        <w:ind w:leftChars="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28"/>
          <w:szCs w:val="28"/>
          <w:highlight w:val="none"/>
          <w:lang w:val="en-US" w:eastAsia="zh-CN"/>
        </w:rPr>
        <w:t>二十二、</w:t>
      </w:r>
      <w:r>
        <w:rPr>
          <w:rFonts w:hint="eastAsia" w:ascii="仿宋" w:hAnsi="仿宋" w:eastAsia="仿宋" w:cs="仿宋"/>
          <w:b/>
          <w:color w:val="auto"/>
          <w:sz w:val="30"/>
          <w:szCs w:val="30"/>
          <w:highlight w:val="none"/>
          <w:lang w:val="en-US" w:eastAsia="zh-CN"/>
        </w:rPr>
        <w:t>投标人实施方案</w:t>
      </w:r>
    </w:p>
    <w:p>
      <w:pPr>
        <w:pStyle w:val="21"/>
        <w:widowControl w:val="0"/>
        <w:numPr>
          <w:ilvl w:val="0"/>
          <w:numId w:val="0"/>
        </w:numPr>
        <w:autoSpaceDE w:val="0"/>
        <w:autoSpaceDN w:val="0"/>
        <w:adjustRightInd w:val="0"/>
        <w:rPr>
          <w:rFonts w:hint="eastAsia" w:ascii="仿宋" w:hAnsi="仿宋" w:eastAsia="仿宋" w:cs="仿宋"/>
          <w:color w:val="auto"/>
          <w:highlight w:val="none"/>
          <w:lang w:val="en-US" w:eastAsia="zh-CN"/>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jc w:val="center"/>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rPr>
          <w:rFonts w:hint="eastAsia" w:ascii="仿宋" w:hAnsi="仿宋" w:eastAsia="仿宋" w:cs="仿宋"/>
          <w:b/>
          <w:bCs/>
          <w:color w:val="auto"/>
          <w:sz w:val="28"/>
          <w:szCs w:val="28"/>
          <w:highlight w:val="none"/>
          <w:lang w:val="en-US" w:eastAsia="zh-CN"/>
        </w:rPr>
      </w:pPr>
    </w:p>
    <w:p>
      <w:pPr>
        <w:numPr>
          <w:ilvl w:val="0"/>
          <w:numId w:val="0"/>
        </w:num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二十三、</w:t>
      </w:r>
      <w:r>
        <w:rPr>
          <w:rFonts w:hint="eastAsia" w:ascii="仿宋" w:hAnsi="仿宋" w:eastAsia="仿宋" w:cs="仿宋"/>
          <w:b/>
          <w:bCs/>
          <w:color w:val="auto"/>
          <w:sz w:val="28"/>
          <w:szCs w:val="28"/>
          <w:highlight w:val="none"/>
        </w:rPr>
        <w:t>不参与围标串标承诺书</w:t>
      </w:r>
    </w:p>
    <w:p>
      <w:pPr>
        <w:pStyle w:val="19"/>
        <w:numPr>
          <w:ilvl w:val="0"/>
          <w:numId w:val="0"/>
        </w:numPr>
        <w:rPr>
          <w:rFonts w:hint="eastAsia" w:ascii="仿宋" w:hAnsi="仿宋" w:eastAsia="仿宋" w:cs="仿宋"/>
          <w:highlight w:val="none"/>
        </w:rPr>
      </w:pP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我公司在参与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项目招投标过程中，自觉遵守《中华人民共和国政府采购法》和《中华人民共和国政府采购实施条例》以及自治区、地、市招标投标管理的有关规定。就本次投标，我公司郑重承诺如下：</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（一）不与其他投标企业存在任何关联关系；</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（二）不组织、不参与任何串通投标的行为；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（三）不以他人名义投标，不组织、不参与以其他弄虚作假的方式参加投标的行为；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（四）不出让或出租资格、资质证书参加投标，不组织、不参与类似违法违规行为。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（五）积极主动检举、揭发和配合相关部门调查串通投标等违法违规行为。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我公司对以上承诺内容的真实性和履约性负责，如有违诺，自愿承担一切违法违规后果。</w:t>
      </w:r>
    </w:p>
    <w:p>
      <w:pPr>
        <w:spacing w:line="360" w:lineRule="auto"/>
        <w:ind w:left="239"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4"/>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二十四、</w:t>
      </w:r>
      <w:r>
        <w:rPr>
          <w:rFonts w:hint="eastAsia" w:ascii="仿宋" w:hAnsi="仿宋" w:eastAsia="仿宋" w:cs="仿宋"/>
          <w:color w:val="auto"/>
          <w:sz w:val="28"/>
          <w:szCs w:val="28"/>
          <w:highlight w:val="none"/>
        </w:rPr>
        <w:t>提供材料真实性承诺书</w:t>
      </w:r>
    </w:p>
    <w:p>
      <w:pPr>
        <w:pStyle w:val="155"/>
        <w:spacing w:beforeLines="130" w:afterLines="116"/>
        <w:jc w:val="both"/>
        <w:rPr>
          <w:rStyle w:val="158"/>
          <w:rFonts w:hint="eastAsia" w:ascii="仿宋" w:hAnsi="仿宋" w:eastAsia="仿宋" w:cs="仿宋"/>
          <w:color w:val="auto"/>
          <w:kern w:val="0"/>
          <w:sz w:val="28"/>
          <w:szCs w:val="28"/>
          <w:highlight w:val="none"/>
        </w:rPr>
      </w:pPr>
      <w:r>
        <w:rPr>
          <w:rStyle w:val="158"/>
          <w:rFonts w:hint="eastAsia" w:ascii="仿宋" w:hAnsi="仿宋" w:eastAsia="仿宋" w:cs="仿宋"/>
          <w:b w:val="0"/>
          <w:bCs w:val="0"/>
          <w:color w:val="auto"/>
          <w:sz w:val="28"/>
          <w:szCs w:val="28"/>
          <w:highlight w:val="none"/>
        </w:rPr>
        <w:t xml:space="preserve"> </w:t>
      </w:r>
      <w:r>
        <w:rPr>
          <w:rStyle w:val="158"/>
          <w:rFonts w:hint="eastAsia" w:ascii="仿宋" w:hAnsi="仿宋" w:eastAsia="仿宋" w:cs="仿宋"/>
          <w:b w:val="0"/>
          <w:bCs w:val="0"/>
          <w:color w:val="auto"/>
          <w:kern w:val="0"/>
          <w:sz w:val="28"/>
          <w:szCs w:val="28"/>
          <w:highlight w:val="none"/>
          <w:u w:val="single"/>
        </w:rPr>
        <w:t xml:space="preserve">         （采购人）         </w:t>
      </w:r>
      <w:r>
        <w:rPr>
          <w:rStyle w:val="158"/>
          <w:rFonts w:hint="eastAsia" w:ascii="仿宋" w:hAnsi="仿宋" w:eastAsia="仿宋" w:cs="仿宋"/>
          <w:b w:val="0"/>
          <w:bCs w:val="0"/>
          <w:color w:val="auto"/>
          <w:kern w:val="0"/>
          <w:sz w:val="28"/>
          <w:szCs w:val="28"/>
          <w:highlight w:val="none"/>
        </w:rPr>
        <w:t>:</w:t>
      </w:r>
      <w:r>
        <w:rPr>
          <w:rStyle w:val="158"/>
          <w:rFonts w:hint="eastAsia" w:ascii="仿宋" w:hAnsi="仿宋" w:eastAsia="仿宋" w:cs="仿宋"/>
          <w:color w:val="auto"/>
          <w:kern w:val="0"/>
          <w:sz w:val="28"/>
          <w:szCs w:val="28"/>
          <w:highlight w:val="none"/>
        </w:rPr>
        <w:t xml:space="preserve"> </w:t>
      </w:r>
    </w:p>
    <w:p>
      <w:pPr>
        <w:pStyle w:val="156"/>
        <w:autoSpaceDE w:val="0"/>
        <w:spacing w:line="440" w:lineRule="exact"/>
        <w:ind w:left="-38" w:right="62" w:firstLine="560" w:firstLineChars="200"/>
        <w:rPr>
          <w:rStyle w:val="158"/>
          <w:rFonts w:hint="eastAsia" w:ascii="仿宋" w:hAnsi="仿宋" w:eastAsia="仿宋" w:cs="仿宋"/>
          <w:color w:val="auto"/>
          <w:sz w:val="28"/>
          <w:szCs w:val="28"/>
          <w:highlight w:val="none"/>
        </w:rPr>
      </w:pPr>
      <w:r>
        <w:rPr>
          <w:rStyle w:val="158"/>
          <w:rFonts w:hint="eastAsia" w:ascii="仿宋" w:hAnsi="仿宋" w:eastAsia="仿宋" w:cs="仿宋"/>
          <w:color w:val="auto"/>
          <w:kern w:val="0"/>
          <w:sz w:val="28"/>
          <w:szCs w:val="28"/>
          <w:highlight w:val="none"/>
        </w:rPr>
        <w:t>鉴于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u w:val="single"/>
          <w:lang w:eastAsia="zh-CN"/>
        </w:rPr>
        <w:t>投标人</w:t>
      </w:r>
      <w:r>
        <w:rPr>
          <w:rStyle w:val="158"/>
          <w:rFonts w:hint="eastAsia" w:ascii="仿宋" w:hAnsi="仿宋" w:eastAsia="仿宋" w:cs="仿宋"/>
          <w:color w:val="auto"/>
          <w:kern w:val="0"/>
          <w:sz w:val="28"/>
          <w:szCs w:val="28"/>
          <w:highlight w:val="none"/>
          <w:u w:val="single"/>
        </w:rPr>
        <w:t xml:space="preserve">名称）          </w:t>
      </w:r>
      <w:r>
        <w:rPr>
          <w:rStyle w:val="158"/>
          <w:rFonts w:hint="eastAsia" w:ascii="仿宋" w:hAnsi="仿宋" w:eastAsia="仿宋" w:cs="仿宋"/>
          <w:color w:val="auto"/>
          <w:kern w:val="0"/>
          <w:sz w:val="28"/>
          <w:szCs w:val="28"/>
          <w:highlight w:val="none"/>
        </w:rPr>
        <w:t>（以下称“我方”）于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rPr>
        <w:t>年＿月＿日参加</w:t>
      </w:r>
      <w:r>
        <w:rPr>
          <w:rStyle w:val="158"/>
          <w:rFonts w:hint="eastAsia" w:ascii="仿宋" w:hAnsi="仿宋" w:eastAsia="仿宋" w:cs="仿宋"/>
          <w:color w:val="auto"/>
          <w:kern w:val="0"/>
          <w:sz w:val="28"/>
          <w:szCs w:val="28"/>
          <w:highlight w:val="none"/>
          <w:u w:val="single"/>
        </w:rPr>
        <w:t xml:space="preserve">           （项目名称）           </w:t>
      </w:r>
      <w:r>
        <w:rPr>
          <w:rStyle w:val="158"/>
          <w:rFonts w:hint="eastAsia" w:ascii="仿宋" w:hAnsi="仿宋" w:eastAsia="仿宋" w:cs="仿宋"/>
          <w:color w:val="auto"/>
          <w:kern w:val="0"/>
          <w:sz w:val="28"/>
          <w:szCs w:val="28"/>
          <w:highlight w:val="none"/>
        </w:rPr>
        <w:t>标段的投标，我方在响应文件中提供的企业资质、各类证书、业绩材料、</w:t>
      </w:r>
      <w:r>
        <w:rPr>
          <w:rStyle w:val="158"/>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155"/>
        <w:spacing w:beforeLines="130" w:afterLines="116"/>
        <w:ind w:right="62"/>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承诺人：（企业名称）</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rPr>
      </w:pPr>
      <w:r>
        <w:rPr>
          <w:rStyle w:val="158"/>
          <w:rFonts w:hint="eastAsia" w:ascii="仿宋" w:hAnsi="仿宋" w:eastAsia="仿宋" w:cs="仿宋"/>
          <w:b w:val="0"/>
          <w:bCs w:val="0"/>
          <w:color w:val="auto"/>
          <w:sz w:val="28"/>
          <w:szCs w:val="28"/>
          <w:highlight w:val="none"/>
        </w:rPr>
        <w:t>法定代表人或授权委托人：（签字或盖章）</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联系电话：</w:t>
      </w:r>
      <w:r>
        <w:rPr>
          <w:rStyle w:val="158"/>
          <w:rFonts w:hint="eastAsia" w:ascii="仿宋" w:hAnsi="仿宋" w:eastAsia="仿宋" w:cs="仿宋"/>
          <w:b w:val="0"/>
          <w:bCs w:val="0"/>
          <w:color w:val="auto"/>
          <w:sz w:val="28"/>
          <w:szCs w:val="28"/>
          <w:highlight w:val="none"/>
          <w:u w:val="single"/>
        </w:rPr>
        <w:t xml:space="preserve">                    </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8"/>
          <w:szCs w:val="28"/>
          <w:highlight w:val="none"/>
          <w:lang w:val="en-US" w:eastAsia="zh-CN"/>
        </w:rPr>
        <w:t>日    期：   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二十五、投标人认为需要提供的其他资料</w:t>
      </w:r>
    </w:p>
    <w:p>
      <w:pPr>
        <w:rPr>
          <w:rFonts w:hint="eastAsia" w:ascii="仿宋" w:hAnsi="仿宋" w:eastAsia="仿宋" w:cs="仿宋"/>
          <w:color w:val="auto"/>
          <w:kern w:val="0"/>
          <w:sz w:val="28"/>
          <w:highlight w:val="none"/>
        </w:rPr>
      </w:pPr>
    </w:p>
    <w:p>
      <w:pPr>
        <w:pStyle w:val="5"/>
        <w:outlineLvl w:val="9"/>
        <w:rPr>
          <w:rFonts w:hint="eastAsia" w:ascii="仿宋" w:hAnsi="仿宋" w:eastAsia="仿宋" w:cs="仿宋"/>
          <w:color w:val="auto"/>
          <w:kern w:val="0"/>
          <w:sz w:val="28"/>
          <w:highlight w:val="none"/>
        </w:rPr>
      </w:pPr>
    </w:p>
    <w:p>
      <w:pPr>
        <w:pStyle w:val="4"/>
        <w:jc w:val="center"/>
        <w:outlineLvl w:val="9"/>
        <w:rPr>
          <w:rFonts w:hint="eastAsia" w:ascii="仿宋" w:hAnsi="仿宋" w:eastAsia="仿宋" w:cs="仿宋"/>
          <w:color w:val="auto"/>
          <w:kern w:val="0"/>
          <w:sz w:val="28"/>
          <w:highlight w:val="none"/>
        </w:rPr>
      </w:pPr>
      <w:bookmarkStart w:id="256" w:name="_Toc27985"/>
      <w:bookmarkStart w:id="257" w:name="_Toc3556"/>
      <w:bookmarkStart w:id="258" w:name="_Toc19600"/>
      <w:bookmarkStart w:id="259" w:name="_Toc1589"/>
    </w:p>
    <w:p>
      <w:pPr>
        <w:pStyle w:val="5"/>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highlight w:val="none"/>
        </w:rPr>
      </w:pPr>
    </w:p>
    <w:p>
      <w:pPr>
        <w:pStyle w:val="5"/>
        <w:outlineLvl w:val="9"/>
        <w:rPr>
          <w:rFonts w:hint="eastAsia" w:ascii="仿宋" w:hAnsi="仿宋" w:eastAsia="仿宋" w:cs="仿宋"/>
          <w:color w:val="auto"/>
          <w:highlight w:val="none"/>
        </w:rPr>
      </w:pPr>
    </w:p>
    <w:p>
      <w:pPr>
        <w:rPr>
          <w:rFonts w:hint="eastAsia" w:ascii="仿宋" w:hAnsi="仿宋" w:eastAsia="仿宋" w:cs="仿宋"/>
          <w:color w:val="auto"/>
          <w:kern w:val="0"/>
          <w:sz w:val="28"/>
          <w:highlight w:val="none"/>
        </w:rPr>
      </w:pPr>
    </w:p>
    <w:p>
      <w:pPr>
        <w:pStyle w:val="19"/>
        <w:tabs>
          <w:tab w:val="left" w:pos="9214"/>
        </w:tabs>
        <w:rPr>
          <w:rFonts w:hint="eastAsia" w:ascii="仿宋" w:hAnsi="仿宋" w:eastAsia="仿宋" w:cs="仿宋"/>
          <w:color w:val="auto"/>
          <w:highlight w:val="none"/>
        </w:rPr>
      </w:pPr>
    </w:p>
    <w:bookmarkEnd w:id="256"/>
    <w:bookmarkEnd w:id="257"/>
    <w:bookmarkEnd w:id="258"/>
    <w:bookmarkEnd w:id="259"/>
    <w:p>
      <w:pPr>
        <w:spacing w:line="360" w:lineRule="auto"/>
        <w:jc w:val="both"/>
        <w:rPr>
          <w:rFonts w:hint="eastAsia" w:ascii="仿宋" w:hAnsi="仿宋" w:eastAsia="仿宋" w:cs="仿宋"/>
          <w:b/>
          <w:bCs/>
          <w:color w:val="auto"/>
          <w:spacing w:val="60"/>
          <w:sz w:val="32"/>
          <w:szCs w:val="32"/>
          <w:highlight w:val="none"/>
        </w:rPr>
      </w:pPr>
      <w:bookmarkStart w:id="260" w:name="_Toc23806"/>
      <w:bookmarkStart w:id="261" w:name="_Toc12999"/>
      <w:bookmarkStart w:id="262" w:name="_Toc20918"/>
      <w:bookmarkStart w:id="263" w:name="_Toc16687"/>
      <w:bookmarkStart w:id="264" w:name="_Toc31830"/>
      <w:bookmarkStart w:id="265" w:name="_Toc24887"/>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260"/>
      <w:bookmarkEnd w:id="261"/>
      <w:bookmarkEnd w:id="262"/>
      <w:bookmarkEnd w:id="263"/>
      <w:bookmarkEnd w:id="264"/>
      <w:bookmarkEnd w:id="265"/>
    </w:p>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投标人对所附表格中要求的资料和询问应做出肯定的回答。</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2、招标文件的签字人应保证他所做的声明及对一切问题的回答的真实性和准确。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3、投标人提供的招标文件将由招标人使用，并据此进行评价和判断，确定投标人的能力。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4、投标人提交的文件将给予保密，但不退还。</w:t>
      </w:r>
    </w:p>
    <w:p>
      <w:pPr>
        <w:spacing w:line="380" w:lineRule="exact"/>
        <w:rPr>
          <w:rFonts w:hint="eastAsia" w:ascii="仿宋" w:hAnsi="仿宋" w:eastAsia="仿宋" w:cs="仿宋"/>
          <w:color w:val="auto"/>
          <w:sz w:val="28"/>
          <w:szCs w:val="28"/>
          <w:highlight w:val="none"/>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5"/>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51" w:right="62" w:firstLine="480" w:firstLineChars="200"/>
        <w:textAlignment w:val="auto"/>
        <w:rPr>
          <w:rFonts w:hint="eastAsia" w:ascii="仿宋" w:hAnsi="仿宋" w:eastAsia="仿宋" w:cs="仿宋"/>
          <w:color w:val="auto"/>
          <w:sz w:val="24"/>
          <w:szCs w:val="24"/>
          <w:highlight w:val="none"/>
        </w:rPr>
      </w:pPr>
      <w:bookmarkStart w:id="266" w:name="bookmark4"/>
      <w:bookmarkStart w:id="267" w:name="bookmark5"/>
      <w:r>
        <w:rPr>
          <w:rFonts w:hint="eastAsia" w:ascii="仿宋" w:hAnsi="仿宋" w:eastAsia="仿宋" w:cs="仿宋"/>
          <w:color w:val="auto"/>
          <w:sz w:val="24"/>
          <w:szCs w:val="24"/>
          <w:highlight w:val="none"/>
          <w:lang w:val="en-US" w:eastAsia="zh-CN"/>
        </w:rPr>
        <w:t>中华人民共和国政府采购法》、财政部、 工信部《政府采购促进中小企业发展管理办法》（财 库〔2020〕46 号）</w:t>
      </w:r>
      <w:r>
        <w:rPr>
          <w:rFonts w:hint="eastAsia" w:ascii="仿宋" w:hAnsi="仿宋" w:eastAsia="仿宋" w:cs="仿宋"/>
          <w:color w:val="auto"/>
          <w:sz w:val="24"/>
          <w:szCs w:val="24"/>
          <w:highlight w:val="none"/>
        </w:rPr>
        <w:t>规定中小企业划型标准规定如</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所示：</w:t>
      </w:r>
      <w:bookmarkEnd w:id="266"/>
      <w:bookmarkEnd w:id="267"/>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pPr>
        <w:pStyle w:val="5"/>
        <w:rPr>
          <w:rFonts w:hint="eastAsia" w:ascii="仿宋" w:hAnsi="仿宋" w:eastAsia="仿宋" w:cs="仿宋"/>
        </w:rPr>
      </w:pPr>
    </w:p>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 w:name="Trebuchet MS">
    <w:panose1 w:val="020B0603020202020204"/>
    <w:charset w:val="00"/>
    <w:family w:val="decorative"/>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p>
    <w:pPr>
      <w:spacing w:line="188" w:lineRule="auto"/>
      <w:ind w:left="4084"/>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3702050</wp:posOffset>
              </wp:positionH>
              <wp:positionV relativeFrom="page">
                <wp:posOffset>9893935</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5pt;margin-top:779.05pt;height:12pt;width:13.1pt;mso-position-horizontal-relative:page;mso-position-vertical-relative:page;z-index:-251651072;mso-width-relative:page;mso-height-relative:page;" filled="f" stroked="f" coordsize="21600,21600" o:gfxdata="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TZFtoAAAANAQAADwAAAAAAAAABACAAAAAiAAAAZHJzL2Rvd25yZXYueG1sUEsB&#10;AhQAFAAAAAgAh07iQAXgBqS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80B/hAQAAugMAAA4AAABkcnMvZTJvRG9jLnhtbK1TwY7TMBC9&#10;I/EPlu802UoL3a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N5w5YWng5x/fzz9/&#10;n399YzdJnt5jRVH3nuLi8AYGWpr5HukysR7aYNOf+DDyk7ini7hqiEympNVytSrJJck3Hwi/eEj3&#10;AeNbBZYlo+aBppdFFcf3GMfQOSRVc3CnjckTNI71hHq9enWdMy4uQjeOiiQWY7fJisNumKjtoDkR&#10;M3oQVLGD8JWzntah5o62nzPzzpHaaXNmI8zGbjaEk5RY88jZwQe97/KWpQ7R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rzQH+EBAAC6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9504"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9504;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b8WL1wAAAAoBAAAPAAAAAAAAAAEAIAAAACIA&#10;AABkcnMvZG93bnJldi54bWxQSwECFAAUAAAACACHTuJAobUa5tEBAACiAwAADgAAAAAAAAABACAA&#10;AAAmAQAAZHJzL2Uyb0RvYy54bWxQSwUGAAAAAAYABgBZAQAAa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8480"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8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8480;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2/Fi9cAAAAKAQAADwAAAAAAAAABACAAAAAi&#10;AAAAZHJzL2Rvd25yZXYueG1sUEsBAhQAFAAAAAgAh07iQDj1yDbSAQAAowMAAA4AAAAAAAAAAQAg&#10;AAAAJgEAAGRycy9lMm9Eb2MueG1sUEsFBgAAAAAGAAYAWQEAAGo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GYnUDTAQAApQMAAA4AAAAAAAAAAQAgAAAA&#10;IgEAAGRycy9lMm9Eb2MueG1sUEsFBgAAAAAGAAYAWQEAAGcFA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9zRPS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Kbmq4giWEaE7/8+H75&#10;+fvy6xuBDwL1LqyRd++QGYd3dsDazP4AZ+I9tF6nLxgRxIF1vsorhkh4elStqqpEiCM2X4BfPD53&#10;PsT3wmqSjJp6zC/Lyk4fQxxT55RUzdg7qVSeoTKkB+pN9eYmv7iGgK4MiiQWY7fJisN+mKjtbXMG&#10;sx5LUFODnadEfTDQGJ3G2fCzsZ+No/Py0KHJZa4X3NtjRDu5y1RhhJ0KY3qZ57RpaT3+vuesx7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v3NE9IBAAClAwAADgAAAAAAAAABACAAAAAi&#10;AQAAZHJzL2Uyb0RvYy54bWxQSwUGAAAAAAYABgBZAQAAZgU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6B95"/>
    <w:multiLevelType w:val="singleLevel"/>
    <w:tmpl w:val="894B6B95"/>
    <w:lvl w:ilvl="0" w:tentative="0">
      <w:start w:val="1"/>
      <w:numFmt w:val="decimal"/>
      <w:suff w:val="nothing"/>
      <w:lvlText w:val="%1、"/>
      <w:lvlJc w:val="left"/>
    </w:lvl>
  </w:abstractNum>
  <w:abstractNum w:abstractNumId="1">
    <w:nsid w:val="99B19BFF"/>
    <w:multiLevelType w:val="singleLevel"/>
    <w:tmpl w:val="99B19BFF"/>
    <w:lvl w:ilvl="0" w:tentative="0">
      <w:start w:val="4"/>
      <w:numFmt w:val="chineseCounting"/>
      <w:suff w:val="space"/>
      <w:lvlText w:val="第%1章"/>
      <w:lvlJc w:val="left"/>
      <w:rPr>
        <w:rFonts w:hint="eastAsia"/>
      </w:rPr>
    </w:lvl>
  </w:abstractNum>
  <w:abstractNum w:abstractNumId="2">
    <w:nsid w:val="9C6EACCF"/>
    <w:multiLevelType w:val="singleLevel"/>
    <w:tmpl w:val="9C6EACCF"/>
    <w:lvl w:ilvl="0" w:tentative="0">
      <w:start w:val="3"/>
      <w:numFmt w:val="chineseCounting"/>
      <w:suff w:val="space"/>
      <w:lvlText w:val="第%1部分"/>
      <w:lvlJc w:val="left"/>
      <w:rPr>
        <w:rFonts w:hint="eastAsia"/>
      </w:rPr>
    </w:lvl>
  </w:abstractNum>
  <w:abstractNum w:abstractNumId="3">
    <w:nsid w:val="BD96CC2A"/>
    <w:multiLevelType w:val="singleLevel"/>
    <w:tmpl w:val="BD96CC2A"/>
    <w:lvl w:ilvl="0" w:tentative="0">
      <w:start w:val="2"/>
      <w:numFmt w:val="chineseCounting"/>
      <w:suff w:val="nothing"/>
      <w:lvlText w:val="（%1）"/>
      <w:lvlJc w:val="left"/>
      <w:rPr>
        <w:rFonts w:hint="eastAsia"/>
      </w:rPr>
    </w:lvl>
  </w:abstractNum>
  <w:abstractNum w:abstractNumId="4">
    <w:nsid w:val="CE48D951"/>
    <w:multiLevelType w:val="singleLevel"/>
    <w:tmpl w:val="CE48D951"/>
    <w:lvl w:ilvl="0" w:tentative="0">
      <w:start w:val="1"/>
      <w:numFmt w:val="decimal"/>
      <w:pStyle w:val="79"/>
      <w:suff w:val="nothing"/>
      <w:lvlText w:val="%1、"/>
      <w:lvlJc w:val="left"/>
    </w:lvl>
  </w:abstractNum>
  <w:abstractNum w:abstractNumId="5">
    <w:nsid w:val="0000000C"/>
    <w:multiLevelType w:val="multilevel"/>
    <w:tmpl w:val="0000000C"/>
    <w:lvl w:ilvl="0" w:tentative="0">
      <w:start w:val="2"/>
      <w:numFmt w:val="decimal"/>
      <w:pStyle w:val="55"/>
      <w:suff w:val="nothing"/>
      <w:lvlText w:val="%1、"/>
      <w:lvlJc w:val="left"/>
    </w:lvl>
    <w:lvl w:ilvl="1" w:tentative="0">
      <w:start w:val="1"/>
      <w:numFmt w:val="decimal"/>
      <w:pStyle w:val="78"/>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6"/>
      <w:lvlText w:val="%4)"/>
      <w:lvlJc w:val="left"/>
      <w:pPr>
        <w:tabs>
          <w:tab w:val="left" w:pos="1680"/>
        </w:tabs>
        <w:ind w:left="1680" w:hanging="420"/>
      </w:pPr>
      <w:rPr>
        <w:rFonts w:hint="default"/>
      </w:rPr>
    </w:lvl>
    <w:lvl w:ilvl="4" w:tentative="0">
      <w:start w:val="1"/>
      <w:numFmt w:val="lowerLetter"/>
      <w:pStyle w:val="7"/>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pStyle w:val="10"/>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6">
    <w:nsid w:val="00000013"/>
    <w:multiLevelType w:val="singleLevel"/>
    <w:tmpl w:val="00000013"/>
    <w:lvl w:ilvl="0" w:tentative="0">
      <w:start w:val="4"/>
      <w:numFmt w:val="chineseCounting"/>
      <w:suff w:val="nothing"/>
      <w:lvlText w:val="%1、"/>
      <w:lvlJc w:val="left"/>
      <w:pPr>
        <w:ind w:left="3780"/>
      </w:pPr>
    </w:lvl>
  </w:abstractNum>
  <w:abstractNum w:abstractNumId="7">
    <w:nsid w:val="0000001B"/>
    <w:multiLevelType w:val="singleLevel"/>
    <w:tmpl w:val="0000001B"/>
    <w:lvl w:ilvl="0" w:tentative="0">
      <w:start w:val="2"/>
      <w:numFmt w:val="chineseCounting"/>
      <w:suff w:val="nothing"/>
      <w:lvlText w:val="%1、"/>
      <w:lvlJc w:val="left"/>
    </w:lvl>
  </w:abstractNum>
  <w:abstractNum w:abstractNumId="8">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19C5E42D"/>
    <w:multiLevelType w:val="singleLevel"/>
    <w:tmpl w:val="19C5E42D"/>
    <w:lvl w:ilvl="0" w:tentative="0">
      <w:start w:val="1"/>
      <w:numFmt w:val="decimal"/>
      <w:pStyle w:val="13"/>
      <w:lvlText w:val="%1."/>
      <w:lvlJc w:val="left"/>
      <w:pPr>
        <w:tabs>
          <w:tab w:val="left" w:pos="360"/>
        </w:tabs>
        <w:ind w:left="360" w:hanging="360"/>
      </w:pPr>
    </w:lvl>
  </w:abstractNum>
  <w:abstractNum w:abstractNumId="10">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11">
    <w:nsid w:val="323AA98F"/>
    <w:multiLevelType w:val="singleLevel"/>
    <w:tmpl w:val="323AA98F"/>
    <w:lvl w:ilvl="0" w:tentative="0">
      <w:start w:val="12"/>
      <w:numFmt w:val="decimal"/>
      <w:suff w:val="nothing"/>
      <w:lvlText w:val="%1、"/>
      <w:lvlJc w:val="left"/>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4">
    <w:nsid w:val="635D2DBE"/>
    <w:multiLevelType w:val="singleLevel"/>
    <w:tmpl w:val="635D2DBE"/>
    <w:lvl w:ilvl="0" w:tentative="0">
      <w:start w:val="1"/>
      <w:numFmt w:val="decimal"/>
      <w:suff w:val="nothing"/>
      <w:lvlText w:val="%1、"/>
      <w:lvlJc w:val="left"/>
      <w:pPr>
        <w:ind w:left="386" w:leftChars="0" w:firstLine="0" w:firstLineChars="0"/>
      </w:pPr>
      <w:rPr>
        <w:rFonts w:hint="default" w:ascii="仿宋" w:hAnsi="仿宋" w:eastAsia="仿宋" w:cs="仿宋"/>
        <w:sz w:val="22"/>
        <w:szCs w:val="22"/>
      </w:rPr>
    </w:lvl>
  </w:abstractNum>
  <w:num w:numId="1">
    <w:abstractNumId w:val="5"/>
  </w:num>
  <w:num w:numId="2">
    <w:abstractNumId w:val="9"/>
  </w:num>
  <w:num w:numId="3">
    <w:abstractNumId w:val="4"/>
  </w:num>
  <w:num w:numId="4">
    <w:abstractNumId w:val="7"/>
  </w:num>
  <w:num w:numId="5">
    <w:abstractNumId w:val="6"/>
  </w:num>
  <w:num w:numId="6">
    <w:abstractNumId w:val="2"/>
  </w:num>
  <w:num w:numId="7">
    <w:abstractNumId w:val="12"/>
  </w:num>
  <w:num w:numId="8">
    <w:abstractNumId w:val="8"/>
  </w:num>
  <w:num w:numId="9">
    <w:abstractNumId w:val="1"/>
  </w:num>
  <w:num w:numId="10">
    <w:abstractNumId w:val="14"/>
  </w:num>
  <w:num w:numId="11">
    <w:abstractNumId w:val="11"/>
  </w:num>
  <w:num w:numId="12">
    <w:abstractNumId w:val="10"/>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ZmODU2YTFiYTNkMTVkOTI3M2EwMWFhMzhkN2YifQ=="/>
    <w:docVar w:name="KSO_WPS_MARK_KEY" w:val="8c1968d9-a75c-4b14-9965-f57eadd48b5d"/>
  </w:docVars>
  <w:rsids>
    <w:rsidRoot w:val="00172A27"/>
    <w:rsid w:val="000969AD"/>
    <w:rsid w:val="000E3FC3"/>
    <w:rsid w:val="000F78F8"/>
    <w:rsid w:val="00164C33"/>
    <w:rsid w:val="001A4716"/>
    <w:rsid w:val="00263E36"/>
    <w:rsid w:val="002F5EFC"/>
    <w:rsid w:val="002F6D43"/>
    <w:rsid w:val="004852A3"/>
    <w:rsid w:val="006843FA"/>
    <w:rsid w:val="006A7838"/>
    <w:rsid w:val="00735ACC"/>
    <w:rsid w:val="0078578F"/>
    <w:rsid w:val="008B3B62"/>
    <w:rsid w:val="009D1D6B"/>
    <w:rsid w:val="00A54779"/>
    <w:rsid w:val="00B42D9D"/>
    <w:rsid w:val="00B71FBF"/>
    <w:rsid w:val="00C56DFF"/>
    <w:rsid w:val="00D41950"/>
    <w:rsid w:val="00D4336C"/>
    <w:rsid w:val="00D70EA7"/>
    <w:rsid w:val="00E77F2B"/>
    <w:rsid w:val="00E83F8F"/>
    <w:rsid w:val="00EF1595"/>
    <w:rsid w:val="00FD7FED"/>
    <w:rsid w:val="010354FD"/>
    <w:rsid w:val="011F7035"/>
    <w:rsid w:val="017753C6"/>
    <w:rsid w:val="017F5739"/>
    <w:rsid w:val="01882F2E"/>
    <w:rsid w:val="018E4567"/>
    <w:rsid w:val="01916D9E"/>
    <w:rsid w:val="01B71398"/>
    <w:rsid w:val="01BE7323"/>
    <w:rsid w:val="01D10442"/>
    <w:rsid w:val="01EC4701"/>
    <w:rsid w:val="01EE19B6"/>
    <w:rsid w:val="022A7A8C"/>
    <w:rsid w:val="024055D2"/>
    <w:rsid w:val="024A0BA6"/>
    <w:rsid w:val="025678F5"/>
    <w:rsid w:val="02647AD4"/>
    <w:rsid w:val="02A14C7A"/>
    <w:rsid w:val="02EB4148"/>
    <w:rsid w:val="02FC0103"/>
    <w:rsid w:val="03164A81"/>
    <w:rsid w:val="03411FE4"/>
    <w:rsid w:val="037508DC"/>
    <w:rsid w:val="03793B97"/>
    <w:rsid w:val="03895ADE"/>
    <w:rsid w:val="03B64756"/>
    <w:rsid w:val="03CA7259"/>
    <w:rsid w:val="03D604BB"/>
    <w:rsid w:val="040C13C9"/>
    <w:rsid w:val="04257B1C"/>
    <w:rsid w:val="048C2C9E"/>
    <w:rsid w:val="04B213C1"/>
    <w:rsid w:val="04B54A0D"/>
    <w:rsid w:val="04EE6171"/>
    <w:rsid w:val="04FA68C4"/>
    <w:rsid w:val="04FD70C7"/>
    <w:rsid w:val="0510448D"/>
    <w:rsid w:val="054933A7"/>
    <w:rsid w:val="05536562"/>
    <w:rsid w:val="055920B6"/>
    <w:rsid w:val="05621F2C"/>
    <w:rsid w:val="05634469"/>
    <w:rsid w:val="05692D56"/>
    <w:rsid w:val="05DC228D"/>
    <w:rsid w:val="05FE0636"/>
    <w:rsid w:val="060D148A"/>
    <w:rsid w:val="061B11E8"/>
    <w:rsid w:val="062B7991"/>
    <w:rsid w:val="064047AA"/>
    <w:rsid w:val="0641274C"/>
    <w:rsid w:val="066129B3"/>
    <w:rsid w:val="066C0011"/>
    <w:rsid w:val="06717375"/>
    <w:rsid w:val="06723A46"/>
    <w:rsid w:val="06915006"/>
    <w:rsid w:val="06AF013D"/>
    <w:rsid w:val="06B90C76"/>
    <w:rsid w:val="06F55595"/>
    <w:rsid w:val="06F9464B"/>
    <w:rsid w:val="06FE2F2D"/>
    <w:rsid w:val="07222102"/>
    <w:rsid w:val="07283BBC"/>
    <w:rsid w:val="07436C5F"/>
    <w:rsid w:val="076369A2"/>
    <w:rsid w:val="07875609"/>
    <w:rsid w:val="07B25F62"/>
    <w:rsid w:val="07BA1167"/>
    <w:rsid w:val="07D476A4"/>
    <w:rsid w:val="07E15CC2"/>
    <w:rsid w:val="080E209C"/>
    <w:rsid w:val="082F3FD3"/>
    <w:rsid w:val="08F655F4"/>
    <w:rsid w:val="09594501"/>
    <w:rsid w:val="095C4021"/>
    <w:rsid w:val="097A4F8F"/>
    <w:rsid w:val="099A5D5B"/>
    <w:rsid w:val="09BE5EBB"/>
    <w:rsid w:val="0A035572"/>
    <w:rsid w:val="0A0E3C10"/>
    <w:rsid w:val="0A0F696E"/>
    <w:rsid w:val="0A124C34"/>
    <w:rsid w:val="0A217926"/>
    <w:rsid w:val="0A3379CB"/>
    <w:rsid w:val="0A8214DE"/>
    <w:rsid w:val="0A932CCA"/>
    <w:rsid w:val="0AD1579D"/>
    <w:rsid w:val="0B113FEA"/>
    <w:rsid w:val="0B306B9A"/>
    <w:rsid w:val="0B410F8B"/>
    <w:rsid w:val="0B552AA6"/>
    <w:rsid w:val="0B58238F"/>
    <w:rsid w:val="0B7E012E"/>
    <w:rsid w:val="0B8C1F3D"/>
    <w:rsid w:val="0B953861"/>
    <w:rsid w:val="0BB60DCE"/>
    <w:rsid w:val="0BBA6113"/>
    <w:rsid w:val="0BD81D82"/>
    <w:rsid w:val="0C523489"/>
    <w:rsid w:val="0C70367A"/>
    <w:rsid w:val="0C871385"/>
    <w:rsid w:val="0C9B30E4"/>
    <w:rsid w:val="0CBE0748"/>
    <w:rsid w:val="0CBE1BE2"/>
    <w:rsid w:val="0CC54204"/>
    <w:rsid w:val="0D2E6180"/>
    <w:rsid w:val="0D3851A2"/>
    <w:rsid w:val="0D410B01"/>
    <w:rsid w:val="0D7508BC"/>
    <w:rsid w:val="0DC54E21"/>
    <w:rsid w:val="0DDF532F"/>
    <w:rsid w:val="0E187EE3"/>
    <w:rsid w:val="0E293B50"/>
    <w:rsid w:val="0E395338"/>
    <w:rsid w:val="0E3F353B"/>
    <w:rsid w:val="0E4F198B"/>
    <w:rsid w:val="0E572FD9"/>
    <w:rsid w:val="0E7C0D4C"/>
    <w:rsid w:val="0E8611C8"/>
    <w:rsid w:val="0E900E0E"/>
    <w:rsid w:val="0EA305C9"/>
    <w:rsid w:val="0EAC48BD"/>
    <w:rsid w:val="0EBF3FBE"/>
    <w:rsid w:val="0F225395"/>
    <w:rsid w:val="0F3B0774"/>
    <w:rsid w:val="0F597EC1"/>
    <w:rsid w:val="0F694D72"/>
    <w:rsid w:val="0F6D24C6"/>
    <w:rsid w:val="0F9126B9"/>
    <w:rsid w:val="0FD77F2D"/>
    <w:rsid w:val="104135F9"/>
    <w:rsid w:val="105D6BCF"/>
    <w:rsid w:val="10675755"/>
    <w:rsid w:val="10824ED0"/>
    <w:rsid w:val="108B08F2"/>
    <w:rsid w:val="10907D37"/>
    <w:rsid w:val="10A9611E"/>
    <w:rsid w:val="10E332F1"/>
    <w:rsid w:val="11020FDA"/>
    <w:rsid w:val="11114205"/>
    <w:rsid w:val="1120496E"/>
    <w:rsid w:val="11693E13"/>
    <w:rsid w:val="1173423E"/>
    <w:rsid w:val="119B0672"/>
    <w:rsid w:val="11D9089D"/>
    <w:rsid w:val="11E93B5E"/>
    <w:rsid w:val="121511E1"/>
    <w:rsid w:val="12166813"/>
    <w:rsid w:val="121D1E44"/>
    <w:rsid w:val="12723C85"/>
    <w:rsid w:val="12863E8D"/>
    <w:rsid w:val="12950A7E"/>
    <w:rsid w:val="12A003E8"/>
    <w:rsid w:val="12BF34FA"/>
    <w:rsid w:val="12C107C1"/>
    <w:rsid w:val="12C246A7"/>
    <w:rsid w:val="12C9083A"/>
    <w:rsid w:val="12EE7E64"/>
    <w:rsid w:val="13007235"/>
    <w:rsid w:val="13063E3E"/>
    <w:rsid w:val="131655CE"/>
    <w:rsid w:val="134C2C02"/>
    <w:rsid w:val="134F3193"/>
    <w:rsid w:val="13781EF1"/>
    <w:rsid w:val="13D754E4"/>
    <w:rsid w:val="13EA53A0"/>
    <w:rsid w:val="13F004E9"/>
    <w:rsid w:val="13F56BD4"/>
    <w:rsid w:val="140D5F5A"/>
    <w:rsid w:val="141B44DB"/>
    <w:rsid w:val="141B698E"/>
    <w:rsid w:val="142C45C0"/>
    <w:rsid w:val="142F202D"/>
    <w:rsid w:val="14311A1E"/>
    <w:rsid w:val="14710DC1"/>
    <w:rsid w:val="14754F4B"/>
    <w:rsid w:val="147F687F"/>
    <w:rsid w:val="14883EEC"/>
    <w:rsid w:val="14985EC3"/>
    <w:rsid w:val="14C82A75"/>
    <w:rsid w:val="14D868FD"/>
    <w:rsid w:val="153F193C"/>
    <w:rsid w:val="153F6289"/>
    <w:rsid w:val="15524BE4"/>
    <w:rsid w:val="157D3325"/>
    <w:rsid w:val="15DB6150"/>
    <w:rsid w:val="16290DB7"/>
    <w:rsid w:val="162D6097"/>
    <w:rsid w:val="1652773F"/>
    <w:rsid w:val="16551BAC"/>
    <w:rsid w:val="165E2C35"/>
    <w:rsid w:val="16866FA7"/>
    <w:rsid w:val="168B7CC4"/>
    <w:rsid w:val="17576E38"/>
    <w:rsid w:val="175B1B2C"/>
    <w:rsid w:val="175D48F4"/>
    <w:rsid w:val="178253FE"/>
    <w:rsid w:val="17A0586A"/>
    <w:rsid w:val="17EC02EE"/>
    <w:rsid w:val="1867248F"/>
    <w:rsid w:val="18725D99"/>
    <w:rsid w:val="1891342A"/>
    <w:rsid w:val="189866C8"/>
    <w:rsid w:val="189E2620"/>
    <w:rsid w:val="18C626E1"/>
    <w:rsid w:val="18D46954"/>
    <w:rsid w:val="18F173E8"/>
    <w:rsid w:val="190268FE"/>
    <w:rsid w:val="190D49C0"/>
    <w:rsid w:val="190F0738"/>
    <w:rsid w:val="197163E1"/>
    <w:rsid w:val="19A253D3"/>
    <w:rsid w:val="19A32A2E"/>
    <w:rsid w:val="19BC1F42"/>
    <w:rsid w:val="19BD16CC"/>
    <w:rsid w:val="19D40F30"/>
    <w:rsid w:val="1A312930"/>
    <w:rsid w:val="1A3F123B"/>
    <w:rsid w:val="1A415875"/>
    <w:rsid w:val="1A4268EB"/>
    <w:rsid w:val="1A5F061A"/>
    <w:rsid w:val="1A9609E5"/>
    <w:rsid w:val="1AB055BF"/>
    <w:rsid w:val="1AE33D08"/>
    <w:rsid w:val="1AF23E6D"/>
    <w:rsid w:val="1AF37BE5"/>
    <w:rsid w:val="1AF47500"/>
    <w:rsid w:val="1B2158C7"/>
    <w:rsid w:val="1B7A01B8"/>
    <w:rsid w:val="1BB47375"/>
    <w:rsid w:val="1BE85270"/>
    <w:rsid w:val="1C006EAF"/>
    <w:rsid w:val="1C190A99"/>
    <w:rsid w:val="1C206580"/>
    <w:rsid w:val="1C3D63ED"/>
    <w:rsid w:val="1C6B037B"/>
    <w:rsid w:val="1C744D56"/>
    <w:rsid w:val="1C8E5E18"/>
    <w:rsid w:val="1CBB4922"/>
    <w:rsid w:val="1CC500A1"/>
    <w:rsid w:val="1CCB2A5A"/>
    <w:rsid w:val="1CE0250E"/>
    <w:rsid w:val="1CE2284F"/>
    <w:rsid w:val="1CE27665"/>
    <w:rsid w:val="1D1F7314"/>
    <w:rsid w:val="1D3403C0"/>
    <w:rsid w:val="1D985169"/>
    <w:rsid w:val="1DAA1CFA"/>
    <w:rsid w:val="1DF47391"/>
    <w:rsid w:val="1E0B6D0F"/>
    <w:rsid w:val="1E220F0E"/>
    <w:rsid w:val="1E436CBC"/>
    <w:rsid w:val="1E4F29BA"/>
    <w:rsid w:val="1E4F50EF"/>
    <w:rsid w:val="1E6705A9"/>
    <w:rsid w:val="1E6C2F9A"/>
    <w:rsid w:val="1E9637FD"/>
    <w:rsid w:val="1EB83620"/>
    <w:rsid w:val="1EBB7EAA"/>
    <w:rsid w:val="1ECB747F"/>
    <w:rsid w:val="1F026509"/>
    <w:rsid w:val="1F657269"/>
    <w:rsid w:val="1F771A4D"/>
    <w:rsid w:val="1FA3607E"/>
    <w:rsid w:val="1FA92F69"/>
    <w:rsid w:val="1FBF453A"/>
    <w:rsid w:val="1FDF42FE"/>
    <w:rsid w:val="2027280B"/>
    <w:rsid w:val="20451F26"/>
    <w:rsid w:val="206705CC"/>
    <w:rsid w:val="207C716F"/>
    <w:rsid w:val="207D46DD"/>
    <w:rsid w:val="20A6633B"/>
    <w:rsid w:val="20F011EF"/>
    <w:rsid w:val="21310218"/>
    <w:rsid w:val="21645399"/>
    <w:rsid w:val="217E7567"/>
    <w:rsid w:val="21A16738"/>
    <w:rsid w:val="21BB1762"/>
    <w:rsid w:val="21DC0A70"/>
    <w:rsid w:val="21DC1B3E"/>
    <w:rsid w:val="21DD275B"/>
    <w:rsid w:val="21E620E9"/>
    <w:rsid w:val="21F46AB2"/>
    <w:rsid w:val="220215B6"/>
    <w:rsid w:val="2236157A"/>
    <w:rsid w:val="226338A3"/>
    <w:rsid w:val="229C3794"/>
    <w:rsid w:val="2318468D"/>
    <w:rsid w:val="23915BF2"/>
    <w:rsid w:val="23AE6F3A"/>
    <w:rsid w:val="23CF305C"/>
    <w:rsid w:val="23F9781D"/>
    <w:rsid w:val="24635540"/>
    <w:rsid w:val="24740FED"/>
    <w:rsid w:val="247B615F"/>
    <w:rsid w:val="248E4857"/>
    <w:rsid w:val="24E53A07"/>
    <w:rsid w:val="24ED1F1B"/>
    <w:rsid w:val="24EF6BB0"/>
    <w:rsid w:val="2500187D"/>
    <w:rsid w:val="252235A1"/>
    <w:rsid w:val="25495698"/>
    <w:rsid w:val="25550F0F"/>
    <w:rsid w:val="2567077F"/>
    <w:rsid w:val="2593449F"/>
    <w:rsid w:val="259B4ADE"/>
    <w:rsid w:val="25C46060"/>
    <w:rsid w:val="25C91C6F"/>
    <w:rsid w:val="260E4A99"/>
    <w:rsid w:val="262D4932"/>
    <w:rsid w:val="26360BC2"/>
    <w:rsid w:val="263B7010"/>
    <w:rsid w:val="26527375"/>
    <w:rsid w:val="26705CF5"/>
    <w:rsid w:val="26845B90"/>
    <w:rsid w:val="26955E2C"/>
    <w:rsid w:val="26977FBF"/>
    <w:rsid w:val="26A15028"/>
    <w:rsid w:val="26C8132F"/>
    <w:rsid w:val="26F70735"/>
    <w:rsid w:val="27196C26"/>
    <w:rsid w:val="27585507"/>
    <w:rsid w:val="275E310C"/>
    <w:rsid w:val="27AB234F"/>
    <w:rsid w:val="27B01338"/>
    <w:rsid w:val="27C47D9D"/>
    <w:rsid w:val="27C54C43"/>
    <w:rsid w:val="27CB1478"/>
    <w:rsid w:val="27D677D0"/>
    <w:rsid w:val="27FE496D"/>
    <w:rsid w:val="280B47C0"/>
    <w:rsid w:val="280B7FC7"/>
    <w:rsid w:val="281015F1"/>
    <w:rsid w:val="28182AA1"/>
    <w:rsid w:val="28727659"/>
    <w:rsid w:val="28845CC2"/>
    <w:rsid w:val="28A702B9"/>
    <w:rsid w:val="28B463AC"/>
    <w:rsid w:val="28BE3623"/>
    <w:rsid w:val="28C96735"/>
    <w:rsid w:val="28DB6EAA"/>
    <w:rsid w:val="290556B4"/>
    <w:rsid w:val="291D0C4F"/>
    <w:rsid w:val="2920429C"/>
    <w:rsid w:val="29223A0C"/>
    <w:rsid w:val="293715E5"/>
    <w:rsid w:val="293E0BC6"/>
    <w:rsid w:val="296C4096"/>
    <w:rsid w:val="29B80F87"/>
    <w:rsid w:val="2A337FFE"/>
    <w:rsid w:val="2A3558B4"/>
    <w:rsid w:val="2A3924D8"/>
    <w:rsid w:val="2A3C1DD7"/>
    <w:rsid w:val="2A613DB9"/>
    <w:rsid w:val="2A84085A"/>
    <w:rsid w:val="2AA8758A"/>
    <w:rsid w:val="2AAE6BCF"/>
    <w:rsid w:val="2AE06085"/>
    <w:rsid w:val="2AF05EF0"/>
    <w:rsid w:val="2B433BE2"/>
    <w:rsid w:val="2B7D59D5"/>
    <w:rsid w:val="2B9E594C"/>
    <w:rsid w:val="2C0078D2"/>
    <w:rsid w:val="2C1533AB"/>
    <w:rsid w:val="2C2C721C"/>
    <w:rsid w:val="2C42277B"/>
    <w:rsid w:val="2CBB4B82"/>
    <w:rsid w:val="2CDA0972"/>
    <w:rsid w:val="2D391DD0"/>
    <w:rsid w:val="2D3F156A"/>
    <w:rsid w:val="2D4F7387"/>
    <w:rsid w:val="2D5269EE"/>
    <w:rsid w:val="2D913ECB"/>
    <w:rsid w:val="2DC16D9B"/>
    <w:rsid w:val="2E0C1292"/>
    <w:rsid w:val="2E0C5E9C"/>
    <w:rsid w:val="2E231423"/>
    <w:rsid w:val="2E4B76EC"/>
    <w:rsid w:val="2E76456B"/>
    <w:rsid w:val="2EC51780"/>
    <w:rsid w:val="2ECA72A3"/>
    <w:rsid w:val="2EE43FBD"/>
    <w:rsid w:val="2EEC1136"/>
    <w:rsid w:val="2EF04710"/>
    <w:rsid w:val="2EF56EA2"/>
    <w:rsid w:val="2F1D1D8E"/>
    <w:rsid w:val="2F2A04CA"/>
    <w:rsid w:val="2F2B74F6"/>
    <w:rsid w:val="2F4C12F7"/>
    <w:rsid w:val="2F52087C"/>
    <w:rsid w:val="2F570AD7"/>
    <w:rsid w:val="2F84708E"/>
    <w:rsid w:val="2F9D1627"/>
    <w:rsid w:val="2FCA4A78"/>
    <w:rsid w:val="2FD76221"/>
    <w:rsid w:val="2FEA776D"/>
    <w:rsid w:val="300A4BE4"/>
    <w:rsid w:val="302225B6"/>
    <w:rsid w:val="302945C4"/>
    <w:rsid w:val="30384235"/>
    <w:rsid w:val="304545E8"/>
    <w:rsid w:val="30AF56FA"/>
    <w:rsid w:val="30B240A1"/>
    <w:rsid w:val="30BA5D83"/>
    <w:rsid w:val="30C10112"/>
    <w:rsid w:val="30F465F9"/>
    <w:rsid w:val="31025BFE"/>
    <w:rsid w:val="310B5295"/>
    <w:rsid w:val="313E1763"/>
    <w:rsid w:val="31527353"/>
    <w:rsid w:val="316311C9"/>
    <w:rsid w:val="31665252"/>
    <w:rsid w:val="31A6555A"/>
    <w:rsid w:val="31B732C3"/>
    <w:rsid w:val="31CA749A"/>
    <w:rsid w:val="31CB168D"/>
    <w:rsid w:val="31E339CC"/>
    <w:rsid w:val="31EB38F9"/>
    <w:rsid w:val="31F877A0"/>
    <w:rsid w:val="320B3E33"/>
    <w:rsid w:val="327021AB"/>
    <w:rsid w:val="32731930"/>
    <w:rsid w:val="329218B6"/>
    <w:rsid w:val="32B05762"/>
    <w:rsid w:val="332E6D2C"/>
    <w:rsid w:val="33501C21"/>
    <w:rsid w:val="33650BC1"/>
    <w:rsid w:val="337551E4"/>
    <w:rsid w:val="337D01A8"/>
    <w:rsid w:val="33A9307D"/>
    <w:rsid w:val="33AD37C7"/>
    <w:rsid w:val="33BD699E"/>
    <w:rsid w:val="33F64849"/>
    <w:rsid w:val="3405793E"/>
    <w:rsid w:val="342601B1"/>
    <w:rsid w:val="34417E3B"/>
    <w:rsid w:val="34594B05"/>
    <w:rsid w:val="347C79C5"/>
    <w:rsid w:val="34966C87"/>
    <w:rsid w:val="34D23D8F"/>
    <w:rsid w:val="34D96BF3"/>
    <w:rsid w:val="34E17CC1"/>
    <w:rsid w:val="351C3972"/>
    <w:rsid w:val="353C001B"/>
    <w:rsid w:val="35535DF9"/>
    <w:rsid w:val="357830FD"/>
    <w:rsid w:val="358A639D"/>
    <w:rsid w:val="35D538F3"/>
    <w:rsid w:val="36101977"/>
    <w:rsid w:val="36195F56"/>
    <w:rsid w:val="363A12E4"/>
    <w:rsid w:val="363E6B4A"/>
    <w:rsid w:val="365517B7"/>
    <w:rsid w:val="36722E94"/>
    <w:rsid w:val="3681127D"/>
    <w:rsid w:val="368C74AA"/>
    <w:rsid w:val="368D6CE8"/>
    <w:rsid w:val="369A4AAB"/>
    <w:rsid w:val="36B63A76"/>
    <w:rsid w:val="36D16E9F"/>
    <w:rsid w:val="37155B10"/>
    <w:rsid w:val="37180D0B"/>
    <w:rsid w:val="37352257"/>
    <w:rsid w:val="374C7D9F"/>
    <w:rsid w:val="374E0226"/>
    <w:rsid w:val="374F4745"/>
    <w:rsid w:val="375A3AF3"/>
    <w:rsid w:val="37622048"/>
    <w:rsid w:val="377F5ACE"/>
    <w:rsid w:val="37DF3574"/>
    <w:rsid w:val="38080D1C"/>
    <w:rsid w:val="3810197F"/>
    <w:rsid w:val="383218F5"/>
    <w:rsid w:val="385F4398"/>
    <w:rsid w:val="387463B2"/>
    <w:rsid w:val="387B329C"/>
    <w:rsid w:val="388D2FD0"/>
    <w:rsid w:val="38C60AB9"/>
    <w:rsid w:val="38EE5DE8"/>
    <w:rsid w:val="38FA6EBF"/>
    <w:rsid w:val="39083B56"/>
    <w:rsid w:val="390F1C37"/>
    <w:rsid w:val="393377E4"/>
    <w:rsid w:val="394A4C3B"/>
    <w:rsid w:val="39575489"/>
    <w:rsid w:val="395E28CA"/>
    <w:rsid w:val="3982065B"/>
    <w:rsid w:val="39882264"/>
    <w:rsid w:val="39CE3C3C"/>
    <w:rsid w:val="39D54FB1"/>
    <w:rsid w:val="39DD53FD"/>
    <w:rsid w:val="39F5707E"/>
    <w:rsid w:val="3A05640B"/>
    <w:rsid w:val="3A1514CF"/>
    <w:rsid w:val="3A34505A"/>
    <w:rsid w:val="3A3E6C77"/>
    <w:rsid w:val="3A442FE9"/>
    <w:rsid w:val="3A4D25E0"/>
    <w:rsid w:val="3A583AA0"/>
    <w:rsid w:val="3A5969B4"/>
    <w:rsid w:val="3A5E20AE"/>
    <w:rsid w:val="3AB74334"/>
    <w:rsid w:val="3AC56A51"/>
    <w:rsid w:val="3B547DD5"/>
    <w:rsid w:val="3B674DD1"/>
    <w:rsid w:val="3B7F4C3A"/>
    <w:rsid w:val="3B887742"/>
    <w:rsid w:val="3B9603ED"/>
    <w:rsid w:val="3B9628EE"/>
    <w:rsid w:val="3B9B23CA"/>
    <w:rsid w:val="3BBD597A"/>
    <w:rsid w:val="3BD056AD"/>
    <w:rsid w:val="3C3976F6"/>
    <w:rsid w:val="3C3A012D"/>
    <w:rsid w:val="3C457305"/>
    <w:rsid w:val="3C5B7C42"/>
    <w:rsid w:val="3C621722"/>
    <w:rsid w:val="3CA52FDE"/>
    <w:rsid w:val="3CB31014"/>
    <w:rsid w:val="3CC13356"/>
    <w:rsid w:val="3CCF005B"/>
    <w:rsid w:val="3CD218F9"/>
    <w:rsid w:val="3CE17E80"/>
    <w:rsid w:val="3CEB6517"/>
    <w:rsid w:val="3CF83553"/>
    <w:rsid w:val="3D136199"/>
    <w:rsid w:val="3D2F72C4"/>
    <w:rsid w:val="3D477BF1"/>
    <w:rsid w:val="3DD0408A"/>
    <w:rsid w:val="3DE758F0"/>
    <w:rsid w:val="3DF46EE2"/>
    <w:rsid w:val="3E012500"/>
    <w:rsid w:val="3E595E2E"/>
    <w:rsid w:val="3E5F0393"/>
    <w:rsid w:val="3E916A56"/>
    <w:rsid w:val="3E987FAB"/>
    <w:rsid w:val="3E9B3456"/>
    <w:rsid w:val="3EDA5274"/>
    <w:rsid w:val="3EFC2C5D"/>
    <w:rsid w:val="3F1D60A0"/>
    <w:rsid w:val="3F9D1D4A"/>
    <w:rsid w:val="3FA13A7E"/>
    <w:rsid w:val="3FAB056B"/>
    <w:rsid w:val="3FB90913"/>
    <w:rsid w:val="3FC94073"/>
    <w:rsid w:val="40490124"/>
    <w:rsid w:val="406946E9"/>
    <w:rsid w:val="41012622"/>
    <w:rsid w:val="412C66AB"/>
    <w:rsid w:val="41661607"/>
    <w:rsid w:val="41A05B22"/>
    <w:rsid w:val="41B164B6"/>
    <w:rsid w:val="41CB6494"/>
    <w:rsid w:val="41CF588A"/>
    <w:rsid w:val="41D628A7"/>
    <w:rsid w:val="41DC460C"/>
    <w:rsid w:val="41E24788"/>
    <w:rsid w:val="41EC0D67"/>
    <w:rsid w:val="41EE08A5"/>
    <w:rsid w:val="420C2C04"/>
    <w:rsid w:val="424B7D06"/>
    <w:rsid w:val="427325F4"/>
    <w:rsid w:val="42882165"/>
    <w:rsid w:val="42B0401C"/>
    <w:rsid w:val="430B642E"/>
    <w:rsid w:val="430C2C22"/>
    <w:rsid w:val="433A4925"/>
    <w:rsid w:val="4377495C"/>
    <w:rsid w:val="43AD2778"/>
    <w:rsid w:val="43DF5027"/>
    <w:rsid w:val="44213529"/>
    <w:rsid w:val="442549A0"/>
    <w:rsid w:val="4450382F"/>
    <w:rsid w:val="449432A7"/>
    <w:rsid w:val="44BD7C24"/>
    <w:rsid w:val="44BE22DB"/>
    <w:rsid w:val="44DD2EE3"/>
    <w:rsid w:val="44FF34A7"/>
    <w:rsid w:val="4504461A"/>
    <w:rsid w:val="450D65D4"/>
    <w:rsid w:val="455E1F7C"/>
    <w:rsid w:val="455E4BA2"/>
    <w:rsid w:val="456071E7"/>
    <w:rsid w:val="45863910"/>
    <w:rsid w:val="45920B15"/>
    <w:rsid w:val="45921223"/>
    <w:rsid w:val="45927E77"/>
    <w:rsid w:val="459D123E"/>
    <w:rsid w:val="45D40190"/>
    <w:rsid w:val="45D97854"/>
    <w:rsid w:val="45DB35CC"/>
    <w:rsid w:val="45DE4E6B"/>
    <w:rsid w:val="45EB3DD6"/>
    <w:rsid w:val="45F01CA9"/>
    <w:rsid w:val="45FC3543"/>
    <w:rsid w:val="4610213A"/>
    <w:rsid w:val="461C6256"/>
    <w:rsid w:val="46202A9A"/>
    <w:rsid w:val="462D5C7F"/>
    <w:rsid w:val="46325C58"/>
    <w:rsid w:val="46466F77"/>
    <w:rsid w:val="466271B8"/>
    <w:rsid w:val="467008B0"/>
    <w:rsid w:val="46754D2E"/>
    <w:rsid w:val="469519CD"/>
    <w:rsid w:val="46A74B88"/>
    <w:rsid w:val="46AF14DD"/>
    <w:rsid w:val="46BA07E8"/>
    <w:rsid w:val="46E4489A"/>
    <w:rsid w:val="46F04E55"/>
    <w:rsid w:val="46F43381"/>
    <w:rsid w:val="46F81F5C"/>
    <w:rsid w:val="46FA6535"/>
    <w:rsid w:val="4707219F"/>
    <w:rsid w:val="47304E59"/>
    <w:rsid w:val="474233E0"/>
    <w:rsid w:val="4763741D"/>
    <w:rsid w:val="478A0666"/>
    <w:rsid w:val="47B944D6"/>
    <w:rsid w:val="47DB5B06"/>
    <w:rsid w:val="48313978"/>
    <w:rsid w:val="485633DE"/>
    <w:rsid w:val="4858701A"/>
    <w:rsid w:val="486D481D"/>
    <w:rsid w:val="48761DFC"/>
    <w:rsid w:val="48793F29"/>
    <w:rsid w:val="48AC1460"/>
    <w:rsid w:val="48AF2AEE"/>
    <w:rsid w:val="48B03117"/>
    <w:rsid w:val="48BE55D6"/>
    <w:rsid w:val="48C87B66"/>
    <w:rsid w:val="48E716FF"/>
    <w:rsid w:val="49154F13"/>
    <w:rsid w:val="4941058E"/>
    <w:rsid w:val="496406F1"/>
    <w:rsid w:val="49672DD1"/>
    <w:rsid w:val="496E2020"/>
    <w:rsid w:val="4971269F"/>
    <w:rsid w:val="498B2FA1"/>
    <w:rsid w:val="499E4E67"/>
    <w:rsid w:val="49C71CCA"/>
    <w:rsid w:val="49E13B64"/>
    <w:rsid w:val="4A066022"/>
    <w:rsid w:val="4A0D3931"/>
    <w:rsid w:val="4A2951D7"/>
    <w:rsid w:val="4A3634C7"/>
    <w:rsid w:val="4A363FFE"/>
    <w:rsid w:val="4A4D0245"/>
    <w:rsid w:val="4A9C03CC"/>
    <w:rsid w:val="4A9D7E98"/>
    <w:rsid w:val="4AAF1A5A"/>
    <w:rsid w:val="4AB347C9"/>
    <w:rsid w:val="4AE772C5"/>
    <w:rsid w:val="4AED40DB"/>
    <w:rsid w:val="4B037A9E"/>
    <w:rsid w:val="4B0C247A"/>
    <w:rsid w:val="4B2E23F0"/>
    <w:rsid w:val="4B771FE9"/>
    <w:rsid w:val="4B9009B5"/>
    <w:rsid w:val="4B9F73FC"/>
    <w:rsid w:val="4BA708E2"/>
    <w:rsid w:val="4BBC79FC"/>
    <w:rsid w:val="4BF9540A"/>
    <w:rsid w:val="4C202322"/>
    <w:rsid w:val="4C272F70"/>
    <w:rsid w:val="4C770388"/>
    <w:rsid w:val="4C8046A5"/>
    <w:rsid w:val="4C83676C"/>
    <w:rsid w:val="4C863258"/>
    <w:rsid w:val="4CA014AC"/>
    <w:rsid w:val="4CA87F80"/>
    <w:rsid w:val="4CD34A28"/>
    <w:rsid w:val="4CD7475C"/>
    <w:rsid w:val="4D3105D5"/>
    <w:rsid w:val="4D9D385D"/>
    <w:rsid w:val="4DBA61BD"/>
    <w:rsid w:val="4DF32B56"/>
    <w:rsid w:val="4DF5104E"/>
    <w:rsid w:val="4E355BA4"/>
    <w:rsid w:val="4E37382D"/>
    <w:rsid w:val="4E984E43"/>
    <w:rsid w:val="4EAD1C03"/>
    <w:rsid w:val="4EB8094F"/>
    <w:rsid w:val="4EDE7C89"/>
    <w:rsid w:val="4EE47996"/>
    <w:rsid w:val="4F59232C"/>
    <w:rsid w:val="4F770156"/>
    <w:rsid w:val="4F7D74A2"/>
    <w:rsid w:val="4F960564"/>
    <w:rsid w:val="4FAD7AC0"/>
    <w:rsid w:val="4FBF0985"/>
    <w:rsid w:val="4FD25A40"/>
    <w:rsid w:val="4FF2658A"/>
    <w:rsid w:val="505226DD"/>
    <w:rsid w:val="50681F00"/>
    <w:rsid w:val="506C4329"/>
    <w:rsid w:val="50946C0C"/>
    <w:rsid w:val="50CC2809"/>
    <w:rsid w:val="51044402"/>
    <w:rsid w:val="511D0F3D"/>
    <w:rsid w:val="512F2209"/>
    <w:rsid w:val="513149E8"/>
    <w:rsid w:val="5144471C"/>
    <w:rsid w:val="51586419"/>
    <w:rsid w:val="51681AE8"/>
    <w:rsid w:val="51974B66"/>
    <w:rsid w:val="519F6E1A"/>
    <w:rsid w:val="51A60DC3"/>
    <w:rsid w:val="52103A14"/>
    <w:rsid w:val="521C76E1"/>
    <w:rsid w:val="52BB5599"/>
    <w:rsid w:val="52BE405A"/>
    <w:rsid w:val="52DD1D7B"/>
    <w:rsid w:val="52E2398A"/>
    <w:rsid w:val="52EF4B5B"/>
    <w:rsid w:val="530E61AC"/>
    <w:rsid w:val="53151A46"/>
    <w:rsid w:val="533575BC"/>
    <w:rsid w:val="53395CCF"/>
    <w:rsid w:val="536C4488"/>
    <w:rsid w:val="539C385A"/>
    <w:rsid w:val="53A07C03"/>
    <w:rsid w:val="53AD5812"/>
    <w:rsid w:val="53EC2E48"/>
    <w:rsid w:val="540B1521"/>
    <w:rsid w:val="545413CC"/>
    <w:rsid w:val="54B47EFB"/>
    <w:rsid w:val="54BB35F2"/>
    <w:rsid w:val="54D933CD"/>
    <w:rsid w:val="54DA6A4E"/>
    <w:rsid w:val="54DB0F18"/>
    <w:rsid w:val="55011C7A"/>
    <w:rsid w:val="55543AF1"/>
    <w:rsid w:val="5564406D"/>
    <w:rsid w:val="55706241"/>
    <w:rsid w:val="559C6CBA"/>
    <w:rsid w:val="55B94875"/>
    <w:rsid w:val="55BE4A57"/>
    <w:rsid w:val="55CB5E54"/>
    <w:rsid w:val="55CC2F32"/>
    <w:rsid w:val="55D51B93"/>
    <w:rsid w:val="56A63783"/>
    <w:rsid w:val="56AA22E3"/>
    <w:rsid w:val="56F72230"/>
    <w:rsid w:val="5719502F"/>
    <w:rsid w:val="57566F57"/>
    <w:rsid w:val="575923ED"/>
    <w:rsid w:val="578339E3"/>
    <w:rsid w:val="57BD5228"/>
    <w:rsid w:val="57C77E54"/>
    <w:rsid w:val="57CD61F5"/>
    <w:rsid w:val="57E53B64"/>
    <w:rsid w:val="57FA3D86"/>
    <w:rsid w:val="581E4D42"/>
    <w:rsid w:val="583409BB"/>
    <w:rsid w:val="58873C03"/>
    <w:rsid w:val="588F48D4"/>
    <w:rsid w:val="58A67A6A"/>
    <w:rsid w:val="58AB7BD9"/>
    <w:rsid w:val="58AF759C"/>
    <w:rsid w:val="58E66A6D"/>
    <w:rsid w:val="58E933AE"/>
    <w:rsid w:val="59012EF2"/>
    <w:rsid w:val="59097FF9"/>
    <w:rsid w:val="59262959"/>
    <w:rsid w:val="597328A2"/>
    <w:rsid w:val="597C6A1D"/>
    <w:rsid w:val="59DB079F"/>
    <w:rsid w:val="59FA4317"/>
    <w:rsid w:val="5A100581"/>
    <w:rsid w:val="5A3306E9"/>
    <w:rsid w:val="5A630FB9"/>
    <w:rsid w:val="5A6539D1"/>
    <w:rsid w:val="5A6A3F7A"/>
    <w:rsid w:val="5A737E20"/>
    <w:rsid w:val="5A88315D"/>
    <w:rsid w:val="5AA2162F"/>
    <w:rsid w:val="5ADD5E18"/>
    <w:rsid w:val="5AED1980"/>
    <w:rsid w:val="5B0B2D3B"/>
    <w:rsid w:val="5B1E4CF9"/>
    <w:rsid w:val="5B212785"/>
    <w:rsid w:val="5B44356A"/>
    <w:rsid w:val="5B80374A"/>
    <w:rsid w:val="5BAF6C35"/>
    <w:rsid w:val="5BB500C9"/>
    <w:rsid w:val="5BCD551A"/>
    <w:rsid w:val="5BD64486"/>
    <w:rsid w:val="5C166CB5"/>
    <w:rsid w:val="5C514CA0"/>
    <w:rsid w:val="5C7129BD"/>
    <w:rsid w:val="5CA57B86"/>
    <w:rsid w:val="5CC77C96"/>
    <w:rsid w:val="5CF557A7"/>
    <w:rsid w:val="5D0E4B0D"/>
    <w:rsid w:val="5D2327C3"/>
    <w:rsid w:val="5D523508"/>
    <w:rsid w:val="5D546753"/>
    <w:rsid w:val="5D6D7EF5"/>
    <w:rsid w:val="5D782FDA"/>
    <w:rsid w:val="5D9500AD"/>
    <w:rsid w:val="5D9B1B67"/>
    <w:rsid w:val="5DA930C5"/>
    <w:rsid w:val="5DB85B94"/>
    <w:rsid w:val="5DF23751"/>
    <w:rsid w:val="5E0A1538"/>
    <w:rsid w:val="5E2A239D"/>
    <w:rsid w:val="5E9465B6"/>
    <w:rsid w:val="5ED859B9"/>
    <w:rsid w:val="5EEC01A1"/>
    <w:rsid w:val="5EF44053"/>
    <w:rsid w:val="5F265461"/>
    <w:rsid w:val="5F3E01A4"/>
    <w:rsid w:val="5F480A20"/>
    <w:rsid w:val="5F541A66"/>
    <w:rsid w:val="5F6A29B1"/>
    <w:rsid w:val="5FDF599A"/>
    <w:rsid w:val="5FE56811"/>
    <w:rsid w:val="5FF13CC0"/>
    <w:rsid w:val="5FF37A81"/>
    <w:rsid w:val="5FF53085"/>
    <w:rsid w:val="602C45FD"/>
    <w:rsid w:val="60340051"/>
    <w:rsid w:val="60765F74"/>
    <w:rsid w:val="60795CBD"/>
    <w:rsid w:val="6080108A"/>
    <w:rsid w:val="60824919"/>
    <w:rsid w:val="60DB227B"/>
    <w:rsid w:val="60F47BEC"/>
    <w:rsid w:val="614222FA"/>
    <w:rsid w:val="617701F5"/>
    <w:rsid w:val="61816125"/>
    <w:rsid w:val="61BF0E4D"/>
    <w:rsid w:val="620C169C"/>
    <w:rsid w:val="621C1D54"/>
    <w:rsid w:val="622D2FAA"/>
    <w:rsid w:val="624806F1"/>
    <w:rsid w:val="629D0895"/>
    <w:rsid w:val="629D1EDE"/>
    <w:rsid w:val="62C0222F"/>
    <w:rsid w:val="62C75F18"/>
    <w:rsid w:val="62FB09B2"/>
    <w:rsid w:val="631101D6"/>
    <w:rsid w:val="63160FE5"/>
    <w:rsid w:val="63406860"/>
    <w:rsid w:val="63443247"/>
    <w:rsid w:val="634467FD"/>
    <w:rsid w:val="639C4AA8"/>
    <w:rsid w:val="63EA5A54"/>
    <w:rsid w:val="6415508D"/>
    <w:rsid w:val="64267CB1"/>
    <w:rsid w:val="64746C6E"/>
    <w:rsid w:val="64A734ED"/>
    <w:rsid w:val="64FE216F"/>
    <w:rsid w:val="652E216A"/>
    <w:rsid w:val="65476131"/>
    <w:rsid w:val="65516FAF"/>
    <w:rsid w:val="65EB6652"/>
    <w:rsid w:val="66212F88"/>
    <w:rsid w:val="662B15AE"/>
    <w:rsid w:val="66574FE9"/>
    <w:rsid w:val="666C0CE9"/>
    <w:rsid w:val="669727FD"/>
    <w:rsid w:val="669F28F3"/>
    <w:rsid w:val="66B27F22"/>
    <w:rsid w:val="66B94E0C"/>
    <w:rsid w:val="66F629D6"/>
    <w:rsid w:val="672F50CE"/>
    <w:rsid w:val="6744454D"/>
    <w:rsid w:val="67705E13"/>
    <w:rsid w:val="67754838"/>
    <w:rsid w:val="67762C3A"/>
    <w:rsid w:val="677A4210"/>
    <w:rsid w:val="67876CB8"/>
    <w:rsid w:val="679B13E4"/>
    <w:rsid w:val="67AB0BF9"/>
    <w:rsid w:val="67B0620F"/>
    <w:rsid w:val="67B57CC9"/>
    <w:rsid w:val="67BF731D"/>
    <w:rsid w:val="67C27CF0"/>
    <w:rsid w:val="67F264CF"/>
    <w:rsid w:val="67F3434E"/>
    <w:rsid w:val="67FF6CD4"/>
    <w:rsid w:val="68126ECA"/>
    <w:rsid w:val="682C160E"/>
    <w:rsid w:val="68451E1E"/>
    <w:rsid w:val="684D671B"/>
    <w:rsid w:val="685079F2"/>
    <w:rsid w:val="686B65DA"/>
    <w:rsid w:val="68AE4433"/>
    <w:rsid w:val="68CC52CB"/>
    <w:rsid w:val="691E5105"/>
    <w:rsid w:val="69272407"/>
    <w:rsid w:val="69431085"/>
    <w:rsid w:val="69447A3A"/>
    <w:rsid w:val="694F1A58"/>
    <w:rsid w:val="696B5AAD"/>
    <w:rsid w:val="69803202"/>
    <w:rsid w:val="69F60484"/>
    <w:rsid w:val="6A1E0CE9"/>
    <w:rsid w:val="6A354541"/>
    <w:rsid w:val="6A615425"/>
    <w:rsid w:val="6AA61B4B"/>
    <w:rsid w:val="6AD47AD9"/>
    <w:rsid w:val="6B1349A9"/>
    <w:rsid w:val="6B2200A7"/>
    <w:rsid w:val="6B453FD7"/>
    <w:rsid w:val="6B680BAF"/>
    <w:rsid w:val="6B6C069F"/>
    <w:rsid w:val="6B707A3D"/>
    <w:rsid w:val="6B7770FD"/>
    <w:rsid w:val="6B7B1A68"/>
    <w:rsid w:val="6BA537D6"/>
    <w:rsid w:val="6BB1273B"/>
    <w:rsid w:val="6BB85D17"/>
    <w:rsid w:val="6BC82C73"/>
    <w:rsid w:val="6BDC44C7"/>
    <w:rsid w:val="6C092392"/>
    <w:rsid w:val="6C2B781D"/>
    <w:rsid w:val="6C2C7FB1"/>
    <w:rsid w:val="6C474B12"/>
    <w:rsid w:val="6C5B4CE2"/>
    <w:rsid w:val="6C9A56E0"/>
    <w:rsid w:val="6D164977"/>
    <w:rsid w:val="6D302529"/>
    <w:rsid w:val="6D34343E"/>
    <w:rsid w:val="6D4D62AE"/>
    <w:rsid w:val="6D535911"/>
    <w:rsid w:val="6D7878FB"/>
    <w:rsid w:val="6DC64D96"/>
    <w:rsid w:val="6DEC1F6B"/>
    <w:rsid w:val="6E250FD9"/>
    <w:rsid w:val="6E697118"/>
    <w:rsid w:val="6E7D3EAA"/>
    <w:rsid w:val="6EBB207A"/>
    <w:rsid w:val="6EC47B07"/>
    <w:rsid w:val="6EEE1ED2"/>
    <w:rsid w:val="6EF11563"/>
    <w:rsid w:val="6EF9070E"/>
    <w:rsid w:val="6EFC7DC4"/>
    <w:rsid w:val="6F683873"/>
    <w:rsid w:val="6F742218"/>
    <w:rsid w:val="6FBC32DD"/>
    <w:rsid w:val="6FEB70E8"/>
    <w:rsid w:val="70017D21"/>
    <w:rsid w:val="702678A4"/>
    <w:rsid w:val="70310109"/>
    <w:rsid w:val="704A6337"/>
    <w:rsid w:val="70761FC0"/>
    <w:rsid w:val="70957B36"/>
    <w:rsid w:val="709F5ADF"/>
    <w:rsid w:val="70AC03D4"/>
    <w:rsid w:val="70BA2FFA"/>
    <w:rsid w:val="70C66AA3"/>
    <w:rsid w:val="713A744C"/>
    <w:rsid w:val="7141561C"/>
    <w:rsid w:val="71465DA4"/>
    <w:rsid w:val="715A74D5"/>
    <w:rsid w:val="718E0763"/>
    <w:rsid w:val="71D37FA9"/>
    <w:rsid w:val="723E5522"/>
    <w:rsid w:val="723F6274"/>
    <w:rsid w:val="72872262"/>
    <w:rsid w:val="728A5820"/>
    <w:rsid w:val="72AA61C2"/>
    <w:rsid w:val="72C2773E"/>
    <w:rsid w:val="73050C51"/>
    <w:rsid w:val="733A1083"/>
    <w:rsid w:val="7349576A"/>
    <w:rsid w:val="7352233B"/>
    <w:rsid w:val="7358775B"/>
    <w:rsid w:val="73870838"/>
    <w:rsid w:val="739871D5"/>
    <w:rsid w:val="739C16A8"/>
    <w:rsid w:val="73F23F7B"/>
    <w:rsid w:val="74067081"/>
    <w:rsid w:val="741C1C19"/>
    <w:rsid w:val="745E05AD"/>
    <w:rsid w:val="74835184"/>
    <w:rsid w:val="74A4132C"/>
    <w:rsid w:val="74C13107"/>
    <w:rsid w:val="74C90910"/>
    <w:rsid w:val="74D476E4"/>
    <w:rsid w:val="74FD680C"/>
    <w:rsid w:val="75787206"/>
    <w:rsid w:val="758E6836"/>
    <w:rsid w:val="75A512B8"/>
    <w:rsid w:val="75BF77EE"/>
    <w:rsid w:val="75D70FF2"/>
    <w:rsid w:val="75EB2B08"/>
    <w:rsid w:val="75FA1E0C"/>
    <w:rsid w:val="75FB3FF3"/>
    <w:rsid w:val="7610390D"/>
    <w:rsid w:val="76124539"/>
    <w:rsid w:val="76186A30"/>
    <w:rsid w:val="7622799D"/>
    <w:rsid w:val="762C31BE"/>
    <w:rsid w:val="762E64E8"/>
    <w:rsid w:val="76307568"/>
    <w:rsid w:val="763711D3"/>
    <w:rsid w:val="7653467E"/>
    <w:rsid w:val="76A21419"/>
    <w:rsid w:val="76DA2C69"/>
    <w:rsid w:val="76F251C9"/>
    <w:rsid w:val="77057BFA"/>
    <w:rsid w:val="772B4ED2"/>
    <w:rsid w:val="77777E50"/>
    <w:rsid w:val="779D6681"/>
    <w:rsid w:val="77C67389"/>
    <w:rsid w:val="77E652C6"/>
    <w:rsid w:val="77E97927"/>
    <w:rsid w:val="77EC0645"/>
    <w:rsid w:val="782563F5"/>
    <w:rsid w:val="78485FF0"/>
    <w:rsid w:val="78880F29"/>
    <w:rsid w:val="789456D9"/>
    <w:rsid w:val="78975FDB"/>
    <w:rsid w:val="793622EC"/>
    <w:rsid w:val="794723D1"/>
    <w:rsid w:val="7977267E"/>
    <w:rsid w:val="79991513"/>
    <w:rsid w:val="79D044EF"/>
    <w:rsid w:val="79E41D48"/>
    <w:rsid w:val="7A020420"/>
    <w:rsid w:val="7A8A1906"/>
    <w:rsid w:val="7AA80FC8"/>
    <w:rsid w:val="7AB67AD9"/>
    <w:rsid w:val="7ACA6A91"/>
    <w:rsid w:val="7ACE1913"/>
    <w:rsid w:val="7B0E23F7"/>
    <w:rsid w:val="7B155B72"/>
    <w:rsid w:val="7B271BBF"/>
    <w:rsid w:val="7B51340D"/>
    <w:rsid w:val="7B515EAC"/>
    <w:rsid w:val="7B9128FA"/>
    <w:rsid w:val="7B9553D2"/>
    <w:rsid w:val="7BAA251B"/>
    <w:rsid w:val="7C06770E"/>
    <w:rsid w:val="7C3B7086"/>
    <w:rsid w:val="7C8C0805"/>
    <w:rsid w:val="7C8E31B6"/>
    <w:rsid w:val="7C90112B"/>
    <w:rsid w:val="7C946125"/>
    <w:rsid w:val="7CAE256B"/>
    <w:rsid w:val="7CC32006"/>
    <w:rsid w:val="7CD35C4B"/>
    <w:rsid w:val="7CD67A48"/>
    <w:rsid w:val="7CE335DB"/>
    <w:rsid w:val="7CF6426C"/>
    <w:rsid w:val="7D0664BA"/>
    <w:rsid w:val="7D2324BD"/>
    <w:rsid w:val="7D376D46"/>
    <w:rsid w:val="7D4B0C43"/>
    <w:rsid w:val="7D853013"/>
    <w:rsid w:val="7D994C5A"/>
    <w:rsid w:val="7DCA74A7"/>
    <w:rsid w:val="7DE61A14"/>
    <w:rsid w:val="7E0D5970"/>
    <w:rsid w:val="7E1B0636"/>
    <w:rsid w:val="7E367B16"/>
    <w:rsid w:val="7E3937A2"/>
    <w:rsid w:val="7E5A6E32"/>
    <w:rsid w:val="7E604E32"/>
    <w:rsid w:val="7E6C008C"/>
    <w:rsid w:val="7E702E8C"/>
    <w:rsid w:val="7EC34539"/>
    <w:rsid w:val="7F2B0A14"/>
    <w:rsid w:val="7F3103EC"/>
    <w:rsid w:val="7F3C4CF7"/>
    <w:rsid w:val="7F4219EB"/>
    <w:rsid w:val="7F5176FB"/>
    <w:rsid w:val="7F74591C"/>
    <w:rsid w:val="7FC560F6"/>
    <w:rsid w:val="7FD650F3"/>
    <w:rsid w:val="7FF76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3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5">
    <w:name w:val="heading 3"/>
    <w:basedOn w:val="1"/>
    <w:next w:val="1"/>
    <w:link w:val="147"/>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1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35"/>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136"/>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11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140"/>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link w:val="47"/>
    <w:qFormat/>
    <w:uiPriority w:val="0"/>
    <w:rPr>
      <w:szCs w:val="21"/>
    </w:rPr>
  </w:style>
  <w:style w:type="table" w:default="1" w:styleId="4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List Number"/>
    <w:basedOn w:val="1"/>
    <w:qFormat/>
    <w:uiPriority w:val="0"/>
    <w:pPr>
      <w:numPr>
        <w:ilvl w:val="0"/>
        <w:numId w:val="2"/>
      </w:numPr>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114"/>
    <w:qFormat/>
    <w:uiPriority w:val="0"/>
    <w:pPr>
      <w:shd w:val="clear" w:color="auto" w:fill="000080"/>
    </w:pPr>
    <w:rPr>
      <w:szCs w:val="24"/>
    </w:rPr>
  </w:style>
  <w:style w:type="paragraph" w:styleId="16">
    <w:name w:val="toa heading"/>
    <w:basedOn w:val="1"/>
    <w:next w:val="1"/>
    <w:qFormat/>
    <w:uiPriority w:val="99"/>
    <w:pPr>
      <w:spacing w:before="120"/>
    </w:pPr>
    <w:rPr>
      <w:rFonts w:ascii="Arial" w:hAnsi="Arial" w:eastAsia="仿宋"/>
      <w:sz w:val="24"/>
      <w:szCs w:val="20"/>
    </w:rPr>
  </w:style>
  <w:style w:type="paragraph" w:styleId="17">
    <w:name w:val="annotation text"/>
    <w:basedOn w:val="1"/>
    <w:link w:val="97"/>
    <w:qFormat/>
    <w:uiPriority w:val="0"/>
    <w:pPr>
      <w:jc w:val="left"/>
    </w:pPr>
  </w:style>
  <w:style w:type="paragraph" w:styleId="18">
    <w:name w:val="Body Text 3"/>
    <w:basedOn w:val="1"/>
    <w:link w:val="137"/>
    <w:qFormat/>
    <w:uiPriority w:val="0"/>
    <w:pPr>
      <w:spacing w:after="120"/>
    </w:pPr>
    <w:rPr>
      <w:sz w:val="16"/>
      <w:szCs w:val="16"/>
    </w:rPr>
  </w:style>
  <w:style w:type="paragraph" w:styleId="19">
    <w:name w:val="Body Text"/>
    <w:basedOn w:val="1"/>
    <w:link w:val="128"/>
    <w:qFormat/>
    <w:uiPriority w:val="0"/>
    <w:pPr>
      <w:spacing w:after="120"/>
    </w:pPr>
    <w:rPr>
      <w:szCs w:val="24"/>
    </w:rPr>
  </w:style>
  <w:style w:type="paragraph" w:styleId="20">
    <w:name w:val="Body Text Indent"/>
    <w:basedOn w:val="1"/>
    <w:next w:val="21"/>
    <w:link w:val="121"/>
    <w:qFormat/>
    <w:uiPriority w:val="0"/>
    <w:pPr>
      <w:spacing w:line="360" w:lineRule="auto"/>
      <w:ind w:firstLine="560" w:firstLineChars="200"/>
    </w:pPr>
    <w:rPr>
      <w:sz w:val="28"/>
    </w:rPr>
  </w:style>
  <w:style w:type="paragraph" w:customStyle="1" w:styleId="2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2"/>
    <w:basedOn w:val="1"/>
    <w:qFormat/>
    <w:uiPriority w:val="0"/>
    <w:pPr>
      <w:ind w:left="100" w:leftChars="200" w:hanging="200" w:hangingChars="200"/>
    </w:pPr>
    <w:rPr>
      <w:szCs w:val="24"/>
    </w:rPr>
  </w:style>
  <w:style w:type="paragraph" w:styleId="23">
    <w:name w:val="toc 3"/>
    <w:basedOn w:val="1"/>
    <w:next w:val="1"/>
    <w:qFormat/>
    <w:uiPriority w:val="39"/>
    <w:pPr>
      <w:ind w:left="840" w:leftChars="400"/>
    </w:pPr>
    <w:rPr>
      <w:szCs w:val="24"/>
    </w:rPr>
  </w:style>
  <w:style w:type="paragraph" w:styleId="24">
    <w:name w:val="Plain Text"/>
    <w:basedOn w:val="1"/>
    <w:next w:val="25"/>
    <w:link w:val="117"/>
    <w:qFormat/>
    <w:uiPriority w:val="0"/>
    <w:rPr>
      <w:rFonts w:ascii="宋体" w:hAnsi="Courier New"/>
    </w:rPr>
  </w:style>
  <w:style w:type="paragraph" w:styleId="25">
    <w:name w:val="index 7"/>
    <w:basedOn w:val="1"/>
    <w:next w:val="1"/>
    <w:qFormat/>
    <w:uiPriority w:val="0"/>
    <w:pPr>
      <w:autoSpaceDE/>
      <w:autoSpaceDN/>
      <w:adjustRightInd/>
      <w:ind w:left="1200" w:leftChars="1200"/>
    </w:pPr>
    <w:rPr>
      <w:color w:val="auto"/>
      <w:kern w:val="2"/>
      <w:szCs w:val="24"/>
    </w:rPr>
  </w:style>
  <w:style w:type="paragraph" w:styleId="26">
    <w:name w:val="Date"/>
    <w:basedOn w:val="1"/>
    <w:next w:val="1"/>
    <w:link w:val="131"/>
    <w:qFormat/>
    <w:uiPriority w:val="0"/>
    <w:pPr>
      <w:ind w:left="100" w:leftChars="2500"/>
    </w:pPr>
    <w:rPr>
      <w:szCs w:val="24"/>
    </w:rPr>
  </w:style>
  <w:style w:type="paragraph" w:styleId="27">
    <w:name w:val="Body Text Indent 2"/>
    <w:basedOn w:val="1"/>
    <w:link w:val="139"/>
    <w:qFormat/>
    <w:uiPriority w:val="0"/>
    <w:pPr>
      <w:spacing w:after="120" w:line="480" w:lineRule="auto"/>
      <w:ind w:left="420" w:leftChars="200"/>
    </w:pPr>
    <w:rPr>
      <w:szCs w:val="24"/>
    </w:rPr>
  </w:style>
  <w:style w:type="paragraph" w:styleId="28">
    <w:name w:val="Balloon Text"/>
    <w:basedOn w:val="1"/>
    <w:link w:val="138"/>
    <w:qFormat/>
    <w:uiPriority w:val="0"/>
    <w:rPr>
      <w:sz w:val="18"/>
      <w:szCs w:val="18"/>
    </w:rPr>
  </w:style>
  <w:style w:type="paragraph" w:styleId="29">
    <w:name w:val="footer"/>
    <w:basedOn w:val="1"/>
    <w:next w:val="1"/>
    <w:link w:val="115"/>
    <w:qFormat/>
    <w:uiPriority w:val="99"/>
    <w:pPr>
      <w:tabs>
        <w:tab w:val="center" w:pos="4153"/>
        <w:tab w:val="right" w:pos="8306"/>
      </w:tabs>
      <w:snapToGrid w:val="0"/>
      <w:jc w:val="left"/>
    </w:pPr>
    <w:rPr>
      <w:sz w:val="18"/>
      <w:szCs w:val="18"/>
    </w:rPr>
  </w:style>
  <w:style w:type="paragraph" w:styleId="30">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footnote text"/>
    <w:basedOn w:val="1"/>
    <w:link w:val="125"/>
    <w:qFormat/>
    <w:uiPriority w:val="0"/>
    <w:pPr>
      <w:adjustRightInd w:val="0"/>
      <w:spacing w:line="312" w:lineRule="atLeast"/>
      <w:textAlignment w:val="baseline"/>
    </w:pPr>
    <w:rPr>
      <w:kern w:val="0"/>
      <w:sz w:val="18"/>
    </w:rPr>
  </w:style>
  <w:style w:type="paragraph" w:styleId="35">
    <w:name w:val="toc 6"/>
    <w:basedOn w:val="1"/>
    <w:next w:val="1"/>
    <w:qFormat/>
    <w:uiPriority w:val="0"/>
    <w:pPr>
      <w:ind w:left="2100" w:leftChars="1000"/>
    </w:pPr>
  </w:style>
  <w:style w:type="paragraph" w:styleId="36">
    <w:name w:val="Body Text Indent 3"/>
    <w:basedOn w:val="1"/>
    <w:link w:val="102"/>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7">
    <w:name w:val="toc 2"/>
    <w:basedOn w:val="1"/>
    <w:next w:val="1"/>
    <w:qFormat/>
    <w:uiPriority w:val="39"/>
    <w:pPr>
      <w:ind w:left="420" w:leftChars="200"/>
    </w:pPr>
    <w:rPr>
      <w:szCs w:val="24"/>
    </w:rPr>
  </w:style>
  <w:style w:type="paragraph" w:styleId="38">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0">
    <w:name w:val="Title"/>
    <w:basedOn w:val="1"/>
    <w:next w:val="1"/>
    <w:link w:val="130"/>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110"/>
    <w:qFormat/>
    <w:uiPriority w:val="0"/>
    <w:rPr>
      <w:b/>
      <w:bCs/>
      <w:szCs w:val="24"/>
    </w:rPr>
  </w:style>
  <w:style w:type="paragraph" w:styleId="42">
    <w:name w:val="Body Text First Indent"/>
    <w:basedOn w:val="19"/>
    <w:next w:val="35"/>
    <w:qFormat/>
    <w:uiPriority w:val="0"/>
    <w:pPr>
      <w:tabs>
        <w:tab w:val="left" w:pos="9214"/>
      </w:tabs>
      <w:spacing w:after="0"/>
      <w:ind w:firstLine="200" w:firstLineChars="200"/>
    </w:pPr>
  </w:style>
  <w:style w:type="paragraph" w:styleId="43">
    <w:name w:val="Body Text First Indent 2"/>
    <w:basedOn w:val="20"/>
    <w:next w:val="1"/>
    <w:link w:val="120"/>
    <w:qFormat/>
    <w:uiPriority w:val="0"/>
    <w:pPr>
      <w:ind w:left="1588" w:leftChars="832" w:firstLine="433"/>
    </w:pPr>
    <w:rPr>
      <w:rFonts w:eastAsia="仿宋_GB2312"/>
      <w:spacing w:val="15"/>
      <w:kern w:val="10"/>
      <w:sz w:val="24"/>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rPr>
      <w:szCs w:val="21"/>
    </w:rPr>
  </w:style>
  <w:style w:type="character" w:styleId="48">
    <w:name w:val="Strong"/>
    <w:basedOn w:val="46"/>
    <w:qFormat/>
    <w:uiPriority w:val="0"/>
    <w:rPr>
      <w:b/>
      <w:bCs/>
    </w:rPr>
  </w:style>
  <w:style w:type="character" w:styleId="49">
    <w:name w:val="page number"/>
    <w:basedOn w:val="46"/>
    <w:qFormat/>
    <w:uiPriority w:val="0"/>
  </w:style>
  <w:style w:type="character" w:styleId="50">
    <w:name w:val="Emphasis"/>
    <w:basedOn w:val="46"/>
    <w:qFormat/>
    <w:uiPriority w:val="0"/>
    <w:rPr>
      <w:i/>
    </w:rPr>
  </w:style>
  <w:style w:type="character" w:styleId="51">
    <w:name w:val="Hyperlink"/>
    <w:basedOn w:val="46"/>
    <w:qFormat/>
    <w:uiPriority w:val="99"/>
    <w:rPr>
      <w:color w:val="0000FF"/>
      <w:u w:val="single"/>
    </w:rPr>
  </w:style>
  <w:style w:type="character" w:styleId="52">
    <w:name w:val="annotation reference"/>
    <w:qFormat/>
    <w:uiPriority w:val="0"/>
    <w:rPr>
      <w:sz w:val="21"/>
      <w:szCs w:val="21"/>
    </w:rPr>
  </w:style>
  <w:style w:type="paragraph" w:customStyle="1" w:styleId="53">
    <w:name w:val="NormalIndent"/>
    <w:basedOn w:val="1"/>
    <w:qFormat/>
    <w:uiPriority w:val="0"/>
    <w:pPr>
      <w:ind w:firstLine="420"/>
      <w:jc w:val="left"/>
    </w:pPr>
    <w:rPr>
      <w:rFonts w:ascii="宋体" w:hAnsi="Calibri"/>
      <w:kern w:val="0"/>
      <w:sz w:val="24"/>
      <w:szCs w:val="20"/>
    </w:rPr>
  </w:style>
  <w:style w:type="paragraph" w:customStyle="1" w:styleId="54">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55">
    <w:name w:val="样式1"/>
    <w:basedOn w:val="16"/>
    <w:next w:val="6"/>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6">
    <w:name w:val="文本正文"/>
    <w:basedOn w:val="1"/>
    <w:qFormat/>
    <w:uiPriority w:val="0"/>
    <w:pPr>
      <w:spacing w:afterLines="50"/>
      <w:ind w:firstLine="200" w:firstLineChars="200"/>
      <w:jc w:val="left"/>
    </w:pPr>
    <w:rPr>
      <w:rFonts w:ascii="Calibri" w:hAnsi="Calibri"/>
      <w:szCs w:val="22"/>
      <w:lang w:bidi="en-US"/>
    </w:rPr>
  </w:style>
  <w:style w:type="character" w:customStyle="1" w:styleId="57">
    <w:name w:val="标题 1 Char"/>
    <w:link w:val="3"/>
    <w:qFormat/>
    <w:uiPriority w:val="0"/>
    <w:rPr>
      <w:b/>
      <w:bCs/>
      <w:kern w:val="44"/>
      <w:sz w:val="44"/>
      <w:szCs w:val="44"/>
    </w:rPr>
  </w:style>
  <w:style w:type="paragraph" w:customStyle="1" w:styleId="58">
    <w:name w:val="_Style 5"/>
    <w:basedOn w:val="1"/>
    <w:qFormat/>
    <w:uiPriority w:val="0"/>
    <w:pPr>
      <w:tabs>
        <w:tab w:val="left" w:pos="360"/>
      </w:tabs>
      <w:ind w:firstLine="420" w:firstLineChars="150"/>
    </w:pPr>
    <w:rPr>
      <w:rFonts w:ascii="Arial" w:hAnsi="Arial" w:cs="Arial"/>
      <w:sz w:val="20"/>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1">
    <w:name w:val="Char Char Char Char Char Char"/>
    <w:basedOn w:val="15"/>
    <w:qFormat/>
    <w:uiPriority w:val="0"/>
    <w:rPr>
      <w:rFonts w:ascii="Tahoma" w:hAnsi="Tahoma"/>
      <w:sz w:val="24"/>
    </w:rPr>
  </w:style>
  <w:style w:type="paragraph" w:customStyle="1" w:styleId="62">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3">
    <w:name w:val="p16"/>
    <w:basedOn w:val="1"/>
    <w:qFormat/>
    <w:uiPriority w:val="0"/>
    <w:pPr>
      <w:widowControl/>
    </w:pPr>
    <w:rPr>
      <w:kern w:val="0"/>
      <w:szCs w:val="21"/>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6">
    <w:name w:val=" Char Char Char Char"/>
    <w:basedOn w:val="1"/>
    <w:qFormat/>
    <w:uiPriority w:val="0"/>
    <w:pPr>
      <w:tabs>
        <w:tab w:val="left" w:pos="360"/>
      </w:tabs>
      <w:ind w:firstLine="420" w:firstLineChars="150"/>
    </w:pPr>
    <w:rPr>
      <w:rFonts w:ascii="Arial" w:hAnsi="Arial" w:cs="Arial"/>
      <w:sz w:val="20"/>
    </w:rPr>
  </w:style>
  <w:style w:type="paragraph" w:customStyle="1" w:styleId="67">
    <w:name w:val="Plain Text1"/>
    <w:basedOn w:val="1"/>
    <w:qFormat/>
    <w:uiPriority w:val="99"/>
    <w:rPr>
      <w:rFonts w:ascii="宋体" w:hAnsi="Courier New"/>
    </w:rPr>
  </w:style>
  <w:style w:type="paragraph" w:customStyle="1" w:styleId="68">
    <w:name w:val="Char Char Char"/>
    <w:basedOn w:val="1"/>
    <w:qFormat/>
    <w:uiPriority w:val="0"/>
    <w:pPr>
      <w:widowControl/>
      <w:spacing w:after="160" w:line="240" w:lineRule="exact"/>
      <w:jc w:val="left"/>
    </w:pPr>
    <w:rPr>
      <w:szCs w:val="24"/>
    </w:rPr>
  </w:style>
  <w:style w:type="paragraph" w:customStyle="1" w:styleId="69">
    <w:name w:val="正文缩进1"/>
    <w:basedOn w:val="1"/>
    <w:qFormat/>
    <w:uiPriority w:val="0"/>
    <w:pPr>
      <w:autoSpaceDE w:val="0"/>
      <w:autoSpaceDN w:val="0"/>
      <w:adjustRightInd w:val="0"/>
      <w:ind w:firstLine="420"/>
    </w:pPr>
    <w:rPr>
      <w:rFonts w:ascii="宋体" w:hAnsi="Calibri"/>
      <w:szCs w:val="22"/>
    </w:rPr>
  </w:style>
  <w:style w:type="paragraph" w:customStyle="1" w:styleId="70">
    <w:name w:val="Normal"/>
    <w:qFormat/>
    <w:uiPriority w:val="0"/>
    <w:rPr>
      <w:rFonts w:ascii="Times New Roman" w:hAnsi="Times New Roman" w:eastAsia="Times New Roman" w:cs="Times New Roman"/>
      <w:sz w:val="24"/>
      <w:szCs w:val="24"/>
      <w:lang w:val="en-US" w:eastAsia="zh-CN" w:bidi="ar-SA"/>
    </w:rPr>
  </w:style>
  <w:style w:type="paragraph" w:customStyle="1" w:styleId="71">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2">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_Style 7"/>
    <w:basedOn w:val="1"/>
    <w:qFormat/>
    <w:uiPriority w:val="0"/>
    <w:pPr>
      <w:tabs>
        <w:tab w:val="left" w:pos="360"/>
      </w:tabs>
      <w:ind w:firstLine="420" w:firstLineChars="150"/>
    </w:pPr>
    <w:rPr>
      <w:rFonts w:ascii="Arial" w:hAnsi="Arial" w:cs="Arial"/>
      <w:sz w:val="20"/>
    </w:rPr>
  </w:style>
  <w:style w:type="paragraph" w:customStyle="1" w:styleId="74">
    <w:name w:val="_Style 11"/>
    <w:basedOn w:val="1"/>
    <w:qFormat/>
    <w:uiPriority w:val="0"/>
    <w:pPr>
      <w:tabs>
        <w:tab w:val="left" w:pos="360"/>
      </w:tabs>
      <w:ind w:firstLine="420" w:firstLineChars="150"/>
    </w:pPr>
    <w:rPr>
      <w:rFonts w:ascii="Arial" w:hAnsi="Arial" w:cs="Arial"/>
      <w:sz w:val="20"/>
    </w:rPr>
  </w:style>
  <w:style w:type="paragraph" w:customStyle="1" w:styleId="75">
    <w:name w:val="p15"/>
    <w:basedOn w:val="1"/>
    <w:qFormat/>
    <w:uiPriority w:val="0"/>
    <w:pPr>
      <w:widowControl/>
    </w:pPr>
    <w:rPr>
      <w:rFonts w:ascii="宋体" w:hAnsi="宋体" w:cs="宋体"/>
      <w:kern w:val="0"/>
      <w:szCs w:val="21"/>
    </w:rPr>
  </w:style>
  <w:style w:type="paragraph" w:customStyle="1" w:styleId="7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7">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8">
    <w:name w:val="样式 标题 2 + 宋体 五号 非加粗 黑色"/>
    <w:basedOn w:val="4"/>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9">
    <w:name w:val="正文序号 1"/>
    <w:basedOn w:val="1"/>
    <w:qFormat/>
    <w:uiPriority w:val="0"/>
    <w:pPr>
      <w:numPr>
        <w:ilvl w:val="0"/>
        <w:numId w:val="3"/>
      </w:numPr>
      <w:tabs>
        <w:tab w:val="left" w:pos="502"/>
        <w:tab w:val="left" w:pos="839"/>
      </w:tabs>
      <w:spacing w:before="60"/>
    </w:pPr>
    <w:rPr>
      <w:szCs w:val="24"/>
    </w:rPr>
  </w:style>
  <w:style w:type="paragraph" w:customStyle="1" w:styleId="80">
    <w:name w:val="p0"/>
    <w:basedOn w:val="1"/>
    <w:qFormat/>
    <w:uiPriority w:val="0"/>
    <w:pPr>
      <w:widowControl/>
      <w:jc w:val="left"/>
    </w:pPr>
    <w:rPr>
      <w:kern w:val="0"/>
      <w:szCs w:val="21"/>
    </w:rPr>
  </w:style>
  <w:style w:type="paragraph" w:customStyle="1" w:styleId="81">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2">
    <w:name w:val="样式 标题 4 + 段前: 5 磅 段后: 5 磅 行距: 单倍行距"/>
    <w:basedOn w:val="6"/>
    <w:qFormat/>
    <w:uiPriority w:val="0"/>
    <w:pPr>
      <w:spacing w:before="100" w:after="100" w:line="240" w:lineRule="auto"/>
    </w:pPr>
    <w:rPr>
      <w:rFonts w:cs="宋体"/>
      <w:szCs w:val="20"/>
    </w:rPr>
  </w:style>
  <w:style w:type="paragraph" w:customStyle="1" w:styleId="83">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4">
    <w:name w:val="列出段落1"/>
    <w:basedOn w:val="1"/>
    <w:qFormat/>
    <w:uiPriority w:val="34"/>
    <w:pPr>
      <w:ind w:firstLine="420" w:firstLineChars="2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7">
    <w:name w:val="表头文本"/>
    <w:basedOn w:val="1"/>
    <w:qFormat/>
    <w:uiPriority w:val="0"/>
    <w:pPr>
      <w:autoSpaceDE w:val="0"/>
      <w:autoSpaceDN w:val="0"/>
      <w:adjustRightInd w:val="0"/>
      <w:jc w:val="center"/>
    </w:pPr>
    <w:rPr>
      <w:b/>
      <w:kern w:val="0"/>
      <w:sz w:val="24"/>
    </w:rPr>
  </w:style>
  <w:style w:type="paragraph" w:customStyle="1" w:styleId="88">
    <w:name w:val="默认段落字体 Para Char Char Char Char Char Char Char Char Char Char Char Char Char Char Char Char"/>
    <w:basedOn w:val="1"/>
    <w:qFormat/>
    <w:uiPriority w:val="0"/>
    <w:rPr>
      <w:rFonts w:ascii="Tahoma" w:hAnsi="Tahoma"/>
      <w:sz w:val="24"/>
    </w:rPr>
  </w:style>
  <w:style w:type="paragraph" w:customStyle="1" w:styleId="8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样式2"/>
    <w:basedOn w:val="1"/>
    <w:qFormat/>
    <w:uiPriority w:val="0"/>
    <w:pPr>
      <w:spacing w:line="560" w:lineRule="exact"/>
      <w:ind w:firstLine="601"/>
    </w:pPr>
    <w:rPr>
      <w:rFonts w:eastAsia="宋体"/>
      <w:kern w:val="2"/>
      <w:sz w:val="28"/>
      <w:lang w:val="en-US" w:eastAsia="zh-CN" w:bidi="ar-SA"/>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标题 3_0"/>
    <w:basedOn w:val="76"/>
    <w:next w:val="76"/>
    <w:link w:val="123"/>
    <w:qFormat/>
    <w:uiPriority w:val="0"/>
    <w:pPr>
      <w:autoSpaceDE w:val="0"/>
      <w:autoSpaceDN w:val="0"/>
      <w:adjustRightInd w:val="0"/>
      <w:spacing w:line="500" w:lineRule="exact"/>
      <w:jc w:val="center"/>
      <w:outlineLvl w:val="2"/>
    </w:pPr>
    <w:rPr>
      <w:rFonts w:ascii="宋体" w:hAnsi="宋体"/>
      <w:b/>
      <w:szCs w:val="28"/>
    </w:rPr>
  </w:style>
  <w:style w:type="paragraph" w:customStyle="1" w:styleId="93">
    <w:name w:val="附件正文"/>
    <w:basedOn w:val="1"/>
    <w:qFormat/>
    <w:uiPriority w:val="0"/>
    <w:pPr>
      <w:snapToGrid w:val="0"/>
      <w:spacing w:line="500" w:lineRule="exact"/>
      <w:ind w:firstLine="540" w:firstLineChars="225"/>
    </w:pPr>
    <w:rPr>
      <w:kern w:val="0"/>
      <w:sz w:val="24"/>
      <w:szCs w:val="24"/>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正文文字"/>
    <w:basedOn w:val="1"/>
    <w:link w:val="122"/>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6">
    <w:name w:val="WPSOffice手动目录 3"/>
    <w:qFormat/>
    <w:uiPriority w:val="0"/>
    <w:pPr>
      <w:ind w:leftChars="400"/>
    </w:pPr>
    <w:rPr>
      <w:rFonts w:ascii="Times New Roman" w:hAnsi="Times New Roman" w:eastAsia="宋体" w:cs="Times New Roman"/>
      <w:sz w:val="20"/>
      <w:szCs w:val="20"/>
    </w:rPr>
  </w:style>
  <w:style w:type="character" w:customStyle="1" w:styleId="97">
    <w:name w:val="批注文字 Char1"/>
    <w:basedOn w:val="46"/>
    <w:link w:val="17"/>
    <w:qFormat/>
    <w:uiPriority w:val="0"/>
    <w:rPr>
      <w:kern w:val="2"/>
      <w:sz w:val="21"/>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font41"/>
    <w:basedOn w:val="46"/>
    <w:qFormat/>
    <w:uiPriority w:val="0"/>
    <w:rPr>
      <w:rFonts w:hint="eastAsia" w:ascii="宋体" w:hAnsi="宋体" w:eastAsia="宋体" w:cs="宋体"/>
      <w:color w:val="000000"/>
      <w:sz w:val="20"/>
      <w:szCs w:val="20"/>
      <w:u w:val="none"/>
    </w:rPr>
  </w:style>
  <w:style w:type="character" w:customStyle="1" w:styleId="100">
    <w:name w:val="font141"/>
    <w:basedOn w:val="46"/>
    <w:qFormat/>
    <w:uiPriority w:val="0"/>
    <w:rPr>
      <w:rFonts w:hint="eastAsia" w:ascii="宋体" w:hAnsi="宋体" w:eastAsia="宋体" w:cs="宋体"/>
      <w:color w:val="000000"/>
      <w:sz w:val="24"/>
      <w:szCs w:val="24"/>
      <w:u w:val="none"/>
    </w:rPr>
  </w:style>
  <w:style w:type="character" w:customStyle="1" w:styleId="101">
    <w:name w:val="font51"/>
    <w:basedOn w:val="46"/>
    <w:qFormat/>
    <w:uiPriority w:val="0"/>
    <w:rPr>
      <w:rFonts w:hint="eastAsia" w:ascii="宋体" w:hAnsi="宋体" w:eastAsia="宋体" w:cs="宋体"/>
      <w:color w:val="FF0000"/>
      <w:sz w:val="20"/>
      <w:szCs w:val="20"/>
      <w:u w:val="none"/>
    </w:rPr>
  </w:style>
  <w:style w:type="character" w:customStyle="1" w:styleId="102">
    <w:name w:val="正文文本缩进 3 Char"/>
    <w:basedOn w:val="46"/>
    <w:link w:val="36"/>
    <w:qFormat/>
    <w:uiPriority w:val="0"/>
    <w:rPr>
      <w:rFonts w:eastAsia="黑体"/>
      <w:b/>
      <w:bCs/>
      <w:kern w:val="2"/>
      <w:sz w:val="72"/>
      <w:szCs w:val="24"/>
    </w:rPr>
  </w:style>
  <w:style w:type="character" w:customStyle="1" w:styleId="103">
    <w:name w:val="HTML 预设格式 Char"/>
    <w:basedOn w:val="46"/>
    <w:link w:val="38"/>
    <w:qFormat/>
    <w:uiPriority w:val="0"/>
    <w:rPr>
      <w:rFonts w:ascii="宋体" w:hAnsi="宋体"/>
      <w:sz w:val="24"/>
      <w:szCs w:val="24"/>
    </w:rPr>
  </w:style>
  <w:style w:type="character" w:customStyle="1" w:styleId="104">
    <w:name w:val="font31"/>
    <w:basedOn w:val="46"/>
    <w:qFormat/>
    <w:uiPriority w:val="0"/>
    <w:rPr>
      <w:rFonts w:hint="eastAsia" w:ascii="宋体" w:hAnsi="宋体" w:eastAsia="宋体" w:cs="宋体"/>
      <w:color w:val="000000"/>
      <w:sz w:val="16"/>
      <w:szCs w:val="16"/>
      <w:u w:val="none"/>
    </w:rPr>
  </w:style>
  <w:style w:type="character" w:customStyle="1" w:styleId="105">
    <w:name w:val="标题 3 Char"/>
    <w:basedOn w:val="46"/>
    <w:link w:val="5"/>
    <w:qFormat/>
    <w:uiPriority w:val="0"/>
    <w:rPr>
      <w:b/>
      <w:bCs/>
      <w:kern w:val="2"/>
      <w:sz w:val="32"/>
      <w:szCs w:val="32"/>
    </w:rPr>
  </w:style>
  <w:style w:type="character" w:customStyle="1" w:styleId="106">
    <w:name w:val="正文文本缩进 Char"/>
    <w:qFormat/>
    <w:uiPriority w:val="0"/>
    <w:rPr>
      <w:rFonts w:eastAsia="宋体"/>
      <w:kern w:val="2"/>
      <w:sz w:val="24"/>
      <w:szCs w:val="24"/>
      <w:lang w:val="en-US" w:eastAsia="zh-CN" w:bidi="ar-SA"/>
    </w:rPr>
  </w:style>
  <w:style w:type="character" w:customStyle="1" w:styleId="107">
    <w:name w:val="font11"/>
    <w:basedOn w:val="46"/>
    <w:qFormat/>
    <w:uiPriority w:val="0"/>
    <w:rPr>
      <w:rFonts w:hint="eastAsia" w:ascii="宋体" w:hAnsi="宋体" w:eastAsia="宋体" w:cs="宋体"/>
      <w:color w:val="000000"/>
      <w:sz w:val="16"/>
      <w:szCs w:val="16"/>
      <w:u w:val="none"/>
    </w:rPr>
  </w:style>
  <w:style w:type="character" w:customStyle="1" w:styleId="108">
    <w:name w:val="font01"/>
    <w:basedOn w:val="46"/>
    <w:qFormat/>
    <w:uiPriority w:val="0"/>
    <w:rPr>
      <w:rFonts w:hint="eastAsia" w:ascii="宋体" w:hAnsi="宋体" w:eastAsia="宋体" w:cs="宋体"/>
      <w:color w:val="000000"/>
      <w:sz w:val="24"/>
      <w:szCs w:val="24"/>
      <w:u w:val="none"/>
    </w:rPr>
  </w:style>
  <w:style w:type="character" w:customStyle="1" w:styleId="109">
    <w:name w:val="正文文本 Char1"/>
    <w:basedOn w:val="46"/>
    <w:link w:val="19"/>
    <w:qFormat/>
    <w:uiPriority w:val="0"/>
    <w:rPr>
      <w:kern w:val="2"/>
      <w:sz w:val="21"/>
    </w:rPr>
  </w:style>
  <w:style w:type="character" w:customStyle="1" w:styleId="110">
    <w:name w:val="批注主题 Char"/>
    <w:basedOn w:val="97"/>
    <w:link w:val="41"/>
    <w:qFormat/>
    <w:uiPriority w:val="0"/>
  </w:style>
  <w:style w:type="character" w:customStyle="1" w:styleId="111">
    <w:name w:val="标题 6 Char"/>
    <w:basedOn w:val="46"/>
    <w:link w:val="8"/>
    <w:qFormat/>
    <w:uiPriority w:val="0"/>
    <w:rPr>
      <w:rFonts w:eastAsia="黑体"/>
      <w:b/>
      <w:bCs/>
      <w:sz w:val="24"/>
      <w:szCs w:val="24"/>
    </w:rPr>
  </w:style>
  <w:style w:type="character" w:customStyle="1" w:styleId="112">
    <w:name w:val="font151"/>
    <w:basedOn w:val="46"/>
    <w:qFormat/>
    <w:uiPriority w:val="0"/>
    <w:rPr>
      <w:rFonts w:hint="default" w:ascii="Times New Roman" w:hAnsi="Times New Roman" w:cs="Times New Roman"/>
      <w:color w:val="000000"/>
      <w:sz w:val="20"/>
      <w:szCs w:val="20"/>
      <w:u w:val="none"/>
    </w:rPr>
  </w:style>
  <w:style w:type="character" w:customStyle="1" w:styleId="113">
    <w:name w:val="font61"/>
    <w:basedOn w:val="46"/>
    <w:qFormat/>
    <w:uiPriority w:val="0"/>
    <w:rPr>
      <w:rFonts w:hint="eastAsia" w:ascii="微软雅黑" w:hAnsi="微软雅黑" w:eastAsia="微软雅黑" w:cs="微软雅黑"/>
      <w:color w:val="000000"/>
      <w:sz w:val="16"/>
      <w:szCs w:val="16"/>
      <w:u w:val="none"/>
    </w:rPr>
  </w:style>
  <w:style w:type="character" w:customStyle="1" w:styleId="114">
    <w:name w:val="文档结构图 Char"/>
    <w:basedOn w:val="46"/>
    <w:link w:val="15"/>
    <w:qFormat/>
    <w:uiPriority w:val="0"/>
    <w:rPr>
      <w:kern w:val="2"/>
      <w:sz w:val="21"/>
      <w:szCs w:val="24"/>
      <w:shd w:val="clear" w:color="auto" w:fill="000080"/>
    </w:rPr>
  </w:style>
  <w:style w:type="character" w:customStyle="1" w:styleId="115">
    <w:name w:val="页脚 Char"/>
    <w:link w:val="29"/>
    <w:qFormat/>
    <w:uiPriority w:val="99"/>
    <w:rPr>
      <w:kern w:val="2"/>
      <w:sz w:val="18"/>
      <w:szCs w:val="18"/>
    </w:rPr>
  </w:style>
  <w:style w:type="character" w:customStyle="1" w:styleId="116">
    <w:name w:val="标题 8 Char"/>
    <w:basedOn w:val="46"/>
    <w:link w:val="10"/>
    <w:qFormat/>
    <w:uiPriority w:val="0"/>
    <w:rPr>
      <w:rFonts w:eastAsia="黑体"/>
      <w:sz w:val="24"/>
      <w:szCs w:val="24"/>
    </w:rPr>
  </w:style>
  <w:style w:type="character" w:customStyle="1" w:styleId="117">
    <w:name w:val="纯文本 Char"/>
    <w:link w:val="24"/>
    <w:qFormat/>
    <w:uiPriority w:val="0"/>
    <w:rPr>
      <w:rFonts w:ascii="宋体" w:hAnsi="Courier New"/>
      <w:kern w:val="2"/>
      <w:sz w:val="21"/>
    </w:rPr>
  </w:style>
  <w:style w:type="character" w:customStyle="1" w:styleId="118">
    <w:name w:val="font112"/>
    <w:basedOn w:val="46"/>
    <w:qFormat/>
    <w:uiPriority w:val="0"/>
    <w:rPr>
      <w:rFonts w:hint="eastAsia" w:ascii="宋体" w:hAnsi="宋体" w:eastAsia="宋体" w:cs="宋体"/>
      <w:color w:val="000000"/>
      <w:sz w:val="16"/>
      <w:szCs w:val="16"/>
      <w:u w:val="none"/>
    </w:rPr>
  </w:style>
  <w:style w:type="character" w:customStyle="1" w:styleId="119">
    <w:name w:val="纯文本 Char1"/>
    <w:basedOn w:val="46"/>
    <w:qFormat/>
    <w:uiPriority w:val="0"/>
    <w:rPr>
      <w:rFonts w:eastAsia="宋体"/>
      <w:kern w:val="2"/>
      <w:sz w:val="24"/>
      <w:lang w:val="en-US" w:eastAsia="zh-CN" w:bidi="ar-SA"/>
    </w:rPr>
  </w:style>
  <w:style w:type="character" w:customStyle="1" w:styleId="120">
    <w:name w:val="正文首行缩进 2 Char"/>
    <w:basedOn w:val="121"/>
    <w:link w:val="43"/>
    <w:qFormat/>
    <w:uiPriority w:val="0"/>
  </w:style>
  <w:style w:type="character" w:customStyle="1" w:styleId="121">
    <w:name w:val="正文文本缩进 Char1"/>
    <w:basedOn w:val="46"/>
    <w:link w:val="20"/>
    <w:qFormat/>
    <w:uiPriority w:val="0"/>
    <w:rPr>
      <w:kern w:val="2"/>
      <w:sz w:val="28"/>
    </w:rPr>
  </w:style>
  <w:style w:type="character" w:customStyle="1" w:styleId="122">
    <w:name w:val="正文文字 Char1"/>
    <w:basedOn w:val="46"/>
    <w:link w:val="95"/>
    <w:qFormat/>
    <w:uiPriority w:val="0"/>
    <w:rPr>
      <w:rFonts w:ascii="宋体"/>
      <w:color w:val="000000"/>
      <w:kern w:val="0"/>
      <w:sz w:val="28"/>
      <w:u w:val="none" w:color="000000"/>
    </w:rPr>
  </w:style>
  <w:style w:type="character" w:customStyle="1" w:styleId="123">
    <w:name w:val="标题 3 Char_0"/>
    <w:link w:val="92"/>
    <w:qFormat/>
    <w:uiPriority w:val="0"/>
    <w:rPr>
      <w:rFonts w:ascii="宋体" w:hAnsi="宋体"/>
      <w:b/>
      <w:kern w:val="2"/>
      <w:sz w:val="28"/>
      <w:szCs w:val="28"/>
    </w:rPr>
  </w:style>
  <w:style w:type="character" w:customStyle="1" w:styleId="124">
    <w:name w:val="font21"/>
    <w:basedOn w:val="46"/>
    <w:qFormat/>
    <w:uiPriority w:val="0"/>
    <w:rPr>
      <w:rFonts w:hint="eastAsia" w:ascii="宋体" w:hAnsi="宋体" w:eastAsia="宋体" w:cs="宋体"/>
      <w:color w:val="000000"/>
      <w:sz w:val="22"/>
      <w:szCs w:val="22"/>
      <w:u w:val="none"/>
    </w:rPr>
  </w:style>
  <w:style w:type="character" w:customStyle="1" w:styleId="125">
    <w:name w:val="脚注文本 Char"/>
    <w:basedOn w:val="46"/>
    <w:link w:val="34"/>
    <w:qFormat/>
    <w:uiPriority w:val="0"/>
    <w:rPr>
      <w:sz w:val="18"/>
    </w:rPr>
  </w:style>
  <w:style w:type="character" w:customStyle="1" w:styleId="126">
    <w:name w:val="副标题 Char"/>
    <w:link w:val="32"/>
    <w:qFormat/>
    <w:uiPriority w:val="0"/>
    <w:rPr>
      <w:rFonts w:ascii="Cambria" w:hAnsi="Cambria" w:eastAsia="宋体"/>
      <w:b/>
      <w:bCs/>
      <w:kern w:val="28"/>
      <w:sz w:val="32"/>
      <w:szCs w:val="32"/>
      <w:lang w:val="en-US" w:eastAsia="zh-CN" w:bidi="ar-SA"/>
    </w:rPr>
  </w:style>
  <w:style w:type="character" w:customStyle="1" w:styleId="127">
    <w:name w:val=" Char Char3"/>
    <w:qFormat/>
    <w:uiPriority w:val="0"/>
    <w:rPr>
      <w:rFonts w:eastAsia="宋体"/>
      <w:kern w:val="2"/>
      <w:sz w:val="21"/>
      <w:szCs w:val="24"/>
      <w:lang w:val="en-US" w:eastAsia="zh-CN" w:bidi="ar-SA"/>
    </w:rPr>
  </w:style>
  <w:style w:type="character" w:customStyle="1" w:styleId="128">
    <w:name w:val="正文文本 Char"/>
    <w:link w:val="19"/>
    <w:qFormat/>
    <w:uiPriority w:val="0"/>
    <w:rPr>
      <w:kern w:val="2"/>
      <w:sz w:val="21"/>
      <w:szCs w:val="24"/>
    </w:rPr>
  </w:style>
  <w:style w:type="character" w:customStyle="1" w:styleId="129">
    <w:name w:val=" Char Char6"/>
    <w:qFormat/>
    <w:uiPriority w:val="0"/>
    <w:rPr>
      <w:rFonts w:eastAsia="宋体"/>
      <w:kern w:val="2"/>
      <w:sz w:val="21"/>
      <w:szCs w:val="24"/>
      <w:lang w:val="en-US" w:eastAsia="zh-CN" w:bidi="ar-SA"/>
    </w:rPr>
  </w:style>
  <w:style w:type="character" w:customStyle="1" w:styleId="130">
    <w:name w:val="标题 Char"/>
    <w:basedOn w:val="46"/>
    <w:link w:val="40"/>
    <w:qFormat/>
    <w:uiPriority w:val="0"/>
    <w:rPr>
      <w:rFonts w:ascii="Cambria" w:hAnsi="Cambria"/>
      <w:b/>
      <w:bCs/>
      <w:kern w:val="2"/>
      <w:sz w:val="32"/>
      <w:szCs w:val="32"/>
    </w:rPr>
  </w:style>
  <w:style w:type="character" w:customStyle="1" w:styleId="131">
    <w:name w:val="日期 Char"/>
    <w:basedOn w:val="46"/>
    <w:link w:val="26"/>
    <w:qFormat/>
    <w:uiPriority w:val="0"/>
    <w:rPr>
      <w:kern w:val="2"/>
      <w:sz w:val="21"/>
      <w:szCs w:val="24"/>
    </w:rPr>
  </w:style>
  <w:style w:type="character" w:customStyle="1" w:styleId="132">
    <w:name w:val="ca-1"/>
    <w:basedOn w:val="46"/>
    <w:qFormat/>
    <w:uiPriority w:val="0"/>
  </w:style>
  <w:style w:type="character" w:customStyle="1" w:styleId="133">
    <w:name w:val="font101"/>
    <w:basedOn w:val="46"/>
    <w:qFormat/>
    <w:uiPriority w:val="0"/>
    <w:rPr>
      <w:rFonts w:ascii="Arial Unicode MS" w:hAnsi="Arial Unicode MS" w:eastAsia="Arial Unicode MS" w:cs="Arial Unicode MS"/>
      <w:color w:val="000000"/>
      <w:sz w:val="16"/>
      <w:szCs w:val="16"/>
      <w:u w:val="none"/>
    </w:rPr>
  </w:style>
  <w:style w:type="character" w:customStyle="1" w:styleId="134">
    <w:name w:val="标题 2 Char"/>
    <w:link w:val="4"/>
    <w:qFormat/>
    <w:uiPriority w:val="0"/>
    <w:rPr>
      <w:rFonts w:ascii="Arial Black" w:hAnsi="Arial Black" w:eastAsia="黑体"/>
      <w:b/>
      <w:bCs/>
      <w:kern w:val="2"/>
      <w:sz w:val="32"/>
      <w:szCs w:val="32"/>
      <w:lang w:val="en-US" w:eastAsia="zh-CN" w:bidi="ar-SA"/>
    </w:rPr>
  </w:style>
  <w:style w:type="character" w:customStyle="1" w:styleId="135">
    <w:name w:val="标题 5 Char"/>
    <w:basedOn w:val="46"/>
    <w:link w:val="7"/>
    <w:qFormat/>
    <w:uiPriority w:val="0"/>
    <w:rPr>
      <w:b/>
      <w:bCs/>
      <w:sz w:val="28"/>
      <w:szCs w:val="28"/>
    </w:rPr>
  </w:style>
  <w:style w:type="character" w:customStyle="1" w:styleId="136">
    <w:name w:val="标题 7 Char"/>
    <w:basedOn w:val="46"/>
    <w:link w:val="9"/>
    <w:qFormat/>
    <w:uiPriority w:val="0"/>
    <w:rPr>
      <w:b/>
      <w:bCs/>
      <w:sz w:val="24"/>
      <w:szCs w:val="24"/>
    </w:rPr>
  </w:style>
  <w:style w:type="character" w:customStyle="1" w:styleId="137">
    <w:name w:val="正文文本 3 Char"/>
    <w:basedOn w:val="46"/>
    <w:link w:val="18"/>
    <w:qFormat/>
    <w:uiPriority w:val="0"/>
    <w:rPr>
      <w:kern w:val="2"/>
      <w:sz w:val="16"/>
      <w:szCs w:val="16"/>
    </w:rPr>
  </w:style>
  <w:style w:type="character" w:customStyle="1" w:styleId="138">
    <w:name w:val="批注框文本 Char"/>
    <w:basedOn w:val="46"/>
    <w:link w:val="28"/>
    <w:qFormat/>
    <w:uiPriority w:val="0"/>
    <w:rPr>
      <w:kern w:val="2"/>
      <w:sz w:val="18"/>
      <w:szCs w:val="18"/>
    </w:rPr>
  </w:style>
  <w:style w:type="character" w:customStyle="1" w:styleId="139">
    <w:name w:val="正文文本缩进 2 Char"/>
    <w:basedOn w:val="46"/>
    <w:link w:val="27"/>
    <w:qFormat/>
    <w:uiPriority w:val="0"/>
    <w:rPr>
      <w:kern w:val="2"/>
      <w:sz w:val="21"/>
      <w:szCs w:val="24"/>
    </w:rPr>
  </w:style>
  <w:style w:type="character" w:customStyle="1" w:styleId="140">
    <w:name w:val="标题 9 Char"/>
    <w:basedOn w:val="46"/>
    <w:link w:val="11"/>
    <w:qFormat/>
    <w:uiPriority w:val="0"/>
    <w:rPr>
      <w:rFonts w:eastAsia="黑体"/>
      <w:sz w:val="21"/>
      <w:szCs w:val="21"/>
    </w:rPr>
  </w:style>
  <w:style w:type="character" w:customStyle="1" w:styleId="141">
    <w:name w:val="标题 4 Char"/>
    <w:basedOn w:val="46"/>
    <w:link w:val="6"/>
    <w:qFormat/>
    <w:uiPriority w:val="0"/>
    <w:rPr>
      <w:rFonts w:eastAsia="黑体"/>
      <w:b/>
      <w:bCs/>
      <w:sz w:val="28"/>
      <w:szCs w:val="28"/>
    </w:rPr>
  </w:style>
  <w:style w:type="character" w:customStyle="1" w:styleId="142">
    <w:name w:val="font91"/>
    <w:basedOn w:val="46"/>
    <w:qFormat/>
    <w:uiPriority w:val="0"/>
    <w:rPr>
      <w:rFonts w:hint="eastAsia" w:ascii="宋体" w:hAnsi="宋体" w:eastAsia="宋体" w:cs="宋体"/>
      <w:b/>
      <w:color w:val="FF0000"/>
      <w:sz w:val="20"/>
      <w:szCs w:val="20"/>
      <w:u w:val="none"/>
    </w:rPr>
  </w:style>
  <w:style w:type="paragraph" w:customStyle="1" w:styleId="143">
    <w:name w:val="Table Paragraph"/>
    <w:basedOn w:val="1"/>
    <w:qFormat/>
    <w:uiPriority w:val="1"/>
    <w:rPr>
      <w:rFonts w:ascii="宋体" w:hAnsi="宋体" w:eastAsia="宋体" w:cs="宋体"/>
      <w:lang w:val="zh-CN" w:eastAsia="zh-CN" w:bidi="zh-CN"/>
    </w:rPr>
  </w:style>
  <w:style w:type="paragraph" w:customStyle="1" w:styleId="14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5">
    <w:name w:val="样式3"/>
    <w:basedOn w:val="24"/>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147">
    <w:name w:val="标题 3 字符"/>
    <w:basedOn w:val="46"/>
    <w:link w:val="5"/>
    <w:semiHidden/>
    <w:qFormat/>
    <w:locked/>
    <w:uiPriority w:val="99"/>
    <w:rPr>
      <w:rFonts w:cs="Times New Roman"/>
      <w:b/>
      <w:bCs/>
      <w:sz w:val="32"/>
      <w:szCs w:val="32"/>
    </w:rPr>
  </w:style>
  <w:style w:type="character" w:customStyle="1" w:styleId="148">
    <w:name w:val="NormalCharacter"/>
    <w:qFormat/>
    <w:uiPriority w:val="0"/>
    <w:rPr>
      <w:rFonts w:ascii="Times New Roman" w:hAnsi="Times New Roman" w:eastAsia="宋体"/>
      <w:kern w:val="2"/>
      <w:sz w:val="21"/>
      <w:lang w:val="en-US" w:eastAsia="zh-CN" w:bidi="ar-SA"/>
    </w:rPr>
  </w:style>
  <w:style w:type="paragraph" w:customStyle="1" w:styleId="149">
    <w:name w:val="UserStyle_10"/>
    <w:basedOn w:val="1"/>
    <w:qFormat/>
    <w:uiPriority w:val="0"/>
    <w:pPr>
      <w:jc w:val="left"/>
    </w:pPr>
    <w:rPr>
      <w:rFonts w:ascii="宋体" w:hAnsi="宋体"/>
      <w:kern w:val="0"/>
    </w:rPr>
  </w:style>
  <w:style w:type="paragraph" w:customStyle="1" w:styleId="150">
    <w:name w:val="BodyText"/>
    <w:basedOn w:val="1"/>
    <w:qFormat/>
    <w:uiPriority w:val="0"/>
    <w:pPr>
      <w:spacing w:line="380" w:lineRule="exact"/>
      <w:jc w:val="both"/>
    </w:pPr>
    <w:rPr>
      <w:kern w:val="2"/>
      <w:sz w:val="24"/>
      <w:szCs w:val="24"/>
      <w:lang w:val="en-US" w:eastAsia="zh-CN" w:bidi="ar-SA"/>
    </w:rPr>
  </w:style>
  <w:style w:type="table" w:customStyle="1" w:styleId="151">
    <w:name w:val="Table Normal"/>
    <w:semiHidden/>
    <w:unhideWhenUsed/>
    <w:qFormat/>
    <w:uiPriority w:val="0"/>
    <w:tblPr>
      <w:tblCellMar>
        <w:top w:w="0" w:type="dxa"/>
        <w:left w:w="0" w:type="dxa"/>
        <w:bottom w:w="0" w:type="dxa"/>
        <w:right w:w="0" w:type="dxa"/>
      </w:tblCellMar>
    </w:tblPr>
  </w:style>
  <w:style w:type="paragraph" w:customStyle="1" w:styleId="152">
    <w:name w:val="Table Text"/>
    <w:basedOn w:val="1"/>
    <w:semiHidden/>
    <w:qFormat/>
    <w:uiPriority w:val="0"/>
    <w:rPr>
      <w:rFonts w:ascii="Arial" w:hAnsi="Arial" w:eastAsia="Arial" w:cs="Arial"/>
      <w:sz w:val="21"/>
      <w:szCs w:val="21"/>
      <w:lang w:val="en-US" w:eastAsia="en-US" w:bidi="ar-SA"/>
    </w:rPr>
  </w:style>
  <w:style w:type="paragraph" w:customStyle="1" w:styleId="15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Normal_0"/>
    <w:qFormat/>
    <w:uiPriority w:val="0"/>
    <w:rPr>
      <w:rFonts w:ascii="黑体" w:hAnsi="黑体" w:eastAsia="黑体" w:cs="Times New Roman"/>
      <w:b/>
      <w:sz w:val="32"/>
      <w:szCs w:val="24"/>
      <w:lang w:bidi="ar-SA"/>
    </w:rPr>
  </w:style>
  <w:style w:type="paragraph" w:customStyle="1" w:styleId="155">
    <w:name w:val="列表_0"/>
    <w:basedOn w:val="156"/>
    <w:qFormat/>
    <w:uiPriority w:val="0"/>
    <w:pPr>
      <w:spacing w:afterAutospacing="1" w:line="360" w:lineRule="auto"/>
      <w:jc w:val="center"/>
    </w:pPr>
    <w:rPr>
      <w:rFonts w:ascii="宋体" w:hAnsi="宋体"/>
      <w:b/>
      <w:bCs/>
      <w:sz w:val="28"/>
      <w:szCs w:val="28"/>
    </w:rPr>
  </w:style>
  <w:style w:type="paragraph" w:customStyle="1" w:styleId="156">
    <w:name w:val="正文_15_0"/>
    <w:basedOn w:val="157"/>
    <w:next w:val="155"/>
    <w:qFormat/>
    <w:uiPriority w:val="0"/>
    <w:rPr>
      <w:rFonts w:ascii="Times New Roman" w:hAnsi="Times New Roman"/>
      <w:szCs w:val="21"/>
    </w:rPr>
  </w:style>
  <w:style w:type="paragraph" w:customStyle="1" w:styleId="157">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8">
    <w:name w:val="10_0"/>
    <w:basedOn w:val="46"/>
    <w:qFormat/>
    <w:uiPriority w:val="0"/>
    <w:rPr>
      <w:rFonts w:ascii="Times New Roman" w:hAnsi="Times New Roman" w:eastAsia="宋体" w:cs="Times New Roman"/>
    </w:rPr>
  </w:style>
  <w:style w:type="paragraph" w:customStyle="1" w:styleId="159">
    <w:name w:val="表格文字2"/>
    <w:basedOn w:val="77"/>
    <w:qFormat/>
    <w:uiPriority w:val="99"/>
    <w:pPr>
      <w:widowControl/>
      <w:spacing w:before="25" w:after="25" w:line="240" w:lineRule="auto"/>
      <w:ind w:firstLine="0"/>
      <w:jc w:val="left"/>
    </w:pPr>
    <w:rPr>
      <w:rFonts w:ascii="Times New Roman" w:hAnsi="Times New Roman"/>
      <w:bCs/>
      <w:spacing w:val="1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159</Pages>
  <Words>90891</Words>
  <Characters>102630</Characters>
  <Lines>227</Lines>
  <Paragraphs>64</Paragraphs>
  <TotalTime>2</TotalTime>
  <ScaleCrop>false</ScaleCrop>
  <LinksUpToDate>false</LinksUpToDate>
  <CharactersWithSpaces>108592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lenovo</cp:lastModifiedBy>
  <cp:lastPrinted>2023-12-27T17:10:00Z</cp:lastPrinted>
  <dcterms:modified xsi:type="dcterms:W3CDTF">2024-01-03T13:28:26Z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60EF8B3A2ED241B4ABD92BD8D5FC09A8_13</vt:lpwstr>
  </property>
</Properties>
</file>